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8D6C">
      <w:pPr>
        <w:spacing w:before="201" w:line="223" w:lineRule="auto"/>
        <w:ind w:left="3889"/>
        <w:rPr>
          <w:rFonts w:ascii="宋体" w:hAnsi="宋体" w:eastAsia="宋体" w:cs="宋体"/>
          <w:color w:val="auto"/>
          <w:sz w:val="43"/>
          <w:szCs w:val="43"/>
          <w:highlight w:val="none"/>
        </w:rPr>
      </w:pPr>
      <w:r>
        <w:rPr>
          <w:rFonts w:ascii="宋体" w:hAnsi="宋体" w:eastAsia="宋体" w:cs="宋体"/>
          <w:b/>
          <w:bCs/>
          <w:color w:val="auto"/>
          <w:sz w:val="43"/>
          <w:szCs w:val="43"/>
          <w:highlight w:val="none"/>
        </w:rPr>
        <w:t>广东省</w:t>
      </w:r>
    </w:p>
    <w:p w14:paraId="4EB89489">
      <w:pPr>
        <w:tabs>
          <w:tab w:val="left" w:pos="2351"/>
        </w:tabs>
        <w:spacing w:before="219" w:line="360" w:lineRule="auto"/>
        <w:ind w:left="118"/>
        <w:jc w:val="center"/>
        <w:rPr>
          <w:rFonts w:hint="eastAsia" w:ascii="宋体" w:hAnsi="宋体" w:eastAsia="宋体" w:cs="宋体"/>
          <w:b/>
          <w:bCs/>
          <w:color w:val="auto"/>
          <w:spacing w:val="-8"/>
          <w:sz w:val="43"/>
          <w:szCs w:val="43"/>
          <w:highlight w:val="none"/>
          <w:u w:val="single" w:color="auto"/>
          <w:lang w:eastAsia="zh-CN"/>
        </w:rPr>
      </w:pPr>
      <w:r>
        <w:rPr>
          <w:rFonts w:hint="eastAsia" w:ascii="宋体" w:hAnsi="宋体" w:eastAsia="宋体" w:cs="宋体"/>
          <w:b/>
          <w:bCs/>
          <w:color w:val="auto"/>
          <w:spacing w:val="-8"/>
          <w:sz w:val="43"/>
          <w:szCs w:val="43"/>
          <w:highlight w:val="none"/>
          <w:u w:val="single" w:color="auto"/>
          <w:lang w:eastAsia="zh-CN"/>
        </w:rPr>
        <w:t>乳源县桂头镇至韶关丹霞机场公路新建工程</w:t>
      </w:r>
    </w:p>
    <w:p w14:paraId="534F1079">
      <w:pPr>
        <w:tabs>
          <w:tab w:val="left" w:pos="2351"/>
        </w:tabs>
        <w:spacing w:before="219" w:line="360" w:lineRule="auto"/>
        <w:ind w:left="118"/>
        <w:jc w:val="center"/>
        <w:rPr>
          <w:rFonts w:ascii="宋体" w:hAnsi="宋体" w:eastAsia="宋体" w:cs="宋体"/>
          <w:color w:val="auto"/>
          <w:sz w:val="43"/>
          <w:szCs w:val="43"/>
          <w:highlight w:val="none"/>
        </w:rPr>
      </w:pPr>
      <w:r>
        <w:rPr>
          <w:rFonts w:hint="eastAsia" w:ascii="宋体" w:hAnsi="宋体" w:eastAsia="宋体" w:cs="宋体"/>
          <w:b/>
          <w:bCs/>
          <w:color w:val="auto"/>
          <w:spacing w:val="-8"/>
          <w:sz w:val="43"/>
          <w:szCs w:val="43"/>
          <w:highlight w:val="none"/>
          <w:u w:val="single" w:color="auto"/>
          <w:lang w:eastAsia="zh-CN"/>
        </w:rPr>
        <w:t>（韶关机场进场道路）</w:t>
      </w:r>
      <w:r>
        <w:rPr>
          <w:rFonts w:ascii="宋体" w:hAnsi="宋体" w:eastAsia="宋体" w:cs="宋体"/>
          <w:b/>
          <w:bCs/>
          <w:color w:val="auto"/>
          <w:spacing w:val="-8"/>
          <w:sz w:val="43"/>
          <w:szCs w:val="43"/>
          <w:highlight w:val="none"/>
        </w:rPr>
        <w:t>施</w:t>
      </w:r>
      <w:r>
        <w:rPr>
          <w:rFonts w:ascii="宋体" w:hAnsi="宋体" w:eastAsia="宋体" w:cs="宋体"/>
          <w:b/>
          <w:bCs/>
          <w:color w:val="auto"/>
          <w:spacing w:val="2"/>
          <w:sz w:val="43"/>
          <w:szCs w:val="43"/>
          <w:highlight w:val="none"/>
        </w:rPr>
        <w:t>工监理招标</w:t>
      </w:r>
    </w:p>
    <w:p w14:paraId="01868BA0">
      <w:pPr>
        <w:spacing w:line="252" w:lineRule="auto"/>
        <w:rPr>
          <w:rFonts w:ascii="Arial"/>
          <w:color w:val="auto"/>
          <w:sz w:val="21"/>
          <w:highlight w:val="none"/>
        </w:rPr>
      </w:pPr>
    </w:p>
    <w:p w14:paraId="141BB299">
      <w:pPr>
        <w:spacing w:line="252" w:lineRule="auto"/>
        <w:rPr>
          <w:rFonts w:ascii="Arial"/>
          <w:color w:val="auto"/>
          <w:sz w:val="21"/>
          <w:highlight w:val="none"/>
        </w:rPr>
      </w:pPr>
    </w:p>
    <w:p w14:paraId="20851F5F">
      <w:pPr>
        <w:spacing w:line="252" w:lineRule="auto"/>
        <w:rPr>
          <w:rFonts w:ascii="Arial"/>
          <w:color w:val="auto"/>
          <w:sz w:val="21"/>
          <w:highlight w:val="none"/>
        </w:rPr>
      </w:pPr>
    </w:p>
    <w:p w14:paraId="31CE2FC9">
      <w:pPr>
        <w:spacing w:line="253" w:lineRule="auto"/>
        <w:rPr>
          <w:rFonts w:ascii="Arial"/>
          <w:color w:val="auto"/>
          <w:sz w:val="21"/>
          <w:highlight w:val="none"/>
        </w:rPr>
      </w:pPr>
    </w:p>
    <w:p w14:paraId="236851E3">
      <w:pPr>
        <w:spacing w:line="253" w:lineRule="auto"/>
        <w:rPr>
          <w:rFonts w:ascii="Arial"/>
          <w:color w:val="auto"/>
          <w:sz w:val="21"/>
          <w:highlight w:val="none"/>
        </w:rPr>
      </w:pPr>
    </w:p>
    <w:p w14:paraId="56D3F4CF">
      <w:pPr>
        <w:spacing w:line="253" w:lineRule="auto"/>
        <w:rPr>
          <w:rFonts w:ascii="Arial"/>
          <w:color w:val="auto"/>
          <w:sz w:val="21"/>
          <w:highlight w:val="none"/>
        </w:rPr>
      </w:pPr>
    </w:p>
    <w:p w14:paraId="7816CC16">
      <w:pPr>
        <w:spacing w:line="253" w:lineRule="auto"/>
        <w:rPr>
          <w:rFonts w:ascii="Arial"/>
          <w:color w:val="auto"/>
          <w:sz w:val="21"/>
          <w:highlight w:val="none"/>
        </w:rPr>
      </w:pPr>
    </w:p>
    <w:p w14:paraId="6F588F44">
      <w:pPr>
        <w:spacing w:line="253" w:lineRule="auto"/>
        <w:rPr>
          <w:rFonts w:ascii="Arial"/>
          <w:color w:val="auto"/>
          <w:sz w:val="21"/>
          <w:highlight w:val="none"/>
        </w:rPr>
      </w:pPr>
    </w:p>
    <w:p w14:paraId="0303B3E7">
      <w:pPr>
        <w:spacing w:line="253" w:lineRule="auto"/>
        <w:rPr>
          <w:rFonts w:ascii="Arial"/>
          <w:color w:val="auto"/>
          <w:sz w:val="21"/>
          <w:highlight w:val="none"/>
        </w:rPr>
      </w:pPr>
    </w:p>
    <w:p w14:paraId="297E60C8">
      <w:pPr>
        <w:spacing w:line="253" w:lineRule="auto"/>
        <w:rPr>
          <w:rFonts w:ascii="Arial"/>
          <w:color w:val="auto"/>
          <w:sz w:val="21"/>
          <w:highlight w:val="none"/>
        </w:rPr>
      </w:pPr>
    </w:p>
    <w:p w14:paraId="630B4787">
      <w:pPr>
        <w:spacing w:line="253" w:lineRule="auto"/>
        <w:rPr>
          <w:rFonts w:ascii="Arial"/>
          <w:color w:val="auto"/>
          <w:sz w:val="21"/>
          <w:highlight w:val="none"/>
        </w:rPr>
      </w:pPr>
    </w:p>
    <w:p w14:paraId="040412EB">
      <w:pPr>
        <w:spacing w:before="231" w:line="222" w:lineRule="auto"/>
        <w:ind w:left="2669"/>
        <w:rPr>
          <w:rFonts w:ascii="宋体" w:hAnsi="宋体" w:eastAsia="宋体" w:cs="宋体"/>
          <w:color w:val="auto"/>
          <w:sz w:val="71"/>
          <w:szCs w:val="71"/>
          <w:highlight w:val="none"/>
        </w:rPr>
      </w:pPr>
      <w:bookmarkStart w:id="0" w:name="bookmark3"/>
      <w:bookmarkEnd w:id="0"/>
      <w:r>
        <w:rPr>
          <w:rFonts w:ascii="宋体" w:hAnsi="宋体" w:eastAsia="宋体" w:cs="宋体"/>
          <w:color w:val="auto"/>
          <w:spacing w:val="-15"/>
          <w:sz w:val="71"/>
          <w:szCs w:val="71"/>
          <w:highlight w:val="none"/>
        </w:rPr>
        <w:t>招 标 文 件</w:t>
      </w:r>
    </w:p>
    <w:p w14:paraId="2F08C1B5">
      <w:pPr>
        <w:spacing w:line="248" w:lineRule="auto"/>
        <w:rPr>
          <w:rFonts w:ascii="Arial"/>
          <w:color w:val="auto"/>
          <w:sz w:val="21"/>
          <w:highlight w:val="none"/>
        </w:rPr>
      </w:pPr>
    </w:p>
    <w:p w14:paraId="2A1331C2">
      <w:pPr>
        <w:spacing w:line="248" w:lineRule="auto"/>
        <w:rPr>
          <w:rFonts w:ascii="Arial"/>
          <w:color w:val="auto"/>
          <w:sz w:val="21"/>
          <w:highlight w:val="none"/>
        </w:rPr>
      </w:pPr>
    </w:p>
    <w:p w14:paraId="19A3D8AD">
      <w:pPr>
        <w:spacing w:line="248" w:lineRule="auto"/>
        <w:rPr>
          <w:rFonts w:ascii="Arial"/>
          <w:color w:val="auto"/>
          <w:sz w:val="21"/>
          <w:highlight w:val="none"/>
        </w:rPr>
      </w:pPr>
    </w:p>
    <w:p w14:paraId="61380B12">
      <w:pPr>
        <w:spacing w:line="248" w:lineRule="auto"/>
        <w:rPr>
          <w:rFonts w:ascii="Arial"/>
          <w:color w:val="auto"/>
          <w:sz w:val="21"/>
          <w:highlight w:val="none"/>
        </w:rPr>
      </w:pPr>
    </w:p>
    <w:p w14:paraId="534D36C0">
      <w:pPr>
        <w:spacing w:line="249" w:lineRule="auto"/>
        <w:rPr>
          <w:rFonts w:ascii="Arial"/>
          <w:color w:val="auto"/>
          <w:sz w:val="21"/>
          <w:highlight w:val="none"/>
        </w:rPr>
      </w:pPr>
    </w:p>
    <w:p w14:paraId="76E72379">
      <w:pPr>
        <w:spacing w:line="249" w:lineRule="auto"/>
        <w:rPr>
          <w:rFonts w:ascii="Arial"/>
          <w:color w:val="auto"/>
          <w:sz w:val="21"/>
          <w:highlight w:val="none"/>
        </w:rPr>
      </w:pPr>
    </w:p>
    <w:p w14:paraId="50C831C5">
      <w:pPr>
        <w:spacing w:line="249" w:lineRule="auto"/>
        <w:rPr>
          <w:rFonts w:ascii="Arial"/>
          <w:color w:val="auto"/>
          <w:sz w:val="21"/>
          <w:highlight w:val="none"/>
        </w:rPr>
      </w:pPr>
    </w:p>
    <w:p w14:paraId="172FCB44">
      <w:pPr>
        <w:spacing w:line="249" w:lineRule="auto"/>
        <w:rPr>
          <w:rFonts w:ascii="Arial"/>
          <w:color w:val="auto"/>
          <w:sz w:val="21"/>
          <w:highlight w:val="none"/>
        </w:rPr>
      </w:pPr>
    </w:p>
    <w:p w14:paraId="772DD0F1">
      <w:pPr>
        <w:spacing w:line="249" w:lineRule="auto"/>
        <w:rPr>
          <w:rFonts w:ascii="Arial"/>
          <w:color w:val="auto"/>
          <w:sz w:val="21"/>
          <w:highlight w:val="none"/>
        </w:rPr>
      </w:pPr>
    </w:p>
    <w:p w14:paraId="3C8954F1">
      <w:pPr>
        <w:spacing w:line="249" w:lineRule="auto"/>
        <w:rPr>
          <w:rFonts w:ascii="Arial"/>
          <w:color w:val="auto"/>
          <w:sz w:val="21"/>
          <w:highlight w:val="none"/>
        </w:rPr>
      </w:pPr>
    </w:p>
    <w:p w14:paraId="08C029F0">
      <w:pPr>
        <w:spacing w:line="249" w:lineRule="auto"/>
        <w:rPr>
          <w:rFonts w:ascii="Arial"/>
          <w:color w:val="auto"/>
          <w:sz w:val="21"/>
          <w:highlight w:val="none"/>
        </w:rPr>
      </w:pPr>
    </w:p>
    <w:p w14:paraId="58D538B4">
      <w:pPr>
        <w:spacing w:line="249" w:lineRule="auto"/>
        <w:rPr>
          <w:rFonts w:ascii="Arial"/>
          <w:color w:val="auto"/>
          <w:sz w:val="21"/>
          <w:highlight w:val="none"/>
        </w:rPr>
      </w:pPr>
    </w:p>
    <w:p w14:paraId="56DEDA58">
      <w:pPr>
        <w:spacing w:line="249" w:lineRule="auto"/>
        <w:rPr>
          <w:rFonts w:ascii="Arial"/>
          <w:color w:val="auto"/>
          <w:sz w:val="21"/>
          <w:highlight w:val="none"/>
        </w:rPr>
      </w:pPr>
    </w:p>
    <w:p w14:paraId="25947F1A">
      <w:pPr>
        <w:spacing w:line="249" w:lineRule="auto"/>
        <w:rPr>
          <w:rFonts w:ascii="Arial"/>
          <w:color w:val="auto"/>
          <w:sz w:val="21"/>
          <w:highlight w:val="none"/>
        </w:rPr>
      </w:pPr>
    </w:p>
    <w:p w14:paraId="23736DF2">
      <w:pPr>
        <w:spacing w:before="101" w:line="371" w:lineRule="auto"/>
        <w:ind w:left="432"/>
        <w:rPr>
          <w:rFonts w:ascii="宋体" w:hAnsi="宋体" w:eastAsia="宋体" w:cs="宋体"/>
          <w:color w:val="auto"/>
          <w:sz w:val="16"/>
          <w:szCs w:val="16"/>
          <w:highlight w:val="none"/>
        </w:rPr>
      </w:pPr>
      <w:r>
        <w:rPr>
          <w:rFonts w:ascii="宋体" w:hAnsi="宋体" w:eastAsia="宋体" w:cs="宋体"/>
          <w:color w:val="auto"/>
          <w:spacing w:val="14"/>
          <w:sz w:val="31"/>
          <w:szCs w:val="31"/>
          <w:highlight w:val="none"/>
        </w:rPr>
        <w:t>招 标 人</w:t>
      </w:r>
      <w:r>
        <w:rPr>
          <w:rFonts w:ascii="宋体" w:hAnsi="宋体" w:eastAsia="宋体" w:cs="宋体"/>
          <w:color w:val="auto"/>
          <w:spacing w:val="-32"/>
          <w:sz w:val="31"/>
          <w:szCs w:val="31"/>
          <w:highlight w:val="none"/>
        </w:rPr>
        <w:t>：</w:t>
      </w:r>
      <w:r>
        <w:rPr>
          <w:rFonts w:ascii="宋体" w:hAnsi="宋体" w:eastAsia="宋体" w:cs="宋体"/>
          <w:color w:val="auto"/>
          <w:spacing w:val="5"/>
          <w:sz w:val="31"/>
          <w:szCs w:val="31"/>
          <w:highlight w:val="none"/>
          <w:u w:val="single" w:color="auto"/>
        </w:rPr>
        <w:t xml:space="preserve"> </w:t>
      </w:r>
      <w:bookmarkStart w:id="1" w:name="OLE_LINK2"/>
      <w:r>
        <w:rPr>
          <w:rFonts w:hint="eastAsia" w:ascii="宋体" w:hAnsi="宋体" w:eastAsia="宋体" w:cs="宋体"/>
          <w:color w:val="auto"/>
          <w:spacing w:val="5"/>
          <w:sz w:val="31"/>
          <w:szCs w:val="31"/>
          <w:highlight w:val="none"/>
          <w:u w:val="single" w:color="auto"/>
          <w:lang w:val="en-US" w:eastAsia="zh-CN"/>
        </w:rPr>
        <w:t>韶关市粤丹工程管理有限公司</w:t>
      </w:r>
      <w:bookmarkEnd w:id="1"/>
      <w:r>
        <w:rPr>
          <w:rFonts w:ascii="宋体" w:hAnsi="宋体" w:eastAsia="宋体" w:cs="宋体"/>
          <w:color w:val="auto"/>
          <w:spacing w:val="-32"/>
          <w:sz w:val="31"/>
          <w:szCs w:val="31"/>
          <w:highlight w:val="none"/>
          <w:u w:val="single" w:color="auto"/>
        </w:rPr>
        <w:t>（</w:t>
      </w:r>
      <w:r>
        <w:rPr>
          <w:rFonts w:ascii="宋体" w:hAnsi="宋体" w:eastAsia="宋体" w:cs="宋体"/>
          <w:color w:val="auto"/>
          <w:spacing w:val="14"/>
          <w:sz w:val="31"/>
          <w:szCs w:val="31"/>
          <w:highlight w:val="none"/>
          <w:u w:val="single" w:color="auto"/>
        </w:rPr>
        <w:t>盖单位章）</w:t>
      </w:r>
    </w:p>
    <w:p w14:paraId="44E1B105">
      <w:pPr>
        <w:spacing w:before="1" w:line="400" w:lineRule="auto"/>
        <w:ind w:left="432"/>
        <w:rPr>
          <w:rFonts w:ascii="宋体" w:hAnsi="宋体" w:eastAsia="宋体" w:cs="宋体"/>
          <w:color w:val="auto"/>
          <w:sz w:val="16"/>
          <w:szCs w:val="16"/>
          <w:highlight w:val="none"/>
        </w:rPr>
      </w:pPr>
      <w:r>
        <w:rPr>
          <w:rFonts w:ascii="宋体" w:hAnsi="宋体" w:eastAsia="宋体" w:cs="宋体"/>
          <w:color w:val="auto"/>
          <w:spacing w:val="12"/>
          <w:sz w:val="31"/>
          <w:szCs w:val="31"/>
          <w:highlight w:val="none"/>
        </w:rPr>
        <w:t>招标代理</w:t>
      </w:r>
      <w:r>
        <w:rPr>
          <w:rFonts w:ascii="宋体" w:hAnsi="宋体" w:eastAsia="宋体" w:cs="宋体"/>
          <w:color w:val="auto"/>
          <w:spacing w:val="-15"/>
          <w:sz w:val="31"/>
          <w:szCs w:val="31"/>
          <w:highlight w:val="none"/>
        </w:rPr>
        <w:t>：</w:t>
      </w:r>
      <w:r>
        <w:rPr>
          <w:rFonts w:ascii="宋体" w:hAnsi="宋体" w:eastAsia="宋体" w:cs="宋体"/>
          <w:color w:val="auto"/>
          <w:spacing w:val="5"/>
          <w:sz w:val="31"/>
          <w:szCs w:val="31"/>
          <w:highlight w:val="none"/>
          <w:u w:val="single" w:color="auto"/>
        </w:rPr>
        <w:t xml:space="preserve"> </w:t>
      </w:r>
      <w:r>
        <w:rPr>
          <w:rFonts w:hint="eastAsia" w:ascii="宋体" w:hAnsi="宋体" w:eastAsia="宋体" w:cs="宋体"/>
          <w:color w:val="auto"/>
          <w:spacing w:val="5"/>
          <w:sz w:val="31"/>
          <w:szCs w:val="31"/>
          <w:highlight w:val="none"/>
          <w:u w:val="single" w:color="auto"/>
          <w:lang w:val="en-US" w:eastAsia="zh-CN"/>
        </w:rPr>
        <w:t>广东合正项目管理有限公司</w:t>
      </w:r>
      <w:r>
        <w:rPr>
          <w:rFonts w:ascii="宋体" w:hAnsi="宋体" w:eastAsia="宋体" w:cs="宋体"/>
          <w:color w:val="auto"/>
          <w:spacing w:val="-15"/>
          <w:sz w:val="31"/>
          <w:szCs w:val="31"/>
          <w:highlight w:val="none"/>
          <w:u w:val="single" w:color="auto"/>
        </w:rPr>
        <w:t>（</w:t>
      </w:r>
      <w:r>
        <w:rPr>
          <w:rFonts w:ascii="宋体" w:hAnsi="宋体" w:eastAsia="宋体" w:cs="宋体"/>
          <w:color w:val="auto"/>
          <w:spacing w:val="12"/>
          <w:sz w:val="31"/>
          <w:szCs w:val="31"/>
          <w:highlight w:val="none"/>
          <w:u w:val="single" w:color="auto"/>
        </w:rPr>
        <w:t>盖单位章）</w:t>
      </w:r>
    </w:p>
    <w:p w14:paraId="6FDCEC05">
      <w:pPr>
        <w:spacing w:before="1" w:line="400" w:lineRule="auto"/>
        <w:ind w:left="432"/>
        <w:jc w:val="center"/>
        <w:rPr>
          <w:rFonts w:ascii="宋体" w:hAnsi="宋体" w:eastAsia="宋体" w:cs="宋体"/>
          <w:color w:val="auto"/>
          <w:spacing w:val="5"/>
          <w:sz w:val="31"/>
          <w:szCs w:val="31"/>
          <w:highlight w:val="none"/>
          <w:u w:val="single" w:color="auto"/>
          <w:lang w:val="en-US" w:eastAsia="zh-CN"/>
        </w:rPr>
      </w:pPr>
      <w:r>
        <w:rPr>
          <w:rFonts w:hint="eastAsia" w:ascii="宋体" w:hAnsi="宋体" w:eastAsia="宋体" w:cs="宋体"/>
          <w:color w:val="auto"/>
          <w:spacing w:val="5"/>
          <w:sz w:val="31"/>
          <w:szCs w:val="31"/>
          <w:highlight w:val="none"/>
          <w:u w:val="none" w:color="auto"/>
          <w:lang w:val="en-US" w:eastAsia="zh-CN"/>
        </w:rPr>
        <w:t>2026</w:t>
      </w:r>
      <w:r>
        <w:rPr>
          <w:rFonts w:ascii="宋体" w:hAnsi="宋体" w:eastAsia="宋体" w:cs="宋体"/>
          <w:color w:val="auto"/>
          <w:spacing w:val="5"/>
          <w:sz w:val="31"/>
          <w:szCs w:val="31"/>
          <w:highlight w:val="none"/>
          <w:u w:val="none" w:color="auto"/>
          <w:lang w:val="en-US" w:eastAsia="zh-CN"/>
        </w:rPr>
        <w:t>年</w:t>
      </w:r>
      <w:r>
        <w:rPr>
          <w:rFonts w:hint="eastAsia" w:ascii="宋体" w:hAnsi="宋体" w:eastAsia="宋体" w:cs="宋体"/>
          <w:color w:val="auto"/>
          <w:spacing w:val="5"/>
          <w:sz w:val="31"/>
          <w:szCs w:val="31"/>
          <w:highlight w:val="none"/>
          <w:u w:val="none" w:color="auto"/>
          <w:lang w:val="en-US" w:eastAsia="zh-CN"/>
        </w:rPr>
        <w:t>4</w:t>
      </w:r>
      <w:r>
        <w:rPr>
          <w:rFonts w:ascii="宋体" w:hAnsi="宋体" w:eastAsia="宋体" w:cs="宋体"/>
          <w:color w:val="auto"/>
          <w:spacing w:val="5"/>
          <w:sz w:val="31"/>
          <w:szCs w:val="31"/>
          <w:highlight w:val="none"/>
          <w:u w:val="none" w:color="auto"/>
          <w:lang w:val="en-US" w:eastAsia="zh-CN"/>
        </w:rPr>
        <w:t>月</w:t>
      </w:r>
    </w:p>
    <w:p w14:paraId="3C89AA82">
      <w:pPr>
        <w:spacing w:line="285" w:lineRule="auto"/>
        <w:rPr>
          <w:rFonts w:ascii="Arial"/>
          <w:color w:val="auto"/>
          <w:sz w:val="21"/>
          <w:highlight w:val="none"/>
        </w:rPr>
      </w:pPr>
    </w:p>
    <w:p w14:paraId="7C811862">
      <w:pPr>
        <w:spacing w:line="220" w:lineRule="auto"/>
        <w:rPr>
          <w:rFonts w:ascii="宋体" w:hAnsi="宋体" w:eastAsia="宋体" w:cs="宋体"/>
          <w:color w:val="auto"/>
          <w:sz w:val="18"/>
          <w:szCs w:val="18"/>
          <w:highlight w:val="none"/>
        </w:rPr>
        <w:sectPr>
          <w:footerReference r:id="rId5" w:type="default"/>
          <w:pgSz w:w="11906" w:h="16839"/>
          <w:pgMar w:top="1431" w:right="1490" w:bottom="400" w:left="1417" w:header="0" w:footer="0" w:gutter="0"/>
          <w:cols w:space="720" w:num="1"/>
        </w:sectPr>
      </w:pPr>
    </w:p>
    <w:p w14:paraId="573AEB5E">
      <w:pPr>
        <w:spacing w:line="480" w:lineRule="auto"/>
        <w:jc w:val="center"/>
        <w:rPr>
          <w:rFonts w:hint="eastAsia" w:ascii="Times New Roman" w:hAnsi="Times New Roman" w:eastAsia="宋体" w:cs="宋体"/>
          <w:b/>
          <w:bCs/>
          <w:color w:val="auto"/>
          <w:kern w:val="21"/>
          <w:sz w:val="44"/>
          <w:szCs w:val="44"/>
          <w:highlight w:val="none"/>
          <w:lang w:eastAsia="zh-CN"/>
        </w:rPr>
        <w:sectPr>
          <w:footerReference r:id="rId6" w:type="default"/>
          <w:pgSz w:w="11906" w:h="16839"/>
          <w:pgMar w:top="1431" w:right="1785" w:bottom="1297" w:left="1785" w:header="0" w:footer="1065" w:gutter="0"/>
          <w:pgNumType w:fmt="decimal"/>
          <w:cols w:space="720" w:num="1"/>
        </w:sectPr>
      </w:pPr>
      <w:bookmarkStart w:id="2" w:name="_Toc13110"/>
      <w:bookmarkStart w:id="3" w:name="_Toc8336"/>
      <w:bookmarkStart w:id="4" w:name="_Toc14069"/>
      <w:bookmarkStart w:id="5" w:name="_Toc5743"/>
      <w:bookmarkStart w:id="6" w:name="_Toc3507"/>
      <w:bookmarkStart w:id="7" w:name="_Toc10156"/>
      <w:bookmarkStart w:id="8" w:name="_Toc251"/>
    </w:p>
    <w:p w14:paraId="6561A653">
      <w:pPr>
        <w:spacing w:line="480" w:lineRule="auto"/>
        <w:jc w:val="center"/>
        <w:rPr>
          <w:rFonts w:hint="eastAsia" w:ascii="Times New Roman" w:hAnsi="Times New Roman" w:eastAsia="宋体" w:cs="宋体"/>
          <w:b/>
          <w:bCs/>
          <w:color w:val="auto"/>
          <w:kern w:val="21"/>
          <w:sz w:val="44"/>
          <w:szCs w:val="44"/>
          <w:highlight w:val="none"/>
          <w:lang w:eastAsia="zh-CN"/>
        </w:rPr>
      </w:pPr>
      <w:r>
        <w:rPr>
          <w:rFonts w:hint="eastAsia" w:ascii="Times New Roman" w:hAnsi="Times New Roman" w:eastAsia="宋体" w:cs="宋体"/>
          <w:b/>
          <w:bCs/>
          <w:color w:val="auto"/>
          <w:kern w:val="21"/>
          <w:sz w:val="44"/>
          <w:szCs w:val="44"/>
          <w:highlight w:val="none"/>
          <w:lang w:eastAsia="zh-CN"/>
        </w:rPr>
        <w:t>目    录</w:t>
      </w:r>
    </w:p>
    <w:p w14:paraId="77565255">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TOC \o "1-3" \h \u </w:instrText>
      </w:r>
      <w:r>
        <w:rPr>
          <w:rFonts w:hint="eastAsia" w:ascii="黑体" w:hAnsi="黑体" w:eastAsia="黑体" w:cs="黑体"/>
          <w:color w:val="auto"/>
          <w:kern w:val="21"/>
          <w:sz w:val="28"/>
          <w:szCs w:val="28"/>
          <w:highlight w:val="none"/>
        </w:rPr>
        <w:fldChar w:fldCharType="separate"/>
      </w: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_Toc3310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第一章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_Toc3310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1B3D157C">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_Toc17428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第二章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_Toc17428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2069014B">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_Toc13025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3"/>
          <w:sz w:val="28"/>
          <w:szCs w:val="36"/>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_Toc13025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2D4EDC77">
      <w:pPr>
        <w:pStyle w:val="14"/>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_Toc25000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附录</w:t>
      </w:r>
      <w:r>
        <w:rPr>
          <w:rFonts w:ascii="宋体" w:hAnsi="宋体" w:eastAsia="宋体" w:cs="宋体"/>
          <w:color w:val="auto"/>
          <w:spacing w:val="-21"/>
          <w:sz w:val="28"/>
          <w:szCs w:val="40"/>
          <w:highlight w:val="none"/>
        </w:rPr>
        <w:t xml:space="preserve"> </w:t>
      </w:r>
      <w:r>
        <w:rPr>
          <w:rFonts w:ascii="宋体" w:hAnsi="宋体" w:eastAsia="宋体" w:cs="宋体"/>
          <w:bCs/>
          <w:color w:val="auto"/>
          <w:spacing w:val="-6"/>
          <w:sz w:val="28"/>
          <w:szCs w:val="40"/>
          <w:highlight w:val="none"/>
        </w:rPr>
        <w:t>1</w:t>
      </w:r>
      <w:r>
        <w:rPr>
          <w:rFonts w:ascii="宋体" w:hAnsi="宋体" w:eastAsia="宋体" w:cs="宋体"/>
          <w:color w:val="auto"/>
          <w:spacing w:val="-6"/>
          <w:sz w:val="28"/>
          <w:szCs w:val="40"/>
          <w:highlight w:val="none"/>
        </w:rPr>
        <w:t xml:space="preserve">  </w:t>
      </w:r>
      <w:r>
        <w:rPr>
          <w:rFonts w:ascii="宋体" w:hAnsi="宋体" w:eastAsia="宋体" w:cs="宋体"/>
          <w:bCs/>
          <w:color w:val="auto"/>
          <w:spacing w:val="-6"/>
          <w:sz w:val="28"/>
          <w:szCs w:val="40"/>
          <w:highlight w:val="none"/>
        </w:rPr>
        <w:t>资格审查条件（资质最低要求）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_Toc25000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4C9101BF">
      <w:pPr>
        <w:pStyle w:val="14"/>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_Toc19724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附录2 资格审查条件（业绩最低要求）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_Toc19724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20390A24">
      <w:pPr>
        <w:pStyle w:val="14"/>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_Toc1637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附录 3  资格审查条件（信誉最低要求）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714A4763">
      <w:pPr>
        <w:pStyle w:val="14"/>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_Toc32700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附录4  资格审查条件（总监理工程师最低要求）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_Toc32700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5E8A4915">
      <w:pPr>
        <w:pStyle w:val="14"/>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_Toc7110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附录 5  资格审查条件（其他主要监理人员最低要求）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_Toc7110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5A89A796">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_Toc19080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第三章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评标</w:t>
      </w:r>
      <w:r>
        <w:rPr>
          <w:rFonts w:hint="eastAsia" w:ascii="宋体" w:hAnsi="宋体" w:eastAsia="宋体" w:cs="宋体"/>
          <w:bCs/>
          <w:color w:val="auto"/>
          <w:spacing w:val="-5"/>
          <w:sz w:val="28"/>
          <w:szCs w:val="72"/>
          <w:highlight w:val="none"/>
          <w:lang w:val="en-US" w:eastAsia="zh-CN"/>
        </w:rPr>
        <w:t>办法及定标</w:t>
      </w:r>
      <w:r>
        <w:rPr>
          <w:rFonts w:ascii="宋体" w:hAnsi="宋体" w:eastAsia="宋体" w:cs="宋体"/>
          <w:bCs/>
          <w:color w:val="auto"/>
          <w:spacing w:val="-5"/>
          <w:sz w:val="28"/>
          <w:szCs w:val="72"/>
          <w:highlight w:val="none"/>
        </w:rPr>
        <w:t>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_Toc19080 \h </w:instrText>
      </w:r>
      <w:r>
        <w:rPr>
          <w:color w:val="auto"/>
          <w:sz w:val="28"/>
          <w:szCs w:val="28"/>
          <w:highlight w:val="none"/>
        </w:rPr>
        <w:fldChar w:fldCharType="separate"/>
      </w:r>
      <w:r>
        <w:rPr>
          <w:color w:val="auto"/>
          <w:sz w:val="28"/>
          <w:szCs w:val="28"/>
          <w:highlight w:val="none"/>
        </w:rPr>
        <w:t>51</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5D4579F5">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_Toc31294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第四章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_Toc31294 \h </w:instrText>
      </w:r>
      <w:r>
        <w:rPr>
          <w:color w:val="auto"/>
          <w:sz w:val="28"/>
          <w:szCs w:val="28"/>
          <w:highlight w:val="none"/>
        </w:rPr>
        <w:fldChar w:fldCharType="separate"/>
      </w:r>
      <w:r>
        <w:rPr>
          <w:color w:val="auto"/>
          <w:sz w:val="28"/>
          <w:szCs w:val="28"/>
          <w:highlight w:val="none"/>
        </w:rPr>
        <w:t>70</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393C5640">
      <w:pPr>
        <w:pStyle w:val="12"/>
        <w:tabs>
          <w:tab w:val="right" w:leader="dot" w:pos="8336"/>
        </w:tabs>
        <w:spacing w:line="360" w:lineRule="auto"/>
        <w:ind w:firstLine="560" w:firstLineChars="200"/>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_Toc27374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第一节</w:t>
      </w:r>
      <w:r>
        <w:rPr>
          <w:rFonts w:ascii="宋体" w:hAnsi="宋体" w:eastAsia="宋体" w:cs="宋体"/>
          <w:color w:val="auto"/>
          <w:spacing w:val="6"/>
          <w:sz w:val="28"/>
          <w:szCs w:val="40"/>
          <w:highlight w:val="none"/>
        </w:rPr>
        <w:t xml:space="preserve"> </w:t>
      </w:r>
      <w:r>
        <w:rPr>
          <w:rFonts w:ascii="宋体" w:hAnsi="宋体" w:eastAsia="宋体" w:cs="宋体"/>
          <w:bCs/>
          <w:color w:val="auto"/>
          <w:spacing w:val="6"/>
          <w:sz w:val="28"/>
          <w:szCs w:val="40"/>
          <w:highlight w:val="none"/>
        </w:rPr>
        <w:t>通用合同条款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_Toc27374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04C88D97">
      <w:pPr>
        <w:pStyle w:val="12"/>
        <w:tabs>
          <w:tab w:val="right" w:leader="dot" w:pos="8336"/>
        </w:tabs>
        <w:spacing w:line="360" w:lineRule="auto"/>
        <w:ind w:firstLine="560" w:firstLineChars="200"/>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_Toc18183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第二节</w:t>
      </w:r>
      <w:r>
        <w:rPr>
          <w:rFonts w:ascii="宋体" w:hAnsi="宋体" w:eastAsia="宋体" w:cs="宋体"/>
          <w:color w:val="auto"/>
          <w:spacing w:val="6"/>
          <w:sz w:val="28"/>
          <w:szCs w:val="40"/>
          <w:highlight w:val="none"/>
        </w:rPr>
        <w:t xml:space="preserve">  </w:t>
      </w:r>
      <w:r>
        <w:rPr>
          <w:rFonts w:ascii="宋体" w:hAnsi="宋体" w:eastAsia="宋体" w:cs="宋体"/>
          <w:bCs/>
          <w:color w:val="auto"/>
          <w:spacing w:val="6"/>
          <w:sz w:val="28"/>
          <w:szCs w:val="40"/>
          <w:highlight w:val="none"/>
        </w:rPr>
        <w:t>专用合同条款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_Toc18183 \h </w:instrText>
      </w:r>
      <w:r>
        <w:rPr>
          <w:color w:val="auto"/>
          <w:sz w:val="28"/>
          <w:szCs w:val="28"/>
          <w:highlight w:val="none"/>
        </w:rPr>
        <w:fldChar w:fldCharType="separate"/>
      </w:r>
      <w:r>
        <w:rPr>
          <w:color w:val="auto"/>
          <w:sz w:val="28"/>
          <w:szCs w:val="28"/>
          <w:highlight w:val="none"/>
        </w:rPr>
        <w:t>86</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0C68D4F3">
      <w:pPr>
        <w:pStyle w:val="12"/>
        <w:tabs>
          <w:tab w:val="right" w:leader="dot" w:pos="8336"/>
        </w:tabs>
        <w:spacing w:line="360" w:lineRule="auto"/>
        <w:ind w:firstLine="560" w:firstLineChars="200"/>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_Toc18490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6"/>
          <w:sz w:val="28"/>
          <w:szCs w:val="40"/>
          <w:highlight w:val="none"/>
        </w:rPr>
        <w:t>第三节  合同附件格式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_Toc18490 \h </w:instrText>
      </w:r>
      <w:r>
        <w:rPr>
          <w:color w:val="auto"/>
          <w:sz w:val="28"/>
          <w:szCs w:val="28"/>
          <w:highlight w:val="none"/>
        </w:rPr>
        <w:fldChar w:fldCharType="separate"/>
      </w:r>
      <w:r>
        <w:rPr>
          <w:color w:val="auto"/>
          <w:sz w:val="28"/>
          <w:szCs w:val="28"/>
          <w:highlight w:val="none"/>
        </w:rPr>
        <w:t>132</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008F79E3">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_Toc14274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第五章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委托人要求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_Toc14274 \h </w:instrText>
      </w:r>
      <w:r>
        <w:rPr>
          <w:color w:val="auto"/>
          <w:sz w:val="28"/>
          <w:szCs w:val="28"/>
          <w:highlight w:val="none"/>
        </w:rPr>
        <w:fldChar w:fldCharType="separate"/>
      </w:r>
      <w:r>
        <w:rPr>
          <w:color w:val="auto"/>
          <w:sz w:val="28"/>
          <w:szCs w:val="28"/>
          <w:highlight w:val="none"/>
        </w:rPr>
        <w:t>145</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2352A658">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_Toc25139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16"/>
          <w:sz w:val="28"/>
          <w:szCs w:val="72"/>
          <w:highlight w:val="none"/>
        </w:rPr>
        <w:t>第六章</w:t>
      </w:r>
      <w:r>
        <w:rPr>
          <w:rFonts w:ascii="宋体" w:hAnsi="宋体" w:eastAsia="宋体" w:cs="宋体"/>
          <w:color w:val="auto"/>
          <w:spacing w:val="39"/>
          <w:sz w:val="28"/>
          <w:szCs w:val="72"/>
          <w:highlight w:val="none"/>
        </w:rPr>
        <w:t xml:space="preserve">  </w:t>
      </w:r>
      <w:r>
        <w:rPr>
          <w:rFonts w:ascii="宋体" w:hAnsi="宋体" w:eastAsia="宋体" w:cs="宋体"/>
          <w:bCs/>
          <w:color w:val="auto"/>
          <w:spacing w:val="-16"/>
          <w:sz w:val="28"/>
          <w:szCs w:val="72"/>
          <w:highlight w:val="none"/>
        </w:rPr>
        <w:t>图纸和资料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_Toc25139 \h </w:instrText>
      </w:r>
      <w:r>
        <w:rPr>
          <w:color w:val="auto"/>
          <w:sz w:val="28"/>
          <w:szCs w:val="28"/>
          <w:highlight w:val="none"/>
        </w:rPr>
        <w:fldChar w:fldCharType="separate"/>
      </w:r>
      <w:r>
        <w:rPr>
          <w:color w:val="auto"/>
          <w:sz w:val="28"/>
          <w:szCs w:val="28"/>
          <w:highlight w:val="none"/>
        </w:rPr>
        <w:t>149</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0E5B46C8">
      <w:pPr>
        <w:pStyle w:val="12"/>
        <w:tabs>
          <w:tab w:val="right" w:leader="dot" w:pos="8336"/>
        </w:tabs>
        <w:spacing w:line="360" w:lineRule="auto"/>
        <w:rPr>
          <w:color w:val="auto"/>
          <w:sz w:val="28"/>
          <w:szCs w:val="28"/>
          <w:highlight w:val="none"/>
        </w:rPr>
      </w:pPr>
      <w:r>
        <w:rPr>
          <w:rFonts w:hint="eastAsia" w:ascii="黑体" w:hAnsi="黑体" w:eastAsia="黑体" w:cs="黑体"/>
          <w:color w:val="auto"/>
          <w:kern w:val="21"/>
          <w:sz w:val="28"/>
          <w:szCs w:val="28"/>
          <w:highlight w:val="none"/>
        </w:rPr>
        <w:fldChar w:fldCharType="begin"/>
      </w:r>
      <w:r>
        <w:rPr>
          <w:rFonts w:hint="eastAsia" w:ascii="黑体" w:hAnsi="黑体" w:eastAsia="黑体" w:cs="黑体"/>
          <w:color w:val="auto"/>
          <w:kern w:val="21"/>
          <w:sz w:val="28"/>
          <w:szCs w:val="28"/>
          <w:highlight w:val="none"/>
        </w:rPr>
        <w:instrText xml:space="preserve"> HYPERLINK \l _Toc9081 </w:instrText>
      </w:r>
      <w:r>
        <w:rPr>
          <w:rFonts w:hint="eastAsia" w:ascii="黑体" w:hAnsi="黑体" w:eastAsia="黑体" w:cs="黑体"/>
          <w:color w:val="auto"/>
          <w:kern w:val="21"/>
          <w:sz w:val="28"/>
          <w:szCs w:val="28"/>
          <w:highlight w:val="none"/>
        </w:rPr>
        <w:fldChar w:fldCharType="separate"/>
      </w:r>
      <w:r>
        <w:rPr>
          <w:rFonts w:ascii="宋体" w:hAnsi="宋体" w:eastAsia="宋体" w:cs="宋体"/>
          <w:bCs/>
          <w:color w:val="auto"/>
          <w:spacing w:val="-5"/>
          <w:sz w:val="28"/>
          <w:szCs w:val="72"/>
          <w:highlight w:val="none"/>
        </w:rPr>
        <w:t>第七章</w:t>
      </w:r>
      <w:r>
        <w:rPr>
          <w:rFonts w:ascii="宋体" w:hAnsi="宋体" w:eastAsia="宋体" w:cs="宋体"/>
          <w:color w:val="auto"/>
          <w:spacing w:val="-5"/>
          <w:sz w:val="28"/>
          <w:szCs w:val="72"/>
          <w:highlight w:val="none"/>
        </w:rPr>
        <w:t xml:space="preserve">  </w:t>
      </w:r>
      <w:r>
        <w:rPr>
          <w:rFonts w:ascii="宋体" w:hAnsi="宋体" w:eastAsia="宋体" w:cs="宋体"/>
          <w:bCs/>
          <w:color w:val="auto"/>
          <w:spacing w:val="-5"/>
          <w:sz w:val="28"/>
          <w:szCs w:val="72"/>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_Toc9081 \h </w:instrText>
      </w:r>
      <w:r>
        <w:rPr>
          <w:color w:val="auto"/>
          <w:sz w:val="28"/>
          <w:szCs w:val="28"/>
          <w:highlight w:val="none"/>
        </w:rPr>
        <w:fldChar w:fldCharType="separate"/>
      </w:r>
      <w:r>
        <w:rPr>
          <w:color w:val="auto"/>
          <w:sz w:val="28"/>
          <w:szCs w:val="28"/>
          <w:highlight w:val="none"/>
        </w:rPr>
        <w:t>150</w:t>
      </w:r>
      <w:r>
        <w:rPr>
          <w:color w:val="auto"/>
          <w:sz w:val="28"/>
          <w:szCs w:val="28"/>
          <w:highlight w:val="none"/>
        </w:rPr>
        <w:fldChar w:fldCharType="end"/>
      </w:r>
      <w:r>
        <w:rPr>
          <w:rFonts w:hint="eastAsia" w:ascii="黑体" w:hAnsi="黑体" w:eastAsia="黑体" w:cs="黑体"/>
          <w:color w:val="auto"/>
          <w:kern w:val="21"/>
          <w:sz w:val="28"/>
          <w:szCs w:val="28"/>
          <w:highlight w:val="none"/>
        </w:rPr>
        <w:fldChar w:fldCharType="end"/>
      </w:r>
    </w:p>
    <w:p w14:paraId="43BD1E50">
      <w:pPr>
        <w:spacing w:line="360" w:lineRule="auto"/>
        <w:rPr>
          <w:rFonts w:hint="eastAsia" w:ascii="黑体" w:hAnsi="黑体" w:eastAsia="黑体" w:cs="黑体"/>
          <w:color w:val="auto"/>
          <w:kern w:val="21"/>
          <w:highlight w:val="none"/>
          <w:lang w:val="en-US" w:eastAsia="zh-CN"/>
        </w:rPr>
      </w:pPr>
      <w:r>
        <w:rPr>
          <w:rFonts w:hint="eastAsia" w:ascii="黑体" w:hAnsi="黑体" w:eastAsia="黑体" w:cs="黑体"/>
          <w:color w:val="auto"/>
          <w:kern w:val="21"/>
          <w:sz w:val="28"/>
          <w:szCs w:val="28"/>
          <w:highlight w:val="none"/>
        </w:rPr>
        <w:fldChar w:fldCharType="end"/>
      </w:r>
      <w:bookmarkEnd w:id="2"/>
      <w:bookmarkEnd w:id="3"/>
      <w:bookmarkEnd w:id="4"/>
      <w:bookmarkEnd w:id="5"/>
      <w:bookmarkEnd w:id="6"/>
      <w:bookmarkEnd w:id="7"/>
      <w:bookmarkEnd w:id="8"/>
    </w:p>
    <w:p w14:paraId="356238D0">
      <w:pPr>
        <w:pStyle w:val="2"/>
        <w:rPr>
          <w:rFonts w:hint="eastAsia" w:ascii="黑体" w:hAnsi="黑体" w:eastAsia="黑体" w:cs="黑体"/>
          <w:color w:val="auto"/>
          <w:kern w:val="21"/>
          <w:highlight w:val="none"/>
        </w:rPr>
      </w:pPr>
    </w:p>
    <w:p w14:paraId="1AF8DFEF">
      <w:pPr>
        <w:pStyle w:val="2"/>
        <w:rPr>
          <w:rFonts w:hint="eastAsia" w:ascii="黑体" w:hAnsi="黑体" w:eastAsia="黑体" w:cs="黑体"/>
          <w:color w:val="auto"/>
          <w:kern w:val="21"/>
          <w:highlight w:val="none"/>
        </w:rPr>
      </w:pPr>
    </w:p>
    <w:p w14:paraId="467CCD17">
      <w:pPr>
        <w:pStyle w:val="2"/>
        <w:rPr>
          <w:rFonts w:hint="eastAsia" w:ascii="黑体" w:hAnsi="黑体" w:eastAsia="黑体" w:cs="黑体"/>
          <w:color w:val="auto"/>
          <w:kern w:val="21"/>
          <w:highlight w:val="none"/>
        </w:rPr>
      </w:pPr>
    </w:p>
    <w:p w14:paraId="4B05EFA1">
      <w:pPr>
        <w:pStyle w:val="2"/>
        <w:rPr>
          <w:rFonts w:hint="eastAsia" w:ascii="黑体" w:hAnsi="黑体" w:eastAsia="黑体" w:cs="黑体"/>
          <w:color w:val="auto"/>
          <w:kern w:val="21"/>
          <w:highlight w:val="none"/>
        </w:rPr>
      </w:pPr>
    </w:p>
    <w:p w14:paraId="3FB9761B">
      <w:pPr>
        <w:pStyle w:val="2"/>
        <w:rPr>
          <w:rFonts w:hint="eastAsia" w:ascii="黑体" w:hAnsi="黑体" w:eastAsia="黑体" w:cs="黑体"/>
          <w:color w:val="auto"/>
          <w:kern w:val="21"/>
          <w:highlight w:val="none"/>
        </w:rPr>
      </w:pPr>
    </w:p>
    <w:p w14:paraId="58124C02">
      <w:pPr>
        <w:pStyle w:val="2"/>
        <w:rPr>
          <w:rFonts w:hint="eastAsia" w:ascii="黑体" w:hAnsi="黑体" w:eastAsia="黑体" w:cs="黑体"/>
          <w:color w:val="auto"/>
          <w:kern w:val="21"/>
          <w:highlight w:val="none"/>
        </w:rPr>
      </w:pPr>
    </w:p>
    <w:p w14:paraId="6F523567">
      <w:pPr>
        <w:pStyle w:val="2"/>
        <w:rPr>
          <w:rFonts w:hint="eastAsia" w:ascii="黑体" w:hAnsi="黑体" w:eastAsia="黑体" w:cs="黑体"/>
          <w:color w:val="auto"/>
          <w:kern w:val="21"/>
          <w:highlight w:val="none"/>
        </w:rPr>
        <w:sectPr>
          <w:footerReference r:id="rId7" w:type="default"/>
          <w:pgSz w:w="11906" w:h="16839"/>
          <w:pgMar w:top="1431" w:right="1785" w:bottom="1297" w:left="1785" w:header="0" w:footer="1065" w:gutter="0"/>
          <w:pgNumType w:fmt="decimal"/>
          <w:cols w:space="720" w:num="1"/>
        </w:sectPr>
      </w:pPr>
    </w:p>
    <w:p w14:paraId="62EF8348">
      <w:pPr>
        <w:pStyle w:val="2"/>
        <w:rPr>
          <w:rFonts w:hint="eastAsia" w:ascii="黑体" w:hAnsi="黑体" w:eastAsia="黑体" w:cs="黑体"/>
          <w:color w:val="auto"/>
          <w:kern w:val="21"/>
          <w:highlight w:val="none"/>
        </w:rPr>
      </w:pPr>
    </w:p>
    <w:p w14:paraId="358DC7D7">
      <w:pPr>
        <w:pStyle w:val="2"/>
        <w:rPr>
          <w:rFonts w:hint="eastAsia" w:ascii="黑体" w:hAnsi="黑体" w:eastAsia="黑体" w:cs="黑体"/>
          <w:color w:val="auto"/>
          <w:kern w:val="21"/>
          <w:highlight w:val="none"/>
        </w:rPr>
      </w:pPr>
    </w:p>
    <w:p w14:paraId="103DEB56">
      <w:pPr>
        <w:pStyle w:val="2"/>
        <w:rPr>
          <w:rFonts w:ascii="Arial"/>
          <w:color w:val="auto"/>
          <w:sz w:val="21"/>
          <w:highlight w:val="none"/>
        </w:rPr>
      </w:pPr>
    </w:p>
    <w:p w14:paraId="7ED1B9BD">
      <w:pPr>
        <w:pStyle w:val="2"/>
        <w:rPr>
          <w:rFonts w:ascii="Arial"/>
          <w:color w:val="auto"/>
          <w:sz w:val="21"/>
          <w:highlight w:val="none"/>
        </w:rPr>
      </w:pPr>
    </w:p>
    <w:p w14:paraId="6FAED2A5">
      <w:pPr>
        <w:pStyle w:val="2"/>
        <w:rPr>
          <w:rFonts w:ascii="Arial"/>
          <w:color w:val="auto"/>
          <w:sz w:val="21"/>
          <w:highlight w:val="none"/>
        </w:rPr>
      </w:pPr>
    </w:p>
    <w:p w14:paraId="263BF2D7">
      <w:pPr>
        <w:pStyle w:val="2"/>
        <w:rPr>
          <w:rFonts w:ascii="Arial"/>
          <w:color w:val="auto"/>
          <w:sz w:val="21"/>
          <w:highlight w:val="none"/>
        </w:rPr>
      </w:pPr>
    </w:p>
    <w:p w14:paraId="1AA98A59">
      <w:pPr>
        <w:pStyle w:val="2"/>
        <w:rPr>
          <w:rFonts w:ascii="Arial"/>
          <w:color w:val="auto"/>
          <w:sz w:val="21"/>
          <w:highlight w:val="none"/>
        </w:rPr>
      </w:pPr>
    </w:p>
    <w:p w14:paraId="59F0FE3E">
      <w:pPr>
        <w:pStyle w:val="2"/>
        <w:rPr>
          <w:rFonts w:ascii="Arial"/>
          <w:color w:val="auto"/>
          <w:sz w:val="21"/>
          <w:highlight w:val="none"/>
        </w:rPr>
      </w:pPr>
    </w:p>
    <w:p w14:paraId="53BD3AF8">
      <w:pPr>
        <w:spacing w:line="241" w:lineRule="auto"/>
        <w:rPr>
          <w:rFonts w:ascii="Arial"/>
          <w:color w:val="auto"/>
          <w:sz w:val="21"/>
          <w:highlight w:val="none"/>
        </w:rPr>
      </w:pPr>
    </w:p>
    <w:p w14:paraId="5BAA0705">
      <w:pPr>
        <w:spacing w:line="241" w:lineRule="auto"/>
        <w:rPr>
          <w:rFonts w:ascii="Arial"/>
          <w:color w:val="auto"/>
          <w:sz w:val="21"/>
          <w:highlight w:val="none"/>
        </w:rPr>
      </w:pPr>
    </w:p>
    <w:p w14:paraId="4B1D8A73">
      <w:pPr>
        <w:spacing w:line="242" w:lineRule="auto"/>
        <w:rPr>
          <w:rFonts w:ascii="Arial"/>
          <w:color w:val="auto"/>
          <w:sz w:val="21"/>
          <w:highlight w:val="none"/>
        </w:rPr>
      </w:pPr>
    </w:p>
    <w:p w14:paraId="2CCE8E35">
      <w:pPr>
        <w:spacing w:before="169" w:line="218" w:lineRule="auto"/>
        <w:ind w:left="663"/>
        <w:jc w:val="center"/>
        <w:outlineLvl w:val="0"/>
        <w:rPr>
          <w:rFonts w:ascii="宋体" w:hAnsi="宋体" w:eastAsia="宋体" w:cs="宋体"/>
          <w:color w:val="auto"/>
          <w:sz w:val="52"/>
          <w:szCs w:val="52"/>
          <w:highlight w:val="none"/>
        </w:rPr>
      </w:pPr>
      <w:bookmarkStart w:id="9" w:name="_Toc3310"/>
      <w:bookmarkStart w:id="10" w:name="_Toc15051"/>
      <w:r>
        <w:rPr>
          <w:rFonts w:ascii="宋体" w:hAnsi="宋体" w:eastAsia="宋体" w:cs="宋体"/>
          <w:b/>
          <w:bCs/>
          <w:color w:val="auto"/>
          <w:spacing w:val="-5"/>
          <w:sz w:val="52"/>
          <w:szCs w:val="52"/>
          <w:highlight w:val="none"/>
        </w:rPr>
        <w:t>第一章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招标公告</w:t>
      </w:r>
      <w:bookmarkEnd w:id="9"/>
      <w:bookmarkEnd w:id="10"/>
    </w:p>
    <w:p w14:paraId="616470F0">
      <w:pPr>
        <w:spacing w:line="218" w:lineRule="auto"/>
        <w:rPr>
          <w:rFonts w:ascii="宋体" w:hAnsi="宋体" w:eastAsia="宋体" w:cs="宋体"/>
          <w:color w:val="auto"/>
          <w:sz w:val="52"/>
          <w:szCs w:val="52"/>
          <w:highlight w:val="none"/>
        </w:rPr>
        <w:sectPr>
          <w:footerReference r:id="rId8" w:type="default"/>
          <w:pgSz w:w="11906" w:h="16839"/>
          <w:pgMar w:top="1431" w:right="1785" w:bottom="1297" w:left="1785" w:header="0" w:footer="1065" w:gutter="0"/>
          <w:pgNumType w:fmt="decimal" w:start="1"/>
          <w:cols w:space="720" w:num="1"/>
        </w:sectPr>
      </w:pPr>
    </w:p>
    <w:p w14:paraId="78135C28">
      <w:pPr>
        <w:spacing w:before="252"/>
        <w:ind w:left="3499"/>
        <w:outlineLvl w:val="0"/>
        <w:rPr>
          <w:rFonts w:ascii="宋体" w:hAnsi="宋体" w:eastAsia="宋体" w:cs="宋体"/>
          <w:color w:val="auto"/>
          <w:sz w:val="16"/>
          <w:szCs w:val="16"/>
          <w:highlight w:val="none"/>
        </w:rPr>
      </w:pPr>
      <w:bookmarkStart w:id="11" w:name="_Toc7673"/>
      <w:bookmarkStart w:id="12" w:name="_Toc14183"/>
      <w:bookmarkStart w:id="13" w:name="_Toc11440"/>
      <w:r>
        <w:rPr>
          <w:rFonts w:ascii="宋体" w:hAnsi="宋体" w:eastAsia="宋体" w:cs="宋体"/>
          <w:b/>
          <w:bCs/>
          <w:color w:val="auto"/>
          <w:spacing w:val="5"/>
          <w:sz w:val="31"/>
          <w:szCs w:val="31"/>
          <w:highlight w:val="none"/>
        </w:rPr>
        <w:t>第一章</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招标公告</w:t>
      </w:r>
      <w:bookmarkEnd w:id="11"/>
      <w:bookmarkEnd w:id="12"/>
      <w:bookmarkEnd w:id="13"/>
    </w:p>
    <w:p w14:paraId="5CDAD219">
      <w:pPr>
        <w:spacing w:line="436" w:lineRule="auto"/>
        <w:rPr>
          <w:rFonts w:ascii="Arial"/>
          <w:color w:val="auto"/>
          <w:sz w:val="21"/>
          <w:highlight w:val="none"/>
        </w:rPr>
      </w:pPr>
    </w:p>
    <w:p w14:paraId="5098ACA2">
      <w:pPr>
        <w:tabs>
          <w:tab w:val="left" w:pos="1976"/>
        </w:tabs>
        <w:spacing w:before="101" w:line="223" w:lineRule="auto"/>
        <w:ind w:left="673"/>
        <w:jc w:val="center"/>
        <w:rPr>
          <w:rFonts w:ascii="宋体" w:hAnsi="宋体" w:eastAsia="宋体" w:cs="宋体"/>
          <w:color w:val="auto"/>
          <w:sz w:val="31"/>
          <w:szCs w:val="31"/>
          <w:highlight w:val="none"/>
        </w:rPr>
      </w:pPr>
      <w:r>
        <w:rPr>
          <w:rFonts w:hint="eastAsia" w:ascii="宋体" w:hAnsi="宋体" w:eastAsia="宋体" w:cs="宋体"/>
          <w:b/>
          <w:bCs/>
          <w:color w:val="auto"/>
          <w:sz w:val="31"/>
          <w:szCs w:val="31"/>
          <w:highlight w:val="none"/>
          <w:u w:val="single" w:color="auto"/>
          <w:lang w:val="en-US" w:eastAsia="zh-CN"/>
        </w:rPr>
        <w:t>乳源县桂头镇至韶关丹霞机场公路新建工程（韶关机场进场道路）</w:t>
      </w:r>
      <w:r>
        <w:rPr>
          <w:rFonts w:ascii="宋体" w:hAnsi="宋体" w:eastAsia="宋体" w:cs="宋体"/>
          <w:b/>
          <w:bCs/>
          <w:color w:val="auto"/>
          <w:sz w:val="31"/>
          <w:szCs w:val="31"/>
          <w:highlight w:val="none"/>
        </w:rPr>
        <w:t>施工监理招标公告</w:t>
      </w:r>
    </w:p>
    <w:p w14:paraId="5608E661">
      <w:pPr>
        <w:spacing w:line="198" w:lineRule="exact"/>
        <w:rPr>
          <w:color w:val="auto"/>
          <w:highlight w:val="none"/>
        </w:rPr>
      </w:pPr>
    </w:p>
    <w:tbl>
      <w:tblPr>
        <w:tblStyle w:val="22"/>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1979"/>
        <w:gridCol w:w="1663"/>
        <w:gridCol w:w="4151"/>
      </w:tblGrid>
      <w:tr w14:paraId="3A9E5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3" w:type="dxa"/>
            <w:vAlign w:val="center"/>
          </w:tcPr>
          <w:p w14:paraId="66C20487">
            <w:pPr>
              <w:pStyle w:val="23"/>
              <w:spacing w:before="112" w:line="228" w:lineRule="auto"/>
              <w:ind w:left="326"/>
              <w:jc w:val="both"/>
              <w:rPr>
                <w:color w:val="auto"/>
                <w:sz w:val="20"/>
                <w:szCs w:val="20"/>
                <w:highlight w:val="none"/>
              </w:rPr>
            </w:pPr>
            <w:r>
              <w:rPr>
                <w:b/>
                <w:bCs/>
                <w:color w:val="auto"/>
                <w:spacing w:val="6"/>
                <w:sz w:val="20"/>
                <w:szCs w:val="20"/>
                <w:highlight w:val="none"/>
              </w:rPr>
              <w:t>投资项目代码</w:t>
            </w:r>
          </w:p>
        </w:tc>
        <w:tc>
          <w:tcPr>
            <w:tcW w:w="7793" w:type="dxa"/>
            <w:gridSpan w:val="3"/>
            <w:vAlign w:val="center"/>
          </w:tcPr>
          <w:p w14:paraId="00501DEE">
            <w:pPr>
              <w:pStyle w:val="23"/>
              <w:spacing w:before="65" w:line="265" w:lineRule="exact"/>
              <w:jc w:val="center"/>
              <w:rPr>
                <w:color w:val="auto"/>
                <w:spacing w:val="4"/>
                <w:sz w:val="20"/>
                <w:szCs w:val="20"/>
                <w:highlight w:val="none"/>
              </w:rPr>
            </w:pPr>
            <w:r>
              <w:rPr>
                <w:rFonts w:hint="eastAsia"/>
                <w:color w:val="auto"/>
                <w:spacing w:val="4"/>
                <w:sz w:val="20"/>
                <w:szCs w:val="20"/>
                <w:highlight w:val="none"/>
                <w:lang w:val="en-US" w:eastAsia="zh-CN"/>
              </w:rPr>
              <w:t>2411-440232-04-01-870891</w:t>
            </w:r>
          </w:p>
        </w:tc>
      </w:tr>
      <w:tr w14:paraId="1A487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6D58F676">
            <w:pPr>
              <w:pStyle w:val="23"/>
              <w:spacing w:before="111" w:line="228" w:lineRule="auto"/>
              <w:ind w:left="326"/>
              <w:jc w:val="both"/>
              <w:rPr>
                <w:color w:val="auto"/>
                <w:sz w:val="20"/>
                <w:szCs w:val="20"/>
                <w:highlight w:val="none"/>
              </w:rPr>
            </w:pPr>
            <w:r>
              <w:rPr>
                <w:b/>
                <w:bCs/>
                <w:color w:val="auto"/>
                <w:spacing w:val="6"/>
                <w:sz w:val="20"/>
                <w:szCs w:val="20"/>
                <w:highlight w:val="none"/>
              </w:rPr>
              <w:t>投资项目名称</w:t>
            </w:r>
          </w:p>
        </w:tc>
        <w:tc>
          <w:tcPr>
            <w:tcW w:w="7793" w:type="dxa"/>
            <w:gridSpan w:val="3"/>
            <w:vAlign w:val="center"/>
          </w:tcPr>
          <w:p w14:paraId="600500FB">
            <w:pPr>
              <w:pStyle w:val="23"/>
              <w:spacing w:before="65" w:line="265" w:lineRule="exact"/>
              <w:jc w:val="center"/>
              <w:rPr>
                <w:color w:val="auto"/>
                <w:spacing w:val="4"/>
                <w:sz w:val="20"/>
                <w:szCs w:val="20"/>
                <w:highlight w:val="none"/>
              </w:rPr>
            </w:pPr>
            <w:r>
              <w:rPr>
                <w:rFonts w:hint="eastAsia"/>
                <w:color w:val="auto"/>
                <w:spacing w:val="4"/>
                <w:sz w:val="20"/>
                <w:szCs w:val="20"/>
                <w:highlight w:val="none"/>
                <w:lang w:val="en-US" w:eastAsia="zh-CN"/>
              </w:rPr>
              <w:t>乳源县桂头镇至韶关丹霞机场公路新建工程（韶关机场进场道路）</w:t>
            </w:r>
          </w:p>
        </w:tc>
      </w:tr>
      <w:tr w14:paraId="27AB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7D5530FC">
            <w:pPr>
              <w:pStyle w:val="23"/>
              <w:spacing w:before="110" w:line="228" w:lineRule="auto"/>
              <w:ind w:left="324"/>
              <w:jc w:val="both"/>
              <w:rPr>
                <w:color w:val="auto"/>
                <w:sz w:val="20"/>
                <w:szCs w:val="20"/>
                <w:highlight w:val="none"/>
              </w:rPr>
            </w:pPr>
            <w:r>
              <w:rPr>
                <w:b/>
                <w:bCs/>
                <w:color w:val="auto"/>
                <w:spacing w:val="6"/>
                <w:sz w:val="20"/>
                <w:szCs w:val="20"/>
                <w:highlight w:val="none"/>
              </w:rPr>
              <w:t>招标项目名称</w:t>
            </w:r>
          </w:p>
        </w:tc>
        <w:tc>
          <w:tcPr>
            <w:tcW w:w="7793" w:type="dxa"/>
            <w:gridSpan w:val="3"/>
            <w:vAlign w:val="center"/>
          </w:tcPr>
          <w:p w14:paraId="00553435">
            <w:pPr>
              <w:pStyle w:val="23"/>
              <w:spacing w:before="65" w:line="265" w:lineRule="exact"/>
              <w:jc w:val="center"/>
              <w:rPr>
                <w:color w:val="auto"/>
                <w:spacing w:val="4"/>
                <w:sz w:val="20"/>
                <w:szCs w:val="20"/>
                <w:highlight w:val="none"/>
              </w:rPr>
            </w:pPr>
            <w:r>
              <w:rPr>
                <w:rFonts w:hint="eastAsia"/>
                <w:color w:val="auto"/>
                <w:spacing w:val="4"/>
                <w:sz w:val="20"/>
                <w:szCs w:val="20"/>
                <w:highlight w:val="none"/>
                <w:lang w:val="en-US" w:eastAsia="zh-CN"/>
              </w:rPr>
              <w:t>乳源县桂头镇至韶关丹霞机场公路新建工程（韶关机场进场道路）</w:t>
            </w:r>
            <w:r>
              <w:rPr>
                <w:color w:val="auto"/>
                <w:spacing w:val="4"/>
                <w:sz w:val="20"/>
                <w:szCs w:val="20"/>
                <w:highlight w:val="none"/>
                <w:lang w:val="en-US" w:eastAsia="zh-CN"/>
              </w:rPr>
              <w:t>施工监理</w:t>
            </w:r>
          </w:p>
        </w:tc>
      </w:tr>
      <w:tr w14:paraId="41D3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903" w:type="dxa"/>
            <w:vAlign w:val="center"/>
          </w:tcPr>
          <w:p w14:paraId="4D9D7C0C">
            <w:pPr>
              <w:pStyle w:val="23"/>
              <w:spacing w:before="65" w:line="228" w:lineRule="auto"/>
              <w:ind w:left="219"/>
              <w:jc w:val="both"/>
              <w:rPr>
                <w:color w:val="auto"/>
                <w:sz w:val="20"/>
                <w:szCs w:val="20"/>
                <w:highlight w:val="none"/>
              </w:rPr>
            </w:pPr>
            <w:r>
              <w:rPr>
                <w:b/>
                <w:bCs/>
                <w:color w:val="auto"/>
                <w:spacing w:val="7"/>
                <w:sz w:val="20"/>
                <w:szCs w:val="20"/>
                <w:highlight w:val="none"/>
              </w:rPr>
              <w:t>标段（包）名称</w:t>
            </w:r>
          </w:p>
        </w:tc>
        <w:tc>
          <w:tcPr>
            <w:tcW w:w="1979" w:type="dxa"/>
            <w:vAlign w:val="center"/>
          </w:tcPr>
          <w:p w14:paraId="053EB5B7">
            <w:pPr>
              <w:pStyle w:val="23"/>
              <w:spacing w:before="160" w:line="233" w:lineRule="auto"/>
              <w:jc w:val="center"/>
              <w:rPr>
                <w:color w:val="auto"/>
                <w:sz w:val="20"/>
                <w:szCs w:val="20"/>
                <w:highlight w:val="none"/>
              </w:rPr>
            </w:pPr>
            <w:r>
              <w:rPr>
                <w:rFonts w:hint="eastAsia"/>
                <w:color w:val="auto"/>
                <w:spacing w:val="4"/>
                <w:sz w:val="20"/>
                <w:szCs w:val="20"/>
                <w:highlight w:val="none"/>
                <w:lang w:val="en-US" w:eastAsia="zh-CN"/>
              </w:rPr>
              <w:t>乳源县桂头镇至韶关丹霞机场公路新建工程（韶关机场进场道路）</w:t>
            </w:r>
            <w:r>
              <w:rPr>
                <w:color w:val="auto"/>
                <w:spacing w:val="4"/>
                <w:sz w:val="20"/>
                <w:szCs w:val="20"/>
                <w:highlight w:val="none"/>
                <w:lang w:val="en-US" w:eastAsia="zh-CN"/>
              </w:rPr>
              <w:t>施工监理</w:t>
            </w:r>
          </w:p>
        </w:tc>
        <w:tc>
          <w:tcPr>
            <w:tcW w:w="1663" w:type="dxa"/>
            <w:vAlign w:val="center"/>
          </w:tcPr>
          <w:p w14:paraId="6ED90849">
            <w:pPr>
              <w:pStyle w:val="23"/>
              <w:spacing w:before="65" w:line="226" w:lineRule="auto"/>
              <w:ind w:left="420"/>
              <w:jc w:val="both"/>
              <w:rPr>
                <w:color w:val="auto"/>
                <w:sz w:val="20"/>
                <w:szCs w:val="20"/>
                <w:highlight w:val="none"/>
              </w:rPr>
            </w:pPr>
            <w:r>
              <w:rPr>
                <w:b/>
                <w:bCs/>
                <w:color w:val="auto"/>
                <w:spacing w:val="4"/>
                <w:sz w:val="20"/>
                <w:szCs w:val="20"/>
                <w:highlight w:val="none"/>
              </w:rPr>
              <w:t>公告性质</w:t>
            </w:r>
          </w:p>
        </w:tc>
        <w:tc>
          <w:tcPr>
            <w:tcW w:w="4151" w:type="dxa"/>
            <w:vAlign w:val="center"/>
          </w:tcPr>
          <w:p w14:paraId="368AC843">
            <w:pPr>
              <w:pStyle w:val="23"/>
              <w:spacing w:before="65" w:line="265" w:lineRule="exact"/>
              <w:ind w:left="1822"/>
              <w:jc w:val="both"/>
              <w:rPr>
                <w:color w:val="auto"/>
                <w:sz w:val="20"/>
                <w:szCs w:val="20"/>
                <w:highlight w:val="none"/>
              </w:rPr>
            </w:pPr>
            <w:r>
              <w:rPr>
                <w:color w:val="auto"/>
                <w:spacing w:val="4"/>
                <w:sz w:val="20"/>
                <w:szCs w:val="20"/>
                <w:highlight w:val="none"/>
              </w:rPr>
              <w:t>正常</w:t>
            </w:r>
          </w:p>
        </w:tc>
      </w:tr>
      <w:tr w14:paraId="3C23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11A7E622">
            <w:pPr>
              <w:pStyle w:val="23"/>
              <w:spacing w:before="112" w:line="228" w:lineRule="auto"/>
              <w:ind w:left="333"/>
              <w:jc w:val="both"/>
              <w:rPr>
                <w:color w:val="auto"/>
                <w:sz w:val="20"/>
                <w:szCs w:val="20"/>
                <w:highlight w:val="none"/>
              </w:rPr>
            </w:pPr>
            <w:r>
              <w:rPr>
                <w:b/>
                <w:bCs/>
                <w:color w:val="auto"/>
                <w:spacing w:val="5"/>
                <w:sz w:val="20"/>
                <w:szCs w:val="20"/>
                <w:highlight w:val="none"/>
              </w:rPr>
              <w:t>资格审查方式</w:t>
            </w:r>
          </w:p>
        </w:tc>
        <w:tc>
          <w:tcPr>
            <w:tcW w:w="7793" w:type="dxa"/>
            <w:gridSpan w:val="3"/>
            <w:vAlign w:val="center"/>
          </w:tcPr>
          <w:p w14:paraId="76CA1EC7">
            <w:pPr>
              <w:pStyle w:val="23"/>
              <w:spacing w:before="112" w:line="228" w:lineRule="auto"/>
              <w:ind w:left="3489"/>
              <w:jc w:val="both"/>
              <w:rPr>
                <w:color w:val="auto"/>
                <w:sz w:val="20"/>
                <w:szCs w:val="20"/>
                <w:highlight w:val="none"/>
              </w:rPr>
            </w:pPr>
            <w:r>
              <w:rPr>
                <w:color w:val="auto"/>
                <w:spacing w:val="5"/>
                <w:sz w:val="20"/>
                <w:szCs w:val="20"/>
                <w:highlight w:val="none"/>
              </w:rPr>
              <w:t>资格后审</w:t>
            </w:r>
          </w:p>
        </w:tc>
      </w:tr>
      <w:tr w14:paraId="2808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903" w:type="dxa"/>
            <w:vAlign w:val="center"/>
          </w:tcPr>
          <w:p w14:paraId="0A861233">
            <w:pPr>
              <w:pStyle w:val="23"/>
              <w:spacing w:before="33" w:line="359" w:lineRule="auto"/>
              <w:ind w:left="333" w:right="319" w:hanging="9"/>
              <w:jc w:val="both"/>
              <w:rPr>
                <w:color w:val="auto"/>
                <w:sz w:val="20"/>
                <w:szCs w:val="20"/>
                <w:highlight w:val="none"/>
              </w:rPr>
            </w:pPr>
            <w:r>
              <w:rPr>
                <w:b/>
                <w:bCs/>
                <w:color w:val="auto"/>
                <w:spacing w:val="6"/>
                <w:sz w:val="20"/>
                <w:szCs w:val="20"/>
                <w:highlight w:val="none"/>
              </w:rPr>
              <w:t>招标项目实施</w:t>
            </w:r>
            <w:r>
              <w:rPr>
                <w:b/>
                <w:bCs/>
                <w:color w:val="auto"/>
                <w:spacing w:val="5"/>
                <w:sz w:val="20"/>
                <w:szCs w:val="20"/>
                <w:highlight w:val="none"/>
              </w:rPr>
              <w:t>（交货）地点</w:t>
            </w:r>
          </w:p>
        </w:tc>
        <w:tc>
          <w:tcPr>
            <w:tcW w:w="7793" w:type="dxa"/>
            <w:gridSpan w:val="3"/>
            <w:vAlign w:val="center"/>
          </w:tcPr>
          <w:p w14:paraId="65A74012">
            <w:pPr>
              <w:jc w:val="both"/>
              <w:rPr>
                <w:rFonts w:ascii="Arial"/>
                <w:color w:val="auto"/>
                <w:sz w:val="20"/>
                <w:szCs w:val="20"/>
                <w:highlight w:val="none"/>
              </w:rPr>
            </w:pPr>
            <w:r>
              <w:rPr>
                <w:rFonts w:hint="eastAsia"/>
                <w:color w:val="auto"/>
                <w:sz w:val="20"/>
                <w:szCs w:val="20"/>
                <w:highlight w:val="none"/>
                <w:lang w:val="en-US" w:eastAsia="zh-CN"/>
              </w:rPr>
              <w:t>韶关市乳源县桂头镇</w:t>
            </w:r>
          </w:p>
        </w:tc>
      </w:tr>
      <w:tr w14:paraId="1798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5174BD39">
            <w:pPr>
              <w:pStyle w:val="23"/>
              <w:spacing w:before="113" w:line="228" w:lineRule="auto"/>
              <w:ind w:left="544"/>
              <w:jc w:val="both"/>
              <w:rPr>
                <w:color w:val="auto"/>
                <w:sz w:val="20"/>
                <w:szCs w:val="20"/>
                <w:highlight w:val="none"/>
              </w:rPr>
            </w:pPr>
            <w:r>
              <w:rPr>
                <w:b/>
                <w:bCs/>
                <w:color w:val="auto"/>
                <w:spacing w:val="4"/>
                <w:sz w:val="20"/>
                <w:szCs w:val="20"/>
                <w:highlight w:val="none"/>
              </w:rPr>
              <w:t>资金来源</w:t>
            </w:r>
          </w:p>
        </w:tc>
        <w:tc>
          <w:tcPr>
            <w:tcW w:w="1979" w:type="dxa"/>
            <w:vAlign w:val="center"/>
          </w:tcPr>
          <w:p w14:paraId="4D97D9A1">
            <w:pPr>
              <w:jc w:val="center"/>
              <w:rPr>
                <w:rFonts w:ascii="Arial"/>
                <w:color w:val="auto"/>
                <w:sz w:val="20"/>
                <w:szCs w:val="20"/>
                <w:highlight w:val="none"/>
              </w:rPr>
            </w:pPr>
            <w:r>
              <w:rPr>
                <w:rFonts w:hint="eastAsia"/>
                <w:color w:val="auto"/>
                <w:sz w:val="20"/>
                <w:szCs w:val="20"/>
                <w:highlight w:val="none"/>
                <w:lang w:val="en-US" w:eastAsia="zh-CN"/>
              </w:rPr>
              <w:t>上级补助资金和债券资金，不足部分由市财政统筹解决</w:t>
            </w:r>
          </w:p>
        </w:tc>
        <w:tc>
          <w:tcPr>
            <w:tcW w:w="1663" w:type="dxa"/>
            <w:vAlign w:val="center"/>
          </w:tcPr>
          <w:p w14:paraId="213FE10E">
            <w:pPr>
              <w:pStyle w:val="23"/>
              <w:spacing w:before="113" w:line="228" w:lineRule="auto"/>
              <w:ind w:left="211"/>
              <w:jc w:val="both"/>
              <w:rPr>
                <w:color w:val="auto"/>
                <w:sz w:val="20"/>
                <w:szCs w:val="20"/>
                <w:highlight w:val="none"/>
              </w:rPr>
            </w:pPr>
            <w:r>
              <w:rPr>
                <w:b/>
                <w:bCs/>
                <w:color w:val="auto"/>
                <w:spacing w:val="5"/>
                <w:sz w:val="20"/>
                <w:szCs w:val="20"/>
                <w:highlight w:val="none"/>
              </w:rPr>
              <w:t>资金来源构成</w:t>
            </w:r>
          </w:p>
        </w:tc>
        <w:tc>
          <w:tcPr>
            <w:tcW w:w="4151" w:type="dxa"/>
            <w:vAlign w:val="center"/>
          </w:tcPr>
          <w:p w14:paraId="490787BB">
            <w:pPr>
              <w:jc w:val="center"/>
              <w:rPr>
                <w:rFonts w:hint="default" w:ascii="Arial" w:eastAsia="宋体"/>
                <w:color w:val="auto"/>
                <w:sz w:val="20"/>
                <w:szCs w:val="20"/>
                <w:highlight w:val="none"/>
                <w:lang w:val="en-US" w:eastAsia="zh-CN"/>
              </w:rPr>
            </w:pPr>
            <w:r>
              <w:rPr>
                <w:rFonts w:hint="eastAsia"/>
                <w:color w:val="auto"/>
                <w:sz w:val="20"/>
                <w:szCs w:val="20"/>
                <w:highlight w:val="none"/>
                <w:lang w:val="en-US" w:eastAsia="zh-CN"/>
              </w:rPr>
              <w:t>上级补助资金和债券资金，不足部分由市财政统筹解决</w:t>
            </w:r>
            <w:r>
              <w:rPr>
                <w:rFonts w:hint="eastAsia" w:eastAsia="宋体"/>
                <w:color w:val="auto"/>
                <w:sz w:val="20"/>
                <w:szCs w:val="20"/>
                <w:highlight w:val="none"/>
                <w:lang w:val="en-US" w:eastAsia="zh-CN"/>
              </w:rPr>
              <w:t>100%</w:t>
            </w:r>
          </w:p>
        </w:tc>
      </w:tr>
      <w:tr w14:paraId="6FEC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top"/>
          </w:tcPr>
          <w:p w14:paraId="206D616A">
            <w:pPr>
              <w:pStyle w:val="23"/>
              <w:spacing w:before="112" w:line="228" w:lineRule="auto"/>
              <w:ind w:left="219"/>
              <w:rPr>
                <w:color w:val="auto"/>
                <w:highlight w:val="none"/>
              </w:rPr>
            </w:pPr>
            <w:r>
              <w:rPr>
                <w:b/>
                <w:bCs/>
                <w:color w:val="auto"/>
                <w:spacing w:val="7"/>
                <w:highlight w:val="none"/>
              </w:rPr>
              <w:t>招标范围及规模</w:t>
            </w:r>
          </w:p>
        </w:tc>
        <w:tc>
          <w:tcPr>
            <w:tcW w:w="7793" w:type="dxa"/>
            <w:gridSpan w:val="3"/>
            <w:vAlign w:val="center"/>
          </w:tcPr>
          <w:p w14:paraId="4E22613B">
            <w:pPr>
              <w:pStyle w:val="23"/>
              <w:tabs>
                <w:tab w:val="left" w:pos="7562"/>
              </w:tabs>
              <w:spacing w:before="33" w:line="360" w:lineRule="auto"/>
              <w:ind w:left="117" w:right="224"/>
              <w:jc w:val="both"/>
              <w:rPr>
                <w:rFonts w:hint="default" w:ascii="宋体" w:hAnsi="宋体" w:eastAsia="宋体" w:cs="宋体"/>
                <w:color w:val="auto"/>
                <w:spacing w:val="9"/>
                <w:highlight w:val="none"/>
                <w:lang w:val="en-US"/>
              </w:rPr>
            </w:pPr>
            <w:r>
              <w:rPr>
                <w:rFonts w:hint="eastAsia" w:ascii="宋体" w:hAnsi="宋体" w:eastAsia="宋体" w:cs="宋体"/>
                <w:color w:val="auto"/>
                <w:spacing w:val="9"/>
                <w:highlight w:val="none"/>
              </w:rPr>
              <w:t>1.建设地点：韶关市乳源县桂头镇</w:t>
            </w:r>
          </w:p>
          <w:p w14:paraId="4654526A">
            <w:pPr>
              <w:pStyle w:val="23"/>
              <w:tabs>
                <w:tab w:val="left" w:pos="7562"/>
              </w:tabs>
              <w:spacing w:before="33" w:line="360" w:lineRule="auto"/>
              <w:ind w:left="117" w:right="224"/>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2.建设内容及规模：</w:t>
            </w:r>
          </w:p>
          <w:p w14:paraId="46B584C2">
            <w:pPr>
              <w:pStyle w:val="23"/>
              <w:tabs>
                <w:tab w:val="left" w:pos="7562"/>
              </w:tabs>
              <w:spacing w:before="33" w:line="360" w:lineRule="auto"/>
              <w:ind w:left="117" w:right="224"/>
              <w:jc w:val="both"/>
              <w:rPr>
                <w:color w:val="auto"/>
                <w:highlight w:val="none"/>
              </w:rPr>
            </w:pPr>
            <w:r>
              <w:rPr>
                <w:rFonts w:hint="eastAsia" w:cs="宋体"/>
                <w:color w:val="auto"/>
                <w:spacing w:val="9"/>
                <w:highlight w:val="none"/>
                <w:lang w:eastAsia="zh-CN"/>
              </w:rPr>
              <w:t>本项目位于韶关市乳源县桂头镇，路线起自省道S248与省道S250平交口，先东西走向，后南北走向，先后经过小江村、大坝村、凰村、红岭村，终点沿现状进场路，止于丹霞机场门口。路线全长4.237km，全线双向四车道，采用一级公路技术标准，设计速度60km/h，沥青混凝土路面，全线平面交叉8处（其中灯控平交4处，其余均有右进右出支路口），共设置涵洞13道。</w:t>
            </w:r>
          </w:p>
        </w:tc>
      </w:tr>
      <w:tr w14:paraId="7E1D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3" w:type="dxa"/>
            <w:vAlign w:val="top"/>
          </w:tcPr>
          <w:p w14:paraId="088E2A71">
            <w:pPr>
              <w:pStyle w:val="23"/>
              <w:spacing w:before="238" w:line="228" w:lineRule="auto"/>
              <w:ind w:left="536"/>
              <w:rPr>
                <w:color w:val="auto"/>
                <w:highlight w:val="none"/>
              </w:rPr>
            </w:pPr>
            <w:r>
              <w:rPr>
                <w:b/>
                <w:bCs/>
                <w:color w:val="auto"/>
                <w:spacing w:val="6"/>
                <w:highlight w:val="none"/>
              </w:rPr>
              <w:t>招标内容</w:t>
            </w:r>
          </w:p>
        </w:tc>
        <w:tc>
          <w:tcPr>
            <w:tcW w:w="7793" w:type="dxa"/>
            <w:gridSpan w:val="3"/>
            <w:vAlign w:val="center"/>
          </w:tcPr>
          <w:p w14:paraId="556A6F34">
            <w:pPr>
              <w:pStyle w:val="23"/>
              <w:spacing w:before="35" w:line="227" w:lineRule="auto"/>
              <w:ind w:left="118"/>
              <w:jc w:val="both"/>
              <w:rPr>
                <w:color w:val="auto"/>
                <w:sz w:val="10"/>
                <w:szCs w:val="10"/>
                <w:highlight w:val="none"/>
              </w:rPr>
            </w:pPr>
            <w:r>
              <w:rPr>
                <w:color w:val="auto"/>
                <w:spacing w:val="7"/>
                <w:highlight w:val="none"/>
              </w:rPr>
              <w:t>本次招标共分</w:t>
            </w:r>
            <w:r>
              <w:rPr>
                <w:color w:val="auto"/>
                <w:spacing w:val="-83"/>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1</w:t>
            </w:r>
            <w:r>
              <w:rPr>
                <w:color w:val="auto"/>
                <w:spacing w:val="4"/>
                <w:highlight w:val="none"/>
                <w:u w:val="single" w:color="auto"/>
              </w:rPr>
              <w:t xml:space="preserve"> </w:t>
            </w:r>
            <w:r>
              <w:rPr>
                <w:color w:val="auto"/>
                <w:spacing w:val="-90"/>
                <w:highlight w:val="none"/>
              </w:rPr>
              <w:t xml:space="preserve"> </w:t>
            </w:r>
            <w:r>
              <w:rPr>
                <w:color w:val="auto"/>
                <w:spacing w:val="7"/>
                <w:highlight w:val="none"/>
              </w:rPr>
              <w:t>个标类</w:t>
            </w:r>
            <w:r>
              <w:rPr>
                <w:color w:val="auto"/>
                <w:spacing w:val="7"/>
                <w:highlight w:val="none"/>
                <w:u w:val="single" w:color="auto"/>
              </w:rPr>
              <w:t xml:space="preserve"> </w:t>
            </w:r>
            <w:r>
              <w:rPr>
                <w:rFonts w:hint="eastAsia"/>
                <w:color w:val="auto"/>
                <w:spacing w:val="7"/>
                <w:highlight w:val="none"/>
                <w:u w:val="single" w:color="auto"/>
                <w:lang w:val="en-US" w:eastAsia="zh-CN"/>
              </w:rPr>
              <w:t>1</w:t>
            </w:r>
            <w:r>
              <w:rPr>
                <w:color w:val="auto"/>
                <w:spacing w:val="7"/>
                <w:highlight w:val="none"/>
                <w:u w:val="single" w:color="auto"/>
              </w:rPr>
              <w:t xml:space="preserve">  </w:t>
            </w:r>
            <w:r>
              <w:rPr>
                <w:color w:val="auto"/>
                <w:spacing w:val="-92"/>
                <w:highlight w:val="none"/>
              </w:rPr>
              <w:t xml:space="preserve"> </w:t>
            </w:r>
            <w:r>
              <w:rPr>
                <w:color w:val="auto"/>
                <w:spacing w:val="7"/>
                <w:highlight w:val="none"/>
              </w:rPr>
              <w:t>个标段。具体见附件</w:t>
            </w:r>
            <w:r>
              <w:rPr>
                <w:color w:val="auto"/>
                <w:spacing w:val="-23"/>
                <w:highlight w:val="none"/>
              </w:rPr>
              <w:t xml:space="preserve"> </w:t>
            </w:r>
            <w:r>
              <w:rPr>
                <w:color w:val="auto"/>
                <w:spacing w:val="7"/>
                <w:highlight w:val="none"/>
              </w:rPr>
              <w:t>1</w:t>
            </w:r>
            <w:r>
              <w:rPr>
                <w:color w:val="auto"/>
                <w:spacing w:val="-38"/>
                <w:highlight w:val="none"/>
              </w:rPr>
              <w:t xml:space="preserve"> </w:t>
            </w:r>
            <w:r>
              <w:rPr>
                <w:color w:val="auto"/>
                <w:spacing w:val="7"/>
                <w:highlight w:val="none"/>
              </w:rPr>
              <w:t>标段划分及主要工程项目情况。</w:t>
            </w:r>
          </w:p>
        </w:tc>
      </w:tr>
      <w:tr w14:paraId="2575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903" w:type="dxa"/>
            <w:vAlign w:val="top"/>
          </w:tcPr>
          <w:p w14:paraId="365263A7">
            <w:pPr>
              <w:spacing w:line="375" w:lineRule="auto"/>
              <w:rPr>
                <w:rFonts w:ascii="Arial"/>
                <w:color w:val="auto"/>
                <w:sz w:val="21"/>
                <w:highlight w:val="none"/>
              </w:rPr>
            </w:pPr>
          </w:p>
          <w:p w14:paraId="63E7111C">
            <w:pPr>
              <w:pStyle w:val="23"/>
              <w:spacing w:before="65" w:line="227" w:lineRule="auto"/>
              <w:ind w:left="221"/>
              <w:rPr>
                <w:color w:val="auto"/>
                <w:highlight w:val="none"/>
              </w:rPr>
            </w:pPr>
            <w:r>
              <w:rPr>
                <w:b/>
                <w:bCs/>
                <w:color w:val="auto"/>
                <w:spacing w:val="5"/>
                <w:highlight w:val="none"/>
              </w:rPr>
              <w:t>工期（交货期）</w:t>
            </w:r>
          </w:p>
        </w:tc>
        <w:tc>
          <w:tcPr>
            <w:tcW w:w="7793" w:type="dxa"/>
            <w:gridSpan w:val="3"/>
            <w:vAlign w:val="center"/>
          </w:tcPr>
          <w:p w14:paraId="109FEF3A">
            <w:pPr>
              <w:pStyle w:val="23"/>
              <w:tabs>
                <w:tab w:val="left" w:pos="7562"/>
              </w:tabs>
              <w:spacing w:before="33" w:line="365" w:lineRule="auto"/>
              <w:ind w:left="117" w:right="224"/>
              <w:jc w:val="both"/>
              <w:rPr>
                <w:color w:val="auto"/>
                <w:highlight w:val="none"/>
              </w:rPr>
            </w:pPr>
            <w:r>
              <w:rPr>
                <w:color w:val="auto"/>
                <w:spacing w:val="9"/>
                <w:highlight w:val="none"/>
              </w:rPr>
              <w:t>施工监理服务期限为：</w:t>
            </w:r>
            <w:r>
              <w:rPr>
                <w:rFonts w:hint="eastAsia"/>
                <w:color w:val="auto"/>
                <w:spacing w:val="9"/>
                <w:highlight w:val="none"/>
                <w:u w:val="single" w:color="auto"/>
                <w:lang w:val="en-US" w:eastAsia="zh-CN"/>
              </w:rPr>
              <w:t>48</w:t>
            </w:r>
            <w:r>
              <w:rPr>
                <w:color w:val="auto"/>
                <w:spacing w:val="9"/>
                <w:highlight w:val="none"/>
              </w:rPr>
              <w:t>个月，包括施工准</w:t>
            </w:r>
            <w:r>
              <w:rPr>
                <w:color w:val="auto"/>
                <w:spacing w:val="8"/>
                <w:highlight w:val="none"/>
              </w:rPr>
              <w:t>备阶段监理</w:t>
            </w:r>
            <w:r>
              <w:rPr>
                <w:color w:val="auto"/>
                <w:spacing w:val="8"/>
                <w:highlight w:val="none"/>
                <w:u w:val="single" w:color="auto"/>
              </w:rPr>
              <w:t xml:space="preserve"> </w:t>
            </w:r>
            <w:r>
              <w:rPr>
                <w:rFonts w:hint="eastAsia"/>
                <w:color w:val="auto"/>
                <w:spacing w:val="8"/>
                <w:highlight w:val="none"/>
                <w:u w:val="single" w:color="auto"/>
                <w:lang w:val="en-US" w:eastAsia="zh-CN"/>
              </w:rPr>
              <w:t>0.5</w:t>
            </w:r>
            <w:r>
              <w:rPr>
                <w:color w:val="auto"/>
                <w:spacing w:val="8"/>
                <w:highlight w:val="none"/>
                <w:u w:val="single" w:color="auto"/>
              </w:rPr>
              <w:t xml:space="preserve"> </w:t>
            </w:r>
            <w:r>
              <w:rPr>
                <w:color w:val="auto"/>
                <w:spacing w:val="-91"/>
                <w:highlight w:val="none"/>
              </w:rPr>
              <w:t xml:space="preserve"> </w:t>
            </w:r>
            <w:r>
              <w:rPr>
                <w:color w:val="auto"/>
                <w:spacing w:val="8"/>
                <w:highlight w:val="none"/>
              </w:rPr>
              <w:t>个月，施工阶段监理</w:t>
            </w:r>
            <w:r>
              <w:rPr>
                <w:rFonts w:hint="eastAsia"/>
                <w:color w:val="auto"/>
                <w:highlight w:val="none"/>
                <w:u w:val="single" w:color="auto"/>
                <w:lang w:val="en-US" w:eastAsia="zh-CN"/>
              </w:rPr>
              <w:t>23.5</w:t>
            </w:r>
            <w:r>
              <w:rPr>
                <w:color w:val="auto"/>
                <w:highlight w:val="none"/>
              </w:rPr>
              <w:t xml:space="preserve"> </w:t>
            </w:r>
            <w:r>
              <w:rPr>
                <w:color w:val="auto"/>
                <w:spacing w:val="9"/>
                <w:highlight w:val="none"/>
              </w:rPr>
              <w:t>个月，交(竣)工验收及缺陷责任期监理</w:t>
            </w:r>
            <w:r>
              <w:rPr>
                <w:color w:val="auto"/>
                <w:spacing w:val="6"/>
                <w:highlight w:val="none"/>
                <w:u w:val="single" w:color="auto"/>
              </w:rPr>
              <w:t xml:space="preserve"> </w:t>
            </w:r>
            <w:r>
              <w:rPr>
                <w:rFonts w:hint="eastAsia"/>
                <w:color w:val="auto"/>
                <w:spacing w:val="6"/>
                <w:highlight w:val="none"/>
                <w:u w:val="single" w:color="auto"/>
                <w:lang w:val="en-US" w:eastAsia="zh-CN"/>
              </w:rPr>
              <w:t>24</w:t>
            </w:r>
            <w:r>
              <w:rPr>
                <w:color w:val="auto"/>
                <w:spacing w:val="6"/>
                <w:highlight w:val="none"/>
                <w:u w:val="single" w:color="auto"/>
              </w:rPr>
              <w:t xml:space="preserve"> </w:t>
            </w:r>
            <w:r>
              <w:rPr>
                <w:color w:val="auto"/>
                <w:spacing w:val="-91"/>
                <w:highlight w:val="none"/>
              </w:rPr>
              <w:t xml:space="preserve"> </w:t>
            </w:r>
            <w:r>
              <w:rPr>
                <w:color w:val="auto"/>
                <w:spacing w:val="9"/>
                <w:highlight w:val="none"/>
              </w:rPr>
              <w:t>个月，如施工工期进行调整，监理服务</w:t>
            </w:r>
            <w:r>
              <w:rPr>
                <w:color w:val="auto"/>
                <w:spacing w:val="7"/>
                <w:highlight w:val="none"/>
              </w:rPr>
              <w:t>期也相应进行调整。</w:t>
            </w:r>
          </w:p>
        </w:tc>
      </w:tr>
      <w:tr w14:paraId="1A852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top"/>
          </w:tcPr>
          <w:p w14:paraId="587BBA30">
            <w:pPr>
              <w:pStyle w:val="23"/>
              <w:spacing w:before="115" w:line="226" w:lineRule="auto"/>
              <w:ind w:left="326"/>
              <w:rPr>
                <w:color w:val="auto"/>
                <w:highlight w:val="none"/>
              </w:rPr>
            </w:pPr>
            <w:r>
              <w:rPr>
                <w:b/>
                <w:bCs/>
                <w:color w:val="auto"/>
                <w:spacing w:val="6"/>
                <w:highlight w:val="none"/>
              </w:rPr>
              <w:t>最高投标限价</w:t>
            </w:r>
          </w:p>
        </w:tc>
        <w:tc>
          <w:tcPr>
            <w:tcW w:w="7793" w:type="dxa"/>
            <w:gridSpan w:val="3"/>
            <w:vAlign w:val="center"/>
          </w:tcPr>
          <w:p w14:paraId="10E88391">
            <w:pPr>
              <w:pStyle w:val="23"/>
              <w:keepNext w:val="0"/>
              <w:keepLines w:val="0"/>
              <w:pageBreakBefore w:val="0"/>
              <w:widowControl/>
              <w:tabs>
                <w:tab w:val="left" w:pos="7562"/>
              </w:tabs>
              <w:kinsoku w:val="0"/>
              <w:wordWrap/>
              <w:overflowPunct/>
              <w:topLinePunct w:val="0"/>
              <w:autoSpaceDE w:val="0"/>
              <w:autoSpaceDN w:val="0"/>
              <w:bidi w:val="0"/>
              <w:adjustRightInd w:val="0"/>
              <w:snapToGrid w:val="0"/>
              <w:spacing w:line="365" w:lineRule="auto"/>
              <w:ind w:left="117" w:right="224"/>
              <w:jc w:val="both"/>
              <w:textAlignment w:val="baseline"/>
              <w:rPr>
                <w:color w:val="auto"/>
                <w:highlight w:val="none"/>
              </w:rPr>
            </w:pPr>
            <w:r>
              <w:rPr>
                <w:rFonts w:hint="eastAsia"/>
                <w:color w:val="auto"/>
                <w:spacing w:val="7"/>
                <w:highlight w:val="none"/>
              </w:rPr>
              <w:t>人民币</w:t>
            </w:r>
            <w:r>
              <w:rPr>
                <w:rFonts w:hint="eastAsia"/>
                <w:color w:val="auto"/>
                <w:spacing w:val="7"/>
                <w:highlight w:val="none"/>
                <w:lang w:val="en-US" w:eastAsia="zh-CN"/>
              </w:rPr>
              <w:t>壹佰肆拾肆万伍仟柒佰陆拾元整</w:t>
            </w:r>
            <w:r>
              <w:rPr>
                <w:rFonts w:hint="eastAsia"/>
                <w:color w:val="auto"/>
                <w:spacing w:val="7"/>
                <w:highlight w:val="none"/>
              </w:rPr>
              <w:t>（¥1445760</w:t>
            </w:r>
            <w:r>
              <w:rPr>
                <w:rFonts w:hint="eastAsia"/>
                <w:color w:val="auto"/>
                <w:spacing w:val="7"/>
                <w:highlight w:val="none"/>
                <w:lang w:val="en-US" w:eastAsia="zh-CN"/>
              </w:rPr>
              <w:t>.00</w:t>
            </w:r>
            <w:r>
              <w:rPr>
                <w:rFonts w:hint="eastAsia"/>
                <w:color w:val="auto"/>
                <w:spacing w:val="7"/>
                <w:highlight w:val="none"/>
              </w:rPr>
              <w:t>元）。</w:t>
            </w:r>
          </w:p>
        </w:tc>
      </w:tr>
      <w:tr w14:paraId="515E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903" w:type="dxa"/>
            <w:vAlign w:val="top"/>
          </w:tcPr>
          <w:p w14:paraId="553FE888">
            <w:pPr>
              <w:pStyle w:val="23"/>
              <w:spacing w:before="65" w:line="378" w:lineRule="auto"/>
              <w:ind w:left="748" w:right="213" w:hanging="527"/>
              <w:rPr>
                <w:color w:val="auto"/>
                <w:highlight w:val="none"/>
              </w:rPr>
            </w:pPr>
            <w:r>
              <w:rPr>
                <w:b/>
                <w:bCs/>
                <w:color w:val="auto"/>
                <w:spacing w:val="6"/>
                <w:highlight w:val="none"/>
              </w:rPr>
              <w:t>是否接受联合体</w:t>
            </w:r>
            <w:bookmarkStart w:id="14" w:name="bookmark23"/>
            <w:bookmarkEnd w:id="14"/>
            <w:r>
              <w:rPr>
                <w:b/>
                <w:bCs/>
                <w:color w:val="auto"/>
                <w:spacing w:val="2"/>
                <w:highlight w:val="none"/>
              </w:rPr>
              <w:t>投标</w:t>
            </w:r>
          </w:p>
        </w:tc>
        <w:tc>
          <w:tcPr>
            <w:tcW w:w="7793" w:type="dxa"/>
            <w:gridSpan w:val="3"/>
            <w:vAlign w:val="center"/>
          </w:tcPr>
          <w:p w14:paraId="2944D44D">
            <w:pPr>
              <w:pStyle w:val="23"/>
              <w:keepNext w:val="0"/>
              <w:keepLines w:val="0"/>
              <w:pageBreakBefore w:val="0"/>
              <w:widowControl/>
              <w:kinsoku w:val="0"/>
              <w:wordWrap/>
              <w:overflowPunct/>
              <w:topLinePunct w:val="0"/>
              <w:autoSpaceDE w:val="0"/>
              <w:autoSpaceDN w:val="0"/>
              <w:bidi w:val="0"/>
              <w:adjustRightInd w:val="0"/>
              <w:snapToGrid w:val="0"/>
              <w:spacing w:line="303" w:lineRule="auto"/>
              <w:ind w:left="113" w:right="120" w:firstLine="461"/>
              <w:jc w:val="both"/>
              <w:textAlignment w:val="baseline"/>
              <w:rPr>
                <w:color w:val="auto"/>
                <w:highlight w:val="none"/>
              </w:rPr>
            </w:pPr>
            <w:r>
              <w:rPr>
                <w:color w:val="auto"/>
                <w:spacing w:val="8"/>
                <w:highlight w:val="none"/>
              </w:rPr>
              <w:t>本工程</w:t>
            </w:r>
            <w:r>
              <w:rPr>
                <w:color w:val="auto"/>
                <w:spacing w:val="8"/>
                <w:highlight w:val="none"/>
                <w:u w:val="single" w:color="auto"/>
              </w:rPr>
              <w:t xml:space="preserve"> </w:t>
            </w:r>
            <w:r>
              <w:rPr>
                <w:b/>
                <w:bCs/>
                <w:color w:val="auto"/>
                <w:spacing w:val="8"/>
                <w:highlight w:val="none"/>
                <w:u w:val="single" w:color="auto"/>
              </w:rPr>
              <w:t>不接受</w:t>
            </w:r>
            <w:r>
              <w:rPr>
                <w:color w:val="auto"/>
                <w:spacing w:val="8"/>
                <w:position w:val="10"/>
                <w:sz w:val="10"/>
                <w:szCs w:val="10"/>
                <w:highlight w:val="none"/>
                <w:u w:val="single" w:color="auto"/>
              </w:rPr>
              <w:t xml:space="preserve">  </w:t>
            </w:r>
            <w:r>
              <w:rPr>
                <w:color w:val="auto"/>
                <w:spacing w:val="8"/>
                <w:highlight w:val="none"/>
              </w:rPr>
              <w:t>联合体投标。</w:t>
            </w:r>
          </w:p>
        </w:tc>
      </w:tr>
    </w:tbl>
    <w:p w14:paraId="5B651387">
      <w:pPr>
        <w:spacing w:line="330" w:lineRule="auto"/>
        <w:rPr>
          <w:rFonts w:ascii="Arial"/>
          <w:color w:val="auto"/>
          <w:sz w:val="21"/>
          <w:highlight w:val="none"/>
        </w:rPr>
      </w:pPr>
    </w:p>
    <w:tbl>
      <w:tblPr>
        <w:tblStyle w:val="22"/>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1979"/>
        <w:gridCol w:w="1663"/>
        <w:gridCol w:w="1320"/>
        <w:gridCol w:w="2831"/>
      </w:tblGrid>
      <w:tr w14:paraId="4C7D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903" w:type="dxa"/>
            <w:vMerge w:val="restart"/>
            <w:tcBorders>
              <w:bottom w:val="nil"/>
            </w:tcBorders>
            <w:vAlign w:val="top"/>
          </w:tcPr>
          <w:p w14:paraId="245982F7">
            <w:pPr>
              <w:spacing w:line="339" w:lineRule="auto"/>
              <w:rPr>
                <w:rFonts w:ascii="Arial"/>
                <w:color w:val="auto"/>
                <w:sz w:val="21"/>
                <w:highlight w:val="none"/>
              </w:rPr>
            </w:pPr>
          </w:p>
          <w:p w14:paraId="48F80336">
            <w:pPr>
              <w:spacing w:line="339" w:lineRule="auto"/>
              <w:rPr>
                <w:rFonts w:ascii="Arial"/>
                <w:color w:val="auto"/>
                <w:sz w:val="21"/>
                <w:highlight w:val="none"/>
              </w:rPr>
            </w:pPr>
          </w:p>
          <w:p w14:paraId="11B9ECF3">
            <w:pPr>
              <w:pStyle w:val="23"/>
              <w:spacing w:before="65" w:line="228" w:lineRule="auto"/>
              <w:ind w:left="221"/>
              <w:rPr>
                <w:color w:val="auto"/>
                <w:highlight w:val="none"/>
              </w:rPr>
            </w:pPr>
            <w:r>
              <w:rPr>
                <w:b/>
                <w:bCs/>
                <w:color w:val="auto"/>
                <w:spacing w:val="6"/>
                <w:highlight w:val="none"/>
              </w:rPr>
              <w:t>投标资格能力要</w:t>
            </w:r>
          </w:p>
          <w:p w14:paraId="5AD06488">
            <w:pPr>
              <w:pStyle w:val="23"/>
              <w:spacing w:before="161" w:line="228" w:lineRule="auto"/>
              <w:ind w:left="220"/>
              <w:rPr>
                <w:color w:val="auto"/>
                <w:highlight w:val="none"/>
              </w:rPr>
            </w:pPr>
            <w:r>
              <w:rPr>
                <w:b/>
                <w:bCs/>
                <w:color w:val="auto"/>
                <w:spacing w:val="7"/>
                <w:highlight w:val="none"/>
              </w:rPr>
              <w:t>求（包括但不限</w:t>
            </w:r>
          </w:p>
          <w:p w14:paraId="1D2EE3C4">
            <w:pPr>
              <w:pStyle w:val="23"/>
              <w:spacing w:before="161" w:line="228" w:lineRule="auto"/>
              <w:ind w:left="221"/>
              <w:rPr>
                <w:color w:val="auto"/>
                <w:highlight w:val="none"/>
              </w:rPr>
            </w:pPr>
            <w:r>
              <w:rPr>
                <w:b/>
                <w:bCs/>
                <w:color w:val="auto"/>
                <w:spacing w:val="6"/>
                <w:highlight w:val="none"/>
              </w:rPr>
              <w:t>于资质人员、业</w:t>
            </w:r>
          </w:p>
          <w:p w14:paraId="270478D9">
            <w:pPr>
              <w:pStyle w:val="23"/>
              <w:spacing w:before="160" w:line="228" w:lineRule="auto"/>
              <w:ind w:left="433"/>
              <w:rPr>
                <w:color w:val="auto"/>
                <w:highlight w:val="none"/>
              </w:rPr>
            </w:pPr>
            <w:r>
              <w:rPr>
                <w:b/>
                <w:bCs/>
                <w:color w:val="auto"/>
                <w:spacing w:val="4"/>
                <w:highlight w:val="none"/>
              </w:rPr>
              <w:t>绩等要求）</w:t>
            </w:r>
          </w:p>
        </w:tc>
        <w:tc>
          <w:tcPr>
            <w:tcW w:w="1979" w:type="dxa"/>
            <w:vAlign w:val="top"/>
          </w:tcPr>
          <w:p w14:paraId="4006138B">
            <w:pPr>
              <w:spacing w:line="250" w:lineRule="auto"/>
              <w:rPr>
                <w:rFonts w:ascii="Arial"/>
                <w:color w:val="auto"/>
                <w:sz w:val="21"/>
                <w:highlight w:val="none"/>
              </w:rPr>
            </w:pPr>
          </w:p>
          <w:p w14:paraId="14304E0D">
            <w:pPr>
              <w:spacing w:line="250" w:lineRule="auto"/>
              <w:rPr>
                <w:rFonts w:ascii="Arial"/>
                <w:color w:val="auto"/>
                <w:sz w:val="21"/>
                <w:highlight w:val="none"/>
              </w:rPr>
            </w:pPr>
          </w:p>
          <w:p w14:paraId="27BE5F4D">
            <w:pPr>
              <w:spacing w:line="250" w:lineRule="auto"/>
              <w:rPr>
                <w:rFonts w:ascii="Arial"/>
                <w:color w:val="auto"/>
                <w:sz w:val="21"/>
                <w:highlight w:val="none"/>
              </w:rPr>
            </w:pPr>
          </w:p>
          <w:p w14:paraId="0A7D4CD3">
            <w:pPr>
              <w:spacing w:line="250" w:lineRule="auto"/>
              <w:rPr>
                <w:rFonts w:ascii="Arial"/>
                <w:color w:val="auto"/>
                <w:sz w:val="21"/>
                <w:highlight w:val="none"/>
              </w:rPr>
            </w:pPr>
          </w:p>
          <w:p w14:paraId="5A6F6E48">
            <w:pPr>
              <w:pStyle w:val="23"/>
              <w:spacing w:before="65" w:line="228" w:lineRule="auto"/>
              <w:ind w:left="262"/>
              <w:rPr>
                <w:color w:val="auto"/>
                <w:highlight w:val="none"/>
              </w:rPr>
            </w:pPr>
            <w:r>
              <w:rPr>
                <w:color w:val="auto"/>
                <w:spacing w:val="8"/>
                <w:highlight w:val="none"/>
              </w:rPr>
              <w:t>投标人资格要求</w:t>
            </w:r>
          </w:p>
        </w:tc>
        <w:tc>
          <w:tcPr>
            <w:tcW w:w="5814" w:type="dxa"/>
            <w:gridSpan w:val="3"/>
            <w:vAlign w:val="top"/>
          </w:tcPr>
          <w:p w14:paraId="546E558D">
            <w:pPr>
              <w:pStyle w:val="23"/>
              <w:spacing w:before="28" w:line="378" w:lineRule="auto"/>
              <w:ind w:left="117" w:right="199" w:firstLine="4"/>
              <w:jc w:val="both"/>
              <w:rPr>
                <w:color w:val="auto"/>
                <w:highlight w:val="none"/>
              </w:rPr>
            </w:pPr>
            <w:r>
              <w:rPr>
                <w:color w:val="auto"/>
                <w:spacing w:val="24"/>
                <w:highlight w:val="none"/>
              </w:rPr>
              <w:t>投标人应具有以下资</w:t>
            </w:r>
            <w:r>
              <w:rPr>
                <w:rFonts w:ascii="宋体" w:hAnsi="宋体" w:eastAsia="宋体" w:cs="宋体"/>
                <w:color w:val="auto"/>
                <w:spacing w:val="24"/>
                <w:highlight w:val="none"/>
              </w:rPr>
              <w:t>质： 详见招</w:t>
            </w:r>
            <w:r>
              <w:rPr>
                <w:color w:val="auto"/>
                <w:spacing w:val="24"/>
                <w:highlight w:val="none"/>
              </w:rPr>
              <w:t>标公告附件</w:t>
            </w:r>
            <w:r>
              <w:rPr>
                <w:color w:val="auto"/>
                <w:spacing w:val="-54"/>
                <w:highlight w:val="none"/>
              </w:rPr>
              <w:t xml:space="preserve"> </w:t>
            </w:r>
            <w:r>
              <w:rPr>
                <w:color w:val="auto"/>
                <w:spacing w:val="24"/>
                <w:highlight w:val="none"/>
              </w:rPr>
              <w:t>，</w:t>
            </w:r>
            <w:r>
              <w:rPr>
                <w:color w:val="auto"/>
                <w:spacing w:val="24"/>
                <w:highlight w:val="none"/>
                <w:u w:val="single" w:color="auto"/>
              </w:rPr>
              <w:t>投标人应</w:t>
            </w:r>
            <w:r>
              <w:rPr>
                <w:color w:val="auto"/>
                <w:spacing w:val="23"/>
                <w:highlight w:val="none"/>
                <w:u w:val="single" w:color="auto"/>
              </w:rPr>
              <w:t>进入交通运输部</w:t>
            </w:r>
            <w:r>
              <w:rPr>
                <w:color w:val="auto"/>
                <w:spacing w:val="-71"/>
                <w:highlight w:val="none"/>
                <w:u w:val="single" w:color="auto"/>
              </w:rPr>
              <w:t xml:space="preserve"> </w:t>
            </w:r>
            <w:r>
              <w:rPr>
                <w:color w:val="auto"/>
                <w:spacing w:val="23"/>
                <w:highlight w:val="none"/>
                <w:u w:val="single" w:color="auto"/>
              </w:rPr>
              <w:t>“</w:t>
            </w:r>
            <w:r>
              <w:rPr>
                <w:color w:val="auto"/>
                <w:spacing w:val="-70"/>
                <w:highlight w:val="none"/>
                <w:u w:val="single" w:color="auto"/>
              </w:rPr>
              <w:t xml:space="preserve"> </w:t>
            </w:r>
            <w:r>
              <w:rPr>
                <w:color w:val="auto"/>
                <w:spacing w:val="23"/>
                <w:highlight w:val="none"/>
                <w:u w:val="single" w:color="auto"/>
              </w:rPr>
              <w:t>全国公路建设市场监督管理系统</w:t>
            </w:r>
            <w:r>
              <w:rPr>
                <w:color w:val="auto"/>
                <w:spacing w:val="-51"/>
                <w:highlight w:val="none"/>
                <w:u w:val="single" w:color="auto"/>
              </w:rPr>
              <w:t xml:space="preserve"> </w:t>
            </w:r>
            <w:r>
              <w:rPr>
                <w:color w:val="auto"/>
                <w:spacing w:val="23"/>
                <w:highlight w:val="none"/>
                <w:u w:val="single" w:color="auto"/>
              </w:rPr>
              <w:t>”</w:t>
            </w:r>
            <w:r>
              <w:rPr>
                <w:color w:val="auto"/>
                <w:spacing w:val="-69"/>
                <w:highlight w:val="none"/>
                <w:u w:val="single" w:color="auto"/>
              </w:rPr>
              <w:t xml:space="preserve"> </w:t>
            </w:r>
            <w:r>
              <w:rPr>
                <w:color w:val="auto"/>
                <w:spacing w:val="23"/>
                <w:highlight w:val="none"/>
                <w:u w:val="single" w:color="auto"/>
              </w:rPr>
              <w:t>中</w:t>
            </w:r>
            <w:r>
              <w:rPr>
                <w:color w:val="auto"/>
                <w:spacing w:val="27"/>
                <w:highlight w:val="none"/>
                <w:u w:val="single" w:color="auto"/>
              </w:rPr>
              <w:t>的公路工程施工监理资质企业名录</w:t>
            </w:r>
            <w:r>
              <w:rPr>
                <w:color w:val="auto"/>
                <w:spacing w:val="-53"/>
                <w:highlight w:val="none"/>
                <w:u w:val="single" w:color="auto"/>
              </w:rPr>
              <w:t xml:space="preserve"> </w:t>
            </w:r>
            <w:r>
              <w:rPr>
                <w:color w:val="auto"/>
                <w:spacing w:val="27"/>
                <w:highlight w:val="none"/>
                <w:u w:val="single" w:color="auto"/>
              </w:rPr>
              <w:t>，且投标人</w:t>
            </w:r>
            <w:r>
              <w:rPr>
                <w:color w:val="auto"/>
                <w:spacing w:val="26"/>
                <w:highlight w:val="none"/>
                <w:u w:val="single" w:color="auto"/>
              </w:rPr>
              <w:t>名称和资</w:t>
            </w:r>
            <w:r>
              <w:rPr>
                <w:color w:val="auto"/>
                <w:spacing w:val="27"/>
                <w:highlight w:val="none"/>
                <w:u w:val="single" w:color="auto"/>
              </w:rPr>
              <w:t>质与该名录中的相应企业名称和资质完全一致</w:t>
            </w:r>
            <w:r>
              <w:rPr>
                <w:color w:val="auto"/>
                <w:spacing w:val="27"/>
                <w:highlight w:val="none"/>
              </w:rPr>
              <w:t>。</w:t>
            </w:r>
          </w:p>
          <w:p w14:paraId="666EA58B">
            <w:pPr>
              <w:pStyle w:val="23"/>
              <w:spacing w:line="343" w:lineRule="auto"/>
              <w:ind w:left="125" w:right="264" w:hanging="1"/>
              <w:jc w:val="both"/>
              <w:rPr>
                <w:color w:val="auto"/>
                <w:highlight w:val="none"/>
              </w:rPr>
            </w:pPr>
            <w:r>
              <w:rPr>
                <w:color w:val="auto"/>
                <w:spacing w:val="24"/>
                <w:highlight w:val="none"/>
              </w:rPr>
              <w:t>总监理工程师/驻地监理工程师的资格要求： 详见招标公告附件。</w:t>
            </w:r>
          </w:p>
        </w:tc>
      </w:tr>
      <w:tr w14:paraId="4643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Merge w:val="continue"/>
            <w:tcBorders>
              <w:top w:val="nil"/>
            </w:tcBorders>
            <w:vAlign w:val="top"/>
          </w:tcPr>
          <w:p w14:paraId="1437CB3F">
            <w:pPr>
              <w:rPr>
                <w:rFonts w:ascii="Arial"/>
                <w:color w:val="auto"/>
                <w:sz w:val="21"/>
                <w:highlight w:val="none"/>
              </w:rPr>
            </w:pPr>
          </w:p>
        </w:tc>
        <w:tc>
          <w:tcPr>
            <w:tcW w:w="1979" w:type="dxa"/>
            <w:vAlign w:val="top"/>
          </w:tcPr>
          <w:p w14:paraId="3D584EC1">
            <w:pPr>
              <w:pStyle w:val="23"/>
              <w:spacing w:before="111" w:line="228" w:lineRule="auto"/>
              <w:ind w:left="262"/>
              <w:rPr>
                <w:color w:val="auto"/>
                <w:highlight w:val="none"/>
              </w:rPr>
            </w:pPr>
            <w:r>
              <w:rPr>
                <w:color w:val="auto"/>
                <w:spacing w:val="8"/>
                <w:highlight w:val="none"/>
              </w:rPr>
              <w:t>投标人业绩要求</w:t>
            </w:r>
          </w:p>
        </w:tc>
        <w:tc>
          <w:tcPr>
            <w:tcW w:w="5814" w:type="dxa"/>
            <w:gridSpan w:val="3"/>
            <w:vAlign w:val="top"/>
          </w:tcPr>
          <w:p w14:paraId="6F2A7BCA">
            <w:pPr>
              <w:pStyle w:val="23"/>
              <w:spacing w:before="111" w:line="226" w:lineRule="auto"/>
              <w:ind w:left="121"/>
              <w:rPr>
                <w:color w:val="auto"/>
                <w:highlight w:val="none"/>
              </w:rPr>
            </w:pPr>
            <w:r>
              <w:rPr>
                <w:color w:val="auto"/>
                <w:spacing w:val="18"/>
                <w:highlight w:val="none"/>
                <w:u w:val="none" w:color="auto"/>
              </w:rPr>
              <w:t>详见招标公告附件</w:t>
            </w:r>
            <w:r>
              <w:rPr>
                <w:color w:val="auto"/>
                <w:spacing w:val="-51"/>
                <w:highlight w:val="none"/>
                <w:u w:val="none" w:color="auto"/>
              </w:rPr>
              <w:t xml:space="preserve"> </w:t>
            </w:r>
            <w:r>
              <w:rPr>
                <w:color w:val="auto"/>
                <w:spacing w:val="18"/>
                <w:highlight w:val="none"/>
                <w:u w:val="none" w:color="auto"/>
              </w:rPr>
              <w:t xml:space="preserve">。 </w:t>
            </w:r>
          </w:p>
        </w:tc>
      </w:tr>
      <w:tr w14:paraId="0B42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903" w:type="dxa"/>
            <w:vMerge w:val="restart"/>
            <w:tcBorders>
              <w:bottom w:val="nil"/>
            </w:tcBorders>
            <w:vAlign w:val="center"/>
          </w:tcPr>
          <w:p w14:paraId="0E7D1B40">
            <w:pPr>
              <w:pStyle w:val="23"/>
              <w:spacing w:before="65" w:line="240" w:lineRule="auto"/>
              <w:ind w:left="324" w:right="319" w:firstLine="2"/>
              <w:jc w:val="both"/>
              <w:rPr>
                <w:color w:val="auto"/>
                <w:highlight w:val="none"/>
              </w:rPr>
            </w:pPr>
            <w:r>
              <w:rPr>
                <w:b/>
                <w:bCs/>
                <w:color w:val="auto"/>
                <w:spacing w:val="6"/>
                <w:highlight w:val="none"/>
              </w:rPr>
              <w:t>是否采用电子招标投标方式</w:t>
            </w:r>
          </w:p>
        </w:tc>
        <w:tc>
          <w:tcPr>
            <w:tcW w:w="1979" w:type="dxa"/>
            <w:vMerge w:val="restart"/>
            <w:tcBorders>
              <w:bottom w:val="nil"/>
            </w:tcBorders>
            <w:vAlign w:val="center"/>
          </w:tcPr>
          <w:p w14:paraId="1B724111">
            <w:pPr>
              <w:pStyle w:val="23"/>
              <w:spacing w:before="65" w:line="240" w:lineRule="auto"/>
              <w:ind w:left="891"/>
              <w:jc w:val="both"/>
              <w:rPr>
                <w:color w:val="auto"/>
                <w:highlight w:val="none"/>
              </w:rPr>
            </w:pPr>
            <w:r>
              <w:rPr>
                <w:color w:val="auto"/>
                <w:highlight w:val="none"/>
              </w:rPr>
              <w:t>是</w:t>
            </w:r>
          </w:p>
        </w:tc>
        <w:tc>
          <w:tcPr>
            <w:tcW w:w="1663" w:type="dxa"/>
            <w:vMerge w:val="restart"/>
            <w:tcBorders>
              <w:bottom w:val="nil"/>
            </w:tcBorders>
            <w:vAlign w:val="center"/>
          </w:tcPr>
          <w:p w14:paraId="12B420A3">
            <w:pPr>
              <w:spacing w:line="240" w:lineRule="auto"/>
              <w:jc w:val="both"/>
              <w:rPr>
                <w:rFonts w:ascii="Arial"/>
                <w:color w:val="auto"/>
                <w:sz w:val="21"/>
                <w:highlight w:val="none"/>
              </w:rPr>
            </w:pPr>
          </w:p>
          <w:p w14:paraId="0CBE7F6E">
            <w:pPr>
              <w:pStyle w:val="23"/>
              <w:spacing w:before="65" w:line="240" w:lineRule="auto"/>
              <w:ind w:left="734" w:right="200" w:hanging="531"/>
              <w:jc w:val="both"/>
              <w:rPr>
                <w:color w:val="auto"/>
                <w:highlight w:val="none"/>
              </w:rPr>
            </w:pPr>
            <w:r>
              <w:rPr>
                <w:b/>
                <w:bCs/>
                <w:color w:val="auto"/>
                <w:spacing w:val="6"/>
                <w:highlight w:val="none"/>
              </w:rPr>
              <w:t>招标文件的方</w:t>
            </w:r>
            <w:r>
              <w:rPr>
                <w:b/>
                <w:bCs/>
                <w:color w:val="auto"/>
                <w:spacing w:val="-3"/>
                <w:highlight w:val="none"/>
              </w:rPr>
              <w:t>式</w:t>
            </w:r>
          </w:p>
        </w:tc>
        <w:tc>
          <w:tcPr>
            <w:tcW w:w="1320" w:type="dxa"/>
            <w:vAlign w:val="center"/>
          </w:tcPr>
          <w:p w14:paraId="1E0D9F01">
            <w:pPr>
              <w:pStyle w:val="23"/>
              <w:spacing w:before="33" w:line="240" w:lineRule="auto"/>
              <w:ind w:left="125"/>
              <w:jc w:val="both"/>
              <w:rPr>
                <w:color w:val="auto"/>
                <w:highlight w:val="none"/>
              </w:rPr>
            </w:pPr>
            <w:r>
              <w:rPr>
                <w:color w:val="auto"/>
                <w:spacing w:val="15"/>
                <w:highlight w:val="none"/>
              </w:rPr>
              <w:t>下载招标文</w:t>
            </w:r>
          </w:p>
          <w:p w14:paraId="2E18A964">
            <w:pPr>
              <w:pStyle w:val="23"/>
              <w:spacing w:before="160" w:line="240" w:lineRule="auto"/>
              <w:ind w:left="119" w:right="109" w:hanging="1"/>
              <w:jc w:val="both"/>
              <w:rPr>
                <w:color w:val="auto"/>
                <w:highlight w:val="none"/>
              </w:rPr>
            </w:pPr>
            <w:r>
              <w:rPr>
                <w:color w:val="auto"/>
                <w:spacing w:val="17"/>
                <w:highlight w:val="none"/>
              </w:rPr>
              <w:t>件的网络地</w:t>
            </w:r>
            <w:r>
              <w:rPr>
                <w:color w:val="auto"/>
                <w:highlight w:val="none"/>
              </w:rPr>
              <w:t>址</w:t>
            </w:r>
          </w:p>
        </w:tc>
        <w:tc>
          <w:tcPr>
            <w:tcW w:w="2831" w:type="dxa"/>
            <w:vAlign w:val="center"/>
          </w:tcPr>
          <w:p w14:paraId="4862DBB1">
            <w:pPr>
              <w:pStyle w:val="23"/>
              <w:tabs>
                <w:tab w:val="left" w:pos="530"/>
              </w:tabs>
              <w:spacing w:before="161" w:line="240" w:lineRule="auto"/>
              <w:ind w:left="119" w:right="113" w:hanging="9"/>
              <w:jc w:val="both"/>
              <w:rPr>
                <w:color w:val="auto"/>
                <w:highlight w:val="none"/>
              </w:rPr>
            </w:pPr>
            <w:r>
              <w:rPr>
                <w:rFonts w:hint="eastAsia"/>
                <w:color w:val="auto"/>
                <w:highlight w:val="none"/>
              </w:rPr>
              <w:t>广东省招标投标监管网https://zbtb.gd.gov.cn/；</w:t>
            </w:r>
          </w:p>
          <w:p w14:paraId="60B94328">
            <w:pPr>
              <w:pStyle w:val="23"/>
              <w:tabs>
                <w:tab w:val="left" w:pos="530"/>
              </w:tabs>
              <w:spacing w:before="161" w:line="240" w:lineRule="auto"/>
              <w:ind w:left="119" w:right="113" w:hanging="9"/>
              <w:jc w:val="both"/>
              <w:rPr>
                <w:color w:val="auto"/>
                <w:highlight w:val="none"/>
              </w:rPr>
            </w:pPr>
            <w:r>
              <w:rPr>
                <w:rFonts w:hint="eastAsia"/>
                <w:color w:val="auto"/>
                <w:highlight w:val="none"/>
              </w:rPr>
              <w:t>全国公共资源交易平台（广东省·韶关市）https://ygp.gdzwfw.gov.cn/ggzy-portal/#/440200/index。</w:t>
            </w:r>
          </w:p>
        </w:tc>
      </w:tr>
      <w:tr w14:paraId="68E4C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903" w:type="dxa"/>
            <w:vMerge w:val="continue"/>
            <w:tcBorders>
              <w:top w:val="nil"/>
            </w:tcBorders>
            <w:vAlign w:val="center"/>
          </w:tcPr>
          <w:p w14:paraId="29C37A26">
            <w:pPr>
              <w:spacing w:line="240" w:lineRule="auto"/>
              <w:jc w:val="both"/>
              <w:rPr>
                <w:rFonts w:ascii="Arial"/>
                <w:color w:val="auto"/>
                <w:sz w:val="21"/>
                <w:highlight w:val="none"/>
              </w:rPr>
            </w:pPr>
          </w:p>
        </w:tc>
        <w:tc>
          <w:tcPr>
            <w:tcW w:w="1979" w:type="dxa"/>
            <w:vMerge w:val="continue"/>
            <w:tcBorders>
              <w:top w:val="nil"/>
            </w:tcBorders>
            <w:vAlign w:val="center"/>
          </w:tcPr>
          <w:p w14:paraId="1FD71C34">
            <w:pPr>
              <w:spacing w:line="240" w:lineRule="auto"/>
              <w:jc w:val="both"/>
              <w:rPr>
                <w:rFonts w:ascii="Arial"/>
                <w:color w:val="auto"/>
                <w:sz w:val="21"/>
                <w:highlight w:val="none"/>
              </w:rPr>
            </w:pPr>
          </w:p>
        </w:tc>
        <w:tc>
          <w:tcPr>
            <w:tcW w:w="1663" w:type="dxa"/>
            <w:vMerge w:val="continue"/>
            <w:tcBorders>
              <w:top w:val="nil"/>
            </w:tcBorders>
            <w:vAlign w:val="center"/>
          </w:tcPr>
          <w:p w14:paraId="27909A0E">
            <w:pPr>
              <w:spacing w:line="240" w:lineRule="auto"/>
              <w:jc w:val="both"/>
              <w:rPr>
                <w:rFonts w:ascii="Arial"/>
                <w:color w:val="auto"/>
                <w:sz w:val="21"/>
                <w:highlight w:val="none"/>
              </w:rPr>
            </w:pPr>
          </w:p>
        </w:tc>
        <w:tc>
          <w:tcPr>
            <w:tcW w:w="1320" w:type="dxa"/>
            <w:vAlign w:val="center"/>
          </w:tcPr>
          <w:p w14:paraId="767492E6">
            <w:pPr>
              <w:pStyle w:val="23"/>
              <w:spacing w:before="65" w:line="240" w:lineRule="auto"/>
              <w:ind w:left="118" w:right="111" w:firstLine="4"/>
              <w:jc w:val="both"/>
              <w:rPr>
                <w:color w:val="auto"/>
                <w:highlight w:val="none"/>
              </w:rPr>
            </w:pPr>
            <w:r>
              <w:rPr>
                <w:color w:val="auto"/>
                <w:spacing w:val="16"/>
                <w:highlight w:val="none"/>
              </w:rPr>
              <w:t>获取招标文</w:t>
            </w:r>
            <w:r>
              <w:rPr>
                <w:color w:val="auto"/>
                <w:spacing w:val="7"/>
                <w:highlight w:val="none"/>
              </w:rPr>
              <w:t>件的方式</w:t>
            </w:r>
          </w:p>
        </w:tc>
        <w:tc>
          <w:tcPr>
            <w:tcW w:w="2831" w:type="dxa"/>
            <w:vAlign w:val="center"/>
          </w:tcPr>
          <w:p w14:paraId="589BAF19">
            <w:pPr>
              <w:pStyle w:val="23"/>
              <w:spacing w:before="31" w:line="240" w:lineRule="auto"/>
              <w:ind w:left="114" w:right="113" w:firstLine="9"/>
              <w:jc w:val="both"/>
              <w:rPr>
                <w:color w:val="auto"/>
                <w:highlight w:val="none"/>
              </w:rPr>
            </w:pPr>
            <w:r>
              <w:rPr>
                <w:color w:val="auto"/>
                <w:spacing w:val="15"/>
                <w:highlight w:val="none"/>
              </w:rPr>
              <w:t>凡有意参加投标者，请于获</w:t>
            </w:r>
            <w:r>
              <w:rPr>
                <w:color w:val="auto"/>
                <w:spacing w:val="16"/>
                <w:highlight w:val="none"/>
              </w:rPr>
              <w:t>取招标文件截止时间前，登</w:t>
            </w:r>
            <w:r>
              <w:rPr>
                <w:color w:val="auto"/>
                <w:spacing w:val="13"/>
                <w:highlight w:val="none"/>
              </w:rPr>
              <w:t>录</w:t>
            </w:r>
            <w:r>
              <w:rPr>
                <w:color w:val="auto"/>
                <w:spacing w:val="-94"/>
                <w:highlight w:val="none"/>
              </w:rPr>
              <w:t xml:space="preserve"> </w:t>
            </w:r>
            <w:r>
              <w:rPr>
                <w:rFonts w:hint="eastAsia"/>
                <w:color w:val="auto"/>
                <w:highlight w:val="none"/>
              </w:rPr>
              <w:t>全国公共资源交易平台（广东省·韶关市）</w:t>
            </w:r>
            <w:r>
              <w:rPr>
                <w:color w:val="auto"/>
                <w:spacing w:val="13"/>
                <w:highlight w:val="none"/>
              </w:rPr>
              <w:t>网</w:t>
            </w:r>
            <w:r>
              <w:rPr>
                <w:color w:val="auto"/>
                <w:spacing w:val="16"/>
                <w:highlight w:val="none"/>
              </w:rPr>
              <w:t>站，选择对应招标项目进行登记，并自行在网站中下载招标文件。</w:t>
            </w:r>
          </w:p>
        </w:tc>
      </w:tr>
      <w:tr w14:paraId="2ABCE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903" w:type="dxa"/>
            <w:vAlign w:val="center"/>
          </w:tcPr>
          <w:p w14:paraId="1F2BA71F">
            <w:pPr>
              <w:pStyle w:val="23"/>
              <w:spacing w:before="36" w:line="240" w:lineRule="auto"/>
              <w:ind w:left="640" w:right="213" w:hanging="419"/>
              <w:jc w:val="both"/>
              <w:rPr>
                <w:color w:val="auto"/>
                <w:highlight w:val="none"/>
              </w:rPr>
            </w:pPr>
            <w:r>
              <w:rPr>
                <w:b/>
                <w:bCs/>
                <w:color w:val="auto"/>
                <w:spacing w:val="6"/>
                <w:highlight w:val="none"/>
              </w:rPr>
              <w:t>获取招标文件开</w:t>
            </w:r>
            <w:r>
              <w:rPr>
                <w:b/>
                <w:bCs/>
                <w:color w:val="auto"/>
                <w:spacing w:val="5"/>
                <w:highlight w:val="none"/>
              </w:rPr>
              <w:t>始时间</w:t>
            </w:r>
          </w:p>
        </w:tc>
        <w:tc>
          <w:tcPr>
            <w:tcW w:w="1979" w:type="dxa"/>
            <w:vAlign w:val="center"/>
          </w:tcPr>
          <w:p w14:paraId="317121C8">
            <w:pPr>
              <w:pStyle w:val="23"/>
              <w:spacing w:before="35" w:line="240" w:lineRule="auto"/>
              <w:jc w:val="center"/>
              <w:rPr>
                <w:color w:val="auto"/>
                <w:spacing w:val="-2"/>
                <w:highlight w:val="none"/>
              </w:rPr>
            </w:pPr>
            <w:r>
              <w:rPr>
                <w:rFonts w:hint="eastAsia"/>
                <w:color w:val="auto"/>
                <w:spacing w:val="12"/>
                <w:highlight w:val="none"/>
              </w:rPr>
              <w:t>2026年</w:t>
            </w:r>
            <w:r>
              <w:rPr>
                <w:rFonts w:hint="eastAsia"/>
                <w:color w:val="auto"/>
                <w:spacing w:val="12"/>
                <w:highlight w:val="none"/>
                <w:lang w:val="en-US" w:eastAsia="zh-CN"/>
              </w:rPr>
              <w:t>6</w:t>
            </w:r>
            <w:r>
              <w:rPr>
                <w:color w:val="auto"/>
                <w:spacing w:val="-2"/>
                <w:highlight w:val="none"/>
              </w:rPr>
              <w:t>月</w:t>
            </w:r>
            <w:r>
              <w:rPr>
                <w:rFonts w:hint="eastAsia"/>
                <w:color w:val="auto"/>
                <w:spacing w:val="-2"/>
                <w:highlight w:val="none"/>
                <w:lang w:val="en-US" w:eastAsia="zh-CN"/>
              </w:rPr>
              <w:t>2</w:t>
            </w:r>
            <w:r>
              <w:rPr>
                <w:color w:val="auto"/>
                <w:spacing w:val="-2"/>
                <w:highlight w:val="none"/>
              </w:rPr>
              <w:t>日</w:t>
            </w:r>
          </w:p>
          <w:p w14:paraId="1C8092E6">
            <w:pPr>
              <w:pStyle w:val="23"/>
              <w:spacing w:before="35" w:line="240" w:lineRule="auto"/>
              <w:jc w:val="center"/>
              <w:rPr>
                <w:color w:val="auto"/>
                <w:highlight w:val="none"/>
              </w:rPr>
            </w:pPr>
            <w:r>
              <w:rPr>
                <w:rFonts w:hint="eastAsia"/>
                <w:color w:val="auto"/>
                <w:spacing w:val="-2"/>
                <w:highlight w:val="none"/>
                <w:lang w:val="en-US" w:eastAsia="zh-CN"/>
              </w:rPr>
              <w:t xml:space="preserve"> 18</w:t>
            </w:r>
            <w:r>
              <w:rPr>
                <w:color w:val="auto"/>
                <w:spacing w:val="-5"/>
                <w:highlight w:val="none"/>
              </w:rPr>
              <w:t>时</w:t>
            </w:r>
            <w:r>
              <w:rPr>
                <w:rFonts w:hint="eastAsia"/>
                <w:color w:val="auto"/>
                <w:spacing w:val="-5"/>
                <w:highlight w:val="none"/>
                <w:lang w:val="en-US" w:eastAsia="zh-CN"/>
              </w:rPr>
              <w:t>00</w:t>
            </w:r>
            <w:r>
              <w:rPr>
                <w:color w:val="auto"/>
                <w:spacing w:val="-5"/>
                <w:highlight w:val="none"/>
              </w:rPr>
              <w:t>分</w:t>
            </w:r>
          </w:p>
        </w:tc>
        <w:tc>
          <w:tcPr>
            <w:tcW w:w="1663" w:type="dxa"/>
            <w:vAlign w:val="center"/>
          </w:tcPr>
          <w:p w14:paraId="480BBCE2">
            <w:pPr>
              <w:pStyle w:val="23"/>
              <w:spacing w:before="36" w:line="240" w:lineRule="auto"/>
              <w:ind w:left="413" w:right="200" w:hanging="207"/>
              <w:jc w:val="both"/>
              <w:rPr>
                <w:color w:val="auto"/>
                <w:highlight w:val="none"/>
              </w:rPr>
            </w:pPr>
            <w:r>
              <w:rPr>
                <w:b/>
                <w:bCs/>
                <w:color w:val="auto"/>
                <w:spacing w:val="6"/>
                <w:highlight w:val="none"/>
              </w:rPr>
              <w:t>获取招标文件截止时间</w:t>
            </w:r>
          </w:p>
        </w:tc>
        <w:tc>
          <w:tcPr>
            <w:tcW w:w="4151" w:type="dxa"/>
            <w:gridSpan w:val="2"/>
            <w:vAlign w:val="center"/>
          </w:tcPr>
          <w:p w14:paraId="22C4C34E">
            <w:pPr>
              <w:pStyle w:val="23"/>
              <w:spacing w:before="161" w:line="240" w:lineRule="auto"/>
              <w:jc w:val="center"/>
              <w:rPr>
                <w:color w:val="auto"/>
                <w:spacing w:val="-2"/>
                <w:highlight w:val="none"/>
              </w:rPr>
            </w:pPr>
            <w:r>
              <w:rPr>
                <w:rFonts w:hint="eastAsia"/>
                <w:color w:val="auto"/>
                <w:spacing w:val="12"/>
                <w:highlight w:val="none"/>
              </w:rPr>
              <w:t>2026年</w:t>
            </w:r>
            <w:r>
              <w:rPr>
                <w:rFonts w:hint="eastAsia"/>
                <w:color w:val="auto"/>
                <w:spacing w:val="9"/>
                <w:highlight w:val="none"/>
                <w:lang w:val="en-US" w:eastAsia="zh-CN"/>
              </w:rPr>
              <w:t>6</w:t>
            </w:r>
            <w:r>
              <w:rPr>
                <w:color w:val="auto"/>
                <w:spacing w:val="-2"/>
                <w:highlight w:val="none"/>
              </w:rPr>
              <w:t>月</w:t>
            </w:r>
            <w:r>
              <w:rPr>
                <w:rFonts w:hint="eastAsia"/>
                <w:color w:val="auto"/>
                <w:spacing w:val="-2"/>
                <w:highlight w:val="none"/>
                <w:lang w:val="en-US" w:eastAsia="zh-CN"/>
              </w:rPr>
              <w:t>25</w:t>
            </w:r>
            <w:r>
              <w:rPr>
                <w:color w:val="auto"/>
                <w:spacing w:val="-2"/>
                <w:highlight w:val="none"/>
              </w:rPr>
              <w:t>日</w:t>
            </w:r>
          </w:p>
          <w:p w14:paraId="3A27969D">
            <w:pPr>
              <w:pStyle w:val="23"/>
              <w:spacing w:before="35" w:line="240" w:lineRule="auto"/>
              <w:jc w:val="center"/>
              <w:rPr>
                <w:color w:val="auto"/>
                <w:highlight w:val="none"/>
              </w:rPr>
            </w:pPr>
            <w:r>
              <w:rPr>
                <w:rFonts w:hint="eastAsia"/>
                <w:color w:val="auto"/>
                <w:spacing w:val="-2"/>
                <w:highlight w:val="none"/>
                <w:lang w:val="en-US" w:eastAsia="zh-CN"/>
              </w:rPr>
              <w:t>9</w:t>
            </w:r>
            <w:r>
              <w:rPr>
                <w:color w:val="auto"/>
                <w:spacing w:val="-5"/>
                <w:highlight w:val="none"/>
              </w:rPr>
              <w:t>时</w:t>
            </w:r>
            <w:r>
              <w:rPr>
                <w:rFonts w:hint="eastAsia"/>
                <w:color w:val="auto"/>
                <w:spacing w:val="-5"/>
                <w:highlight w:val="none"/>
                <w:lang w:val="en-US" w:eastAsia="zh-CN"/>
              </w:rPr>
              <w:t>30</w:t>
            </w:r>
            <w:r>
              <w:rPr>
                <w:color w:val="auto"/>
                <w:spacing w:val="-5"/>
                <w:highlight w:val="none"/>
              </w:rPr>
              <w:t>分</w:t>
            </w:r>
          </w:p>
        </w:tc>
      </w:tr>
      <w:tr w14:paraId="1C3D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1903" w:type="dxa"/>
            <w:vAlign w:val="center"/>
          </w:tcPr>
          <w:p w14:paraId="409E3BBE">
            <w:pPr>
              <w:pStyle w:val="23"/>
              <w:spacing w:before="36" w:line="240" w:lineRule="auto"/>
              <w:ind w:left="641" w:right="213" w:hanging="422"/>
              <w:jc w:val="both"/>
              <w:rPr>
                <w:color w:val="auto"/>
                <w:highlight w:val="none"/>
              </w:rPr>
            </w:pPr>
            <w:r>
              <w:rPr>
                <w:b/>
                <w:bCs/>
                <w:color w:val="auto"/>
                <w:spacing w:val="7"/>
                <w:highlight w:val="none"/>
              </w:rPr>
              <w:t>递交投标文件截</w:t>
            </w:r>
            <w:bookmarkStart w:id="15" w:name="bookmark28"/>
            <w:bookmarkEnd w:id="15"/>
            <w:bookmarkStart w:id="16" w:name="bookmark29"/>
            <w:bookmarkEnd w:id="16"/>
            <w:r>
              <w:rPr>
                <w:b/>
                <w:bCs/>
                <w:color w:val="auto"/>
                <w:spacing w:val="5"/>
                <w:highlight w:val="none"/>
              </w:rPr>
              <w:t>止时间</w:t>
            </w:r>
          </w:p>
        </w:tc>
        <w:tc>
          <w:tcPr>
            <w:tcW w:w="1979" w:type="dxa"/>
            <w:vAlign w:val="center"/>
          </w:tcPr>
          <w:p w14:paraId="5A094B77">
            <w:pPr>
              <w:pStyle w:val="23"/>
              <w:spacing w:before="161" w:line="240" w:lineRule="auto"/>
              <w:jc w:val="center"/>
              <w:rPr>
                <w:color w:val="auto"/>
                <w:spacing w:val="-2"/>
                <w:highlight w:val="none"/>
              </w:rPr>
            </w:pPr>
            <w:r>
              <w:rPr>
                <w:rFonts w:hint="eastAsia"/>
                <w:color w:val="auto"/>
                <w:spacing w:val="12"/>
                <w:highlight w:val="none"/>
              </w:rPr>
              <w:t>2026年</w:t>
            </w:r>
            <w:r>
              <w:rPr>
                <w:rFonts w:hint="eastAsia"/>
                <w:color w:val="auto"/>
                <w:spacing w:val="9"/>
                <w:highlight w:val="none"/>
                <w:lang w:val="en-US" w:eastAsia="zh-CN"/>
              </w:rPr>
              <w:t>6</w:t>
            </w:r>
            <w:r>
              <w:rPr>
                <w:color w:val="auto"/>
                <w:spacing w:val="-2"/>
                <w:highlight w:val="none"/>
              </w:rPr>
              <w:t>月</w:t>
            </w:r>
            <w:r>
              <w:rPr>
                <w:rFonts w:hint="eastAsia"/>
                <w:color w:val="auto"/>
                <w:spacing w:val="-2"/>
                <w:highlight w:val="none"/>
                <w:lang w:val="en-US" w:eastAsia="zh-CN"/>
              </w:rPr>
              <w:t>25</w:t>
            </w:r>
            <w:r>
              <w:rPr>
                <w:color w:val="auto"/>
                <w:spacing w:val="-2"/>
                <w:highlight w:val="none"/>
              </w:rPr>
              <w:t>日</w:t>
            </w:r>
          </w:p>
          <w:p w14:paraId="37B0ABE0">
            <w:pPr>
              <w:pStyle w:val="23"/>
              <w:spacing w:before="161" w:line="240" w:lineRule="auto"/>
              <w:jc w:val="center"/>
              <w:rPr>
                <w:color w:val="auto"/>
                <w:highlight w:val="none"/>
              </w:rPr>
            </w:pPr>
            <w:r>
              <w:rPr>
                <w:rFonts w:hint="eastAsia"/>
                <w:color w:val="auto"/>
                <w:spacing w:val="-2"/>
                <w:highlight w:val="none"/>
                <w:lang w:val="en-US" w:eastAsia="zh-CN"/>
              </w:rPr>
              <w:t>9</w:t>
            </w:r>
            <w:r>
              <w:rPr>
                <w:color w:val="auto"/>
                <w:spacing w:val="-5"/>
                <w:highlight w:val="none"/>
              </w:rPr>
              <w:t>时</w:t>
            </w:r>
            <w:r>
              <w:rPr>
                <w:rFonts w:hint="eastAsia"/>
                <w:color w:val="auto"/>
                <w:spacing w:val="-5"/>
                <w:highlight w:val="none"/>
                <w:lang w:val="en-US" w:eastAsia="zh-CN"/>
              </w:rPr>
              <w:t>30</w:t>
            </w:r>
            <w:r>
              <w:rPr>
                <w:color w:val="auto"/>
                <w:spacing w:val="-5"/>
                <w:highlight w:val="none"/>
              </w:rPr>
              <w:t>分</w:t>
            </w:r>
          </w:p>
        </w:tc>
        <w:tc>
          <w:tcPr>
            <w:tcW w:w="1663" w:type="dxa"/>
            <w:vAlign w:val="center"/>
          </w:tcPr>
          <w:p w14:paraId="446BB7E2">
            <w:pPr>
              <w:pStyle w:val="23"/>
              <w:spacing w:before="36" w:line="240" w:lineRule="auto"/>
              <w:ind w:left="625" w:right="200" w:hanging="420"/>
              <w:jc w:val="both"/>
              <w:rPr>
                <w:color w:val="auto"/>
                <w:highlight w:val="none"/>
              </w:rPr>
            </w:pPr>
            <w:r>
              <w:rPr>
                <w:b/>
                <w:bCs/>
                <w:color w:val="auto"/>
                <w:spacing w:val="6"/>
                <w:highlight w:val="none"/>
              </w:rPr>
              <w:t>投标文件递交</w:t>
            </w:r>
            <w:r>
              <w:rPr>
                <w:b/>
                <w:bCs/>
                <w:color w:val="auto"/>
                <w:spacing w:val="3"/>
                <w:highlight w:val="none"/>
              </w:rPr>
              <w:t>方式</w:t>
            </w:r>
          </w:p>
        </w:tc>
        <w:tc>
          <w:tcPr>
            <w:tcW w:w="4151" w:type="dxa"/>
            <w:gridSpan w:val="2"/>
            <w:vAlign w:val="center"/>
          </w:tcPr>
          <w:p w14:paraId="14694C2B">
            <w:pPr>
              <w:pStyle w:val="23"/>
              <w:spacing w:before="36" w:line="240" w:lineRule="auto"/>
              <w:ind w:left="119" w:right="113" w:firstLine="1"/>
              <w:jc w:val="both"/>
              <w:rPr>
                <w:color w:val="auto"/>
                <w:highlight w:val="none"/>
              </w:rPr>
            </w:pPr>
            <w:r>
              <w:rPr>
                <w:color w:val="auto"/>
                <w:spacing w:val="17"/>
                <w:highlight w:val="none"/>
              </w:rPr>
              <w:t>投标人应在递交投标文件截止时间前，通</w:t>
            </w:r>
            <w:r>
              <w:rPr>
                <w:color w:val="auto"/>
                <w:spacing w:val="12"/>
                <w:highlight w:val="none"/>
              </w:rPr>
              <w:t>过互联网使用</w:t>
            </w:r>
            <w:r>
              <w:rPr>
                <w:color w:val="auto"/>
                <w:highlight w:val="none"/>
              </w:rPr>
              <w:t>CA</w:t>
            </w:r>
            <w:r>
              <w:rPr>
                <w:color w:val="auto"/>
                <w:spacing w:val="-30"/>
                <w:highlight w:val="none"/>
              </w:rPr>
              <w:t xml:space="preserve"> </w:t>
            </w:r>
            <w:r>
              <w:rPr>
                <w:color w:val="auto"/>
                <w:spacing w:val="12"/>
                <w:highlight w:val="none"/>
              </w:rPr>
              <w:t>数字证书登录“</w:t>
            </w:r>
            <w:r>
              <w:rPr>
                <w:color w:val="auto"/>
                <w:spacing w:val="-63"/>
                <w:highlight w:val="none"/>
              </w:rPr>
              <w:t xml:space="preserve"> </w:t>
            </w:r>
            <w:r>
              <w:rPr>
                <w:color w:val="auto"/>
                <w:spacing w:val="12"/>
                <w:highlight w:val="none"/>
              </w:rPr>
              <w:t>电子交易</w:t>
            </w:r>
            <w:r>
              <w:rPr>
                <w:color w:val="auto"/>
                <w:spacing w:val="15"/>
                <w:highlight w:val="none"/>
              </w:rPr>
              <w:t>平台</w:t>
            </w:r>
            <w:r>
              <w:rPr>
                <w:color w:val="auto"/>
                <w:spacing w:val="-57"/>
                <w:highlight w:val="none"/>
              </w:rPr>
              <w:t xml:space="preserve"> </w:t>
            </w:r>
            <w:r>
              <w:rPr>
                <w:color w:val="auto"/>
                <w:spacing w:val="15"/>
                <w:highlight w:val="none"/>
              </w:rPr>
              <w:t>”，将加密的投标文件上传，并保存</w:t>
            </w:r>
            <w:r>
              <w:rPr>
                <w:color w:val="auto"/>
                <w:spacing w:val="30"/>
                <w:highlight w:val="none"/>
              </w:rPr>
              <w:t>上传成功后系统自动生成的电子签收凭</w:t>
            </w:r>
            <w:r>
              <w:rPr>
                <w:color w:val="auto"/>
                <w:spacing w:val="17"/>
                <w:highlight w:val="none"/>
              </w:rPr>
              <w:t>证，递交时间即为电子签收凭证时间。逾</w:t>
            </w:r>
            <w:r>
              <w:rPr>
                <w:color w:val="auto"/>
                <w:spacing w:val="30"/>
                <w:highlight w:val="none"/>
              </w:rPr>
              <w:t>期未完成上传或未按规定加密的投标文</w:t>
            </w:r>
            <w:r>
              <w:rPr>
                <w:color w:val="auto"/>
                <w:spacing w:val="17"/>
                <w:highlight w:val="none"/>
              </w:rPr>
              <w:t>件，招标人予以拒收。</w:t>
            </w:r>
          </w:p>
        </w:tc>
      </w:tr>
      <w:tr w14:paraId="4E26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tcBorders>
              <w:bottom w:val="single" w:color="auto" w:sz="4" w:space="0"/>
            </w:tcBorders>
            <w:vAlign w:val="center"/>
          </w:tcPr>
          <w:p w14:paraId="3E828300">
            <w:pPr>
              <w:pStyle w:val="23"/>
              <w:spacing w:before="65" w:line="240" w:lineRule="auto"/>
              <w:ind w:left="536"/>
              <w:jc w:val="both"/>
              <w:rPr>
                <w:color w:val="auto"/>
                <w:highlight w:val="none"/>
              </w:rPr>
            </w:pPr>
            <w:r>
              <w:rPr>
                <w:b/>
                <w:bCs/>
                <w:color w:val="auto"/>
                <w:spacing w:val="6"/>
                <w:highlight w:val="none"/>
              </w:rPr>
              <w:t>开标时间</w:t>
            </w:r>
          </w:p>
        </w:tc>
        <w:tc>
          <w:tcPr>
            <w:tcW w:w="1979" w:type="dxa"/>
            <w:tcBorders>
              <w:bottom w:val="single" w:color="auto" w:sz="4" w:space="0"/>
            </w:tcBorders>
            <w:vAlign w:val="center"/>
          </w:tcPr>
          <w:p w14:paraId="4E7EBEDD">
            <w:pPr>
              <w:pStyle w:val="23"/>
              <w:spacing w:before="161" w:line="240" w:lineRule="auto"/>
              <w:jc w:val="center"/>
              <w:rPr>
                <w:color w:val="auto"/>
                <w:spacing w:val="-2"/>
                <w:highlight w:val="none"/>
              </w:rPr>
            </w:pPr>
            <w:r>
              <w:rPr>
                <w:rFonts w:hint="eastAsia"/>
                <w:color w:val="auto"/>
                <w:spacing w:val="12"/>
                <w:highlight w:val="none"/>
              </w:rPr>
              <w:t>2026年</w:t>
            </w:r>
            <w:r>
              <w:rPr>
                <w:rFonts w:hint="eastAsia"/>
                <w:color w:val="auto"/>
                <w:spacing w:val="9"/>
                <w:highlight w:val="none"/>
                <w:lang w:val="en-US" w:eastAsia="zh-CN"/>
              </w:rPr>
              <w:t>6</w:t>
            </w:r>
            <w:r>
              <w:rPr>
                <w:color w:val="auto"/>
                <w:spacing w:val="-2"/>
                <w:highlight w:val="none"/>
              </w:rPr>
              <w:t>月</w:t>
            </w:r>
            <w:r>
              <w:rPr>
                <w:rFonts w:hint="eastAsia"/>
                <w:color w:val="auto"/>
                <w:spacing w:val="-2"/>
                <w:highlight w:val="none"/>
                <w:lang w:val="en-US" w:eastAsia="zh-CN"/>
              </w:rPr>
              <w:t>25</w:t>
            </w:r>
            <w:r>
              <w:rPr>
                <w:color w:val="auto"/>
                <w:spacing w:val="-2"/>
                <w:highlight w:val="none"/>
              </w:rPr>
              <w:t>日</w:t>
            </w:r>
          </w:p>
          <w:p w14:paraId="11FF8091">
            <w:pPr>
              <w:pStyle w:val="23"/>
              <w:spacing w:before="161" w:line="240" w:lineRule="auto"/>
              <w:jc w:val="center"/>
              <w:rPr>
                <w:color w:val="auto"/>
                <w:highlight w:val="none"/>
              </w:rPr>
            </w:pPr>
            <w:r>
              <w:rPr>
                <w:rFonts w:hint="eastAsia"/>
                <w:color w:val="auto"/>
                <w:spacing w:val="-2"/>
                <w:highlight w:val="none"/>
                <w:lang w:val="en-US" w:eastAsia="zh-CN"/>
              </w:rPr>
              <w:t>9</w:t>
            </w:r>
            <w:r>
              <w:rPr>
                <w:color w:val="auto"/>
                <w:spacing w:val="-5"/>
                <w:highlight w:val="none"/>
              </w:rPr>
              <w:t>时</w:t>
            </w:r>
            <w:r>
              <w:rPr>
                <w:rFonts w:hint="eastAsia"/>
                <w:color w:val="auto"/>
                <w:spacing w:val="-5"/>
                <w:highlight w:val="none"/>
                <w:lang w:val="en-US" w:eastAsia="zh-CN"/>
              </w:rPr>
              <w:t>30</w:t>
            </w:r>
            <w:r>
              <w:rPr>
                <w:color w:val="auto"/>
                <w:spacing w:val="-5"/>
                <w:highlight w:val="none"/>
              </w:rPr>
              <w:t>分</w:t>
            </w:r>
            <w:r>
              <w:rPr>
                <w:color w:val="auto"/>
                <w:spacing w:val="17"/>
                <w:highlight w:val="none"/>
              </w:rPr>
              <w:t>（与投标截止时间</w:t>
            </w:r>
            <w:r>
              <w:rPr>
                <w:color w:val="auto"/>
                <w:spacing w:val="6"/>
                <w:highlight w:val="none"/>
              </w:rPr>
              <w:t>为同一时间）</w:t>
            </w:r>
          </w:p>
        </w:tc>
        <w:tc>
          <w:tcPr>
            <w:tcW w:w="1663" w:type="dxa"/>
            <w:tcBorders>
              <w:bottom w:val="single" w:color="auto" w:sz="4" w:space="0"/>
            </w:tcBorders>
            <w:vAlign w:val="center"/>
          </w:tcPr>
          <w:p w14:paraId="343CC4EB">
            <w:pPr>
              <w:pStyle w:val="23"/>
              <w:spacing w:before="65" w:line="240" w:lineRule="auto"/>
              <w:ind w:left="414"/>
              <w:jc w:val="both"/>
              <w:rPr>
                <w:color w:val="auto"/>
                <w:highlight w:val="none"/>
              </w:rPr>
            </w:pPr>
            <w:r>
              <w:rPr>
                <w:b/>
                <w:bCs/>
                <w:color w:val="auto"/>
                <w:spacing w:val="6"/>
                <w:highlight w:val="none"/>
              </w:rPr>
              <w:t>开标地点</w:t>
            </w:r>
          </w:p>
        </w:tc>
        <w:tc>
          <w:tcPr>
            <w:tcW w:w="4151" w:type="dxa"/>
            <w:gridSpan w:val="2"/>
            <w:tcBorders>
              <w:bottom w:val="single" w:color="auto" w:sz="4" w:space="0"/>
            </w:tcBorders>
            <w:vAlign w:val="center"/>
          </w:tcPr>
          <w:p w14:paraId="63D3661C">
            <w:pPr>
              <w:pStyle w:val="23"/>
              <w:spacing w:before="37" w:line="240" w:lineRule="auto"/>
              <w:ind w:right="113"/>
              <w:jc w:val="left"/>
              <w:rPr>
                <w:rFonts w:hint="eastAsia" w:ascii="宋体" w:hAnsi="宋体" w:eastAsia="宋体" w:cs="宋体"/>
                <w:color w:val="auto"/>
                <w:spacing w:val="15"/>
                <w:highlight w:val="none"/>
                <w:lang w:eastAsia="zh-CN"/>
              </w:rPr>
            </w:pPr>
            <w:r>
              <w:rPr>
                <w:rFonts w:hint="eastAsia" w:ascii="宋体" w:hAnsi="宋体" w:eastAsia="宋体" w:cs="宋体"/>
                <w:color w:val="auto"/>
                <w:spacing w:val="15"/>
                <w:highlight w:val="none"/>
                <w:lang w:eastAsia="zh-CN"/>
              </w:rPr>
              <w:t xml:space="preserve">韶关市公共资源交易中心 </w:t>
            </w:r>
          </w:p>
          <w:p w14:paraId="3E71CA4A">
            <w:pPr>
              <w:pStyle w:val="23"/>
              <w:spacing w:before="37" w:line="240" w:lineRule="auto"/>
              <w:ind w:right="113"/>
              <w:jc w:val="left"/>
              <w:rPr>
                <w:rFonts w:hint="eastAsia" w:ascii="宋体" w:hAnsi="宋体" w:eastAsia="宋体" w:cs="宋体"/>
                <w:color w:val="auto"/>
                <w:spacing w:val="15"/>
                <w:highlight w:val="none"/>
                <w:lang w:eastAsia="zh-CN"/>
              </w:rPr>
            </w:pPr>
            <w:r>
              <w:rPr>
                <w:rFonts w:hint="eastAsia" w:ascii="宋体" w:hAnsi="宋体" w:eastAsia="宋体" w:cs="宋体"/>
                <w:color w:val="auto"/>
                <w:spacing w:val="15"/>
                <w:highlight w:val="none"/>
                <w:lang w:eastAsia="zh-CN"/>
              </w:rPr>
              <w:t>地址：广东省韶关市武江区西联镇，具体房间号以当日现场通知为准。</w:t>
            </w:r>
          </w:p>
        </w:tc>
      </w:tr>
      <w:tr w14:paraId="6E48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tcBorders>
              <w:top w:val="single" w:color="auto" w:sz="4" w:space="0"/>
              <w:left w:val="single" w:color="auto" w:sz="4" w:space="0"/>
              <w:bottom w:val="single" w:color="auto" w:sz="4" w:space="0"/>
            </w:tcBorders>
            <w:vAlign w:val="top"/>
          </w:tcPr>
          <w:p w14:paraId="379984EE">
            <w:pPr>
              <w:pStyle w:val="23"/>
              <w:spacing w:before="236" w:line="226" w:lineRule="auto"/>
              <w:ind w:left="327"/>
              <w:rPr>
                <w:color w:val="auto"/>
                <w:highlight w:val="none"/>
              </w:rPr>
            </w:pPr>
            <w:r>
              <w:rPr>
                <w:b/>
                <w:bCs/>
                <w:color w:val="auto"/>
                <w:spacing w:val="6"/>
                <w:highlight w:val="none"/>
              </w:rPr>
              <w:t>发布公告媒介</w:t>
            </w:r>
          </w:p>
        </w:tc>
        <w:tc>
          <w:tcPr>
            <w:tcW w:w="7793" w:type="dxa"/>
            <w:gridSpan w:val="4"/>
            <w:tcBorders>
              <w:top w:val="single" w:color="auto" w:sz="4" w:space="0"/>
              <w:bottom w:val="single" w:color="auto" w:sz="4" w:space="0"/>
              <w:right w:val="single" w:color="auto" w:sz="4" w:space="0"/>
            </w:tcBorders>
            <w:vAlign w:val="top"/>
          </w:tcPr>
          <w:p w14:paraId="2E55E665">
            <w:pPr>
              <w:pStyle w:val="23"/>
              <w:spacing w:before="33" w:line="359" w:lineRule="auto"/>
              <w:ind w:left="140" w:right="164" w:hanging="23"/>
              <w:rPr>
                <w:color w:val="auto"/>
                <w:highlight w:val="none"/>
              </w:rPr>
            </w:pPr>
            <w:r>
              <w:rPr>
                <w:color w:val="auto"/>
                <w:spacing w:val="8"/>
                <w:highlight w:val="none"/>
              </w:rPr>
              <w:t>广东省招标投标监管网、</w:t>
            </w:r>
            <w:r>
              <w:rPr>
                <w:rFonts w:hint="eastAsia"/>
                <w:color w:val="auto"/>
                <w:highlight w:val="none"/>
              </w:rPr>
              <w:t>全国公共资源交易平台（广东省·韶关市）</w:t>
            </w:r>
            <w:r>
              <w:rPr>
                <w:color w:val="auto"/>
                <w:spacing w:val="7"/>
                <w:highlight w:val="none"/>
              </w:rPr>
              <w:t>网站，如公告详细内容不一致者，以广东省招标投标监管网公告为准。</w:t>
            </w:r>
          </w:p>
        </w:tc>
      </w:tr>
      <w:tr w14:paraId="6A5A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tcBorders>
              <w:top w:val="single" w:color="auto" w:sz="4" w:space="0"/>
            </w:tcBorders>
            <w:vAlign w:val="center"/>
          </w:tcPr>
          <w:p w14:paraId="7799EBC0">
            <w:pPr>
              <w:pStyle w:val="23"/>
              <w:spacing w:before="113" w:line="228" w:lineRule="auto"/>
              <w:ind w:left="641"/>
              <w:jc w:val="both"/>
              <w:rPr>
                <w:color w:val="auto"/>
                <w:highlight w:val="none"/>
              </w:rPr>
            </w:pPr>
            <w:r>
              <w:rPr>
                <w:b/>
                <w:bCs/>
                <w:color w:val="auto"/>
                <w:spacing w:val="5"/>
                <w:highlight w:val="none"/>
              </w:rPr>
              <w:t>招标人</w:t>
            </w:r>
          </w:p>
        </w:tc>
        <w:tc>
          <w:tcPr>
            <w:tcW w:w="1979" w:type="dxa"/>
            <w:tcBorders>
              <w:top w:val="single" w:color="auto" w:sz="4" w:space="0"/>
            </w:tcBorders>
            <w:vAlign w:val="center"/>
          </w:tcPr>
          <w:p w14:paraId="6958289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韶关市粤丹工程管理有限公司</w:t>
            </w:r>
          </w:p>
        </w:tc>
        <w:tc>
          <w:tcPr>
            <w:tcW w:w="1663" w:type="dxa"/>
            <w:tcBorders>
              <w:top w:val="single" w:color="auto" w:sz="4" w:space="0"/>
            </w:tcBorders>
            <w:vAlign w:val="center"/>
          </w:tcPr>
          <w:p w14:paraId="5CCAF280">
            <w:pPr>
              <w:pStyle w:val="23"/>
              <w:spacing w:before="113" w:line="230" w:lineRule="auto"/>
              <w:ind w:left="414"/>
              <w:jc w:val="both"/>
              <w:rPr>
                <w:color w:val="auto"/>
                <w:highlight w:val="none"/>
              </w:rPr>
            </w:pPr>
            <w:r>
              <w:rPr>
                <w:b/>
                <w:bCs/>
                <w:color w:val="auto"/>
                <w:spacing w:val="6"/>
                <w:highlight w:val="none"/>
              </w:rPr>
              <w:t>联系地址</w:t>
            </w:r>
          </w:p>
        </w:tc>
        <w:tc>
          <w:tcPr>
            <w:tcW w:w="4151" w:type="dxa"/>
            <w:gridSpan w:val="2"/>
            <w:tcBorders>
              <w:top w:val="single" w:color="auto" w:sz="4" w:space="0"/>
            </w:tcBorders>
            <w:vAlign w:val="center"/>
          </w:tcPr>
          <w:p w14:paraId="1F4017D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韶关市浈江区启明北路9号</w:t>
            </w:r>
          </w:p>
        </w:tc>
      </w:tr>
      <w:tr w14:paraId="500A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03" w:type="dxa"/>
            <w:vAlign w:val="center"/>
          </w:tcPr>
          <w:p w14:paraId="78772B45">
            <w:pPr>
              <w:pStyle w:val="23"/>
              <w:spacing w:before="48" w:line="228" w:lineRule="auto"/>
              <w:ind w:left="324"/>
              <w:jc w:val="both"/>
              <w:rPr>
                <w:color w:val="auto"/>
                <w:highlight w:val="none"/>
              </w:rPr>
            </w:pPr>
            <w:r>
              <w:rPr>
                <w:b/>
                <w:bCs/>
                <w:color w:val="auto"/>
                <w:spacing w:val="6"/>
                <w:highlight w:val="none"/>
              </w:rPr>
              <w:t>招标人联系人</w:t>
            </w:r>
          </w:p>
        </w:tc>
        <w:tc>
          <w:tcPr>
            <w:tcW w:w="1979" w:type="dxa"/>
            <w:vAlign w:val="center"/>
          </w:tcPr>
          <w:p w14:paraId="709591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陈工</w:t>
            </w:r>
          </w:p>
        </w:tc>
        <w:tc>
          <w:tcPr>
            <w:tcW w:w="1663" w:type="dxa"/>
            <w:vAlign w:val="center"/>
          </w:tcPr>
          <w:p w14:paraId="45D15122">
            <w:pPr>
              <w:pStyle w:val="23"/>
              <w:spacing w:before="47" w:line="230" w:lineRule="auto"/>
              <w:ind w:left="414"/>
              <w:jc w:val="both"/>
              <w:rPr>
                <w:color w:val="auto"/>
                <w:highlight w:val="none"/>
              </w:rPr>
            </w:pPr>
            <w:r>
              <w:rPr>
                <w:b/>
                <w:bCs/>
                <w:color w:val="auto"/>
                <w:spacing w:val="6"/>
                <w:highlight w:val="none"/>
              </w:rPr>
              <w:t>联系电话</w:t>
            </w:r>
          </w:p>
        </w:tc>
        <w:tc>
          <w:tcPr>
            <w:tcW w:w="4151" w:type="dxa"/>
            <w:gridSpan w:val="2"/>
            <w:vAlign w:val="center"/>
          </w:tcPr>
          <w:p w14:paraId="73097A9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13826307834</w:t>
            </w:r>
          </w:p>
        </w:tc>
      </w:tr>
      <w:tr w14:paraId="59F6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vAlign w:val="center"/>
          </w:tcPr>
          <w:p w14:paraId="042E6E25">
            <w:pPr>
              <w:pStyle w:val="23"/>
              <w:spacing w:before="37" w:line="227" w:lineRule="auto"/>
              <w:ind w:left="324"/>
              <w:jc w:val="both"/>
              <w:rPr>
                <w:color w:val="auto"/>
                <w:highlight w:val="none"/>
              </w:rPr>
            </w:pPr>
            <w:r>
              <w:rPr>
                <w:b/>
                <w:bCs/>
                <w:color w:val="auto"/>
                <w:spacing w:val="6"/>
                <w:highlight w:val="none"/>
              </w:rPr>
              <w:t>招标代理机构</w:t>
            </w:r>
          </w:p>
        </w:tc>
        <w:tc>
          <w:tcPr>
            <w:tcW w:w="1979" w:type="dxa"/>
            <w:vAlign w:val="center"/>
          </w:tcPr>
          <w:p w14:paraId="63B0FA9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广东合正项目管理有限公司</w:t>
            </w:r>
          </w:p>
        </w:tc>
        <w:tc>
          <w:tcPr>
            <w:tcW w:w="1663" w:type="dxa"/>
            <w:vAlign w:val="center"/>
          </w:tcPr>
          <w:p w14:paraId="3422F60A">
            <w:pPr>
              <w:pStyle w:val="23"/>
              <w:spacing w:before="37" w:line="230" w:lineRule="auto"/>
              <w:ind w:left="414"/>
              <w:jc w:val="both"/>
              <w:rPr>
                <w:color w:val="auto"/>
                <w:highlight w:val="none"/>
              </w:rPr>
            </w:pPr>
            <w:r>
              <w:rPr>
                <w:b/>
                <w:bCs/>
                <w:color w:val="auto"/>
                <w:spacing w:val="6"/>
                <w:highlight w:val="none"/>
              </w:rPr>
              <w:t>联系地址</w:t>
            </w:r>
          </w:p>
        </w:tc>
        <w:tc>
          <w:tcPr>
            <w:tcW w:w="4151" w:type="dxa"/>
            <w:gridSpan w:val="2"/>
            <w:vAlign w:val="center"/>
          </w:tcPr>
          <w:p w14:paraId="0EFB1D5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广东省韶关市武江区百旺大道42号莞韶双创中心研发办公楼5楼03号</w:t>
            </w:r>
          </w:p>
        </w:tc>
      </w:tr>
      <w:tr w14:paraId="1AB5B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vMerge w:val="restart"/>
            <w:vAlign w:val="center"/>
          </w:tcPr>
          <w:p w14:paraId="311EB4C5">
            <w:pPr>
              <w:pStyle w:val="23"/>
              <w:spacing w:before="34" w:line="228" w:lineRule="auto"/>
              <w:ind w:left="219"/>
              <w:jc w:val="both"/>
              <w:rPr>
                <w:color w:val="auto"/>
                <w:highlight w:val="none"/>
              </w:rPr>
            </w:pPr>
            <w:r>
              <w:rPr>
                <w:b/>
                <w:bCs/>
                <w:color w:val="auto"/>
                <w:spacing w:val="7"/>
                <w:highlight w:val="none"/>
              </w:rPr>
              <w:t>招标代理联系人</w:t>
            </w:r>
          </w:p>
        </w:tc>
        <w:tc>
          <w:tcPr>
            <w:tcW w:w="1979" w:type="dxa"/>
            <w:vAlign w:val="center"/>
          </w:tcPr>
          <w:p w14:paraId="764FB43E">
            <w:pPr>
              <w:keepNext w:val="0"/>
              <w:keepLines w:val="0"/>
              <w:widowControl/>
              <w:suppressLineNumbers w:val="0"/>
              <w:jc w:val="both"/>
              <w:textAlignment w:val="center"/>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i w:val="0"/>
                <w:color w:val="auto"/>
                <w:sz w:val="21"/>
                <w:szCs w:val="21"/>
                <w:highlight w:val="none"/>
                <w:u w:val="none"/>
                <w:lang w:val="en-US" w:eastAsia="zh-CN"/>
              </w:rPr>
              <w:t>项目负责人：何高练</w:t>
            </w:r>
          </w:p>
        </w:tc>
        <w:tc>
          <w:tcPr>
            <w:tcW w:w="1663" w:type="dxa"/>
            <w:vMerge w:val="restart"/>
            <w:vAlign w:val="center"/>
          </w:tcPr>
          <w:p w14:paraId="55C6F0DA">
            <w:pPr>
              <w:pStyle w:val="23"/>
              <w:spacing w:before="34" w:line="230" w:lineRule="auto"/>
              <w:ind w:left="414"/>
              <w:jc w:val="both"/>
              <w:rPr>
                <w:color w:val="auto"/>
                <w:highlight w:val="none"/>
              </w:rPr>
            </w:pPr>
            <w:r>
              <w:rPr>
                <w:b/>
                <w:bCs/>
                <w:color w:val="auto"/>
                <w:spacing w:val="6"/>
                <w:highlight w:val="none"/>
              </w:rPr>
              <w:t>联系电话</w:t>
            </w:r>
          </w:p>
        </w:tc>
        <w:tc>
          <w:tcPr>
            <w:tcW w:w="4151" w:type="dxa"/>
            <w:gridSpan w:val="2"/>
            <w:vMerge w:val="restart"/>
            <w:vAlign w:val="center"/>
          </w:tcPr>
          <w:p w14:paraId="7AE90AF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0751-8219991</w:t>
            </w:r>
          </w:p>
        </w:tc>
      </w:tr>
      <w:tr w14:paraId="27BA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vMerge w:val="continue"/>
            <w:vAlign w:val="center"/>
          </w:tcPr>
          <w:p w14:paraId="65CD0A5D">
            <w:pPr>
              <w:pStyle w:val="23"/>
              <w:spacing w:before="34" w:line="228" w:lineRule="auto"/>
              <w:ind w:left="219"/>
              <w:jc w:val="both"/>
              <w:rPr>
                <w:b/>
                <w:bCs/>
                <w:color w:val="auto"/>
                <w:spacing w:val="7"/>
                <w:highlight w:val="none"/>
              </w:rPr>
            </w:pPr>
          </w:p>
        </w:tc>
        <w:tc>
          <w:tcPr>
            <w:tcW w:w="1979" w:type="dxa"/>
            <w:vAlign w:val="center"/>
          </w:tcPr>
          <w:p w14:paraId="03BCA629">
            <w:pPr>
              <w:keepNext w:val="0"/>
              <w:keepLines w:val="0"/>
              <w:widowControl/>
              <w:suppressLineNumbers w:val="0"/>
              <w:jc w:val="both"/>
              <w:textAlignment w:val="center"/>
              <w:rPr>
                <w:rFonts w:hint="eastAsia" w:ascii="宋体" w:hAnsi="宋体" w:eastAsia="宋体" w:cs="宋体"/>
                <w:snapToGrid w:val="0"/>
                <w:color w:val="auto"/>
                <w:kern w:val="0"/>
                <w:sz w:val="20"/>
                <w:szCs w:val="20"/>
                <w:highlight w:val="none"/>
                <w:lang w:val="en-US" w:eastAsia="zh-CN"/>
              </w:rPr>
            </w:pPr>
            <w:r>
              <w:rPr>
                <w:rFonts w:hint="eastAsia" w:ascii="宋体" w:hAnsi="宋体" w:eastAsia="宋体" w:cs="宋体"/>
                <w:i w:val="0"/>
                <w:color w:val="auto"/>
                <w:sz w:val="21"/>
                <w:szCs w:val="21"/>
                <w:highlight w:val="none"/>
                <w:u w:val="none"/>
              </w:rPr>
              <w:t>经办人：</w:t>
            </w:r>
            <w:r>
              <w:rPr>
                <w:rFonts w:hint="eastAsia" w:ascii="宋体" w:hAnsi="宋体" w:eastAsia="宋体" w:cs="宋体"/>
                <w:i w:val="0"/>
                <w:color w:val="auto"/>
                <w:sz w:val="21"/>
                <w:szCs w:val="21"/>
                <w:highlight w:val="none"/>
                <w:u w:val="none"/>
                <w:lang w:val="en-US" w:eastAsia="zh-CN"/>
              </w:rPr>
              <w:t>孔坚莹</w:t>
            </w:r>
          </w:p>
        </w:tc>
        <w:tc>
          <w:tcPr>
            <w:tcW w:w="1663" w:type="dxa"/>
            <w:vMerge w:val="continue"/>
            <w:vAlign w:val="center"/>
          </w:tcPr>
          <w:p w14:paraId="0E25108D">
            <w:pPr>
              <w:pStyle w:val="23"/>
              <w:spacing w:before="34" w:line="230" w:lineRule="auto"/>
              <w:ind w:left="414"/>
              <w:jc w:val="both"/>
              <w:rPr>
                <w:b/>
                <w:bCs/>
                <w:color w:val="auto"/>
                <w:spacing w:val="6"/>
                <w:highlight w:val="none"/>
              </w:rPr>
            </w:pPr>
          </w:p>
        </w:tc>
        <w:tc>
          <w:tcPr>
            <w:tcW w:w="4151" w:type="dxa"/>
            <w:gridSpan w:val="2"/>
            <w:vMerge w:val="continue"/>
            <w:vAlign w:val="center"/>
          </w:tcPr>
          <w:p w14:paraId="5871F55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0"/>
                <w:szCs w:val="20"/>
                <w:highlight w:val="none"/>
                <w:lang w:val="en-US" w:eastAsia="zh-CN"/>
              </w:rPr>
            </w:pPr>
          </w:p>
        </w:tc>
      </w:tr>
      <w:tr w14:paraId="5D80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03" w:type="dxa"/>
            <w:vAlign w:val="center"/>
          </w:tcPr>
          <w:p w14:paraId="248C581A">
            <w:pPr>
              <w:pStyle w:val="23"/>
              <w:spacing w:before="96" w:line="227" w:lineRule="auto"/>
              <w:ind w:left="324"/>
              <w:jc w:val="both"/>
              <w:rPr>
                <w:color w:val="auto"/>
                <w:highlight w:val="none"/>
              </w:rPr>
            </w:pPr>
            <w:r>
              <w:rPr>
                <w:b/>
                <w:bCs/>
                <w:color w:val="auto"/>
                <w:spacing w:val="6"/>
                <w:highlight w:val="none"/>
              </w:rPr>
              <w:t>招标监督机构</w:t>
            </w:r>
          </w:p>
        </w:tc>
        <w:tc>
          <w:tcPr>
            <w:tcW w:w="1979" w:type="dxa"/>
            <w:vAlign w:val="center"/>
          </w:tcPr>
          <w:p w14:paraId="3597A4B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韶关市交通运输局</w:t>
            </w:r>
          </w:p>
        </w:tc>
        <w:tc>
          <w:tcPr>
            <w:tcW w:w="1663" w:type="dxa"/>
            <w:vAlign w:val="center"/>
          </w:tcPr>
          <w:p w14:paraId="3F6436D1">
            <w:pPr>
              <w:pStyle w:val="23"/>
              <w:spacing w:before="96" w:line="230" w:lineRule="auto"/>
              <w:ind w:left="414"/>
              <w:jc w:val="both"/>
              <w:rPr>
                <w:color w:val="auto"/>
                <w:highlight w:val="none"/>
              </w:rPr>
            </w:pPr>
            <w:r>
              <w:rPr>
                <w:b/>
                <w:bCs/>
                <w:color w:val="auto"/>
                <w:spacing w:val="6"/>
                <w:highlight w:val="none"/>
              </w:rPr>
              <w:t>联系电话</w:t>
            </w:r>
          </w:p>
        </w:tc>
        <w:tc>
          <w:tcPr>
            <w:tcW w:w="4151" w:type="dxa"/>
            <w:gridSpan w:val="2"/>
            <w:vAlign w:val="center"/>
          </w:tcPr>
          <w:p w14:paraId="068CBFD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0751-8877330</w:t>
            </w:r>
          </w:p>
        </w:tc>
      </w:tr>
      <w:tr w14:paraId="0BCE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2" w:hRule="atLeast"/>
        </w:trPr>
        <w:tc>
          <w:tcPr>
            <w:tcW w:w="1903" w:type="dxa"/>
            <w:vAlign w:val="center"/>
          </w:tcPr>
          <w:p w14:paraId="54E28CC8">
            <w:pPr>
              <w:pStyle w:val="23"/>
              <w:spacing w:before="65" w:line="378" w:lineRule="auto"/>
              <w:ind w:left="554" w:right="213" w:hanging="335"/>
              <w:jc w:val="center"/>
              <w:rPr>
                <w:color w:val="auto"/>
                <w:highlight w:val="none"/>
              </w:rPr>
            </w:pPr>
            <w:r>
              <w:rPr>
                <w:b/>
                <w:bCs/>
                <w:color w:val="auto"/>
                <w:spacing w:val="7"/>
                <w:highlight w:val="none"/>
              </w:rPr>
              <w:t>其他依法应当载</w:t>
            </w:r>
            <w:r>
              <w:rPr>
                <w:b/>
                <w:bCs/>
                <w:color w:val="auto"/>
                <w:spacing w:val="1"/>
                <w:highlight w:val="none"/>
              </w:rPr>
              <w:t>明的内容</w:t>
            </w:r>
          </w:p>
        </w:tc>
        <w:tc>
          <w:tcPr>
            <w:tcW w:w="7793" w:type="dxa"/>
            <w:gridSpan w:val="4"/>
            <w:vAlign w:val="top"/>
          </w:tcPr>
          <w:p w14:paraId="1CC910FA">
            <w:pPr>
              <w:pStyle w:val="23"/>
              <w:spacing w:before="46" w:line="360" w:lineRule="auto"/>
              <w:ind w:left="120" w:right="113" w:firstLine="12"/>
              <w:rPr>
                <w:color w:val="auto"/>
                <w:highlight w:val="none"/>
              </w:rPr>
            </w:pPr>
            <w:r>
              <w:rPr>
                <w:color w:val="auto"/>
                <w:spacing w:val="9"/>
                <w:highlight w:val="none"/>
              </w:rPr>
              <w:t>1.本招标项目</w:t>
            </w:r>
            <w:r>
              <w:rPr>
                <w:color w:val="auto"/>
                <w:spacing w:val="-96"/>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乳源县桂头镇至韶关丹霞机场公路新建工程（韶关机场进场道路）</w:t>
            </w:r>
            <w:r>
              <w:rPr>
                <w:color w:val="auto"/>
                <w:spacing w:val="-53"/>
                <w:highlight w:val="none"/>
                <w:u w:val="single" w:color="auto"/>
              </w:rPr>
              <w:t xml:space="preserve"> </w:t>
            </w:r>
            <w:r>
              <w:rPr>
                <w:color w:val="auto"/>
                <w:spacing w:val="9"/>
                <w:highlight w:val="none"/>
              </w:rPr>
              <w:t>已由</w:t>
            </w:r>
            <w:r>
              <w:rPr>
                <w:color w:val="auto"/>
                <w:spacing w:val="8"/>
                <w:highlight w:val="none"/>
                <w:u w:val="single" w:color="auto"/>
              </w:rPr>
              <w:t xml:space="preserve"> </w:t>
            </w:r>
            <w:r>
              <w:rPr>
                <w:rFonts w:hint="eastAsia"/>
                <w:color w:val="auto"/>
                <w:spacing w:val="8"/>
                <w:highlight w:val="none"/>
                <w:u w:val="single" w:color="auto"/>
                <w:lang w:val="en-US" w:eastAsia="zh-CN"/>
              </w:rPr>
              <w:t>韶关市发展和改革局</w:t>
            </w:r>
            <w:r>
              <w:rPr>
                <w:color w:val="auto"/>
                <w:spacing w:val="-48"/>
                <w:highlight w:val="none"/>
                <w:u w:val="single" w:color="auto"/>
              </w:rPr>
              <w:t xml:space="preserve"> </w:t>
            </w:r>
            <w:r>
              <w:rPr>
                <w:color w:val="auto"/>
                <w:spacing w:val="7"/>
                <w:highlight w:val="none"/>
              </w:rPr>
              <w:t>以</w:t>
            </w:r>
            <w:r>
              <w:rPr>
                <w:color w:val="auto"/>
                <w:spacing w:val="7"/>
                <w:highlight w:val="none"/>
                <w:u w:val="single" w:color="auto"/>
              </w:rPr>
              <w:t xml:space="preserve"> </w:t>
            </w:r>
            <w:r>
              <w:rPr>
                <w:rFonts w:hint="eastAsia"/>
                <w:color w:val="auto"/>
                <w:spacing w:val="7"/>
                <w:highlight w:val="none"/>
                <w:u w:val="single" w:color="auto"/>
                <w:lang w:eastAsia="zh-CN"/>
              </w:rPr>
              <w:t>《</w:t>
            </w:r>
            <w:r>
              <w:rPr>
                <w:rFonts w:hint="eastAsia"/>
                <w:color w:val="auto"/>
                <w:spacing w:val="7"/>
                <w:highlight w:val="none"/>
                <w:u w:val="single" w:color="auto"/>
                <w:lang w:val="en-US" w:eastAsia="zh-CN"/>
              </w:rPr>
              <w:t>韶关市发展和改革局关于乳源县桂头镇至韶关丹霞机场公路新建工程（韶关机场进场道路）项目可行性研究报告的批复</w:t>
            </w:r>
            <w:r>
              <w:rPr>
                <w:rFonts w:hint="eastAsia"/>
                <w:color w:val="auto"/>
                <w:spacing w:val="7"/>
                <w:highlight w:val="none"/>
                <w:u w:val="single" w:color="auto"/>
                <w:lang w:eastAsia="zh-CN"/>
              </w:rPr>
              <w:t>》（</w:t>
            </w:r>
            <w:r>
              <w:rPr>
                <w:rFonts w:hint="eastAsia"/>
                <w:color w:val="auto"/>
                <w:spacing w:val="7"/>
                <w:highlight w:val="none"/>
                <w:u w:val="single" w:color="auto"/>
                <w:lang w:val="en-US" w:eastAsia="zh-CN"/>
              </w:rPr>
              <w:t>韶发改投审〔2025〕18号</w:t>
            </w:r>
            <w:r>
              <w:rPr>
                <w:rFonts w:hint="eastAsia"/>
                <w:color w:val="auto"/>
                <w:spacing w:val="7"/>
                <w:highlight w:val="none"/>
                <w:u w:val="single" w:color="auto"/>
                <w:lang w:eastAsia="zh-CN"/>
              </w:rPr>
              <w:t>）</w:t>
            </w:r>
            <w:r>
              <w:rPr>
                <w:rFonts w:hint="eastAsia" w:ascii="宋体" w:hAnsi="宋体" w:cs="宋体"/>
                <w:color w:val="auto"/>
                <w:spacing w:val="4"/>
                <w:sz w:val="20"/>
                <w:szCs w:val="20"/>
                <w:highlight w:val="none"/>
              </w:rPr>
              <w:t>批准建设</w:t>
            </w:r>
            <w:r>
              <w:rPr>
                <w:color w:val="auto"/>
                <w:spacing w:val="7"/>
                <w:highlight w:val="none"/>
              </w:rPr>
              <w:t>批准建设，</w:t>
            </w:r>
            <w:r>
              <w:rPr>
                <w:rFonts w:hint="eastAsia"/>
                <w:color w:val="auto"/>
                <w:spacing w:val="7"/>
                <w:highlight w:val="none"/>
                <w:lang w:val="en-US" w:eastAsia="zh-CN"/>
              </w:rPr>
              <w:t>施工图</w:t>
            </w:r>
            <w:r>
              <w:rPr>
                <w:color w:val="auto"/>
                <w:spacing w:val="7"/>
                <w:highlight w:val="none"/>
              </w:rPr>
              <w:t>设计已由</w:t>
            </w:r>
            <w:r>
              <w:rPr>
                <w:color w:val="auto"/>
                <w:spacing w:val="7"/>
                <w:highlight w:val="none"/>
                <w:u w:val="single" w:color="auto"/>
              </w:rPr>
              <w:t xml:space="preserve">  </w:t>
            </w:r>
            <w:r>
              <w:rPr>
                <w:rFonts w:hint="eastAsia"/>
                <w:color w:val="auto"/>
                <w:spacing w:val="7"/>
                <w:highlight w:val="none"/>
                <w:u w:val="single" w:color="auto"/>
              </w:rPr>
              <w:t>韶关市交通运输局</w:t>
            </w:r>
            <w:r>
              <w:rPr>
                <w:color w:val="auto"/>
                <w:spacing w:val="12"/>
                <w:highlight w:val="none"/>
              </w:rPr>
              <w:t>以</w:t>
            </w:r>
            <w:r>
              <w:rPr>
                <w:color w:val="auto"/>
                <w:spacing w:val="-92"/>
                <w:highlight w:val="none"/>
              </w:rPr>
              <w:t xml:space="preserve"> </w:t>
            </w:r>
            <w:r>
              <w:rPr>
                <w:color w:val="auto"/>
                <w:highlight w:val="none"/>
                <w:u w:val="single" w:color="auto"/>
              </w:rPr>
              <w:t xml:space="preserve"> </w:t>
            </w:r>
            <w:r>
              <w:rPr>
                <w:rFonts w:hint="eastAsia"/>
                <w:color w:val="auto"/>
                <w:highlight w:val="none"/>
                <w:u w:val="single" w:color="auto"/>
                <w:lang w:eastAsia="zh-CN"/>
              </w:rPr>
              <w:t>《</w:t>
            </w:r>
            <w:r>
              <w:rPr>
                <w:rFonts w:hint="eastAsia"/>
                <w:color w:val="auto"/>
                <w:highlight w:val="none"/>
                <w:u w:val="single" w:color="auto"/>
              </w:rPr>
              <w:t>韶关市交通运输局关于乳源县桂头镇至韶关丹霞机场公路新建工程（韶关机场进场道路）施工图设计的批复</w:t>
            </w:r>
            <w:r>
              <w:rPr>
                <w:rFonts w:hint="eastAsia"/>
                <w:color w:val="auto"/>
                <w:highlight w:val="none"/>
                <w:u w:val="single" w:color="auto"/>
                <w:lang w:eastAsia="zh-CN"/>
              </w:rPr>
              <w:t>》</w:t>
            </w:r>
            <w:r>
              <w:rPr>
                <w:rFonts w:hint="eastAsia"/>
                <w:color w:val="auto"/>
                <w:highlight w:val="none"/>
                <w:u w:val="single" w:color="auto"/>
              </w:rPr>
              <w:t>（韶交基函〔2025〕323号）</w:t>
            </w:r>
            <w:r>
              <w:rPr>
                <w:color w:val="auto"/>
                <w:spacing w:val="12"/>
                <w:highlight w:val="none"/>
              </w:rPr>
              <w:t>批准，建设单位为</w:t>
            </w:r>
            <w:r>
              <w:rPr>
                <w:color w:val="auto"/>
                <w:spacing w:val="-8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韶关市粤丹工程管理有限公司</w:t>
            </w:r>
            <w:r>
              <w:rPr>
                <w:color w:val="auto"/>
                <w:spacing w:val="12"/>
                <w:highlight w:val="none"/>
                <w:u w:val="single" w:color="auto"/>
              </w:rPr>
              <w:t>，</w:t>
            </w:r>
            <w:r>
              <w:rPr>
                <w:color w:val="auto"/>
                <w:spacing w:val="12"/>
                <w:highlight w:val="none"/>
              </w:rPr>
              <w:t>招标人</w:t>
            </w:r>
            <w:r>
              <w:rPr>
                <w:color w:val="auto"/>
                <w:spacing w:val="-1"/>
                <w:highlight w:val="none"/>
              </w:rPr>
              <w:t>为</w:t>
            </w:r>
            <w:r>
              <w:rPr>
                <w:rFonts w:hint="eastAsia"/>
                <w:color w:val="auto"/>
                <w:spacing w:val="5"/>
                <w:highlight w:val="none"/>
                <w:u w:val="single" w:color="auto"/>
                <w:lang w:val="en-US" w:eastAsia="zh-CN"/>
              </w:rPr>
              <w:t>韶关市粤丹工程管理有限公司</w:t>
            </w:r>
            <w:r>
              <w:rPr>
                <w:color w:val="auto"/>
                <w:spacing w:val="4"/>
                <w:highlight w:val="none"/>
                <w:u w:val="single" w:color="auto"/>
              </w:rPr>
              <w:t xml:space="preserve"> </w:t>
            </w:r>
            <w:r>
              <w:rPr>
                <w:color w:val="auto"/>
                <w:spacing w:val="-1"/>
                <w:highlight w:val="none"/>
              </w:rPr>
              <w:t>。</w:t>
            </w:r>
          </w:p>
          <w:p w14:paraId="69AE49D2">
            <w:pPr>
              <w:pStyle w:val="23"/>
              <w:spacing w:before="160" w:line="360" w:lineRule="auto"/>
              <w:ind w:left="117" w:right="113" w:firstLine="3"/>
              <w:rPr>
                <w:color w:val="auto"/>
                <w:highlight w:val="none"/>
              </w:rPr>
            </w:pPr>
            <w:r>
              <w:rPr>
                <w:color w:val="auto"/>
                <w:spacing w:val="11"/>
                <w:highlight w:val="none"/>
              </w:rPr>
              <w:t>2.被广东省交通运输厅评为</w:t>
            </w:r>
            <w:r>
              <w:rPr>
                <w:color w:val="auto"/>
                <w:spacing w:val="-94"/>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6"/>
                <w:highlight w:val="none"/>
              </w:rPr>
              <w:t xml:space="preserve"> </w:t>
            </w:r>
            <w:r>
              <w:rPr>
                <w:color w:val="auto"/>
                <w:spacing w:val="11"/>
                <w:highlight w:val="none"/>
              </w:rPr>
              <w:t>级信用等级的投标人，最多可对其中的</w:t>
            </w:r>
            <w:r>
              <w:rPr>
                <w:color w:val="auto"/>
                <w:spacing w:val="-96"/>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91"/>
                <w:highlight w:val="none"/>
              </w:rPr>
              <w:t xml:space="preserve"> </w:t>
            </w:r>
            <w:r>
              <w:rPr>
                <w:color w:val="auto"/>
                <w:spacing w:val="11"/>
                <w:highlight w:val="none"/>
              </w:rPr>
              <w:t>个</w:t>
            </w:r>
            <w:r>
              <w:rPr>
                <w:color w:val="auto"/>
                <w:spacing w:val="11"/>
                <w:highlight w:val="none"/>
                <w:u w:val="single" w:color="auto"/>
              </w:rPr>
              <w:t>标</w:t>
            </w:r>
            <w:r>
              <w:rPr>
                <w:color w:val="auto"/>
                <w:spacing w:val="12"/>
                <w:highlight w:val="none"/>
                <w:u w:val="single" w:color="auto"/>
              </w:rPr>
              <w:t>类或标段</w:t>
            </w:r>
            <w:r>
              <w:rPr>
                <w:color w:val="auto"/>
                <w:spacing w:val="12"/>
                <w:highlight w:val="none"/>
              </w:rPr>
              <w:t>进行投标，其余投标人最多可对其中的</w:t>
            </w:r>
            <w:r>
              <w:rPr>
                <w:color w:val="auto"/>
                <w:spacing w:val="-85"/>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91"/>
                <w:highlight w:val="none"/>
              </w:rPr>
              <w:t xml:space="preserve"> </w:t>
            </w:r>
            <w:r>
              <w:rPr>
                <w:color w:val="auto"/>
                <w:spacing w:val="12"/>
                <w:highlight w:val="none"/>
              </w:rPr>
              <w:t>个</w:t>
            </w:r>
            <w:r>
              <w:rPr>
                <w:color w:val="auto"/>
                <w:spacing w:val="12"/>
                <w:highlight w:val="none"/>
                <w:u w:val="single" w:color="auto"/>
              </w:rPr>
              <w:t>标类或</w:t>
            </w:r>
            <w:r>
              <w:rPr>
                <w:color w:val="auto"/>
                <w:spacing w:val="12"/>
                <w:highlight w:val="none"/>
              </w:rPr>
              <w:t>标段进行投标，每个</w:t>
            </w:r>
            <w:r>
              <w:rPr>
                <w:color w:val="auto"/>
                <w:spacing w:val="9"/>
                <w:highlight w:val="none"/>
              </w:rPr>
              <w:t>投标人只允许中</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77"/>
                <w:highlight w:val="none"/>
              </w:rPr>
              <w:t xml:space="preserve"> </w:t>
            </w:r>
            <w:r>
              <w:rPr>
                <w:color w:val="auto"/>
                <w:spacing w:val="9"/>
                <w:highlight w:val="none"/>
              </w:rPr>
              <w:t>个标段。（本款所指的信用等级为广东省交通运输厅最新年度发布的广东省公路工程从业单位信用等级（监理单位</w:t>
            </w:r>
            <w:r>
              <w:rPr>
                <w:color w:val="auto"/>
                <w:spacing w:val="24"/>
                <w:highlight w:val="none"/>
              </w:rPr>
              <w:t>），</w:t>
            </w:r>
            <w:r>
              <w:rPr>
                <w:color w:val="auto"/>
                <w:spacing w:val="9"/>
                <w:highlight w:val="none"/>
              </w:rPr>
              <w:t>投标登记阶段无需承诺是否</w:t>
            </w:r>
            <w:r>
              <w:rPr>
                <w:color w:val="auto"/>
                <w:spacing w:val="8"/>
                <w:highlight w:val="none"/>
              </w:rPr>
              <w:t>在此次投标过程中使用）。</w:t>
            </w:r>
          </w:p>
          <w:p w14:paraId="641974B5">
            <w:pPr>
              <w:pStyle w:val="23"/>
              <w:spacing w:before="1" w:line="360" w:lineRule="auto"/>
              <w:ind w:left="119" w:right="113" w:firstLine="2"/>
              <w:rPr>
                <w:color w:val="auto"/>
                <w:spacing w:val="9"/>
                <w:highlight w:val="none"/>
              </w:rPr>
            </w:pPr>
            <w:r>
              <w:rPr>
                <w:color w:val="auto"/>
                <w:spacing w:val="9"/>
                <w:highlight w:val="none"/>
              </w:rPr>
              <w:t>3.与招标人存在利害关系可能影响招标公正性的法人，不得参加投标；若单位负责</w:t>
            </w:r>
            <w:r>
              <w:rPr>
                <w:color w:val="auto"/>
                <w:spacing w:val="12"/>
                <w:highlight w:val="none"/>
              </w:rPr>
              <w:t>人为同一人、或者存在控股、管理关系的不</w:t>
            </w:r>
            <w:r>
              <w:rPr>
                <w:color w:val="auto"/>
                <w:spacing w:val="11"/>
                <w:highlight w:val="none"/>
              </w:rPr>
              <w:t>同单位，不得参加同一标段投标或</w:t>
            </w:r>
          </w:p>
          <w:p w14:paraId="7106703A">
            <w:pPr>
              <w:pStyle w:val="23"/>
              <w:spacing w:before="35" w:line="228" w:lineRule="auto"/>
              <w:ind w:left="119"/>
              <w:rPr>
                <w:color w:val="auto"/>
                <w:highlight w:val="none"/>
              </w:rPr>
            </w:pPr>
            <w:r>
              <w:rPr>
                <w:color w:val="auto"/>
                <w:spacing w:val="9"/>
                <w:highlight w:val="none"/>
              </w:rPr>
              <w:t>者未划分标段的同一招标项目投标，否则按否决其投标处理。</w:t>
            </w:r>
          </w:p>
          <w:p w14:paraId="67DFC285">
            <w:pPr>
              <w:pStyle w:val="23"/>
              <w:spacing w:before="160" w:line="370" w:lineRule="auto"/>
              <w:ind w:left="118" w:right="113" w:hanging="1"/>
              <w:rPr>
                <w:color w:val="auto"/>
                <w:highlight w:val="none"/>
              </w:rPr>
            </w:pPr>
            <w:r>
              <w:rPr>
                <w:color w:val="auto"/>
                <w:spacing w:val="10"/>
                <w:highlight w:val="none"/>
              </w:rPr>
              <w:t>4.投标人及与投标人有隶属关系或其他利害关系的</w:t>
            </w:r>
            <w:r>
              <w:rPr>
                <w:color w:val="auto"/>
                <w:spacing w:val="9"/>
                <w:highlight w:val="none"/>
              </w:rPr>
              <w:t>单位同时参加本工程项目施工监</w:t>
            </w:r>
            <w:r>
              <w:rPr>
                <w:color w:val="auto"/>
                <w:spacing w:val="10"/>
                <w:highlight w:val="none"/>
              </w:rPr>
              <w:t>理和中心试验室试验检测服务的投标时，对于工作范围有重合的施工</w:t>
            </w:r>
            <w:r>
              <w:rPr>
                <w:color w:val="auto"/>
                <w:spacing w:val="9"/>
                <w:highlight w:val="none"/>
              </w:rPr>
              <w:t>监理标段和中</w:t>
            </w:r>
            <w:r>
              <w:rPr>
                <w:color w:val="auto"/>
                <w:spacing w:val="12"/>
                <w:highlight w:val="none"/>
              </w:rPr>
              <w:t>心试验室试验检测服务标段不允许兼中，即施工监理</w:t>
            </w:r>
            <w:r>
              <w:rPr>
                <w:color w:val="auto"/>
                <w:spacing w:val="-87"/>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91"/>
                <w:highlight w:val="none"/>
              </w:rPr>
              <w:t xml:space="preserve"> </w:t>
            </w:r>
            <w:r>
              <w:rPr>
                <w:color w:val="auto"/>
                <w:spacing w:val="12"/>
                <w:highlight w:val="none"/>
              </w:rPr>
              <w:t>标段与中心试验室试验检</w:t>
            </w:r>
            <w:r>
              <w:rPr>
                <w:color w:val="auto"/>
                <w:spacing w:val="6"/>
                <w:highlight w:val="none"/>
              </w:rPr>
              <w:t>测服务</w:t>
            </w:r>
            <w:r>
              <w:rPr>
                <w:color w:val="auto"/>
                <w:spacing w:val="6"/>
                <w:highlight w:val="none"/>
                <w:u w:val="single" w:color="auto"/>
              </w:rPr>
              <w:t xml:space="preserve">  </w:t>
            </w:r>
            <w:r>
              <w:rPr>
                <w:rFonts w:hint="eastAsia"/>
                <w:color w:val="auto"/>
                <w:spacing w:val="6"/>
                <w:highlight w:val="none"/>
                <w:u w:val="single" w:color="auto"/>
                <w:lang w:val="en-US" w:eastAsia="zh-CN"/>
              </w:rPr>
              <w:t>/</w:t>
            </w:r>
            <w:r>
              <w:rPr>
                <w:color w:val="auto"/>
                <w:spacing w:val="6"/>
                <w:highlight w:val="none"/>
                <w:u w:val="single" w:color="auto"/>
              </w:rPr>
              <w:t xml:space="preserve"> </w:t>
            </w:r>
            <w:r>
              <w:rPr>
                <w:color w:val="auto"/>
                <w:spacing w:val="-77"/>
                <w:highlight w:val="none"/>
              </w:rPr>
              <w:t xml:space="preserve"> </w:t>
            </w:r>
            <w:r>
              <w:rPr>
                <w:color w:val="auto"/>
                <w:spacing w:val="6"/>
                <w:highlight w:val="none"/>
              </w:rPr>
              <w:t>标段工作范围重合。</w:t>
            </w:r>
          </w:p>
          <w:p w14:paraId="165133A5">
            <w:pPr>
              <w:pStyle w:val="23"/>
              <w:spacing w:before="14" w:line="310" w:lineRule="auto"/>
              <w:ind w:left="126" w:right="113" w:hanging="4"/>
              <w:rPr>
                <w:color w:val="auto"/>
                <w:highlight w:val="none"/>
              </w:rPr>
            </w:pPr>
            <w:r>
              <w:rPr>
                <w:color w:val="auto"/>
                <w:spacing w:val="11"/>
                <w:highlight w:val="none"/>
              </w:rPr>
              <w:t>5.在“信用中国</w:t>
            </w:r>
            <w:r>
              <w:rPr>
                <w:color w:val="auto"/>
                <w:spacing w:val="-56"/>
                <w:highlight w:val="none"/>
              </w:rPr>
              <w:t xml:space="preserve"> </w:t>
            </w:r>
            <w:r>
              <w:rPr>
                <w:color w:val="auto"/>
                <w:spacing w:val="11"/>
                <w:highlight w:val="none"/>
              </w:rPr>
              <w:t>”网站中被列入失信被执行人名单的投标人，在国家企业信用信</w:t>
            </w:r>
            <w:r>
              <w:rPr>
                <w:color w:val="auto"/>
                <w:spacing w:val="9"/>
                <w:highlight w:val="none"/>
              </w:rPr>
              <w:t>息公示系统中被列入严重违法失信名单的投标人，均按否决投标处理。</w:t>
            </w:r>
          </w:p>
          <w:p w14:paraId="7BAC96A3">
            <w:pPr>
              <w:pStyle w:val="23"/>
              <w:spacing w:before="1" w:line="226" w:lineRule="auto"/>
              <w:ind w:left="118"/>
              <w:rPr>
                <w:color w:val="auto"/>
                <w:highlight w:val="none"/>
              </w:rPr>
            </w:pPr>
            <w:r>
              <w:rPr>
                <w:color w:val="auto"/>
                <w:spacing w:val="6"/>
                <w:highlight w:val="none"/>
              </w:rPr>
              <w:t>6.</w:t>
            </w:r>
            <w:r>
              <w:rPr>
                <w:color w:val="auto"/>
                <w:spacing w:val="8"/>
                <w:highlight w:val="none"/>
              </w:rPr>
              <w:t>招标人将</w:t>
            </w:r>
            <w:r>
              <w:rPr>
                <w:color w:val="auto"/>
                <w:spacing w:val="8"/>
                <w:highlight w:val="none"/>
                <w:u w:val="single" w:color="auto"/>
              </w:rPr>
              <w:t xml:space="preserve"> 不组织</w:t>
            </w:r>
            <w:r>
              <w:rPr>
                <w:rFonts w:hint="eastAsia"/>
                <w:color w:val="auto"/>
                <w:spacing w:val="8"/>
                <w:highlight w:val="none"/>
                <w:u w:val="single" w:color="auto"/>
                <w:lang w:val="en-US" w:eastAsia="zh-CN"/>
              </w:rPr>
              <w:t xml:space="preserve"> </w:t>
            </w:r>
            <w:r>
              <w:rPr>
                <w:color w:val="auto"/>
                <w:spacing w:val="8"/>
                <w:highlight w:val="none"/>
              </w:rPr>
              <w:t>踏勘现场和投标预备会。</w:t>
            </w:r>
          </w:p>
          <w:p w14:paraId="5D5CC557">
            <w:pPr>
              <w:pStyle w:val="23"/>
              <w:spacing w:before="163" w:line="356" w:lineRule="auto"/>
              <w:ind w:left="117" w:right="113" w:firstLine="2"/>
              <w:rPr>
                <w:color w:val="auto"/>
                <w:highlight w:val="none"/>
              </w:rPr>
            </w:pPr>
            <w:r>
              <w:rPr>
                <w:rFonts w:hint="eastAsia" w:ascii="MingLiU-ExtB" w:hAnsi="MingLiU-ExtB" w:cs="MingLiU-ExtB"/>
                <w:color w:val="auto"/>
                <w:spacing w:val="9"/>
                <w:highlight w:val="none"/>
                <w:lang w:val="en-US" w:eastAsia="zh-CN"/>
              </w:rPr>
              <w:t>7</w:t>
            </w:r>
            <w:r>
              <w:rPr>
                <w:color w:val="auto"/>
                <w:spacing w:val="9"/>
                <w:highlight w:val="none"/>
              </w:rPr>
              <w:t>.在规定的投标登记期间，如某个标段投标登记并获取招标</w:t>
            </w:r>
            <w:r>
              <w:rPr>
                <w:color w:val="auto"/>
                <w:spacing w:val="8"/>
                <w:highlight w:val="none"/>
              </w:rPr>
              <w:t>文件的投标人不足</w:t>
            </w:r>
            <w:r>
              <w:rPr>
                <w:color w:val="auto"/>
                <w:spacing w:val="-33"/>
                <w:highlight w:val="none"/>
              </w:rPr>
              <w:t xml:space="preserve"> </w:t>
            </w:r>
            <w:r>
              <w:rPr>
                <w:color w:val="auto"/>
                <w:spacing w:val="8"/>
                <w:highlight w:val="none"/>
              </w:rPr>
              <w:t>3</w:t>
            </w:r>
            <w:r>
              <w:rPr>
                <w:color w:val="auto"/>
                <w:spacing w:val="-36"/>
                <w:highlight w:val="none"/>
              </w:rPr>
              <w:t xml:space="preserve"> </w:t>
            </w:r>
            <w:r>
              <w:rPr>
                <w:color w:val="auto"/>
                <w:spacing w:val="8"/>
                <w:highlight w:val="none"/>
              </w:rPr>
              <w:t>家</w:t>
            </w:r>
            <w:r>
              <w:rPr>
                <w:color w:val="auto"/>
                <w:spacing w:val="10"/>
                <w:highlight w:val="none"/>
              </w:rPr>
              <w:t>时，招标人有权选择以下任一方式</w:t>
            </w:r>
            <w:r>
              <w:rPr>
                <w:color w:val="auto"/>
                <w:spacing w:val="-5"/>
                <w:highlight w:val="none"/>
              </w:rPr>
              <w:t>：（</w:t>
            </w:r>
            <w:r>
              <w:rPr>
                <w:color w:val="auto"/>
                <w:spacing w:val="10"/>
                <w:highlight w:val="none"/>
              </w:rPr>
              <w:t>1）在</w:t>
            </w:r>
            <w:r>
              <w:rPr>
                <w:color w:val="auto"/>
                <w:spacing w:val="10"/>
                <w:highlight w:val="none"/>
                <w:u w:val="single" w:color="auto"/>
              </w:rPr>
              <w:t>广东省招标投标监管网及</w:t>
            </w:r>
            <w:r>
              <w:rPr>
                <w:rFonts w:hint="eastAsia"/>
                <w:color w:val="auto"/>
                <w:spacing w:val="10"/>
                <w:highlight w:val="none"/>
                <w:u w:val="single" w:color="auto"/>
              </w:rPr>
              <w:t>全国公共资源交易平台（广东省·韶关市）</w:t>
            </w:r>
            <w:r>
              <w:rPr>
                <w:color w:val="auto"/>
                <w:spacing w:val="10"/>
                <w:highlight w:val="none"/>
                <w:u w:val="single" w:color="auto"/>
              </w:rPr>
              <w:t>网站</w:t>
            </w:r>
            <w:r>
              <w:rPr>
                <w:color w:val="auto"/>
                <w:spacing w:val="10"/>
                <w:highlight w:val="none"/>
              </w:rPr>
              <w:t>发布公告延长上述投标人家数不足的标段投标登记和获取</w:t>
            </w:r>
            <w:r>
              <w:rPr>
                <w:color w:val="auto"/>
                <w:spacing w:val="9"/>
                <w:highlight w:val="none"/>
              </w:rPr>
              <w:t>招标文件</w:t>
            </w:r>
            <w:r>
              <w:rPr>
                <w:color w:val="auto"/>
                <w:spacing w:val="10"/>
                <w:highlight w:val="none"/>
              </w:rPr>
              <w:t>时间，在延期投标登记和获取招标文件时间内，已投标登记投标人的资料</w:t>
            </w:r>
            <w:r>
              <w:rPr>
                <w:color w:val="auto"/>
                <w:spacing w:val="9"/>
                <w:highlight w:val="none"/>
              </w:rPr>
              <w:t>仍有效并</w:t>
            </w:r>
            <w:r>
              <w:rPr>
                <w:color w:val="auto"/>
                <w:spacing w:val="10"/>
                <w:highlight w:val="none"/>
              </w:rPr>
              <w:t>可自行补充资料，未投标登记的投标人可根据公告的约定进行投标登记并</w:t>
            </w:r>
            <w:r>
              <w:rPr>
                <w:color w:val="auto"/>
                <w:spacing w:val="9"/>
                <w:highlight w:val="none"/>
              </w:rPr>
              <w:t>获取招标</w:t>
            </w:r>
            <w:r>
              <w:rPr>
                <w:color w:val="auto"/>
                <w:spacing w:val="20"/>
                <w:highlight w:val="none"/>
              </w:rPr>
              <w:t>文件</w:t>
            </w:r>
            <w:r>
              <w:rPr>
                <w:color w:val="auto"/>
                <w:spacing w:val="-13"/>
                <w:highlight w:val="none"/>
              </w:rPr>
              <w:t>；</w:t>
            </w:r>
            <w:r>
              <w:rPr>
                <w:color w:val="auto"/>
                <w:spacing w:val="-65"/>
                <w:highlight w:val="none"/>
              </w:rPr>
              <w:t xml:space="preserve"> </w:t>
            </w:r>
            <w:r>
              <w:rPr>
                <w:color w:val="auto"/>
                <w:spacing w:val="-13"/>
                <w:highlight w:val="none"/>
              </w:rPr>
              <w:t>（</w:t>
            </w:r>
            <w:r>
              <w:rPr>
                <w:color w:val="auto"/>
                <w:spacing w:val="20"/>
                <w:highlight w:val="none"/>
              </w:rPr>
              <w:t>2）对上述投标人家数不足的标段依法重</w:t>
            </w:r>
            <w:r>
              <w:rPr>
                <w:color w:val="auto"/>
                <w:spacing w:val="19"/>
                <w:highlight w:val="none"/>
              </w:rPr>
              <w:t>新组织招标或依法开展后续工</w:t>
            </w:r>
            <w:r>
              <w:rPr>
                <w:color w:val="auto"/>
                <w:highlight w:val="none"/>
              </w:rPr>
              <w:t>作。</w:t>
            </w:r>
          </w:p>
          <w:p w14:paraId="200251B9">
            <w:pPr>
              <w:pStyle w:val="23"/>
              <w:spacing w:before="160" w:line="228" w:lineRule="auto"/>
              <w:ind w:left="133"/>
              <w:rPr>
                <w:color w:val="auto"/>
                <w:highlight w:val="none"/>
              </w:rPr>
            </w:pPr>
            <w:r>
              <w:rPr>
                <w:rFonts w:hint="eastAsia"/>
                <w:color w:val="auto"/>
                <w:spacing w:val="7"/>
                <w:highlight w:val="none"/>
                <w:lang w:val="en-US" w:eastAsia="zh-CN"/>
              </w:rPr>
              <w:t>8</w:t>
            </w:r>
            <w:r>
              <w:rPr>
                <w:color w:val="auto"/>
                <w:spacing w:val="7"/>
                <w:highlight w:val="none"/>
              </w:rPr>
              <w:t>.受理异议的联系人和联系方式：</w:t>
            </w:r>
          </w:p>
          <w:p w14:paraId="01ECEB26">
            <w:pPr>
              <w:pStyle w:val="23"/>
              <w:spacing w:before="164" w:line="228" w:lineRule="auto"/>
              <w:ind w:left="540"/>
              <w:rPr>
                <w:color w:val="auto"/>
                <w:highlight w:val="none"/>
              </w:rPr>
            </w:pPr>
            <w:r>
              <w:rPr>
                <w:color w:val="auto"/>
                <w:spacing w:val="8"/>
                <w:highlight w:val="none"/>
              </w:rPr>
              <w:t>异议受理部门：</w:t>
            </w:r>
            <w:r>
              <w:rPr>
                <w:color w:val="auto"/>
                <w:highlight w:val="none"/>
                <w:u w:val="single" w:color="auto"/>
              </w:rPr>
              <w:t xml:space="preserve"> </w:t>
            </w:r>
            <w:r>
              <w:rPr>
                <w:rFonts w:hint="eastAsia"/>
                <w:color w:val="auto"/>
                <w:highlight w:val="none"/>
                <w:u w:val="single" w:color="auto"/>
                <w:lang w:eastAsia="zh-CN"/>
              </w:rPr>
              <w:t>韶关市粤丹工程管理有限公司</w:t>
            </w:r>
          </w:p>
          <w:p w14:paraId="68934C9C">
            <w:pPr>
              <w:pStyle w:val="23"/>
              <w:spacing w:before="161" w:line="229" w:lineRule="auto"/>
              <w:ind w:left="538"/>
              <w:rPr>
                <w:color w:val="auto"/>
                <w:highlight w:val="none"/>
              </w:rPr>
            </w:pPr>
            <w:r>
              <w:rPr>
                <w:color w:val="auto"/>
                <w:spacing w:val="7"/>
                <w:highlight w:val="none"/>
              </w:rPr>
              <w:t>联系方式：</w:t>
            </w:r>
            <w:r>
              <w:rPr>
                <w:color w:val="auto"/>
                <w:highlight w:val="none"/>
                <w:u w:val="single" w:color="auto"/>
              </w:rPr>
              <w:t xml:space="preserve"> </w:t>
            </w:r>
            <w:r>
              <w:rPr>
                <w:rFonts w:hint="eastAsia"/>
                <w:color w:val="auto"/>
                <w:highlight w:val="none"/>
                <w:u w:val="single" w:color="auto"/>
                <w:lang w:val="en-US" w:eastAsia="zh-CN"/>
              </w:rPr>
              <w:t>13826307834</w:t>
            </w:r>
            <w:r>
              <w:rPr>
                <w:color w:val="auto"/>
                <w:highlight w:val="none"/>
                <w:u w:val="single" w:color="auto"/>
              </w:rPr>
              <w:t xml:space="preserve"> </w:t>
            </w:r>
          </w:p>
        </w:tc>
      </w:tr>
    </w:tbl>
    <w:p w14:paraId="7F7376D0">
      <w:pPr>
        <w:spacing w:line="249" w:lineRule="auto"/>
        <w:rPr>
          <w:rFonts w:ascii="Arial"/>
          <w:color w:val="auto"/>
          <w:sz w:val="21"/>
          <w:highlight w:val="none"/>
        </w:rPr>
      </w:pPr>
      <w:bookmarkStart w:id="17" w:name="bookmark32"/>
      <w:bookmarkEnd w:id="17"/>
      <w:bookmarkStart w:id="18" w:name="bookmark31"/>
      <w:bookmarkEnd w:id="18"/>
      <w:bookmarkStart w:id="19" w:name="bookmark33"/>
      <w:bookmarkEnd w:id="19"/>
    </w:p>
    <w:p w14:paraId="3839B993">
      <w:pPr>
        <w:spacing w:line="220" w:lineRule="auto"/>
        <w:rPr>
          <w:rFonts w:ascii="宋体" w:hAnsi="宋体" w:eastAsia="宋体" w:cs="宋体"/>
          <w:color w:val="auto"/>
          <w:sz w:val="18"/>
          <w:szCs w:val="18"/>
          <w:highlight w:val="none"/>
        </w:rPr>
        <w:sectPr>
          <w:footerReference r:id="rId9" w:type="default"/>
          <w:pgSz w:w="11906" w:h="16839"/>
          <w:pgMar w:top="1416" w:right="1102" w:bottom="1297" w:left="1102" w:header="0" w:footer="1067" w:gutter="0"/>
          <w:pgNumType w:fmt="decimal"/>
          <w:cols w:space="720" w:num="1"/>
        </w:sectPr>
      </w:pPr>
    </w:p>
    <w:p w14:paraId="345D7582">
      <w:pPr>
        <w:spacing w:before="47" w:line="218"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招标公告附件</w:t>
      </w:r>
    </w:p>
    <w:p w14:paraId="09BB9897">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附件 1：标段的划分及主要工程项目情况</w:t>
      </w:r>
    </w:p>
    <w:p w14:paraId="765A593D">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附件 2：</w:t>
      </w:r>
      <w:bookmarkStart w:id="20" w:name="bookmark39"/>
      <w:bookmarkEnd w:id="20"/>
      <w:r>
        <w:rPr>
          <w:rFonts w:hint="eastAsia" w:ascii="宋体" w:hAnsi="宋体" w:eastAsia="宋体" w:cs="宋体"/>
          <w:color w:val="auto"/>
          <w:spacing w:val="-4"/>
          <w:sz w:val="24"/>
          <w:szCs w:val="24"/>
          <w:highlight w:val="none"/>
        </w:rPr>
        <w:t>重要事项时间地点一览表</w:t>
      </w:r>
    </w:p>
    <w:p w14:paraId="4CC89A95">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 xml:space="preserve">附件 </w:t>
      </w:r>
      <w:r>
        <w:rPr>
          <w:rFonts w:hint="eastAsia" w:ascii="宋体" w:hAnsi="宋体" w:eastAsia="宋体" w:cs="宋体"/>
          <w:color w:val="auto"/>
          <w:spacing w:val="-4"/>
          <w:sz w:val="24"/>
          <w:szCs w:val="24"/>
          <w:highlight w:val="none"/>
          <w:lang w:val="en-US" w:eastAsia="zh-CN"/>
        </w:rPr>
        <w:t>3</w:t>
      </w:r>
      <w:r>
        <w:rPr>
          <w:rFonts w:ascii="宋体" w:hAnsi="宋体" w:eastAsia="宋体" w:cs="宋体"/>
          <w:color w:val="auto"/>
          <w:spacing w:val="-4"/>
          <w:sz w:val="24"/>
          <w:szCs w:val="24"/>
          <w:highlight w:val="none"/>
        </w:rPr>
        <w:t>：招标文件（含资格审查条件、评标办法</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定标办法</w:t>
      </w:r>
      <w:r>
        <w:rPr>
          <w:rFonts w:ascii="宋体" w:hAnsi="宋体" w:eastAsia="宋体" w:cs="宋体"/>
          <w:color w:val="auto"/>
          <w:spacing w:val="-4"/>
          <w:sz w:val="24"/>
          <w:szCs w:val="24"/>
          <w:highlight w:val="none"/>
        </w:rPr>
        <w:t>）</w:t>
      </w:r>
    </w:p>
    <w:p w14:paraId="6817D7E5">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以上附件可从发布公告的网站媒介上下载。</w:t>
      </w:r>
    </w:p>
    <w:p w14:paraId="135F530A">
      <w:pPr>
        <w:spacing w:line="243" w:lineRule="auto"/>
        <w:rPr>
          <w:rFonts w:ascii="Arial"/>
          <w:color w:val="auto"/>
          <w:sz w:val="21"/>
          <w:highlight w:val="none"/>
        </w:rPr>
      </w:pPr>
    </w:p>
    <w:p w14:paraId="3DE1446D">
      <w:pPr>
        <w:spacing w:line="243" w:lineRule="auto"/>
        <w:rPr>
          <w:rFonts w:ascii="Arial"/>
          <w:color w:val="auto"/>
          <w:sz w:val="21"/>
          <w:highlight w:val="none"/>
        </w:rPr>
      </w:pPr>
    </w:p>
    <w:p w14:paraId="58674206">
      <w:pPr>
        <w:spacing w:line="243" w:lineRule="auto"/>
        <w:rPr>
          <w:rFonts w:ascii="Arial"/>
          <w:color w:val="auto"/>
          <w:sz w:val="21"/>
          <w:highlight w:val="none"/>
        </w:rPr>
      </w:pPr>
    </w:p>
    <w:p w14:paraId="6524431F">
      <w:pPr>
        <w:spacing w:line="243" w:lineRule="auto"/>
        <w:rPr>
          <w:rFonts w:ascii="Arial"/>
          <w:color w:val="auto"/>
          <w:sz w:val="21"/>
          <w:highlight w:val="none"/>
        </w:rPr>
      </w:pPr>
    </w:p>
    <w:p w14:paraId="428DD3AA">
      <w:pPr>
        <w:spacing w:line="243" w:lineRule="auto"/>
        <w:rPr>
          <w:rFonts w:ascii="Arial"/>
          <w:color w:val="auto"/>
          <w:sz w:val="21"/>
          <w:highlight w:val="none"/>
        </w:rPr>
      </w:pPr>
    </w:p>
    <w:p w14:paraId="23748634">
      <w:pPr>
        <w:spacing w:line="243" w:lineRule="auto"/>
        <w:rPr>
          <w:rFonts w:ascii="Arial"/>
          <w:color w:val="auto"/>
          <w:sz w:val="21"/>
          <w:highlight w:val="none"/>
        </w:rPr>
      </w:pPr>
    </w:p>
    <w:p w14:paraId="7CC4B709">
      <w:pPr>
        <w:spacing w:line="243" w:lineRule="auto"/>
        <w:rPr>
          <w:rFonts w:ascii="Arial"/>
          <w:color w:val="auto"/>
          <w:sz w:val="21"/>
          <w:highlight w:val="none"/>
        </w:rPr>
      </w:pPr>
    </w:p>
    <w:p w14:paraId="7F77E376">
      <w:pPr>
        <w:spacing w:line="243" w:lineRule="auto"/>
        <w:rPr>
          <w:rFonts w:ascii="Arial"/>
          <w:color w:val="auto"/>
          <w:sz w:val="21"/>
          <w:highlight w:val="none"/>
        </w:rPr>
      </w:pPr>
    </w:p>
    <w:p w14:paraId="0A538F6E">
      <w:pPr>
        <w:spacing w:line="243" w:lineRule="auto"/>
        <w:rPr>
          <w:rFonts w:ascii="Arial"/>
          <w:color w:val="auto"/>
          <w:sz w:val="21"/>
          <w:highlight w:val="none"/>
        </w:rPr>
      </w:pPr>
    </w:p>
    <w:p w14:paraId="0883AC6E">
      <w:pPr>
        <w:spacing w:line="243" w:lineRule="auto"/>
        <w:rPr>
          <w:rFonts w:ascii="Arial"/>
          <w:color w:val="auto"/>
          <w:sz w:val="21"/>
          <w:highlight w:val="none"/>
        </w:rPr>
      </w:pPr>
    </w:p>
    <w:p w14:paraId="3A5F9980">
      <w:pPr>
        <w:spacing w:line="243" w:lineRule="auto"/>
        <w:rPr>
          <w:rFonts w:ascii="Arial"/>
          <w:color w:val="auto"/>
          <w:sz w:val="21"/>
          <w:highlight w:val="none"/>
        </w:rPr>
      </w:pPr>
    </w:p>
    <w:p w14:paraId="2B5E2263">
      <w:pPr>
        <w:spacing w:line="243" w:lineRule="auto"/>
        <w:rPr>
          <w:rFonts w:ascii="Arial"/>
          <w:color w:val="auto"/>
          <w:sz w:val="21"/>
          <w:highlight w:val="none"/>
        </w:rPr>
      </w:pPr>
    </w:p>
    <w:p w14:paraId="7F7A4CA3">
      <w:pPr>
        <w:spacing w:line="243" w:lineRule="auto"/>
        <w:rPr>
          <w:rFonts w:ascii="Arial"/>
          <w:color w:val="auto"/>
          <w:sz w:val="21"/>
          <w:highlight w:val="none"/>
        </w:rPr>
      </w:pPr>
    </w:p>
    <w:p w14:paraId="22C3985C">
      <w:pPr>
        <w:spacing w:line="243" w:lineRule="auto"/>
        <w:rPr>
          <w:rFonts w:ascii="Arial"/>
          <w:color w:val="auto"/>
          <w:sz w:val="21"/>
          <w:highlight w:val="none"/>
        </w:rPr>
      </w:pPr>
    </w:p>
    <w:p w14:paraId="466F98F6">
      <w:pPr>
        <w:spacing w:line="243" w:lineRule="auto"/>
        <w:rPr>
          <w:rFonts w:ascii="Arial"/>
          <w:color w:val="auto"/>
          <w:sz w:val="21"/>
          <w:highlight w:val="none"/>
        </w:rPr>
      </w:pPr>
    </w:p>
    <w:p w14:paraId="7BA023CC">
      <w:pPr>
        <w:spacing w:line="243" w:lineRule="auto"/>
        <w:rPr>
          <w:rFonts w:ascii="Arial"/>
          <w:color w:val="auto"/>
          <w:sz w:val="21"/>
          <w:highlight w:val="none"/>
        </w:rPr>
      </w:pPr>
    </w:p>
    <w:p w14:paraId="1D612DBA">
      <w:pPr>
        <w:spacing w:line="243" w:lineRule="auto"/>
        <w:rPr>
          <w:rFonts w:ascii="Arial"/>
          <w:color w:val="auto"/>
          <w:sz w:val="21"/>
          <w:highlight w:val="none"/>
        </w:rPr>
      </w:pPr>
    </w:p>
    <w:p w14:paraId="2E9A670B">
      <w:pPr>
        <w:spacing w:line="243" w:lineRule="auto"/>
        <w:rPr>
          <w:rFonts w:ascii="Arial"/>
          <w:color w:val="auto"/>
          <w:sz w:val="21"/>
          <w:highlight w:val="none"/>
        </w:rPr>
      </w:pPr>
    </w:p>
    <w:p w14:paraId="3EDBBC97">
      <w:pPr>
        <w:spacing w:line="243" w:lineRule="auto"/>
        <w:rPr>
          <w:rFonts w:ascii="Arial"/>
          <w:color w:val="auto"/>
          <w:sz w:val="21"/>
          <w:highlight w:val="none"/>
        </w:rPr>
      </w:pPr>
    </w:p>
    <w:p w14:paraId="50327D00">
      <w:pPr>
        <w:spacing w:line="243" w:lineRule="auto"/>
        <w:rPr>
          <w:rFonts w:ascii="Arial"/>
          <w:color w:val="auto"/>
          <w:sz w:val="21"/>
          <w:highlight w:val="none"/>
        </w:rPr>
      </w:pPr>
    </w:p>
    <w:p w14:paraId="48587166">
      <w:pPr>
        <w:spacing w:line="243" w:lineRule="auto"/>
        <w:rPr>
          <w:rFonts w:ascii="Arial"/>
          <w:color w:val="auto"/>
          <w:sz w:val="21"/>
          <w:highlight w:val="none"/>
        </w:rPr>
      </w:pPr>
    </w:p>
    <w:p w14:paraId="7E2CE8B8">
      <w:pPr>
        <w:spacing w:line="243" w:lineRule="auto"/>
        <w:rPr>
          <w:rFonts w:ascii="Arial"/>
          <w:color w:val="auto"/>
          <w:sz w:val="21"/>
          <w:highlight w:val="none"/>
        </w:rPr>
      </w:pPr>
    </w:p>
    <w:p w14:paraId="7EC4AB76">
      <w:pPr>
        <w:spacing w:line="243" w:lineRule="auto"/>
        <w:rPr>
          <w:rFonts w:ascii="Arial"/>
          <w:color w:val="auto"/>
          <w:sz w:val="21"/>
          <w:highlight w:val="none"/>
        </w:rPr>
      </w:pPr>
    </w:p>
    <w:p w14:paraId="4F3DC2CE">
      <w:pPr>
        <w:spacing w:line="243" w:lineRule="auto"/>
        <w:rPr>
          <w:rFonts w:ascii="Arial"/>
          <w:color w:val="auto"/>
          <w:sz w:val="21"/>
          <w:highlight w:val="none"/>
        </w:rPr>
      </w:pPr>
    </w:p>
    <w:p w14:paraId="5C5BD834">
      <w:pPr>
        <w:spacing w:line="243" w:lineRule="auto"/>
        <w:rPr>
          <w:rFonts w:ascii="Arial"/>
          <w:color w:val="auto"/>
          <w:sz w:val="21"/>
          <w:highlight w:val="none"/>
        </w:rPr>
      </w:pPr>
    </w:p>
    <w:p w14:paraId="616A8F45">
      <w:pPr>
        <w:spacing w:line="243" w:lineRule="auto"/>
        <w:rPr>
          <w:rFonts w:ascii="Arial"/>
          <w:color w:val="auto"/>
          <w:sz w:val="21"/>
          <w:highlight w:val="none"/>
        </w:rPr>
      </w:pPr>
    </w:p>
    <w:p w14:paraId="78AC57FC">
      <w:pPr>
        <w:spacing w:line="243" w:lineRule="auto"/>
        <w:rPr>
          <w:rFonts w:ascii="Arial"/>
          <w:color w:val="auto"/>
          <w:sz w:val="21"/>
          <w:highlight w:val="none"/>
        </w:rPr>
      </w:pPr>
    </w:p>
    <w:p w14:paraId="2BE52E16">
      <w:pPr>
        <w:spacing w:line="243" w:lineRule="auto"/>
        <w:rPr>
          <w:rFonts w:ascii="Arial"/>
          <w:color w:val="auto"/>
          <w:sz w:val="21"/>
          <w:highlight w:val="none"/>
        </w:rPr>
      </w:pPr>
    </w:p>
    <w:p w14:paraId="6B1E333A">
      <w:pPr>
        <w:spacing w:line="243" w:lineRule="auto"/>
        <w:rPr>
          <w:rFonts w:ascii="Arial"/>
          <w:color w:val="auto"/>
          <w:sz w:val="21"/>
          <w:highlight w:val="none"/>
        </w:rPr>
      </w:pPr>
    </w:p>
    <w:p w14:paraId="65FE77D0">
      <w:pPr>
        <w:spacing w:line="243" w:lineRule="auto"/>
        <w:rPr>
          <w:rFonts w:ascii="Arial"/>
          <w:color w:val="auto"/>
          <w:sz w:val="21"/>
          <w:highlight w:val="none"/>
        </w:rPr>
      </w:pPr>
    </w:p>
    <w:p w14:paraId="3FB9DE92">
      <w:pPr>
        <w:spacing w:line="243" w:lineRule="auto"/>
        <w:rPr>
          <w:rFonts w:ascii="Arial"/>
          <w:color w:val="auto"/>
          <w:sz w:val="21"/>
          <w:highlight w:val="none"/>
        </w:rPr>
      </w:pPr>
    </w:p>
    <w:p w14:paraId="0D164F52">
      <w:pPr>
        <w:spacing w:line="243" w:lineRule="auto"/>
        <w:rPr>
          <w:rFonts w:ascii="Arial"/>
          <w:color w:val="auto"/>
          <w:sz w:val="21"/>
          <w:highlight w:val="none"/>
        </w:rPr>
      </w:pPr>
    </w:p>
    <w:p w14:paraId="12D6A3E1">
      <w:pPr>
        <w:spacing w:line="243" w:lineRule="auto"/>
        <w:rPr>
          <w:rFonts w:ascii="Arial"/>
          <w:color w:val="auto"/>
          <w:sz w:val="21"/>
          <w:highlight w:val="none"/>
        </w:rPr>
      </w:pPr>
    </w:p>
    <w:p w14:paraId="27DCA341">
      <w:pPr>
        <w:spacing w:line="243" w:lineRule="auto"/>
        <w:rPr>
          <w:rFonts w:ascii="Arial"/>
          <w:color w:val="auto"/>
          <w:sz w:val="21"/>
          <w:highlight w:val="none"/>
        </w:rPr>
      </w:pPr>
    </w:p>
    <w:p w14:paraId="66D039A4">
      <w:pPr>
        <w:spacing w:line="243" w:lineRule="auto"/>
        <w:rPr>
          <w:rFonts w:ascii="Arial"/>
          <w:color w:val="auto"/>
          <w:sz w:val="21"/>
          <w:highlight w:val="none"/>
        </w:rPr>
      </w:pPr>
    </w:p>
    <w:p w14:paraId="71BDEAA5">
      <w:pPr>
        <w:spacing w:line="243" w:lineRule="auto"/>
        <w:rPr>
          <w:rFonts w:ascii="Arial"/>
          <w:color w:val="auto"/>
          <w:sz w:val="21"/>
          <w:highlight w:val="none"/>
        </w:rPr>
      </w:pPr>
    </w:p>
    <w:p w14:paraId="3AE722B1">
      <w:pPr>
        <w:spacing w:line="243" w:lineRule="auto"/>
        <w:rPr>
          <w:rFonts w:ascii="Arial"/>
          <w:color w:val="auto"/>
          <w:sz w:val="21"/>
          <w:highlight w:val="none"/>
        </w:rPr>
      </w:pPr>
    </w:p>
    <w:p w14:paraId="298C100A">
      <w:pPr>
        <w:spacing w:line="243" w:lineRule="auto"/>
        <w:rPr>
          <w:rFonts w:ascii="Arial"/>
          <w:color w:val="auto"/>
          <w:sz w:val="21"/>
          <w:highlight w:val="none"/>
        </w:rPr>
      </w:pPr>
    </w:p>
    <w:p w14:paraId="70E548C1">
      <w:pPr>
        <w:spacing w:line="243" w:lineRule="auto"/>
        <w:rPr>
          <w:rFonts w:ascii="Arial"/>
          <w:color w:val="auto"/>
          <w:sz w:val="21"/>
          <w:highlight w:val="none"/>
        </w:rPr>
      </w:pPr>
    </w:p>
    <w:p w14:paraId="2A005859">
      <w:pPr>
        <w:spacing w:line="243" w:lineRule="auto"/>
        <w:rPr>
          <w:rFonts w:ascii="Arial"/>
          <w:color w:val="auto"/>
          <w:sz w:val="21"/>
          <w:highlight w:val="none"/>
        </w:rPr>
      </w:pPr>
    </w:p>
    <w:p w14:paraId="385D167A">
      <w:pPr>
        <w:spacing w:line="243" w:lineRule="auto"/>
        <w:rPr>
          <w:rFonts w:ascii="Arial"/>
          <w:color w:val="auto"/>
          <w:sz w:val="21"/>
          <w:highlight w:val="none"/>
        </w:rPr>
      </w:pPr>
    </w:p>
    <w:p w14:paraId="7DC625F3">
      <w:pPr>
        <w:spacing w:line="243" w:lineRule="auto"/>
        <w:rPr>
          <w:rFonts w:ascii="Arial"/>
          <w:color w:val="auto"/>
          <w:sz w:val="21"/>
          <w:highlight w:val="none"/>
        </w:rPr>
      </w:pPr>
    </w:p>
    <w:p w14:paraId="16886A52">
      <w:pPr>
        <w:spacing w:line="243" w:lineRule="auto"/>
        <w:rPr>
          <w:rFonts w:ascii="Arial"/>
          <w:color w:val="auto"/>
          <w:sz w:val="21"/>
          <w:highlight w:val="none"/>
        </w:rPr>
      </w:pPr>
    </w:p>
    <w:p w14:paraId="6671BFAF">
      <w:pPr>
        <w:spacing w:line="243" w:lineRule="auto"/>
        <w:rPr>
          <w:rFonts w:ascii="Arial"/>
          <w:color w:val="auto"/>
          <w:sz w:val="21"/>
          <w:highlight w:val="none"/>
        </w:rPr>
      </w:pPr>
    </w:p>
    <w:p w14:paraId="1BE404F9">
      <w:pPr>
        <w:spacing w:line="243" w:lineRule="auto"/>
        <w:rPr>
          <w:rFonts w:ascii="Arial"/>
          <w:color w:val="auto"/>
          <w:sz w:val="21"/>
          <w:highlight w:val="none"/>
        </w:rPr>
      </w:pPr>
    </w:p>
    <w:p w14:paraId="5F8003DA">
      <w:pPr>
        <w:spacing w:line="244" w:lineRule="auto"/>
        <w:rPr>
          <w:rFonts w:ascii="Arial"/>
          <w:color w:val="auto"/>
          <w:sz w:val="21"/>
          <w:highlight w:val="none"/>
        </w:rPr>
      </w:pPr>
    </w:p>
    <w:p w14:paraId="27DFA77E">
      <w:pPr>
        <w:spacing w:line="244" w:lineRule="auto"/>
        <w:rPr>
          <w:rFonts w:ascii="Arial"/>
          <w:color w:val="auto"/>
          <w:sz w:val="21"/>
          <w:highlight w:val="none"/>
        </w:rPr>
      </w:pPr>
    </w:p>
    <w:p w14:paraId="254F1438">
      <w:pPr>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br w:type="page"/>
      </w:r>
    </w:p>
    <w:p w14:paraId="4670ECB8">
      <w:pPr>
        <w:spacing w:before="44" w:line="223" w:lineRule="auto"/>
        <w:ind w:left="120"/>
        <w:rPr>
          <w:rFonts w:ascii="MingLiU-ExtB" w:hAnsi="MingLiU-ExtB" w:eastAsia="MingLiU-ExtB" w:cs="MingLiU-ExtB"/>
          <w:color w:val="auto"/>
          <w:sz w:val="20"/>
          <w:szCs w:val="20"/>
          <w:highlight w:val="none"/>
        </w:rPr>
      </w:pPr>
      <w:r>
        <w:rPr>
          <w:rFonts w:ascii="宋体" w:hAnsi="宋体" w:eastAsia="宋体" w:cs="宋体"/>
          <w:b/>
          <w:bCs/>
          <w:color w:val="auto"/>
          <w:spacing w:val="5"/>
          <w:sz w:val="20"/>
          <w:szCs w:val="20"/>
          <w:highlight w:val="none"/>
        </w:rPr>
        <w:t>招标公告附件</w:t>
      </w:r>
      <w:r>
        <w:rPr>
          <w:rFonts w:ascii="宋体" w:hAnsi="宋体" w:eastAsia="宋体" w:cs="宋体"/>
          <w:color w:val="auto"/>
          <w:spacing w:val="-19"/>
          <w:sz w:val="20"/>
          <w:szCs w:val="20"/>
          <w:highlight w:val="none"/>
        </w:rPr>
        <w:t xml:space="preserve"> </w:t>
      </w:r>
      <w:r>
        <w:rPr>
          <w:rFonts w:ascii="MingLiU-ExtB" w:hAnsi="MingLiU-ExtB" w:eastAsia="MingLiU-ExtB" w:cs="MingLiU-ExtB"/>
          <w:b/>
          <w:bCs/>
          <w:color w:val="auto"/>
          <w:spacing w:val="5"/>
          <w:sz w:val="20"/>
          <w:szCs w:val="20"/>
          <w:highlight w:val="none"/>
        </w:rPr>
        <w:t>1</w:t>
      </w:r>
    </w:p>
    <w:tbl>
      <w:tblPr>
        <w:tblStyle w:val="22"/>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9"/>
        <w:gridCol w:w="948"/>
        <w:gridCol w:w="896"/>
        <w:gridCol w:w="2677"/>
        <w:gridCol w:w="1727"/>
        <w:gridCol w:w="1230"/>
      </w:tblGrid>
      <w:tr w14:paraId="05EC3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1" w:type="dxa"/>
            <w:vAlign w:val="top"/>
          </w:tcPr>
          <w:p w14:paraId="688F364D">
            <w:pPr>
              <w:pStyle w:val="23"/>
              <w:spacing w:before="192" w:line="228" w:lineRule="auto"/>
              <w:ind w:left="259"/>
              <w:rPr>
                <w:color w:val="auto"/>
                <w:highlight w:val="none"/>
              </w:rPr>
            </w:pPr>
            <w:r>
              <w:rPr>
                <w:color w:val="auto"/>
                <w:spacing w:val="4"/>
                <w:highlight w:val="none"/>
              </w:rPr>
              <w:t>标类</w:t>
            </w:r>
          </w:p>
        </w:tc>
        <w:tc>
          <w:tcPr>
            <w:tcW w:w="709" w:type="dxa"/>
            <w:vAlign w:val="top"/>
          </w:tcPr>
          <w:p w14:paraId="1553ABC8">
            <w:pPr>
              <w:pStyle w:val="23"/>
              <w:spacing w:before="37" w:line="271" w:lineRule="auto"/>
              <w:ind w:left="258" w:right="146" w:hanging="109"/>
              <w:rPr>
                <w:color w:val="auto"/>
                <w:highlight w:val="none"/>
              </w:rPr>
            </w:pPr>
            <w:r>
              <w:rPr>
                <w:color w:val="auto"/>
                <w:spacing w:val="4"/>
                <w:highlight w:val="none"/>
              </w:rPr>
              <w:t>标段</w:t>
            </w:r>
            <w:r>
              <w:rPr>
                <w:color w:val="auto"/>
                <w:highlight w:val="none"/>
              </w:rPr>
              <w:t>号</w:t>
            </w:r>
          </w:p>
        </w:tc>
        <w:tc>
          <w:tcPr>
            <w:tcW w:w="948" w:type="dxa"/>
            <w:vAlign w:val="top"/>
          </w:tcPr>
          <w:p w14:paraId="6EA16ADC">
            <w:pPr>
              <w:pStyle w:val="23"/>
              <w:spacing w:before="37" w:line="228" w:lineRule="auto"/>
              <w:ind w:left="162"/>
              <w:rPr>
                <w:color w:val="auto"/>
                <w:highlight w:val="none"/>
              </w:rPr>
            </w:pPr>
            <w:r>
              <w:rPr>
                <w:color w:val="auto"/>
                <w:spacing w:val="6"/>
                <w:highlight w:val="none"/>
              </w:rPr>
              <w:t>合同起</w:t>
            </w:r>
          </w:p>
          <w:p w14:paraId="29D222D7">
            <w:pPr>
              <w:pStyle w:val="23"/>
              <w:spacing w:before="64" w:line="228" w:lineRule="auto"/>
              <w:ind w:left="162"/>
              <w:rPr>
                <w:color w:val="auto"/>
                <w:highlight w:val="none"/>
              </w:rPr>
            </w:pPr>
            <w:r>
              <w:rPr>
                <w:color w:val="auto"/>
                <w:spacing w:val="6"/>
                <w:highlight w:val="none"/>
              </w:rPr>
              <w:t>讫桩号</w:t>
            </w:r>
          </w:p>
        </w:tc>
        <w:tc>
          <w:tcPr>
            <w:tcW w:w="896" w:type="dxa"/>
            <w:vAlign w:val="top"/>
          </w:tcPr>
          <w:p w14:paraId="26CAC02B">
            <w:pPr>
              <w:pStyle w:val="23"/>
              <w:spacing w:before="37" w:line="228" w:lineRule="auto"/>
              <w:ind w:left="245"/>
              <w:rPr>
                <w:color w:val="auto"/>
                <w:highlight w:val="none"/>
              </w:rPr>
            </w:pPr>
            <w:r>
              <w:rPr>
                <w:color w:val="auto"/>
                <w:spacing w:val="3"/>
                <w:highlight w:val="none"/>
              </w:rPr>
              <w:t>里程</w:t>
            </w:r>
          </w:p>
          <w:p w14:paraId="7C0E2450">
            <w:pPr>
              <w:pStyle w:val="23"/>
              <w:spacing w:before="65" w:line="228" w:lineRule="auto"/>
              <w:ind w:left="244"/>
              <w:rPr>
                <w:color w:val="auto"/>
                <w:highlight w:val="none"/>
              </w:rPr>
            </w:pPr>
            <w:r>
              <w:rPr>
                <w:color w:val="auto"/>
                <w:spacing w:val="4"/>
                <w:highlight w:val="none"/>
              </w:rPr>
              <w:t>长度</w:t>
            </w:r>
          </w:p>
        </w:tc>
        <w:tc>
          <w:tcPr>
            <w:tcW w:w="2677" w:type="dxa"/>
            <w:vAlign w:val="top"/>
          </w:tcPr>
          <w:p w14:paraId="7CF896DC">
            <w:pPr>
              <w:pStyle w:val="23"/>
              <w:spacing w:before="175" w:line="264" w:lineRule="exact"/>
              <w:ind w:left="1016"/>
              <w:rPr>
                <w:color w:val="auto"/>
                <w:sz w:val="10"/>
                <w:szCs w:val="10"/>
                <w:highlight w:val="none"/>
              </w:rPr>
            </w:pPr>
            <w:r>
              <w:rPr>
                <w:b/>
                <w:bCs/>
                <w:color w:val="auto"/>
                <w:spacing w:val="6"/>
                <w:highlight w:val="none"/>
              </w:rPr>
              <w:t>招标内容</w:t>
            </w:r>
          </w:p>
        </w:tc>
        <w:tc>
          <w:tcPr>
            <w:tcW w:w="1727" w:type="dxa"/>
            <w:vAlign w:val="top"/>
          </w:tcPr>
          <w:p w14:paraId="04D9BF42">
            <w:pPr>
              <w:pStyle w:val="23"/>
              <w:spacing w:before="192" w:line="228" w:lineRule="auto"/>
              <w:ind w:left="199"/>
              <w:rPr>
                <w:color w:val="auto"/>
                <w:highlight w:val="none"/>
              </w:rPr>
            </w:pPr>
            <w:r>
              <w:rPr>
                <w:color w:val="auto"/>
                <w:spacing w:val="7"/>
                <w:highlight w:val="none"/>
              </w:rPr>
              <w:t>监理服务期</w:t>
            </w:r>
          </w:p>
        </w:tc>
        <w:tc>
          <w:tcPr>
            <w:tcW w:w="1230" w:type="dxa"/>
            <w:vAlign w:val="top"/>
          </w:tcPr>
          <w:p w14:paraId="62491B99">
            <w:pPr>
              <w:pStyle w:val="23"/>
              <w:spacing w:before="175" w:line="264" w:lineRule="exact"/>
              <w:ind w:left="157"/>
              <w:rPr>
                <w:color w:val="auto"/>
                <w:sz w:val="10"/>
                <w:szCs w:val="10"/>
                <w:highlight w:val="none"/>
              </w:rPr>
            </w:pPr>
            <w:r>
              <w:rPr>
                <w:color w:val="auto"/>
                <w:spacing w:val="5"/>
                <w:highlight w:val="none"/>
              </w:rPr>
              <w:t>资质等级</w:t>
            </w:r>
          </w:p>
        </w:tc>
      </w:tr>
      <w:tr w14:paraId="3A27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trPr>
        <w:tc>
          <w:tcPr>
            <w:tcW w:w="821" w:type="dxa"/>
            <w:vAlign w:val="center"/>
          </w:tcPr>
          <w:p w14:paraId="58C5693B">
            <w:pPr>
              <w:pStyle w:val="23"/>
              <w:keepNext w:val="0"/>
              <w:keepLines w:val="0"/>
              <w:pageBreakBefore w:val="0"/>
              <w:widowControl/>
              <w:kinsoku w:val="0"/>
              <w:wordWrap/>
              <w:overflowPunct/>
              <w:topLinePunct w:val="0"/>
              <w:autoSpaceDE w:val="0"/>
              <w:autoSpaceDN w:val="0"/>
              <w:bidi w:val="0"/>
              <w:adjustRightInd w:val="0"/>
              <w:snapToGrid w:val="0"/>
              <w:spacing w:before="65" w:line="288" w:lineRule="auto"/>
              <w:ind w:left="10" w:leftChars="5" w:right="28" w:rightChars="0"/>
              <w:jc w:val="center"/>
              <w:textAlignment w:val="baseline"/>
              <w:rPr>
                <w:color w:val="auto"/>
                <w:highlight w:val="none"/>
              </w:rPr>
            </w:pPr>
            <w:r>
              <w:rPr>
                <w:rFonts w:hint="eastAsia"/>
                <w:b/>
                <w:bCs/>
                <w:color w:val="auto"/>
                <w:highlight w:val="none"/>
              </w:rPr>
              <w:t>土建监理含中心试验室（D类）</w:t>
            </w:r>
          </w:p>
        </w:tc>
        <w:tc>
          <w:tcPr>
            <w:tcW w:w="709" w:type="dxa"/>
            <w:vAlign w:val="center"/>
          </w:tcPr>
          <w:p w14:paraId="228A6D06">
            <w:pPr>
              <w:pStyle w:val="23"/>
              <w:spacing w:before="65" w:line="284" w:lineRule="auto"/>
              <w:ind w:left="112" w:right="106" w:firstLine="10"/>
              <w:jc w:val="center"/>
              <w:rPr>
                <w:rFonts w:hint="eastAsia"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zh-CN"/>
              </w:rPr>
              <w:t>/</w:t>
            </w:r>
          </w:p>
        </w:tc>
        <w:tc>
          <w:tcPr>
            <w:tcW w:w="948" w:type="dxa"/>
            <w:vAlign w:val="center"/>
          </w:tcPr>
          <w:p w14:paraId="38559BA3">
            <w:pPr>
              <w:pStyle w:val="23"/>
              <w:spacing w:before="65" w:line="284" w:lineRule="auto"/>
              <w:ind w:left="112" w:right="106" w:firstLine="10"/>
              <w:jc w:val="center"/>
              <w:rPr>
                <w:rFonts w:ascii="宋体" w:hAnsi="宋体" w:eastAsia="宋体" w:cs="宋体"/>
                <w:color w:val="auto"/>
                <w:spacing w:val="7"/>
                <w:highlight w:val="none"/>
              </w:rPr>
            </w:pPr>
            <w:r>
              <w:rPr>
                <w:rFonts w:hint="eastAsia" w:ascii="宋体" w:hAnsi="宋体" w:eastAsia="宋体" w:cs="宋体"/>
                <w:color w:val="auto"/>
                <w:spacing w:val="7"/>
                <w:highlight w:val="none"/>
              </w:rPr>
              <w:t>K0+000~K4+237</w:t>
            </w:r>
          </w:p>
        </w:tc>
        <w:tc>
          <w:tcPr>
            <w:tcW w:w="896" w:type="dxa"/>
            <w:vAlign w:val="center"/>
          </w:tcPr>
          <w:p w14:paraId="0740B9CB">
            <w:pPr>
              <w:pStyle w:val="23"/>
              <w:spacing w:before="65" w:line="284" w:lineRule="auto"/>
              <w:ind w:left="112" w:right="106" w:firstLine="10"/>
              <w:jc w:val="center"/>
              <w:rPr>
                <w:rFonts w:hint="default" w:ascii="宋体" w:hAnsi="宋体" w:eastAsia="宋体" w:cs="宋体"/>
                <w:color w:val="auto"/>
                <w:spacing w:val="7"/>
                <w:highlight w:val="none"/>
                <w:lang w:val="en-US" w:eastAsia="zh-CN"/>
              </w:rPr>
            </w:pPr>
            <w:r>
              <w:rPr>
                <w:rFonts w:hint="eastAsia" w:cs="宋体"/>
                <w:color w:val="auto"/>
                <w:spacing w:val="7"/>
                <w:highlight w:val="none"/>
                <w:lang w:val="en-US" w:eastAsia="zh-CN"/>
              </w:rPr>
              <w:t>4.237</w:t>
            </w:r>
            <w:r>
              <w:rPr>
                <w:rFonts w:hint="eastAsia" w:ascii="宋体" w:hAnsi="宋体" w:eastAsia="宋体" w:cs="宋体"/>
                <w:color w:val="auto"/>
                <w:spacing w:val="7"/>
                <w:highlight w:val="none"/>
                <w:lang w:val="en-US" w:eastAsia="zh-CN"/>
              </w:rPr>
              <w:t>公里</w:t>
            </w:r>
          </w:p>
        </w:tc>
        <w:tc>
          <w:tcPr>
            <w:tcW w:w="2677" w:type="dxa"/>
            <w:vAlign w:val="top"/>
          </w:tcPr>
          <w:p w14:paraId="679CA50F">
            <w:pPr>
              <w:spacing w:line="434" w:lineRule="auto"/>
              <w:rPr>
                <w:rFonts w:ascii="Arial"/>
                <w:color w:val="auto"/>
                <w:sz w:val="21"/>
                <w:highlight w:val="none"/>
              </w:rPr>
            </w:pPr>
          </w:p>
          <w:p w14:paraId="398773A8">
            <w:pPr>
              <w:pStyle w:val="23"/>
              <w:spacing w:before="64" w:line="259" w:lineRule="auto"/>
              <w:ind w:left="112" w:right="106" w:firstLine="10"/>
              <w:rPr>
                <w:color w:val="auto"/>
                <w:highlight w:val="none"/>
              </w:rPr>
            </w:pPr>
            <w:r>
              <w:rPr>
                <w:rFonts w:hint="eastAsia"/>
                <w:color w:val="auto"/>
                <w:highlight w:val="none"/>
              </w:rPr>
              <w:t>里程范围内路基、路面、绿化、交通安全设施及沿线附属设施等的施工准备阶段、施工阶段、缺陷责任期阶段的施工监理、施工安全的监理，项目的环境保护、水土保持的监理，参建各方竣工档案编制工作的监理，以及配合业主交、竣工验收和配合业主竣工验收前的结算与决算的有关工作。并负责监理中心试验室的筹建工作。</w:t>
            </w:r>
          </w:p>
        </w:tc>
        <w:tc>
          <w:tcPr>
            <w:tcW w:w="1727" w:type="dxa"/>
            <w:vAlign w:val="center"/>
          </w:tcPr>
          <w:p w14:paraId="1B13F040">
            <w:pPr>
              <w:pStyle w:val="23"/>
              <w:spacing w:line="289" w:lineRule="auto"/>
              <w:ind w:left="115" w:right="103" w:hanging="1"/>
              <w:jc w:val="both"/>
              <w:rPr>
                <w:rFonts w:hint="eastAsia" w:eastAsia="宋体"/>
                <w:color w:val="auto"/>
                <w:highlight w:val="none"/>
                <w:lang w:eastAsia="zh-CN"/>
              </w:rPr>
            </w:pPr>
            <w:r>
              <w:rPr>
                <w:rFonts w:hint="eastAsia"/>
                <w:color w:val="auto"/>
                <w:spacing w:val="42"/>
                <w:highlight w:val="none"/>
                <w:lang w:eastAsia="zh-CN"/>
              </w:rPr>
              <w:t>施工监理服务期限为：</w:t>
            </w:r>
            <w:r>
              <w:rPr>
                <w:rFonts w:hint="eastAsia"/>
                <w:color w:val="auto"/>
                <w:spacing w:val="42"/>
                <w:highlight w:val="none"/>
                <w:u w:val="single"/>
                <w:lang w:eastAsia="zh-CN"/>
              </w:rPr>
              <w:t>48</w:t>
            </w:r>
            <w:r>
              <w:rPr>
                <w:rFonts w:hint="eastAsia"/>
                <w:color w:val="auto"/>
                <w:spacing w:val="42"/>
                <w:highlight w:val="none"/>
                <w:lang w:eastAsia="zh-CN"/>
              </w:rPr>
              <w:t>个月，包括施工准备阶段监理</w:t>
            </w:r>
            <w:r>
              <w:rPr>
                <w:rFonts w:hint="eastAsia"/>
                <w:color w:val="auto"/>
                <w:spacing w:val="42"/>
                <w:highlight w:val="none"/>
                <w:u w:val="single"/>
                <w:lang w:eastAsia="zh-CN"/>
              </w:rPr>
              <w:t>0.5</w:t>
            </w:r>
            <w:r>
              <w:rPr>
                <w:rFonts w:hint="eastAsia"/>
                <w:color w:val="auto"/>
                <w:spacing w:val="42"/>
                <w:highlight w:val="none"/>
                <w:lang w:eastAsia="zh-CN"/>
              </w:rPr>
              <w:t>个月，施工阶段监理</w:t>
            </w:r>
            <w:r>
              <w:rPr>
                <w:rFonts w:hint="eastAsia"/>
                <w:color w:val="auto"/>
                <w:spacing w:val="42"/>
                <w:highlight w:val="none"/>
                <w:u w:val="single"/>
                <w:lang w:eastAsia="zh-CN"/>
              </w:rPr>
              <w:t>23.5</w:t>
            </w:r>
            <w:r>
              <w:rPr>
                <w:rFonts w:hint="eastAsia"/>
                <w:color w:val="auto"/>
                <w:spacing w:val="42"/>
                <w:highlight w:val="none"/>
                <w:lang w:eastAsia="zh-CN"/>
              </w:rPr>
              <w:t>个月，交(竣)工验收及缺陷责任期监理</w:t>
            </w:r>
            <w:r>
              <w:rPr>
                <w:rFonts w:hint="eastAsia"/>
                <w:color w:val="auto"/>
                <w:spacing w:val="42"/>
                <w:highlight w:val="none"/>
                <w:u w:val="single"/>
                <w:lang w:eastAsia="zh-CN"/>
              </w:rPr>
              <w:t>24</w:t>
            </w:r>
            <w:r>
              <w:rPr>
                <w:rFonts w:hint="eastAsia"/>
                <w:color w:val="auto"/>
                <w:spacing w:val="42"/>
                <w:highlight w:val="none"/>
                <w:lang w:eastAsia="zh-CN"/>
              </w:rPr>
              <w:t>个月，如施工工期进行调整，监理服务期也相应进行调整。</w:t>
            </w:r>
          </w:p>
        </w:tc>
        <w:tc>
          <w:tcPr>
            <w:tcW w:w="1230" w:type="dxa"/>
            <w:vAlign w:val="top"/>
          </w:tcPr>
          <w:p w14:paraId="32E9D619">
            <w:pPr>
              <w:spacing w:line="274" w:lineRule="auto"/>
              <w:rPr>
                <w:rFonts w:ascii="Arial"/>
                <w:color w:val="auto"/>
                <w:sz w:val="21"/>
                <w:highlight w:val="none"/>
              </w:rPr>
            </w:pPr>
          </w:p>
          <w:p w14:paraId="3CDD81D8">
            <w:pPr>
              <w:spacing w:line="274" w:lineRule="auto"/>
              <w:rPr>
                <w:rFonts w:ascii="Arial"/>
                <w:color w:val="auto"/>
                <w:sz w:val="21"/>
                <w:highlight w:val="none"/>
              </w:rPr>
            </w:pPr>
          </w:p>
          <w:p w14:paraId="4B72B1C8">
            <w:pPr>
              <w:spacing w:line="274" w:lineRule="auto"/>
              <w:rPr>
                <w:rFonts w:ascii="Arial"/>
                <w:color w:val="auto"/>
                <w:sz w:val="21"/>
                <w:highlight w:val="none"/>
              </w:rPr>
            </w:pPr>
          </w:p>
          <w:p w14:paraId="595A0293">
            <w:pPr>
              <w:spacing w:line="274" w:lineRule="auto"/>
              <w:rPr>
                <w:rFonts w:ascii="Arial"/>
                <w:color w:val="auto"/>
                <w:sz w:val="21"/>
                <w:highlight w:val="none"/>
              </w:rPr>
            </w:pPr>
          </w:p>
          <w:p w14:paraId="2C3CD8D7">
            <w:pPr>
              <w:spacing w:line="275" w:lineRule="auto"/>
              <w:rPr>
                <w:rFonts w:ascii="Arial"/>
                <w:color w:val="auto"/>
                <w:sz w:val="21"/>
                <w:highlight w:val="none"/>
              </w:rPr>
            </w:pPr>
          </w:p>
          <w:p w14:paraId="2789306A">
            <w:pPr>
              <w:pStyle w:val="23"/>
              <w:spacing w:before="65" w:line="289" w:lineRule="auto"/>
              <w:ind w:left="115" w:right="107" w:firstLine="4"/>
              <w:jc w:val="both"/>
              <w:rPr>
                <w:color w:val="auto"/>
                <w:highlight w:val="none"/>
              </w:rPr>
            </w:pPr>
            <w:r>
              <w:rPr>
                <w:color w:val="auto"/>
                <w:spacing w:val="-2"/>
                <w:highlight w:val="none"/>
              </w:rPr>
              <w:t>具</w:t>
            </w:r>
            <w:r>
              <w:rPr>
                <w:color w:val="auto"/>
                <w:spacing w:val="-33"/>
                <w:highlight w:val="none"/>
              </w:rPr>
              <w:t xml:space="preserve"> </w:t>
            </w:r>
            <w:r>
              <w:rPr>
                <w:color w:val="auto"/>
                <w:spacing w:val="-2"/>
                <w:highlight w:val="none"/>
              </w:rPr>
              <w:t>有</w:t>
            </w:r>
            <w:r>
              <w:rPr>
                <w:color w:val="auto"/>
                <w:spacing w:val="-30"/>
                <w:highlight w:val="none"/>
              </w:rPr>
              <w:t xml:space="preserve"> </w:t>
            </w:r>
            <w:r>
              <w:rPr>
                <w:color w:val="auto"/>
                <w:spacing w:val="-2"/>
                <w:highlight w:val="none"/>
              </w:rPr>
              <w:t>交</w:t>
            </w:r>
            <w:r>
              <w:rPr>
                <w:color w:val="auto"/>
                <w:spacing w:val="-35"/>
                <w:highlight w:val="none"/>
              </w:rPr>
              <w:t xml:space="preserve"> </w:t>
            </w:r>
            <w:r>
              <w:rPr>
                <w:color w:val="auto"/>
                <w:spacing w:val="-2"/>
                <w:highlight w:val="none"/>
              </w:rPr>
              <w:t>通</w:t>
            </w:r>
            <w:r>
              <w:rPr>
                <w:color w:val="auto"/>
                <w:spacing w:val="-1"/>
                <w:highlight w:val="none"/>
              </w:rPr>
              <w:t>运</w:t>
            </w:r>
            <w:r>
              <w:rPr>
                <w:color w:val="auto"/>
                <w:spacing w:val="-35"/>
                <w:highlight w:val="none"/>
              </w:rPr>
              <w:t xml:space="preserve"> </w:t>
            </w:r>
            <w:r>
              <w:rPr>
                <w:color w:val="auto"/>
                <w:spacing w:val="-1"/>
                <w:highlight w:val="none"/>
              </w:rPr>
              <w:t>输</w:t>
            </w:r>
            <w:r>
              <w:rPr>
                <w:color w:val="auto"/>
                <w:spacing w:val="-33"/>
                <w:highlight w:val="none"/>
              </w:rPr>
              <w:t xml:space="preserve"> </w:t>
            </w:r>
            <w:r>
              <w:rPr>
                <w:color w:val="auto"/>
                <w:spacing w:val="-1"/>
                <w:highlight w:val="none"/>
              </w:rPr>
              <w:t>主</w:t>
            </w:r>
            <w:r>
              <w:rPr>
                <w:color w:val="auto"/>
                <w:spacing w:val="-29"/>
                <w:highlight w:val="none"/>
              </w:rPr>
              <w:t xml:space="preserve"> </w:t>
            </w:r>
            <w:r>
              <w:rPr>
                <w:color w:val="auto"/>
                <w:spacing w:val="-1"/>
                <w:highlight w:val="none"/>
              </w:rPr>
              <w:t>管</w:t>
            </w:r>
            <w:r>
              <w:rPr>
                <w:color w:val="auto"/>
                <w:spacing w:val="-7"/>
                <w:highlight w:val="none"/>
              </w:rPr>
              <w:t>部</w:t>
            </w:r>
            <w:r>
              <w:rPr>
                <w:color w:val="auto"/>
                <w:spacing w:val="-10"/>
                <w:highlight w:val="none"/>
              </w:rPr>
              <w:t xml:space="preserve"> </w:t>
            </w:r>
            <w:r>
              <w:rPr>
                <w:color w:val="auto"/>
                <w:spacing w:val="-7"/>
                <w:highlight w:val="none"/>
              </w:rPr>
              <w:t>门</w:t>
            </w:r>
            <w:r>
              <w:rPr>
                <w:color w:val="auto"/>
                <w:spacing w:val="-32"/>
                <w:highlight w:val="none"/>
              </w:rPr>
              <w:t xml:space="preserve"> </w:t>
            </w:r>
            <w:r>
              <w:rPr>
                <w:color w:val="auto"/>
                <w:spacing w:val="-7"/>
                <w:highlight w:val="none"/>
              </w:rPr>
              <w:t>核</w:t>
            </w:r>
            <w:r>
              <w:rPr>
                <w:color w:val="auto"/>
                <w:spacing w:val="-31"/>
                <w:highlight w:val="none"/>
              </w:rPr>
              <w:t xml:space="preserve"> </w:t>
            </w:r>
            <w:r>
              <w:rPr>
                <w:color w:val="auto"/>
                <w:spacing w:val="-7"/>
                <w:highlight w:val="none"/>
              </w:rPr>
              <w:t>发</w:t>
            </w:r>
            <w:r>
              <w:rPr>
                <w:color w:val="auto"/>
                <w:spacing w:val="-1"/>
                <w:highlight w:val="none"/>
              </w:rPr>
              <w:t>的</w:t>
            </w:r>
            <w:r>
              <w:rPr>
                <w:color w:val="auto"/>
                <w:spacing w:val="-34"/>
                <w:highlight w:val="none"/>
              </w:rPr>
              <w:t xml:space="preserve"> </w:t>
            </w:r>
            <w:r>
              <w:rPr>
                <w:color w:val="auto"/>
                <w:spacing w:val="-1"/>
                <w:highlight w:val="none"/>
              </w:rPr>
              <w:t>在</w:t>
            </w:r>
            <w:r>
              <w:rPr>
                <w:color w:val="auto"/>
                <w:spacing w:val="-34"/>
                <w:highlight w:val="none"/>
              </w:rPr>
              <w:t xml:space="preserve"> </w:t>
            </w:r>
            <w:r>
              <w:rPr>
                <w:color w:val="auto"/>
                <w:spacing w:val="-1"/>
                <w:highlight w:val="none"/>
              </w:rPr>
              <w:t>有</w:t>
            </w:r>
            <w:r>
              <w:rPr>
                <w:color w:val="auto"/>
                <w:spacing w:val="-29"/>
                <w:highlight w:val="none"/>
              </w:rPr>
              <w:t xml:space="preserve"> </w:t>
            </w:r>
            <w:r>
              <w:rPr>
                <w:color w:val="auto"/>
                <w:spacing w:val="-1"/>
                <w:highlight w:val="none"/>
              </w:rPr>
              <w:t>效</w:t>
            </w:r>
            <w:r>
              <w:rPr>
                <w:color w:val="auto"/>
                <w:spacing w:val="-11"/>
                <w:highlight w:val="none"/>
              </w:rPr>
              <w:t>期 内</w:t>
            </w:r>
            <w:r>
              <w:rPr>
                <w:color w:val="auto"/>
                <w:spacing w:val="-18"/>
                <w:highlight w:val="none"/>
              </w:rPr>
              <w:t xml:space="preserve"> </w:t>
            </w:r>
            <w:r>
              <w:rPr>
                <w:color w:val="auto"/>
                <w:spacing w:val="-11"/>
                <w:highlight w:val="none"/>
              </w:rPr>
              <w:t>的</w:t>
            </w:r>
            <w:r>
              <w:rPr>
                <w:color w:val="auto"/>
                <w:spacing w:val="-28"/>
                <w:highlight w:val="none"/>
              </w:rPr>
              <w:t xml:space="preserve"> </w:t>
            </w:r>
            <w:r>
              <w:rPr>
                <w:color w:val="auto"/>
                <w:spacing w:val="-11"/>
                <w:highlight w:val="none"/>
              </w:rPr>
              <w:t>公</w:t>
            </w:r>
            <w:r>
              <w:rPr>
                <w:color w:val="auto"/>
                <w:spacing w:val="12"/>
                <w:highlight w:val="none"/>
              </w:rPr>
              <w:t>路工程</w:t>
            </w:r>
            <w:r>
              <w:rPr>
                <w:color w:val="auto"/>
                <w:spacing w:val="53"/>
                <w:highlight w:val="none"/>
                <w:u w:val="single" w:color="auto"/>
              </w:rPr>
              <w:t xml:space="preserve"> </w:t>
            </w:r>
            <w:r>
              <w:rPr>
                <w:rFonts w:hint="eastAsia"/>
                <w:color w:val="auto"/>
                <w:spacing w:val="53"/>
                <w:highlight w:val="none"/>
                <w:u w:val="single" w:color="auto"/>
                <w:lang w:val="en-US" w:eastAsia="zh-CN"/>
              </w:rPr>
              <w:t>乙</w:t>
            </w:r>
            <w:r>
              <w:rPr>
                <w:color w:val="auto"/>
                <w:spacing w:val="12"/>
                <w:highlight w:val="none"/>
                <w:u w:val="single" w:color="auto"/>
              </w:rPr>
              <w:t>级</w:t>
            </w:r>
            <w:r>
              <w:rPr>
                <w:rFonts w:hint="eastAsia"/>
                <w:color w:val="auto"/>
                <w:spacing w:val="12"/>
                <w:highlight w:val="none"/>
                <w:u w:val="single" w:color="auto"/>
                <w:lang w:val="en-US" w:eastAsia="zh-CN"/>
              </w:rPr>
              <w:t>以上（含乙级）</w:t>
            </w:r>
            <w:r>
              <w:rPr>
                <w:color w:val="auto"/>
                <w:spacing w:val="-1"/>
                <w:highlight w:val="none"/>
              </w:rPr>
              <w:t>监</w:t>
            </w:r>
            <w:r>
              <w:rPr>
                <w:color w:val="auto"/>
                <w:spacing w:val="-31"/>
                <w:highlight w:val="none"/>
              </w:rPr>
              <w:t xml:space="preserve"> </w:t>
            </w:r>
            <w:r>
              <w:rPr>
                <w:color w:val="auto"/>
                <w:spacing w:val="-1"/>
                <w:highlight w:val="none"/>
              </w:rPr>
              <w:t>理</w:t>
            </w:r>
            <w:r>
              <w:rPr>
                <w:color w:val="auto"/>
                <w:spacing w:val="-31"/>
                <w:highlight w:val="none"/>
              </w:rPr>
              <w:t xml:space="preserve"> </w:t>
            </w:r>
            <w:r>
              <w:rPr>
                <w:color w:val="auto"/>
                <w:spacing w:val="-1"/>
                <w:highlight w:val="none"/>
              </w:rPr>
              <w:t>企</w:t>
            </w:r>
            <w:r>
              <w:rPr>
                <w:color w:val="auto"/>
                <w:spacing w:val="-35"/>
                <w:highlight w:val="none"/>
              </w:rPr>
              <w:t xml:space="preserve"> </w:t>
            </w:r>
            <w:r>
              <w:rPr>
                <w:color w:val="auto"/>
                <w:spacing w:val="-1"/>
                <w:highlight w:val="none"/>
              </w:rPr>
              <w:t>业</w:t>
            </w:r>
            <w:r>
              <w:rPr>
                <w:color w:val="auto"/>
                <w:spacing w:val="3"/>
                <w:highlight w:val="none"/>
              </w:rPr>
              <w:t>资质。</w:t>
            </w:r>
          </w:p>
        </w:tc>
      </w:tr>
    </w:tbl>
    <w:p w14:paraId="4DB7D4F4">
      <w:pPr>
        <w:spacing w:line="242" w:lineRule="auto"/>
        <w:rPr>
          <w:rFonts w:ascii="Arial"/>
          <w:color w:val="auto"/>
          <w:sz w:val="21"/>
          <w:highlight w:val="none"/>
        </w:rPr>
      </w:pPr>
    </w:p>
    <w:p w14:paraId="50C5958C">
      <w:pPr>
        <w:spacing w:line="242" w:lineRule="auto"/>
        <w:rPr>
          <w:rFonts w:ascii="Arial"/>
          <w:color w:val="auto"/>
          <w:sz w:val="21"/>
          <w:highlight w:val="none"/>
        </w:rPr>
      </w:pPr>
    </w:p>
    <w:p w14:paraId="49FDD517">
      <w:pPr>
        <w:spacing w:line="242" w:lineRule="auto"/>
        <w:rPr>
          <w:rFonts w:ascii="Arial"/>
          <w:color w:val="auto"/>
          <w:sz w:val="21"/>
          <w:highlight w:val="none"/>
        </w:rPr>
      </w:pPr>
    </w:p>
    <w:p w14:paraId="2A59B80E">
      <w:pPr>
        <w:rPr>
          <w:rFonts w:hint="eastAsia" w:ascii="宋体" w:hAnsi="宋体" w:cs="宋体"/>
          <w:color w:val="auto"/>
          <w:highlight w:val="none"/>
        </w:rPr>
      </w:pPr>
      <w:bookmarkStart w:id="21" w:name="_Toc20966"/>
      <w:r>
        <w:rPr>
          <w:rFonts w:hint="eastAsia" w:ascii="宋体" w:hAnsi="宋体" w:cs="宋体"/>
          <w:color w:val="auto"/>
          <w:highlight w:val="none"/>
        </w:rPr>
        <w:br w:type="page"/>
      </w:r>
    </w:p>
    <w:p w14:paraId="74CDE73E">
      <w:pPr>
        <w:pStyle w:val="3"/>
        <w:rPr>
          <w:rFonts w:hint="eastAsia" w:ascii="宋体" w:hAnsi="宋体" w:cs="宋体"/>
          <w:color w:val="auto"/>
          <w:highlight w:val="none"/>
        </w:rPr>
      </w:pPr>
      <w:bookmarkStart w:id="22" w:name="_Toc16593"/>
      <w:bookmarkStart w:id="23" w:name="_Toc8138"/>
      <w:bookmarkStart w:id="24" w:name="_Toc22423"/>
      <w:bookmarkStart w:id="25" w:name="_Toc2235"/>
      <w:bookmarkStart w:id="26" w:name="_Toc2004"/>
      <w:bookmarkStart w:id="27" w:name="_Toc5637"/>
      <w:r>
        <w:rPr>
          <w:rFonts w:hint="eastAsia" w:ascii="宋体" w:hAnsi="宋体" w:cs="宋体"/>
          <w:color w:val="auto"/>
          <w:highlight w:val="none"/>
        </w:rPr>
        <w:t>附件 2：重要事项时间地点一览表</w:t>
      </w:r>
      <w:bookmarkEnd w:id="21"/>
      <w:bookmarkEnd w:id="22"/>
      <w:bookmarkEnd w:id="23"/>
      <w:bookmarkEnd w:id="24"/>
      <w:bookmarkEnd w:id="25"/>
      <w:bookmarkEnd w:id="26"/>
      <w:bookmarkEnd w:id="27"/>
    </w:p>
    <w:tbl>
      <w:tblPr>
        <w:tblStyle w:val="18"/>
        <w:tblW w:w="9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
        <w:gridCol w:w="1667"/>
        <w:gridCol w:w="7333"/>
      </w:tblGrid>
      <w:tr w14:paraId="7DBFB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F68ECD3">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566B3FD">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招标公告</w:t>
            </w:r>
          </w:p>
          <w:p w14:paraId="01F6999A">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 xml:space="preserve">发布时间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8B64FA2">
            <w:pPr>
              <w:widowControl/>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eastAsia="宋体" w:cs="宋体"/>
                <w:color w:val="auto"/>
                <w:kern w:val="0"/>
                <w:sz w:val="22"/>
                <w:szCs w:val="22"/>
                <w:highlight w:val="none"/>
                <w:u w:val="none"/>
                <w:lang w:val="en-US" w:eastAsia="zh-CN"/>
              </w:rPr>
              <w:t>6</w:t>
            </w:r>
            <w:r>
              <w:rPr>
                <w:rFonts w:hint="eastAsia" w:ascii="宋体" w:hAnsi="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none"/>
              </w:rPr>
              <w:t xml:space="preserve"> </w:t>
            </w:r>
            <w:r>
              <w:rPr>
                <w:rFonts w:hint="eastAsia" w:ascii="宋体" w:hAnsi="宋体" w:eastAsia="宋体" w:cs="宋体"/>
                <w:color w:val="auto"/>
                <w:kern w:val="0"/>
                <w:sz w:val="22"/>
                <w:szCs w:val="22"/>
                <w:highlight w:val="none"/>
                <w:u w:val="none"/>
                <w:lang w:val="en-US" w:eastAsia="zh-CN"/>
              </w:rPr>
              <w:t>2</w:t>
            </w:r>
            <w:r>
              <w:rPr>
                <w:rFonts w:hint="eastAsia" w:ascii="宋体" w:hAnsi="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18 </w:t>
            </w:r>
            <w:r>
              <w:rPr>
                <w:rFonts w:hint="eastAsia" w:ascii="宋体" w:hAnsi="宋体" w:cs="宋体"/>
                <w:color w:val="auto"/>
                <w:kern w:val="0"/>
                <w:sz w:val="22"/>
                <w:szCs w:val="22"/>
                <w:highlight w:val="none"/>
                <w:u w:val="none"/>
              </w:rPr>
              <w:t>时</w:t>
            </w:r>
            <w:r>
              <w:rPr>
                <w:rFonts w:hint="eastAsia" w:ascii="宋体" w:hAnsi="宋体" w:cs="宋体"/>
                <w:color w:val="auto"/>
                <w:kern w:val="0"/>
                <w:sz w:val="22"/>
                <w:szCs w:val="22"/>
                <w:highlight w:val="none"/>
                <w:u w:val="none"/>
              </w:rPr>
              <w:t>00</w:t>
            </w:r>
            <w:r>
              <w:rPr>
                <w:rFonts w:hint="eastAsia" w:ascii="宋体" w:hAnsi="宋体" w:cs="宋体"/>
                <w:color w:val="auto"/>
                <w:kern w:val="0"/>
                <w:sz w:val="22"/>
                <w:szCs w:val="22"/>
                <w:highlight w:val="none"/>
                <w:u w:val="none"/>
              </w:rPr>
              <w:t>分</w:t>
            </w:r>
          </w:p>
        </w:tc>
      </w:tr>
      <w:tr w14:paraId="0273AF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75B8E70">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66CB968">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 xml:space="preserve">获取招标文件截止时间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45B4BDFD">
            <w:pPr>
              <w:widowControl/>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p>
        </w:tc>
      </w:tr>
      <w:tr w14:paraId="5A9DCB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67261761">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3AFA4FD7">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网上提问</w:t>
            </w:r>
          </w:p>
          <w:p w14:paraId="371ABD06">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C57609A">
            <w:pPr>
              <w:wordWrap w:val="0"/>
              <w:adjustRightInd w:val="0"/>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eastAsia="宋体" w:cs="宋体"/>
                <w:color w:val="auto"/>
                <w:kern w:val="0"/>
                <w:sz w:val="22"/>
                <w:szCs w:val="22"/>
                <w:highlight w:val="none"/>
                <w:u w:val="none"/>
                <w:lang w:val="en-US" w:eastAsia="zh-CN"/>
              </w:rPr>
              <w:t xml:space="preserve">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lang w:val="en-US" w:eastAsia="zh-CN"/>
              </w:rPr>
              <w:t xml:space="preserve">15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rPr>
              <w:t xml:space="preserve">16 </w:t>
            </w:r>
            <w:r>
              <w:rPr>
                <w:rFonts w:hint="eastAsia" w:ascii="宋体" w:hAnsi="宋体" w:cs="宋体"/>
                <w:color w:val="auto"/>
                <w:kern w:val="0"/>
                <w:sz w:val="22"/>
                <w:szCs w:val="22"/>
                <w:highlight w:val="none"/>
                <w:u w:val="none"/>
              </w:rPr>
              <w:t>时</w:t>
            </w:r>
            <w:r>
              <w:rPr>
                <w:rFonts w:hint="eastAsia" w:ascii="宋体" w:hAnsi="宋体" w:cs="宋体"/>
                <w:color w:val="auto"/>
                <w:kern w:val="0"/>
                <w:sz w:val="22"/>
                <w:szCs w:val="22"/>
                <w:highlight w:val="none"/>
                <w:u w:val="none"/>
              </w:rPr>
              <w:t xml:space="preserve"> 00 </w:t>
            </w:r>
            <w:r>
              <w:rPr>
                <w:rFonts w:hint="eastAsia" w:ascii="宋体" w:hAnsi="宋体" w:cs="宋体"/>
                <w:color w:val="auto"/>
                <w:kern w:val="0"/>
                <w:sz w:val="22"/>
                <w:szCs w:val="22"/>
                <w:highlight w:val="none"/>
                <w:u w:val="none"/>
              </w:rPr>
              <w:t>分</w:t>
            </w:r>
          </w:p>
        </w:tc>
      </w:tr>
      <w:tr w14:paraId="40022F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2912218">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16934D8B">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网上答疑</w:t>
            </w:r>
          </w:p>
          <w:p w14:paraId="5217A1EF">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46C02450">
            <w:pPr>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eastAsia="宋体" w:cs="宋体"/>
                <w:color w:val="auto"/>
                <w:kern w:val="0"/>
                <w:sz w:val="22"/>
                <w:szCs w:val="22"/>
                <w:highlight w:val="none"/>
                <w:u w:val="none"/>
                <w:lang w:val="en-US" w:eastAsia="zh-CN"/>
              </w:rPr>
              <w:t xml:space="preserve">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lang w:val="en-US" w:eastAsia="zh-CN"/>
              </w:rPr>
              <w:t xml:space="preserve">15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rPr>
              <w:t xml:space="preserve">16 </w:t>
            </w:r>
            <w:r>
              <w:rPr>
                <w:rFonts w:hint="eastAsia" w:ascii="宋体" w:hAnsi="宋体" w:cs="宋体"/>
                <w:color w:val="auto"/>
                <w:kern w:val="0"/>
                <w:sz w:val="22"/>
                <w:szCs w:val="22"/>
                <w:highlight w:val="none"/>
                <w:u w:val="none"/>
              </w:rPr>
              <w:t>时</w:t>
            </w:r>
            <w:r>
              <w:rPr>
                <w:rFonts w:hint="eastAsia" w:ascii="宋体" w:hAnsi="宋体" w:cs="宋体"/>
                <w:color w:val="auto"/>
                <w:kern w:val="0"/>
                <w:sz w:val="22"/>
                <w:szCs w:val="22"/>
                <w:highlight w:val="none"/>
                <w:u w:val="none"/>
              </w:rPr>
              <w:t xml:space="preserve"> 30 </w:t>
            </w:r>
            <w:r>
              <w:rPr>
                <w:rFonts w:hint="eastAsia" w:ascii="宋体" w:hAnsi="宋体" w:cs="宋体"/>
                <w:color w:val="auto"/>
                <w:kern w:val="0"/>
                <w:sz w:val="22"/>
                <w:szCs w:val="22"/>
                <w:highlight w:val="none"/>
                <w:u w:val="none"/>
              </w:rPr>
              <w:t>分至</w:t>
            </w:r>
            <w:r>
              <w:rPr>
                <w:rFonts w:hint="eastAsia" w:ascii="宋体" w:hAnsi="宋体" w:cs="宋体"/>
                <w:color w:val="auto"/>
                <w:kern w:val="0"/>
                <w:sz w:val="22"/>
                <w:szCs w:val="22"/>
                <w:highlight w:val="none"/>
                <w:u w:val="none"/>
              </w:rPr>
              <w:t>2026</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lang w:val="en-US" w:eastAsia="zh-CN"/>
              </w:rPr>
              <w:t xml:space="preserve">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lang w:val="en-US" w:eastAsia="zh-CN"/>
              </w:rPr>
              <w:t xml:space="preserve">18 </w:t>
            </w:r>
            <w:bookmarkStart w:id="846" w:name="_GoBack"/>
            <w:bookmarkEnd w:id="846"/>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rPr>
              <w:t xml:space="preserve"> 16 </w:t>
            </w:r>
            <w:r>
              <w:rPr>
                <w:rFonts w:hint="eastAsia" w:ascii="宋体" w:hAnsi="宋体" w:cs="宋体"/>
                <w:color w:val="auto"/>
                <w:kern w:val="0"/>
                <w:sz w:val="22"/>
                <w:szCs w:val="22"/>
                <w:highlight w:val="none"/>
                <w:u w:val="none"/>
              </w:rPr>
              <w:t>时</w:t>
            </w:r>
            <w:r>
              <w:rPr>
                <w:rFonts w:hint="eastAsia" w:ascii="宋体" w:hAnsi="宋体" w:cs="宋体"/>
                <w:color w:val="auto"/>
                <w:kern w:val="0"/>
                <w:sz w:val="22"/>
                <w:szCs w:val="22"/>
                <w:highlight w:val="none"/>
                <w:u w:val="none"/>
              </w:rPr>
              <w:t>00</w:t>
            </w:r>
            <w:r>
              <w:rPr>
                <w:rFonts w:hint="eastAsia" w:ascii="宋体" w:hAnsi="宋体" w:cs="宋体"/>
                <w:color w:val="auto"/>
                <w:kern w:val="0"/>
                <w:sz w:val="22"/>
                <w:szCs w:val="22"/>
                <w:highlight w:val="none"/>
                <w:u w:val="none"/>
              </w:rPr>
              <w:t>分</w:t>
            </w:r>
          </w:p>
        </w:tc>
      </w:tr>
      <w:tr w14:paraId="0CFDD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4"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1F6C3A4D">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4C92CC4">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投标保证缴</w:t>
            </w:r>
          </w:p>
          <w:p w14:paraId="36A0326E">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纳截止时间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17C3B91E">
            <w:pPr>
              <w:widowControl/>
              <w:snapToGrid w:val="0"/>
              <w:spacing w:before="156" w:beforeLines="50" w:line="360" w:lineRule="auto"/>
              <w:ind w:left="105" w:leftChars="50"/>
              <w:jc w:val="left"/>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投标保证金到账截止时间：</w:t>
            </w: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24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r>
              <w:rPr>
                <w:rFonts w:hint="eastAsia" w:ascii="宋体" w:hAnsi="宋体" w:cs="宋体"/>
                <w:color w:val="auto"/>
                <w:kern w:val="0"/>
                <w:sz w:val="22"/>
                <w:szCs w:val="22"/>
                <w:highlight w:val="none"/>
                <w:u w:val="none"/>
              </w:rPr>
              <w:t>；</w:t>
            </w:r>
          </w:p>
          <w:p w14:paraId="5D143294">
            <w:pPr>
              <w:widowControl/>
              <w:snapToGrid w:val="0"/>
              <w:spacing w:line="360" w:lineRule="auto"/>
              <w:ind w:left="105" w:leftChars="50"/>
              <w:jc w:val="left"/>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投标保证担保上传截止时间：</w:t>
            </w: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24</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r>
              <w:rPr>
                <w:rFonts w:hint="eastAsia" w:ascii="宋体" w:hAnsi="宋体" w:cs="宋体"/>
                <w:color w:val="auto"/>
                <w:kern w:val="0"/>
                <w:sz w:val="22"/>
                <w:szCs w:val="22"/>
                <w:highlight w:val="none"/>
                <w:u w:val="none"/>
              </w:rPr>
              <w:t>；</w:t>
            </w:r>
          </w:p>
          <w:p w14:paraId="7E651DC4">
            <w:pPr>
              <w:widowControl/>
              <w:snapToGrid w:val="0"/>
              <w:spacing w:line="360" w:lineRule="auto"/>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投标保证保险投保截止时间：</w:t>
            </w: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24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r>
              <w:rPr>
                <w:rFonts w:hint="eastAsia" w:ascii="宋体" w:hAnsi="宋体" w:cs="宋体"/>
                <w:color w:val="auto"/>
                <w:kern w:val="0"/>
                <w:sz w:val="22"/>
                <w:szCs w:val="22"/>
                <w:highlight w:val="none"/>
                <w:u w:val="none"/>
              </w:rPr>
              <w:t>。</w:t>
            </w:r>
          </w:p>
        </w:tc>
      </w:tr>
      <w:tr w14:paraId="1D1DD3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591622C">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8221787">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电子投标</w:t>
            </w:r>
          </w:p>
          <w:p w14:paraId="7F020CA0">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35200E74">
            <w:pPr>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p>
        </w:tc>
      </w:tr>
      <w:tr w14:paraId="457EF4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28AC4EB">
            <w:pPr>
              <w:wordWrap w:val="0"/>
              <w:adjustRightInd w:val="0"/>
              <w:snapToGrid w:val="0"/>
              <w:spacing w:line="360" w:lineRule="exact"/>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7</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1DE9B026">
            <w:pPr>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相关评审资料原件（如有）</w:t>
            </w:r>
          </w:p>
          <w:p w14:paraId="3724DDD2">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hAnsi="宋体" w:cs="宋体"/>
                <w:snapToGrid w:val="0"/>
                <w:color w:val="auto"/>
                <w:kern w:val="0"/>
                <w:sz w:val="22"/>
                <w:szCs w:val="22"/>
                <w:highlight w:val="none"/>
              </w:rPr>
              <w:t>递交时间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A43E170">
            <w:pPr>
              <w:snapToGrid w:val="0"/>
              <w:ind w:left="105" w:leftChars="50"/>
              <w:jc w:val="left"/>
              <w:rPr>
                <w:rFonts w:hint="eastAsia" w:ascii="宋体" w:hAnsi="宋体" w:cs="Tahoma"/>
                <w:color w:val="auto"/>
                <w:sz w:val="22"/>
                <w:szCs w:val="22"/>
                <w:highlight w:val="none"/>
                <w:u w:val="none"/>
              </w:rPr>
            </w:pP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00</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cs="宋体"/>
                <w:color w:val="auto"/>
                <w:kern w:val="0"/>
                <w:sz w:val="22"/>
                <w:szCs w:val="22"/>
                <w:highlight w:val="none"/>
                <w:u w:val="none"/>
              </w:rPr>
              <w:t>分至</w:t>
            </w:r>
            <w:r>
              <w:rPr>
                <w:rFonts w:hint="eastAsia" w:ascii="宋体" w:hAnsi="宋体" w:cs="宋体"/>
                <w:color w:val="auto"/>
                <w:kern w:val="0"/>
                <w:sz w:val="22"/>
                <w:szCs w:val="22"/>
                <w:highlight w:val="none"/>
                <w:u w:val="none"/>
              </w:rPr>
              <w:t>2026年</w:t>
            </w:r>
            <w:r>
              <w:rPr>
                <w:rFonts w:hint="eastAsia" w:ascii="宋体" w:hAnsi="宋体" w:eastAsia="宋体" w:cs="宋体"/>
                <w:color w:val="auto"/>
                <w:kern w:val="0"/>
                <w:sz w:val="22"/>
                <w:szCs w:val="22"/>
                <w:highlight w:val="none"/>
                <w:u w:val="non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25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时30分</w:t>
            </w:r>
          </w:p>
        </w:tc>
      </w:tr>
      <w:tr w14:paraId="3C6E0D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160D71DE">
            <w:pPr>
              <w:pStyle w:val="26"/>
              <w:wordWrap w:val="0"/>
              <w:adjustRightInd w:val="0"/>
              <w:snapToGrid w:val="0"/>
              <w:spacing w:line="360" w:lineRule="exact"/>
              <w:jc w:val="center"/>
              <w:rPr>
                <w:rFonts w:hint="eastAsia" w:hAnsi="宋体" w:cs="宋体"/>
                <w:snapToGrid w:val="0"/>
                <w:color w:val="auto"/>
                <w:kern w:val="0"/>
                <w:sz w:val="22"/>
                <w:szCs w:val="22"/>
                <w:highlight w:val="none"/>
              </w:rPr>
            </w:pPr>
            <w:r>
              <w:rPr>
                <w:rFonts w:hint="eastAsia" w:hAnsi="宋体" w:cs="宋体"/>
                <w:snapToGrid w:val="0"/>
                <w:color w:val="auto"/>
                <w:kern w:val="0"/>
                <w:sz w:val="21"/>
                <w:szCs w:val="21"/>
                <w:highlight w:val="none"/>
              </w:rPr>
              <w:t>8</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F6FD16F">
            <w:pPr>
              <w:pStyle w:val="26"/>
              <w:wordWrap w:val="0"/>
              <w:adjustRightInd w:val="0"/>
              <w:snapToGrid w:val="0"/>
              <w:spacing w:line="36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投标评审原件（如有）</w:t>
            </w:r>
          </w:p>
          <w:p w14:paraId="4FDBBAEB">
            <w:pPr>
              <w:pStyle w:val="26"/>
              <w:wordWrap w:val="0"/>
              <w:adjustRightInd w:val="0"/>
              <w:snapToGrid w:val="0"/>
              <w:spacing w:line="360" w:lineRule="exact"/>
              <w:jc w:val="center"/>
              <w:rPr>
                <w:rFonts w:hint="eastAsia" w:hAnsi="宋体" w:cs="宋体"/>
                <w:snapToGrid w:val="0"/>
                <w:color w:val="auto"/>
                <w:kern w:val="0"/>
                <w:sz w:val="22"/>
                <w:szCs w:val="22"/>
                <w:highlight w:val="none"/>
              </w:rPr>
            </w:pPr>
            <w:r>
              <w:rPr>
                <w:rFonts w:hint="eastAsia" w:hAnsi="宋体" w:cs="宋体"/>
                <w:snapToGrid w:val="0"/>
                <w:color w:val="auto"/>
                <w:kern w:val="0"/>
                <w:sz w:val="21"/>
                <w:szCs w:val="21"/>
                <w:highlight w:val="none"/>
              </w:rPr>
              <w:t>递交地点</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784D8C0E">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u w:val="none"/>
              </w:rPr>
            </w:pPr>
            <w:r>
              <w:rPr>
                <w:rFonts w:hint="eastAsia" w:ascii="宋体" w:hAnsi="宋体" w:cs="宋体"/>
                <w:snapToGrid w:val="0"/>
                <w:color w:val="auto"/>
                <w:kern w:val="0"/>
                <w:sz w:val="22"/>
                <w:szCs w:val="22"/>
                <w:highlight w:val="none"/>
                <w:u w:val="none"/>
              </w:rPr>
              <w:t>递交场所：</w:t>
            </w:r>
            <w:r>
              <w:rPr>
                <w:rFonts w:hint="eastAsia" w:ascii="宋体" w:hAnsi="宋体" w:cs="宋体"/>
                <w:snapToGrid w:val="0"/>
                <w:color w:val="auto"/>
                <w:kern w:val="0"/>
                <w:sz w:val="22"/>
                <w:szCs w:val="22"/>
                <w:highlight w:val="none"/>
                <w:u w:val="none"/>
              </w:rPr>
              <w:t>韶关市公共资源交易中心</w:t>
            </w:r>
          </w:p>
          <w:p w14:paraId="7EE796F5">
            <w:pPr>
              <w:pStyle w:val="26"/>
              <w:wordWrap w:val="0"/>
              <w:adjustRightInd w:val="0"/>
              <w:snapToGrid w:val="0"/>
              <w:spacing w:line="400" w:lineRule="exact"/>
              <w:ind w:firstLine="220" w:firstLineChars="100"/>
              <w:jc w:val="left"/>
              <w:rPr>
                <w:rFonts w:hint="eastAsia" w:hAnsi="宋体" w:cs="宋体"/>
                <w:color w:val="auto"/>
                <w:kern w:val="0"/>
                <w:sz w:val="22"/>
                <w:szCs w:val="22"/>
                <w:highlight w:val="none"/>
                <w:u w:val="none"/>
              </w:rPr>
            </w:pPr>
            <w:r>
              <w:rPr>
                <w:rFonts w:hint="eastAsia" w:hAnsi="宋体" w:cs="宋体"/>
                <w:snapToGrid w:val="0"/>
                <w:color w:val="auto"/>
                <w:kern w:val="0"/>
                <w:sz w:val="22"/>
                <w:szCs w:val="22"/>
                <w:highlight w:val="none"/>
                <w:u w:val="none"/>
                <w:lang w:val="en-US" w:eastAsia="zh-CN"/>
              </w:rPr>
              <w:t>地址：广东省韶关市武江区西联镇，具体房间号以当日现场通知为准。</w:t>
            </w:r>
          </w:p>
        </w:tc>
      </w:tr>
      <w:tr w14:paraId="5D0196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6F262338">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9</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4ACE3F0">
            <w:pPr>
              <w:wordWrap w:val="0"/>
              <w:adjustRightInd w:val="0"/>
              <w:snapToGrid w:val="0"/>
              <w:spacing w:line="400" w:lineRule="exact"/>
              <w:jc w:val="center"/>
              <w:rPr>
                <w:rFonts w:hint="eastAsia" w:ascii="宋体" w:hAnsi="宋体" w:cs="Tahoma"/>
                <w:color w:val="auto"/>
                <w:sz w:val="20"/>
                <w:szCs w:val="22"/>
                <w:highlight w:val="none"/>
              </w:rPr>
            </w:pPr>
            <w:r>
              <w:rPr>
                <w:rFonts w:hint="eastAsia" w:ascii="宋体"/>
                <w:snapToGrid w:val="0"/>
                <w:color w:val="auto"/>
                <w:kern w:val="0"/>
                <w:sz w:val="22"/>
                <w:szCs w:val="22"/>
                <w:highlight w:val="none"/>
              </w:rPr>
              <w:t>开标时间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1004EB79">
            <w:pPr>
              <w:wordWrap w:val="0"/>
              <w:adjustRightInd w:val="0"/>
              <w:snapToGrid w:val="0"/>
              <w:ind w:left="105" w:leftChars="50"/>
              <w:rPr>
                <w:rFonts w:hint="eastAsia" w:ascii="宋体" w:hAnsi="宋体" w:cs="Tahoma"/>
                <w:color w:val="auto"/>
                <w:sz w:val="20"/>
                <w:szCs w:val="22"/>
                <w:highlight w:val="none"/>
              </w:rPr>
            </w:pPr>
            <w:r>
              <w:rPr>
                <w:rFonts w:hint="eastAsia" w:ascii="宋体" w:hAnsi="宋体" w:cs="宋体"/>
                <w:color w:val="auto"/>
                <w:kern w:val="0"/>
                <w:sz w:val="22"/>
                <w:szCs w:val="22"/>
                <w:highlight w:val="none"/>
                <w:u w:val="none"/>
              </w:rPr>
              <w:t>2026</w:t>
            </w:r>
            <w:r>
              <w:rPr>
                <w:rFonts w:hint="eastAsia" w:ascii="宋体" w:hAnsi="宋体" w:cs="宋体"/>
                <w:color w:val="auto"/>
                <w:kern w:val="0"/>
                <w:sz w:val="22"/>
                <w:szCs w:val="22"/>
                <w:highlight w:val="none"/>
                <w:u w:val="none"/>
              </w:rPr>
              <w:t>年</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eastAsia="宋体" w:cs="宋体"/>
                <w:color w:val="auto"/>
                <w:kern w:val="0"/>
                <w:sz w:val="22"/>
                <w:szCs w:val="22"/>
                <w:highlight w:val="none"/>
                <w:u w:val="none"/>
                <w:lang w:val="en-US" w:eastAsia="zh-CN"/>
              </w:rPr>
              <w:t xml:space="preserve">6 </w:t>
            </w:r>
            <w:r>
              <w:rPr>
                <w:rFonts w:hint="eastAsia" w:ascii="宋体" w:hAnsi="宋体" w:cs="宋体"/>
                <w:color w:val="auto"/>
                <w:kern w:val="0"/>
                <w:sz w:val="22"/>
                <w:szCs w:val="22"/>
                <w:highlight w:val="none"/>
                <w:u w:val="none"/>
              </w:rPr>
              <w:t>月</w:t>
            </w:r>
            <w:r>
              <w:rPr>
                <w:rFonts w:hint="eastAsia" w:ascii="宋体" w:hAnsi="宋体" w:eastAsia="宋体" w:cs="宋体"/>
                <w:color w:val="auto"/>
                <w:kern w:val="0"/>
                <w:sz w:val="22"/>
                <w:szCs w:val="22"/>
                <w:highlight w:val="none"/>
                <w:u w:val="none"/>
                <w:lang w:val="en-US" w:eastAsia="zh-CN"/>
              </w:rPr>
              <w:t xml:space="preserve"> </w:t>
            </w:r>
            <w:r>
              <w:rPr>
                <w:rFonts w:hint="eastAsia" w:ascii="宋体" w:hAnsi="宋体" w:eastAsia="宋体" w:cs="宋体"/>
                <w:color w:val="auto"/>
                <w:kern w:val="0"/>
                <w:sz w:val="22"/>
                <w:szCs w:val="22"/>
                <w:highlight w:val="none"/>
                <w:u w:val="none"/>
                <w:lang w:val="en-US" w:eastAsia="zh-CN"/>
              </w:rPr>
              <w:t xml:space="preserve">25 </w:t>
            </w:r>
            <w:r>
              <w:rPr>
                <w:rFonts w:hint="eastAsia" w:ascii="宋体" w:hAnsi="宋体" w:cs="宋体"/>
                <w:color w:val="auto"/>
                <w:kern w:val="0"/>
                <w:sz w:val="22"/>
                <w:szCs w:val="22"/>
                <w:highlight w:val="none"/>
                <w:u w:val="none"/>
              </w:rPr>
              <w:t>日</w:t>
            </w:r>
            <w:r>
              <w:rPr>
                <w:rFonts w:hint="eastAsia" w:ascii="宋体" w:hAnsi="宋体" w:cs="宋体"/>
                <w:color w:val="auto"/>
                <w:kern w:val="0"/>
                <w:sz w:val="22"/>
                <w:szCs w:val="22"/>
                <w:highlight w:val="none"/>
                <w:u w:val="none"/>
                <w:lang w:val="en-US" w:eastAsia="zh-CN"/>
              </w:rPr>
              <w:t xml:space="preserve"> 9 </w:t>
            </w:r>
            <w:r>
              <w:rPr>
                <w:rFonts w:hint="eastAsia" w:ascii="宋体" w:hAnsi="宋体" w:cs="宋体"/>
                <w:color w:val="auto"/>
                <w:kern w:val="0"/>
                <w:sz w:val="22"/>
                <w:szCs w:val="22"/>
                <w:highlight w:val="none"/>
                <w:u w:val="none"/>
              </w:rPr>
              <w:t>时</w:t>
            </w:r>
            <w:r>
              <w:rPr>
                <w:rFonts w:hint="eastAsia" w:ascii="宋体" w:hAnsi="宋体" w:cs="宋体"/>
                <w:color w:val="auto"/>
                <w:kern w:val="0"/>
                <w:sz w:val="22"/>
                <w:szCs w:val="22"/>
                <w:highlight w:val="none"/>
                <w:u w:val="none"/>
              </w:rPr>
              <w:t>30</w:t>
            </w:r>
            <w:r>
              <w:rPr>
                <w:rFonts w:hint="eastAsia" w:ascii="宋体" w:hAnsi="宋体" w:cs="宋体"/>
                <w:color w:val="auto"/>
                <w:kern w:val="0"/>
                <w:sz w:val="22"/>
                <w:szCs w:val="22"/>
                <w:highlight w:val="none"/>
                <w:u w:val="none"/>
              </w:rPr>
              <w:t>分</w:t>
            </w:r>
          </w:p>
        </w:tc>
      </w:tr>
      <w:tr w14:paraId="0EB975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2"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02C3EB8E">
            <w:pPr>
              <w:wordWrap w:val="0"/>
              <w:adjustRightInd w:val="0"/>
              <w:snapToGrid w:val="0"/>
              <w:spacing w:line="360" w:lineRule="exact"/>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10</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185B43BD">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hAnsi="宋体" w:cs="宋体"/>
                <w:snapToGrid w:val="0"/>
                <w:color w:val="auto"/>
                <w:kern w:val="0"/>
                <w:sz w:val="22"/>
                <w:szCs w:val="22"/>
                <w:highlight w:val="none"/>
              </w:rPr>
              <w:t xml:space="preserve">开标地点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7FDA6CBC">
            <w:pPr>
              <w:wordWrap w:val="0"/>
              <w:adjustRightInd w:val="0"/>
              <w:snapToGrid w:val="0"/>
              <w:spacing w:line="400" w:lineRule="exact"/>
              <w:ind w:left="105" w:leftChars="5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开标场所：韶关市公共资源交易中心，</w:t>
            </w:r>
          </w:p>
          <w:p w14:paraId="3B175999">
            <w:pPr>
              <w:wordWrap w:val="0"/>
              <w:adjustRightInd w:val="0"/>
              <w:snapToGrid w:val="0"/>
              <w:spacing w:line="400" w:lineRule="exact"/>
              <w:ind w:left="105" w:leftChars="50"/>
              <w:jc w:val="left"/>
              <w:rPr>
                <w:rFonts w:hint="eastAsia" w:ascii="宋体" w:hAnsi="宋体" w:cs="Tahoma"/>
                <w:color w:val="auto"/>
                <w:sz w:val="22"/>
                <w:szCs w:val="22"/>
                <w:highlight w:val="none"/>
              </w:rPr>
            </w:pPr>
            <w:r>
              <w:rPr>
                <w:rFonts w:hint="eastAsia" w:ascii="宋体" w:hAnsi="宋体" w:cs="宋体"/>
                <w:color w:val="auto"/>
                <w:sz w:val="22"/>
                <w:szCs w:val="22"/>
                <w:highlight w:val="none"/>
                <w:lang w:val="en-US" w:eastAsia="zh-CN"/>
              </w:rPr>
              <w:t>地址：广东省韶关市武江区西联镇，具体房间号以当日现场通知为准。</w:t>
            </w:r>
          </w:p>
        </w:tc>
      </w:tr>
      <w:tr w14:paraId="3475D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3" w:hRule="exac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7163E9C">
            <w:pPr>
              <w:widowControl/>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37669F6">
            <w:pPr>
              <w:widowControl/>
              <w:snapToGrid w:val="0"/>
              <w:spacing w:line="360" w:lineRule="exact"/>
              <w:jc w:val="center"/>
              <w:rPr>
                <w:rFonts w:hint="eastAsia" w:hAnsi="宋体" w:cs="宋体"/>
                <w:color w:val="auto"/>
                <w:sz w:val="22"/>
                <w:szCs w:val="22"/>
                <w:highlight w:val="none"/>
              </w:rPr>
            </w:pPr>
            <w:r>
              <w:rPr>
                <w:rFonts w:hAnsi="宋体" w:cs="宋体"/>
                <w:color w:val="auto"/>
                <w:sz w:val="22"/>
                <w:szCs w:val="22"/>
                <w:highlight w:val="none"/>
              </w:rPr>
              <w:t>交易场所</w:t>
            </w:r>
          </w:p>
          <w:p w14:paraId="66BB577E">
            <w:pPr>
              <w:widowControl/>
              <w:snapToGrid w:val="0"/>
              <w:spacing w:line="360" w:lineRule="exact"/>
              <w:jc w:val="center"/>
              <w:rPr>
                <w:rFonts w:hint="eastAsia" w:hAnsi="宋体" w:cs="Tahoma"/>
                <w:color w:val="auto"/>
                <w:sz w:val="22"/>
                <w:szCs w:val="22"/>
                <w:highlight w:val="none"/>
              </w:rPr>
            </w:pPr>
            <w:r>
              <w:rPr>
                <w:rFonts w:hAnsi="宋体" w:cs="宋体"/>
                <w:color w:val="auto"/>
                <w:sz w:val="22"/>
                <w:szCs w:val="22"/>
                <w:highlight w:val="none"/>
              </w:rPr>
              <w:t xml:space="preserve">联系方式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22FEE70">
            <w:pPr>
              <w:wordWrap w:val="0"/>
              <w:adjustRightInd w:val="0"/>
              <w:snapToGrid w:val="0"/>
              <w:spacing w:line="400" w:lineRule="exact"/>
              <w:ind w:left="105" w:leftChars="5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单位名称：韶关市公共资源交易中心</w:t>
            </w:r>
          </w:p>
          <w:p w14:paraId="50350F1E">
            <w:pPr>
              <w:wordWrap w:val="0"/>
              <w:adjustRightInd w:val="0"/>
              <w:snapToGrid w:val="0"/>
              <w:spacing w:line="400" w:lineRule="exact"/>
              <w:ind w:left="105" w:leftChars="5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办公地址：</w:t>
            </w:r>
            <w:r>
              <w:rPr>
                <w:rFonts w:hint="eastAsia" w:ascii="宋体" w:hAnsi="宋体" w:cs="宋体"/>
                <w:color w:val="auto"/>
                <w:sz w:val="22"/>
                <w:szCs w:val="22"/>
                <w:highlight w:val="none"/>
                <w:lang w:val="en-US" w:eastAsia="zh-CN"/>
              </w:rPr>
              <w:t>广东省韶关市武江区西联镇</w:t>
            </w:r>
          </w:p>
          <w:p w14:paraId="6C386D46">
            <w:pPr>
              <w:wordWrap w:val="0"/>
              <w:adjustRightInd w:val="0"/>
              <w:snapToGrid w:val="0"/>
              <w:spacing w:line="400" w:lineRule="exact"/>
              <w:ind w:left="105" w:leftChars="5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联系人（部门）：工程交易部</w:t>
            </w:r>
          </w:p>
          <w:p w14:paraId="51DB4255">
            <w:pPr>
              <w:wordWrap w:val="0"/>
              <w:adjustRightInd w:val="0"/>
              <w:snapToGrid w:val="0"/>
              <w:spacing w:line="400" w:lineRule="exact"/>
              <w:ind w:left="105" w:leftChars="50"/>
              <w:jc w:val="left"/>
              <w:rPr>
                <w:rFonts w:hint="eastAsia" w:ascii="宋体" w:hAnsi="宋体" w:cs="Tahoma"/>
                <w:color w:val="auto"/>
                <w:sz w:val="20"/>
                <w:szCs w:val="22"/>
                <w:highlight w:val="none"/>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val="en-US" w:eastAsia="zh-CN"/>
              </w:rPr>
              <w:t>0751—8633071、8633211</w:t>
            </w:r>
          </w:p>
        </w:tc>
      </w:tr>
      <w:tr w14:paraId="1A465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1" w:hRule="exact"/>
          <w:jc w:val="center"/>
        </w:trPr>
        <w:tc>
          <w:tcPr>
            <w:tcW w:w="9458" w:type="dxa"/>
            <w:gridSpan w:val="3"/>
            <w:tcBorders>
              <w:top w:val="single" w:color="080000" w:sz="4" w:space="0"/>
              <w:left w:val="single" w:color="080000" w:sz="4" w:space="0"/>
              <w:bottom w:val="single" w:color="080000" w:sz="4" w:space="0"/>
              <w:right w:val="single" w:color="080000" w:sz="4" w:space="0"/>
            </w:tcBorders>
            <w:noWrap/>
            <w:vAlign w:val="center"/>
          </w:tcPr>
          <w:p w14:paraId="491FC3B8">
            <w:pPr>
              <w:wordWrap w:val="0"/>
              <w:adjustRightInd w:val="0"/>
              <w:snapToGrid w:val="0"/>
              <w:spacing w:line="400" w:lineRule="exact"/>
              <w:ind w:left="105" w:leftChars="50"/>
              <w:jc w:val="left"/>
              <w:rPr>
                <w:rFonts w:hint="eastAsia" w:ascii="宋体" w:hAnsi="宋体" w:cs="Tahoma"/>
                <w:color w:val="auto"/>
                <w:sz w:val="20"/>
                <w:szCs w:val="22"/>
                <w:highlight w:val="none"/>
              </w:rPr>
            </w:pPr>
            <w:r>
              <w:rPr>
                <w:rFonts w:hint="eastAsia" w:ascii="宋体" w:hAnsi="宋体" w:cs="宋体"/>
                <w:color w:val="auto"/>
                <w:sz w:val="22"/>
                <w:szCs w:val="22"/>
                <w:highlight w:val="none"/>
              </w:rPr>
              <w:t>备注：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1BDFFAD">
      <w:pPr>
        <w:spacing w:line="228" w:lineRule="auto"/>
        <w:rPr>
          <w:rFonts w:ascii="宋体" w:hAnsi="宋体" w:eastAsia="宋体" w:cs="宋体"/>
          <w:color w:val="auto"/>
          <w:sz w:val="18"/>
          <w:szCs w:val="18"/>
          <w:highlight w:val="none"/>
        </w:rPr>
        <w:sectPr>
          <w:footerReference r:id="rId10" w:type="default"/>
          <w:pgSz w:w="11906" w:h="16839"/>
          <w:pgMar w:top="1416" w:right="1490" w:bottom="1297" w:left="1304" w:header="0" w:footer="1069" w:gutter="0"/>
          <w:pgNumType w:fmt="decimal"/>
          <w:cols w:space="720" w:num="1"/>
        </w:sectPr>
      </w:pPr>
    </w:p>
    <w:p w14:paraId="2744EE7C">
      <w:pPr>
        <w:spacing w:line="241" w:lineRule="auto"/>
        <w:rPr>
          <w:rFonts w:ascii="Arial"/>
          <w:color w:val="auto"/>
          <w:sz w:val="21"/>
          <w:highlight w:val="none"/>
        </w:rPr>
      </w:pPr>
    </w:p>
    <w:p w14:paraId="4FA69185">
      <w:pPr>
        <w:spacing w:line="241" w:lineRule="auto"/>
        <w:rPr>
          <w:rFonts w:ascii="Arial"/>
          <w:color w:val="auto"/>
          <w:sz w:val="21"/>
          <w:highlight w:val="none"/>
        </w:rPr>
      </w:pPr>
    </w:p>
    <w:p w14:paraId="7F010B8A">
      <w:pPr>
        <w:spacing w:line="242" w:lineRule="auto"/>
        <w:rPr>
          <w:rFonts w:ascii="Arial"/>
          <w:color w:val="auto"/>
          <w:sz w:val="21"/>
          <w:highlight w:val="none"/>
        </w:rPr>
      </w:pPr>
    </w:p>
    <w:p w14:paraId="1939F169">
      <w:pPr>
        <w:spacing w:line="242" w:lineRule="auto"/>
        <w:rPr>
          <w:rFonts w:ascii="Arial"/>
          <w:color w:val="auto"/>
          <w:sz w:val="21"/>
          <w:highlight w:val="none"/>
        </w:rPr>
      </w:pPr>
    </w:p>
    <w:p w14:paraId="3A2AC155">
      <w:pPr>
        <w:spacing w:line="242" w:lineRule="auto"/>
        <w:rPr>
          <w:rFonts w:ascii="Arial"/>
          <w:color w:val="auto"/>
          <w:sz w:val="21"/>
          <w:highlight w:val="none"/>
        </w:rPr>
      </w:pPr>
    </w:p>
    <w:p w14:paraId="38ED6237">
      <w:pPr>
        <w:spacing w:line="242" w:lineRule="auto"/>
        <w:rPr>
          <w:rFonts w:ascii="Arial"/>
          <w:color w:val="auto"/>
          <w:sz w:val="21"/>
          <w:highlight w:val="none"/>
        </w:rPr>
      </w:pPr>
    </w:p>
    <w:p w14:paraId="210A0954">
      <w:pPr>
        <w:spacing w:line="242" w:lineRule="auto"/>
        <w:rPr>
          <w:rFonts w:ascii="Arial"/>
          <w:color w:val="auto"/>
          <w:sz w:val="21"/>
          <w:highlight w:val="none"/>
        </w:rPr>
      </w:pPr>
    </w:p>
    <w:p w14:paraId="2ABFAAC2">
      <w:pPr>
        <w:spacing w:line="242" w:lineRule="auto"/>
        <w:rPr>
          <w:rFonts w:ascii="Arial"/>
          <w:color w:val="auto"/>
          <w:sz w:val="21"/>
          <w:highlight w:val="none"/>
        </w:rPr>
      </w:pPr>
    </w:p>
    <w:p w14:paraId="4F6BF8F1">
      <w:pPr>
        <w:spacing w:line="242" w:lineRule="auto"/>
        <w:rPr>
          <w:rFonts w:ascii="Arial"/>
          <w:color w:val="auto"/>
          <w:sz w:val="21"/>
          <w:highlight w:val="none"/>
        </w:rPr>
      </w:pPr>
    </w:p>
    <w:p w14:paraId="68349DC9">
      <w:pPr>
        <w:spacing w:line="242" w:lineRule="auto"/>
        <w:rPr>
          <w:rFonts w:ascii="Arial"/>
          <w:color w:val="auto"/>
          <w:sz w:val="21"/>
          <w:highlight w:val="none"/>
        </w:rPr>
      </w:pPr>
    </w:p>
    <w:p w14:paraId="2696A76D">
      <w:pPr>
        <w:spacing w:line="242" w:lineRule="auto"/>
        <w:rPr>
          <w:rFonts w:ascii="Arial"/>
          <w:color w:val="auto"/>
          <w:sz w:val="21"/>
          <w:highlight w:val="none"/>
        </w:rPr>
      </w:pPr>
    </w:p>
    <w:p w14:paraId="73E6B5C6">
      <w:pPr>
        <w:spacing w:line="242" w:lineRule="auto"/>
        <w:rPr>
          <w:rFonts w:ascii="Arial"/>
          <w:color w:val="auto"/>
          <w:sz w:val="21"/>
          <w:highlight w:val="none"/>
        </w:rPr>
      </w:pPr>
    </w:p>
    <w:p w14:paraId="4F810E44">
      <w:pPr>
        <w:spacing w:line="242" w:lineRule="auto"/>
        <w:rPr>
          <w:rFonts w:ascii="Arial"/>
          <w:color w:val="auto"/>
          <w:sz w:val="21"/>
          <w:highlight w:val="none"/>
        </w:rPr>
      </w:pPr>
    </w:p>
    <w:p w14:paraId="5D6D6D50">
      <w:pPr>
        <w:spacing w:line="242" w:lineRule="auto"/>
        <w:rPr>
          <w:rFonts w:ascii="Arial"/>
          <w:color w:val="auto"/>
          <w:sz w:val="21"/>
          <w:highlight w:val="none"/>
        </w:rPr>
      </w:pPr>
    </w:p>
    <w:p w14:paraId="4B937DC9">
      <w:pPr>
        <w:spacing w:line="242" w:lineRule="auto"/>
        <w:rPr>
          <w:rFonts w:ascii="Arial"/>
          <w:color w:val="auto"/>
          <w:sz w:val="21"/>
          <w:highlight w:val="none"/>
        </w:rPr>
      </w:pPr>
    </w:p>
    <w:p w14:paraId="31739AC1">
      <w:pPr>
        <w:spacing w:line="242" w:lineRule="auto"/>
        <w:rPr>
          <w:rFonts w:ascii="Arial"/>
          <w:color w:val="auto"/>
          <w:sz w:val="21"/>
          <w:highlight w:val="none"/>
        </w:rPr>
      </w:pPr>
    </w:p>
    <w:p w14:paraId="7D80C1F5">
      <w:pPr>
        <w:spacing w:line="242" w:lineRule="auto"/>
        <w:rPr>
          <w:rFonts w:ascii="Arial"/>
          <w:color w:val="auto"/>
          <w:sz w:val="21"/>
          <w:highlight w:val="none"/>
        </w:rPr>
      </w:pPr>
    </w:p>
    <w:p w14:paraId="401116EC">
      <w:pPr>
        <w:spacing w:before="169" w:line="219" w:lineRule="auto"/>
        <w:ind w:left="1839"/>
        <w:outlineLvl w:val="0"/>
        <w:rPr>
          <w:rFonts w:ascii="宋体" w:hAnsi="宋体" w:eastAsia="宋体" w:cs="宋体"/>
          <w:color w:val="auto"/>
          <w:sz w:val="52"/>
          <w:szCs w:val="52"/>
          <w:highlight w:val="none"/>
        </w:rPr>
      </w:pPr>
      <w:bookmarkStart w:id="28" w:name="_Toc27511"/>
      <w:bookmarkStart w:id="29" w:name="_Toc17428"/>
      <w:r>
        <w:rPr>
          <w:rFonts w:ascii="宋体" w:hAnsi="宋体" w:eastAsia="宋体" w:cs="宋体"/>
          <w:b/>
          <w:bCs/>
          <w:color w:val="auto"/>
          <w:spacing w:val="-5"/>
          <w:sz w:val="52"/>
          <w:szCs w:val="52"/>
          <w:highlight w:val="none"/>
        </w:rPr>
        <w:t>第二章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投标人须知</w:t>
      </w:r>
      <w:bookmarkEnd w:id="28"/>
      <w:bookmarkEnd w:id="29"/>
    </w:p>
    <w:p w14:paraId="5867C214">
      <w:pPr>
        <w:spacing w:line="219" w:lineRule="auto"/>
        <w:rPr>
          <w:rFonts w:ascii="宋体" w:hAnsi="宋体" w:eastAsia="宋体" w:cs="宋体"/>
          <w:color w:val="auto"/>
          <w:sz w:val="52"/>
          <w:szCs w:val="52"/>
          <w:highlight w:val="none"/>
        </w:rPr>
        <w:sectPr>
          <w:footerReference r:id="rId11" w:type="default"/>
          <w:pgSz w:w="11906" w:h="16839"/>
          <w:pgMar w:top="1431" w:right="1785" w:bottom="1297" w:left="1785" w:header="0" w:footer="1067" w:gutter="0"/>
          <w:pgNumType w:fmt="decimal"/>
          <w:cols w:space="720" w:num="1"/>
        </w:sectPr>
      </w:pPr>
    </w:p>
    <w:p w14:paraId="359DF199">
      <w:pPr>
        <w:spacing w:before="84" w:line="223" w:lineRule="auto"/>
        <w:ind w:left="2768"/>
        <w:outlineLvl w:val="0"/>
        <w:rPr>
          <w:rFonts w:ascii="宋体" w:hAnsi="宋体" w:eastAsia="宋体" w:cs="宋体"/>
          <w:color w:val="auto"/>
          <w:sz w:val="41"/>
          <w:szCs w:val="41"/>
          <w:highlight w:val="none"/>
        </w:rPr>
      </w:pPr>
      <w:bookmarkStart w:id="30" w:name="_Toc24392"/>
      <w:bookmarkStart w:id="31" w:name="_Toc3600"/>
      <w:bookmarkStart w:id="32" w:name="_Toc23428"/>
      <w:r>
        <w:rPr>
          <w:rFonts w:ascii="宋体" w:hAnsi="宋体" w:eastAsia="宋体" w:cs="宋体"/>
          <w:b/>
          <w:bCs/>
          <w:color w:val="auto"/>
          <w:spacing w:val="5"/>
          <w:sz w:val="41"/>
          <w:szCs w:val="41"/>
          <w:highlight w:val="none"/>
        </w:rPr>
        <w:t>第二章</w:t>
      </w:r>
      <w:r>
        <w:rPr>
          <w:rFonts w:ascii="宋体" w:hAnsi="宋体" w:eastAsia="宋体" w:cs="宋体"/>
          <w:color w:val="auto"/>
          <w:spacing w:val="5"/>
          <w:sz w:val="41"/>
          <w:szCs w:val="41"/>
          <w:highlight w:val="none"/>
        </w:rPr>
        <w:t xml:space="preserve">  </w:t>
      </w:r>
      <w:r>
        <w:rPr>
          <w:rFonts w:ascii="宋体" w:hAnsi="宋体" w:eastAsia="宋体" w:cs="宋体"/>
          <w:b/>
          <w:bCs/>
          <w:color w:val="auto"/>
          <w:spacing w:val="5"/>
          <w:sz w:val="41"/>
          <w:szCs w:val="41"/>
          <w:highlight w:val="none"/>
        </w:rPr>
        <w:t>投标人须知</w:t>
      </w:r>
      <w:bookmarkEnd w:id="30"/>
      <w:bookmarkEnd w:id="31"/>
      <w:bookmarkEnd w:id="32"/>
    </w:p>
    <w:p w14:paraId="02F49DE3">
      <w:pPr>
        <w:spacing w:line="284" w:lineRule="auto"/>
        <w:rPr>
          <w:rFonts w:ascii="Arial"/>
          <w:color w:val="auto"/>
          <w:sz w:val="21"/>
          <w:highlight w:val="none"/>
        </w:rPr>
      </w:pPr>
    </w:p>
    <w:p w14:paraId="21FDE75D">
      <w:pPr>
        <w:spacing w:line="284" w:lineRule="auto"/>
        <w:rPr>
          <w:rFonts w:ascii="Arial"/>
          <w:color w:val="auto"/>
          <w:sz w:val="21"/>
          <w:highlight w:val="none"/>
        </w:rPr>
      </w:pPr>
    </w:p>
    <w:p w14:paraId="187BD7EE">
      <w:pPr>
        <w:spacing w:before="78" w:line="226" w:lineRule="auto"/>
        <w:ind w:left="124"/>
        <w:outlineLvl w:val="0"/>
        <w:rPr>
          <w:rFonts w:ascii="宋体" w:hAnsi="宋体" w:eastAsia="宋体" w:cs="宋体"/>
          <w:color w:val="auto"/>
          <w:sz w:val="12"/>
          <w:szCs w:val="12"/>
          <w:highlight w:val="none"/>
        </w:rPr>
      </w:pPr>
      <w:bookmarkStart w:id="33" w:name="_Toc32468"/>
      <w:bookmarkStart w:id="34" w:name="_Toc13025"/>
      <w:r>
        <w:rPr>
          <w:rFonts w:ascii="宋体" w:hAnsi="宋体" w:eastAsia="宋体" w:cs="宋体"/>
          <w:b/>
          <w:bCs/>
          <w:color w:val="auto"/>
          <w:spacing w:val="-3"/>
          <w:sz w:val="24"/>
          <w:szCs w:val="24"/>
          <w:highlight w:val="none"/>
        </w:rPr>
        <w:t>投标人须知前附表</w:t>
      </w:r>
      <w:bookmarkEnd w:id="33"/>
      <w:bookmarkEnd w:id="34"/>
    </w:p>
    <w:tbl>
      <w:tblPr>
        <w:tblStyle w:val="22"/>
        <w:tblW w:w="9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5374"/>
      </w:tblGrid>
      <w:tr w14:paraId="04BA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013" w:type="dxa"/>
            <w:vAlign w:val="top"/>
          </w:tcPr>
          <w:p w14:paraId="5F5DD5BB">
            <w:pPr>
              <w:pStyle w:val="23"/>
              <w:spacing w:before="145" w:line="228" w:lineRule="auto"/>
              <w:ind w:left="198"/>
              <w:rPr>
                <w:color w:val="auto"/>
                <w:highlight w:val="none"/>
              </w:rPr>
            </w:pPr>
            <w:r>
              <w:rPr>
                <w:b/>
                <w:bCs/>
                <w:color w:val="auto"/>
                <w:spacing w:val="5"/>
                <w:highlight w:val="none"/>
              </w:rPr>
              <w:t>条款号</w:t>
            </w:r>
          </w:p>
        </w:tc>
        <w:tc>
          <w:tcPr>
            <w:tcW w:w="2877" w:type="dxa"/>
            <w:vAlign w:val="top"/>
          </w:tcPr>
          <w:p w14:paraId="420FA9E7">
            <w:pPr>
              <w:pStyle w:val="23"/>
              <w:spacing w:before="145"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5374" w:type="dxa"/>
            <w:vAlign w:val="top"/>
          </w:tcPr>
          <w:p w14:paraId="17F87BC4">
            <w:pPr>
              <w:pStyle w:val="23"/>
              <w:spacing w:before="145"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01C2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739EABE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1.1.2</w:t>
            </w:r>
          </w:p>
        </w:tc>
        <w:tc>
          <w:tcPr>
            <w:tcW w:w="2877" w:type="dxa"/>
            <w:vAlign w:val="center"/>
          </w:tcPr>
          <w:p w14:paraId="2EE7C8E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6"/>
                <w:highlight w:val="none"/>
              </w:rPr>
              <w:t>招标人</w:t>
            </w:r>
          </w:p>
        </w:tc>
        <w:tc>
          <w:tcPr>
            <w:tcW w:w="5374" w:type="dxa"/>
            <w:vAlign w:val="center"/>
          </w:tcPr>
          <w:p w14:paraId="00539F5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color w:val="auto"/>
                <w:highlight w:val="none"/>
                <w:lang w:eastAsia="zh-CN"/>
              </w:rPr>
            </w:pPr>
            <w:r>
              <w:rPr>
                <w:rFonts w:hint="eastAsia"/>
                <w:color w:val="auto"/>
                <w:highlight w:val="none"/>
                <w:lang w:eastAsia="zh-CN"/>
              </w:rPr>
              <w:t>名称：韶关市粤丹工程管理有限公司</w:t>
            </w:r>
          </w:p>
          <w:p w14:paraId="6D82338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color w:val="auto"/>
                <w:highlight w:val="none"/>
                <w:lang w:eastAsia="zh-CN"/>
              </w:rPr>
            </w:pPr>
            <w:r>
              <w:rPr>
                <w:rFonts w:hint="eastAsia"/>
                <w:color w:val="auto"/>
                <w:highlight w:val="none"/>
                <w:lang w:eastAsia="zh-CN"/>
              </w:rPr>
              <w:t>地址：韶关市浈江区启明北路9号</w:t>
            </w:r>
          </w:p>
          <w:p w14:paraId="2DA30C8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default"/>
                <w:color w:val="auto"/>
                <w:highlight w:val="none"/>
                <w:lang w:val="en-US" w:eastAsia="zh-CN"/>
              </w:rPr>
            </w:pPr>
            <w:r>
              <w:rPr>
                <w:rFonts w:hint="eastAsia"/>
                <w:color w:val="auto"/>
                <w:highlight w:val="none"/>
                <w:lang w:eastAsia="zh-CN"/>
              </w:rPr>
              <w:t>联系人：</w:t>
            </w:r>
            <w:r>
              <w:rPr>
                <w:rFonts w:hint="eastAsia"/>
                <w:color w:val="auto"/>
                <w:highlight w:val="none"/>
                <w:lang w:val="en-US" w:eastAsia="zh-CN"/>
              </w:rPr>
              <w:t>陈工</w:t>
            </w:r>
          </w:p>
          <w:p w14:paraId="5C432A6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highlight w:val="none"/>
                <w:lang w:eastAsia="zh-CN"/>
              </w:rPr>
              <w:t>联系电话：13826307834</w:t>
            </w:r>
          </w:p>
        </w:tc>
      </w:tr>
      <w:tr w14:paraId="3AF0F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221AE8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1.1.3</w:t>
            </w:r>
          </w:p>
        </w:tc>
        <w:tc>
          <w:tcPr>
            <w:tcW w:w="2877" w:type="dxa"/>
            <w:vAlign w:val="center"/>
          </w:tcPr>
          <w:p w14:paraId="2B4736D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招标代理机构</w:t>
            </w:r>
          </w:p>
        </w:tc>
        <w:tc>
          <w:tcPr>
            <w:tcW w:w="5374" w:type="dxa"/>
            <w:vAlign w:val="center"/>
          </w:tcPr>
          <w:p w14:paraId="2AE17B7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default"/>
                <w:color w:val="auto"/>
                <w:highlight w:val="none"/>
                <w:lang w:val="en-US" w:eastAsia="zh-CN"/>
              </w:rPr>
            </w:pPr>
            <w:r>
              <w:rPr>
                <w:rFonts w:hint="eastAsia"/>
                <w:color w:val="auto"/>
                <w:highlight w:val="none"/>
                <w:lang w:val="en-US" w:eastAsia="zh-CN"/>
              </w:rPr>
              <w:t>招标</w:t>
            </w:r>
            <w:r>
              <w:rPr>
                <w:rFonts w:hint="default"/>
                <w:color w:val="auto"/>
                <w:highlight w:val="none"/>
                <w:lang w:val="en-US" w:eastAsia="zh-CN"/>
              </w:rPr>
              <w:t>代理机构：</w:t>
            </w:r>
            <w:r>
              <w:rPr>
                <w:rFonts w:hint="eastAsia"/>
                <w:color w:val="auto"/>
                <w:highlight w:val="none"/>
                <w:lang w:val="en-US" w:eastAsia="zh-CN"/>
              </w:rPr>
              <w:t>广东合正项目管理有限公司</w:t>
            </w:r>
          </w:p>
          <w:p w14:paraId="2E7164C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default"/>
                <w:color w:val="auto"/>
                <w:highlight w:val="none"/>
                <w:lang w:val="en-US" w:eastAsia="zh-CN"/>
              </w:rPr>
            </w:pPr>
            <w:r>
              <w:rPr>
                <w:rFonts w:hint="default"/>
                <w:color w:val="auto"/>
                <w:highlight w:val="none"/>
                <w:lang w:val="en-US" w:eastAsia="zh-CN"/>
              </w:rPr>
              <w:t>地址：</w:t>
            </w:r>
            <w:r>
              <w:rPr>
                <w:rFonts w:hint="eastAsia"/>
                <w:color w:val="auto"/>
                <w:highlight w:val="none"/>
                <w:lang w:val="en-US" w:eastAsia="zh-CN"/>
              </w:rPr>
              <w:t>广东省韶关市武江区百旺大道42号莞韶双创中心研发办公楼5楼03号</w:t>
            </w:r>
          </w:p>
          <w:p w14:paraId="692B7B4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default"/>
                <w:color w:val="auto"/>
                <w:highlight w:val="none"/>
                <w:lang w:val="en-US" w:eastAsia="zh-CN"/>
              </w:rPr>
            </w:pPr>
            <w:r>
              <w:rPr>
                <w:rFonts w:hint="default"/>
                <w:color w:val="auto"/>
                <w:highlight w:val="none"/>
                <w:lang w:val="en-US" w:eastAsia="zh-CN"/>
              </w:rPr>
              <w:t>联系人：</w:t>
            </w:r>
            <w:r>
              <w:rPr>
                <w:rFonts w:hint="eastAsia"/>
                <w:color w:val="auto"/>
                <w:highlight w:val="none"/>
                <w:lang w:val="en-US" w:eastAsia="zh-CN"/>
              </w:rPr>
              <w:t>何工</w:t>
            </w:r>
          </w:p>
          <w:p w14:paraId="4DF6AFE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default"/>
                <w:color w:val="auto"/>
                <w:highlight w:val="none"/>
                <w:lang w:val="en-US" w:eastAsia="zh-CN"/>
              </w:rPr>
              <w:t>联系电话：</w:t>
            </w:r>
            <w:r>
              <w:rPr>
                <w:rFonts w:hint="eastAsia"/>
                <w:color w:val="auto"/>
                <w:highlight w:val="none"/>
                <w:lang w:val="en-US" w:eastAsia="zh-CN"/>
              </w:rPr>
              <w:t>0751-8219991</w:t>
            </w:r>
          </w:p>
        </w:tc>
      </w:tr>
      <w:tr w14:paraId="08F2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013" w:type="dxa"/>
            <w:vAlign w:val="center"/>
          </w:tcPr>
          <w:p w14:paraId="57BC2B1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1.1.4</w:t>
            </w:r>
          </w:p>
        </w:tc>
        <w:tc>
          <w:tcPr>
            <w:tcW w:w="2877" w:type="dxa"/>
            <w:vAlign w:val="center"/>
          </w:tcPr>
          <w:p w14:paraId="0B97CA9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招标项目名称</w:t>
            </w:r>
          </w:p>
        </w:tc>
        <w:tc>
          <w:tcPr>
            <w:tcW w:w="5374" w:type="dxa"/>
            <w:vAlign w:val="center"/>
          </w:tcPr>
          <w:p w14:paraId="28B647E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宋体" w:hAnsi="宋体" w:eastAsia="宋体" w:cs="宋体"/>
                <w:color w:val="auto"/>
                <w:spacing w:val="8"/>
                <w:highlight w:val="none"/>
                <w:lang w:val="en-US" w:eastAsia="zh-CN"/>
              </w:rPr>
            </w:pPr>
            <w:r>
              <w:rPr>
                <w:rFonts w:hint="eastAsia" w:cs="宋体"/>
                <w:color w:val="auto"/>
                <w:spacing w:val="8"/>
                <w:highlight w:val="none"/>
                <w:lang w:val="en-US" w:eastAsia="zh-CN"/>
              </w:rPr>
              <w:t>乳源县桂头镇至韶关丹霞机场公路新建工程（韶关机场进场道路）</w:t>
            </w:r>
            <w:r>
              <w:rPr>
                <w:rFonts w:hint="eastAsia" w:ascii="宋体" w:hAnsi="宋体" w:eastAsia="宋体" w:cs="宋体"/>
                <w:color w:val="auto"/>
                <w:spacing w:val="8"/>
                <w:highlight w:val="none"/>
                <w:lang w:val="en-US" w:eastAsia="zh-CN"/>
              </w:rPr>
              <w:t>施工监理</w:t>
            </w:r>
          </w:p>
        </w:tc>
      </w:tr>
      <w:tr w14:paraId="1F170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013" w:type="dxa"/>
            <w:vAlign w:val="center"/>
          </w:tcPr>
          <w:p w14:paraId="561410B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1.1.5</w:t>
            </w:r>
          </w:p>
        </w:tc>
        <w:tc>
          <w:tcPr>
            <w:tcW w:w="2877" w:type="dxa"/>
            <w:vAlign w:val="center"/>
          </w:tcPr>
          <w:p w14:paraId="07B51C4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8"/>
                <w:highlight w:val="none"/>
              </w:rPr>
              <w:t>标段建设地点</w:t>
            </w:r>
          </w:p>
        </w:tc>
        <w:tc>
          <w:tcPr>
            <w:tcW w:w="5374" w:type="dxa"/>
            <w:vAlign w:val="center"/>
          </w:tcPr>
          <w:p w14:paraId="344D46B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宋体" w:hAnsi="宋体" w:eastAsia="宋体" w:cs="宋体"/>
                <w:color w:val="auto"/>
                <w:spacing w:val="8"/>
                <w:highlight w:val="none"/>
                <w:lang w:val="en-US" w:eastAsia="zh-CN"/>
              </w:rPr>
            </w:pPr>
            <w:r>
              <w:rPr>
                <w:rFonts w:hint="eastAsia" w:cs="宋体"/>
                <w:color w:val="auto"/>
                <w:spacing w:val="8"/>
                <w:highlight w:val="none"/>
                <w:lang w:val="en-US" w:eastAsia="zh-CN"/>
              </w:rPr>
              <w:t>韶关市乳源县桂头镇</w:t>
            </w:r>
          </w:p>
        </w:tc>
      </w:tr>
      <w:tr w14:paraId="2B03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1013" w:type="dxa"/>
            <w:vAlign w:val="center"/>
          </w:tcPr>
          <w:p w14:paraId="1C4D822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1.1.6</w:t>
            </w:r>
          </w:p>
        </w:tc>
        <w:tc>
          <w:tcPr>
            <w:tcW w:w="2877" w:type="dxa"/>
            <w:vAlign w:val="center"/>
          </w:tcPr>
          <w:p w14:paraId="18F1CDD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标段建设规模</w:t>
            </w:r>
          </w:p>
        </w:tc>
        <w:tc>
          <w:tcPr>
            <w:tcW w:w="5374" w:type="dxa"/>
            <w:vAlign w:val="center"/>
          </w:tcPr>
          <w:p w14:paraId="5675707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color w:val="auto"/>
                <w:sz w:val="21"/>
                <w:highlight w:val="none"/>
              </w:rPr>
            </w:pPr>
            <w:r>
              <w:rPr>
                <w:rFonts w:hint="eastAsia" w:ascii="Arial"/>
                <w:color w:val="auto"/>
                <w:sz w:val="21"/>
                <w:highlight w:val="none"/>
              </w:rPr>
              <w:t>1.建设地点：韶关市乳源县桂头镇</w:t>
            </w:r>
          </w:p>
          <w:p w14:paraId="4898394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color w:val="auto"/>
                <w:sz w:val="21"/>
                <w:highlight w:val="none"/>
              </w:rPr>
            </w:pPr>
            <w:r>
              <w:rPr>
                <w:rFonts w:hint="eastAsia" w:ascii="Arial"/>
                <w:color w:val="auto"/>
                <w:sz w:val="21"/>
                <w:highlight w:val="none"/>
              </w:rPr>
              <w:t>2.建设内容及规模：</w:t>
            </w:r>
          </w:p>
          <w:p w14:paraId="149878F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ascii="Arial"/>
                <w:color w:val="auto"/>
                <w:sz w:val="21"/>
                <w:highlight w:val="none"/>
                <w:lang w:eastAsia="zh-CN"/>
              </w:rPr>
              <w:t>本项目位于韶关市乳源县桂头镇，路线起自省道S248与省道S250平交口，先东西走向，后南北走向，先后经过小江村、大坝村、凰村、红岭村，终点沿现状进场路，止于丹霞机场门口。路线全长4.237km，全线双向四车道，采用一级公路技术标准，设计速度60km/h，沥青混凝土路面，全线平面交叉8处（其中灯控平交4处，其余均有右进右出支路口），共设置涵洞13道。</w:t>
            </w:r>
          </w:p>
        </w:tc>
      </w:tr>
      <w:tr w14:paraId="0BDA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013" w:type="dxa"/>
            <w:vAlign w:val="center"/>
          </w:tcPr>
          <w:p w14:paraId="349AC52C">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p w14:paraId="60B5E21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1.1.7</w:t>
            </w:r>
          </w:p>
        </w:tc>
        <w:tc>
          <w:tcPr>
            <w:tcW w:w="2877" w:type="dxa"/>
            <w:vAlign w:val="center"/>
          </w:tcPr>
          <w:p w14:paraId="58AB0F9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招标项目施工预计开工日期</w:t>
            </w:r>
          </w:p>
          <w:p w14:paraId="4CDB9C4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和建设周期</w:t>
            </w:r>
          </w:p>
        </w:tc>
        <w:tc>
          <w:tcPr>
            <w:tcW w:w="5374" w:type="dxa"/>
            <w:vAlign w:val="center"/>
          </w:tcPr>
          <w:p w14:paraId="110939F6">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日</w:t>
            </w:r>
          </w:p>
          <w:p w14:paraId="51A9FFF0">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计划竣工日期：</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日</w:t>
            </w:r>
          </w:p>
          <w:p w14:paraId="2910D54F">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ascii="宋体" w:hAnsi="宋体" w:eastAsia="宋体" w:cs="宋体"/>
                <w:color w:val="auto"/>
                <w:sz w:val="20"/>
                <w:szCs w:val="20"/>
                <w:highlight w:val="none"/>
              </w:rPr>
              <w:t>建设周期：建设周期</w:t>
            </w:r>
            <w:r>
              <w:rPr>
                <w:rFonts w:hint="eastAsia" w:ascii="宋体" w:hAnsi="宋体" w:eastAsia="宋体" w:cs="宋体"/>
                <w:color w:val="auto"/>
                <w:sz w:val="20"/>
                <w:szCs w:val="20"/>
                <w:highlight w:val="none"/>
                <w:u w:val="single"/>
                <w:lang w:val="en-US" w:eastAsia="zh-CN"/>
              </w:rPr>
              <w:t xml:space="preserve"> 48 </w:t>
            </w:r>
            <w:r>
              <w:rPr>
                <w:rFonts w:hint="eastAsia" w:ascii="宋体" w:hAnsi="宋体" w:eastAsia="宋体" w:cs="宋体"/>
                <w:color w:val="auto"/>
                <w:sz w:val="20"/>
                <w:szCs w:val="20"/>
                <w:highlight w:val="none"/>
              </w:rPr>
              <w:t>个月</w:t>
            </w:r>
          </w:p>
        </w:tc>
      </w:tr>
      <w:tr w14:paraId="083A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013" w:type="dxa"/>
            <w:vAlign w:val="center"/>
          </w:tcPr>
          <w:p w14:paraId="2D578B7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1.1.8</w:t>
            </w:r>
          </w:p>
        </w:tc>
        <w:tc>
          <w:tcPr>
            <w:tcW w:w="2877" w:type="dxa"/>
            <w:vAlign w:val="center"/>
          </w:tcPr>
          <w:p w14:paraId="58DC29D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建筑安装工程费/工程概算投</w:t>
            </w:r>
          </w:p>
          <w:p w14:paraId="4FE5EA5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资额</w:t>
            </w:r>
          </w:p>
        </w:tc>
        <w:tc>
          <w:tcPr>
            <w:tcW w:w="5374" w:type="dxa"/>
            <w:vAlign w:val="center"/>
          </w:tcPr>
          <w:p w14:paraId="28A2FE4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cs="宋体"/>
                <w:color w:val="auto"/>
                <w:spacing w:val="8"/>
                <w:highlight w:val="none"/>
                <w:lang w:val="en-US" w:eastAsia="zh-CN"/>
              </w:rPr>
              <w:t>建筑安装</w:t>
            </w:r>
            <w:r>
              <w:rPr>
                <w:rFonts w:hint="eastAsia" w:ascii="宋体" w:hAnsi="宋体" w:eastAsia="宋体" w:cs="宋体"/>
                <w:color w:val="auto"/>
                <w:spacing w:val="8"/>
                <w:highlight w:val="none"/>
                <w:lang w:val="en-US" w:eastAsia="zh-CN"/>
              </w:rPr>
              <w:t>工程费9179.21万元</w:t>
            </w:r>
            <w:r>
              <w:rPr>
                <w:rFonts w:hint="eastAsia" w:cs="宋体"/>
                <w:color w:val="auto"/>
                <w:spacing w:val="8"/>
                <w:highlight w:val="none"/>
                <w:lang w:val="en-US" w:eastAsia="zh-CN"/>
              </w:rPr>
              <w:t>/工程概</w:t>
            </w:r>
            <w:r>
              <w:rPr>
                <w:rFonts w:hint="eastAsia" w:ascii="宋体" w:hAnsi="宋体" w:eastAsia="宋体" w:cs="宋体"/>
                <w:color w:val="auto"/>
                <w:spacing w:val="8"/>
                <w:highlight w:val="none"/>
                <w:lang w:val="en-US" w:eastAsia="zh-CN"/>
              </w:rPr>
              <w:t>算</w:t>
            </w:r>
            <w:r>
              <w:rPr>
                <w:rFonts w:hint="eastAsia" w:cs="宋体"/>
                <w:color w:val="auto"/>
                <w:spacing w:val="8"/>
                <w:highlight w:val="none"/>
                <w:lang w:val="en-US" w:eastAsia="zh-CN"/>
              </w:rPr>
              <w:t>投资额</w:t>
            </w:r>
            <w:r>
              <w:rPr>
                <w:rFonts w:hint="eastAsia" w:ascii="宋体" w:hAnsi="宋体" w:eastAsia="宋体" w:cs="宋体"/>
                <w:color w:val="auto"/>
                <w:spacing w:val="8"/>
                <w:highlight w:val="none"/>
                <w:lang w:val="en-US" w:eastAsia="zh-CN"/>
              </w:rPr>
              <w:t>18876.40万元</w:t>
            </w:r>
          </w:p>
        </w:tc>
      </w:tr>
      <w:tr w14:paraId="5CD6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13" w:type="dxa"/>
            <w:vAlign w:val="center"/>
          </w:tcPr>
          <w:p w14:paraId="084114C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1.2.1</w:t>
            </w:r>
          </w:p>
        </w:tc>
        <w:tc>
          <w:tcPr>
            <w:tcW w:w="2877" w:type="dxa"/>
            <w:vAlign w:val="center"/>
          </w:tcPr>
          <w:p w14:paraId="34968776">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资金来源及比例</w:t>
            </w:r>
          </w:p>
        </w:tc>
        <w:tc>
          <w:tcPr>
            <w:tcW w:w="5374" w:type="dxa"/>
            <w:vAlign w:val="center"/>
          </w:tcPr>
          <w:p w14:paraId="1CAF9E6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详见招标公告</w:t>
            </w:r>
          </w:p>
        </w:tc>
      </w:tr>
      <w:tr w14:paraId="43FBD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13" w:type="dxa"/>
            <w:vAlign w:val="center"/>
          </w:tcPr>
          <w:p w14:paraId="08CB385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1.2.2</w:t>
            </w:r>
          </w:p>
        </w:tc>
        <w:tc>
          <w:tcPr>
            <w:tcW w:w="2877" w:type="dxa"/>
            <w:vAlign w:val="center"/>
          </w:tcPr>
          <w:p w14:paraId="7A9FE40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6"/>
                <w:highlight w:val="none"/>
              </w:rPr>
              <w:t>资金落实情况</w:t>
            </w:r>
          </w:p>
        </w:tc>
        <w:tc>
          <w:tcPr>
            <w:tcW w:w="5374" w:type="dxa"/>
            <w:vAlign w:val="center"/>
          </w:tcPr>
          <w:p w14:paraId="7759A7B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ascii="宋体" w:hAnsi="宋体" w:eastAsia="宋体" w:cs="宋体"/>
                <w:color w:val="auto"/>
                <w:spacing w:val="7"/>
                <w:highlight w:val="none"/>
              </w:rPr>
              <w:t>资金已落实</w:t>
            </w:r>
          </w:p>
        </w:tc>
      </w:tr>
      <w:tr w14:paraId="13B3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1EB997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1.3.1</w:t>
            </w:r>
          </w:p>
        </w:tc>
        <w:tc>
          <w:tcPr>
            <w:tcW w:w="2877" w:type="dxa"/>
            <w:vAlign w:val="center"/>
          </w:tcPr>
          <w:p w14:paraId="5782CDC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7"/>
                <w:highlight w:val="none"/>
              </w:rPr>
              <w:t>招标范围</w:t>
            </w:r>
          </w:p>
        </w:tc>
        <w:tc>
          <w:tcPr>
            <w:tcW w:w="5374" w:type="dxa"/>
            <w:vAlign w:val="center"/>
          </w:tcPr>
          <w:p w14:paraId="6111C72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7"/>
                <w:highlight w:val="none"/>
                <w:lang w:eastAsia="zh-CN"/>
              </w:rPr>
              <w:t>☑</w:t>
            </w:r>
            <w:r>
              <w:rPr>
                <w:color w:val="auto"/>
                <w:spacing w:val="7"/>
                <w:highlight w:val="none"/>
              </w:rPr>
              <w:t>总监理工程师办公室（含中心试验室）</w:t>
            </w:r>
          </w:p>
          <w:p w14:paraId="28444B0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□驻地监理工程师办公室（含监理试验室）</w:t>
            </w:r>
          </w:p>
          <w:p w14:paraId="06BF116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val="en-US" w:eastAsia="zh-CN"/>
              </w:rPr>
            </w:pPr>
            <w:r>
              <w:rPr>
                <w:rFonts w:hint="eastAsia"/>
                <w:color w:val="auto"/>
                <w:spacing w:val="2"/>
                <w:highlight w:val="none"/>
                <w:lang w:eastAsia="zh-CN"/>
              </w:rPr>
              <w:t>□</w:t>
            </w:r>
            <w:r>
              <w:rPr>
                <w:color w:val="auto"/>
                <w:spacing w:val="2"/>
                <w:highlight w:val="none"/>
              </w:rPr>
              <w:t>其他：</w:t>
            </w:r>
            <w:r>
              <w:rPr>
                <w:rFonts w:hint="eastAsia"/>
                <w:color w:val="auto"/>
                <w:spacing w:val="2"/>
                <w:highlight w:val="none"/>
                <w:lang w:val="en-US" w:eastAsia="zh-CN"/>
              </w:rPr>
              <w:t>/</w:t>
            </w:r>
          </w:p>
        </w:tc>
      </w:tr>
      <w:tr w14:paraId="753C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10982AA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1.3.2</w:t>
            </w:r>
          </w:p>
        </w:tc>
        <w:tc>
          <w:tcPr>
            <w:tcW w:w="2877" w:type="dxa"/>
            <w:vAlign w:val="center"/>
          </w:tcPr>
          <w:p w14:paraId="1891E6D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监理服务期限</w:t>
            </w:r>
          </w:p>
        </w:tc>
        <w:tc>
          <w:tcPr>
            <w:tcW w:w="5374" w:type="dxa"/>
            <w:vAlign w:val="center"/>
          </w:tcPr>
          <w:p w14:paraId="75A5095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pacing w:val="7"/>
                <w:highlight w:val="none"/>
              </w:rPr>
            </w:pPr>
            <w:r>
              <w:rPr>
                <w:color w:val="auto"/>
                <w:spacing w:val="7"/>
                <w:highlight w:val="none"/>
              </w:rPr>
              <w:t>监理服务期：</w:t>
            </w:r>
            <w:r>
              <w:rPr>
                <w:rFonts w:hint="eastAsia"/>
                <w:color w:val="auto"/>
                <w:spacing w:val="5"/>
                <w:highlight w:val="none"/>
                <w:u w:val="single" w:color="auto"/>
                <w:lang w:val="en-US" w:eastAsia="zh-CN"/>
              </w:rPr>
              <w:t>48</w:t>
            </w:r>
            <w:r>
              <w:rPr>
                <w:color w:val="auto"/>
                <w:spacing w:val="7"/>
                <w:highlight w:val="none"/>
                <w:u w:val="single" w:color="auto"/>
              </w:rPr>
              <w:t>个</w:t>
            </w:r>
            <w:r>
              <w:rPr>
                <w:color w:val="auto"/>
                <w:spacing w:val="7"/>
                <w:highlight w:val="none"/>
              </w:rPr>
              <w:t>月</w:t>
            </w:r>
          </w:p>
          <w:p w14:paraId="5DFDFB3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2"/>
                <w:highlight w:val="none"/>
              </w:rPr>
              <w:t>其中：</w:t>
            </w:r>
          </w:p>
          <w:p w14:paraId="38DD231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pacing w:val="6"/>
                <w:highlight w:val="none"/>
              </w:rPr>
            </w:pPr>
            <w:r>
              <w:rPr>
                <w:color w:val="auto"/>
                <w:spacing w:val="6"/>
                <w:highlight w:val="none"/>
              </w:rPr>
              <w:t>施工准备阶段：</w:t>
            </w:r>
            <w:r>
              <w:rPr>
                <w:rFonts w:hint="eastAsia"/>
                <w:color w:val="auto"/>
                <w:spacing w:val="6"/>
                <w:highlight w:val="none"/>
                <w:u w:val="single" w:color="auto"/>
                <w:lang w:val="en-US" w:eastAsia="zh-CN"/>
              </w:rPr>
              <w:t>0.5</w:t>
            </w:r>
            <w:r>
              <w:rPr>
                <w:color w:val="auto"/>
                <w:spacing w:val="6"/>
                <w:highlight w:val="none"/>
                <w:u w:val="single" w:color="auto"/>
              </w:rPr>
              <w:t>个</w:t>
            </w:r>
            <w:r>
              <w:rPr>
                <w:color w:val="auto"/>
                <w:spacing w:val="6"/>
                <w:highlight w:val="none"/>
              </w:rPr>
              <w:t>月</w:t>
            </w:r>
          </w:p>
          <w:p w14:paraId="5D87667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施工阶段：</w:t>
            </w:r>
            <w:r>
              <w:rPr>
                <w:color w:val="auto"/>
                <w:highlight w:val="none"/>
                <w:u w:val="single" w:color="auto"/>
              </w:rPr>
              <w:t xml:space="preserve"> </w:t>
            </w:r>
            <w:r>
              <w:rPr>
                <w:rFonts w:hint="eastAsia"/>
                <w:color w:val="auto"/>
                <w:highlight w:val="none"/>
                <w:u w:val="single" w:color="auto"/>
                <w:lang w:val="en-US" w:eastAsia="zh-CN"/>
              </w:rPr>
              <w:t>23.5</w:t>
            </w:r>
            <w:r>
              <w:rPr>
                <w:color w:val="auto"/>
                <w:spacing w:val="7"/>
                <w:highlight w:val="none"/>
                <w:u w:val="single" w:color="auto"/>
              </w:rPr>
              <w:t>个</w:t>
            </w:r>
            <w:r>
              <w:rPr>
                <w:color w:val="auto"/>
                <w:spacing w:val="7"/>
                <w:highlight w:val="none"/>
              </w:rPr>
              <w:t>月</w:t>
            </w:r>
          </w:p>
          <w:p w14:paraId="34783F9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pacing w:val="6"/>
                <w:highlight w:val="none"/>
              </w:rPr>
            </w:pPr>
            <w:r>
              <w:rPr>
                <w:color w:val="auto"/>
                <w:spacing w:val="7"/>
                <w:highlight w:val="none"/>
              </w:rPr>
              <w:t>交(竣)工验收及缺陷责任期：</w:t>
            </w:r>
            <w:r>
              <w:rPr>
                <w:color w:val="auto"/>
                <w:spacing w:val="7"/>
                <w:highlight w:val="none"/>
                <w:u w:val="single" w:color="auto"/>
              </w:rPr>
              <w:t xml:space="preserve"> </w:t>
            </w:r>
            <w:r>
              <w:rPr>
                <w:rFonts w:hint="eastAsia"/>
                <w:color w:val="auto"/>
                <w:spacing w:val="7"/>
                <w:highlight w:val="none"/>
                <w:u w:val="single" w:color="auto"/>
                <w:lang w:val="en-US" w:eastAsia="zh-CN"/>
              </w:rPr>
              <w:t>24</w:t>
            </w:r>
            <w:r>
              <w:rPr>
                <w:color w:val="auto"/>
                <w:spacing w:val="7"/>
                <w:highlight w:val="none"/>
                <w:u w:val="single" w:color="auto"/>
              </w:rPr>
              <w:t>个</w:t>
            </w:r>
            <w:r>
              <w:rPr>
                <w:color w:val="auto"/>
                <w:spacing w:val="7"/>
                <w:highlight w:val="none"/>
              </w:rPr>
              <w:t>月</w:t>
            </w:r>
          </w:p>
        </w:tc>
      </w:tr>
      <w:tr w14:paraId="2C09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13" w:type="dxa"/>
            <w:vAlign w:val="center"/>
          </w:tcPr>
          <w:p w14:paraId="563F6C9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bookmarkStart w:id="35" w:name="bookmark47"/>
            <w:bookmarkEnd w:id="35"/>
            <w:r>
              <w:rPr>
                <w:color w:val="auto"/>
                <w:highlight w:val="none"/>
              </w:rPr>
              <w:t>1.3.3</w:t>
            </w:r>
          </w:p>
        </w:tc>
        <w:tc>
          <w:tcPr>
            <w:tcW w:w="2877" w:type="dxa"/>
            <w:vAlign w:val="center"/>
          </w:tcPr>
          <w:p w14:paraId="696ADBF1">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7"/>
                <w:highlight w:val="none"/>
              </w:rPr>
              <w:t>质量要求</w:t>
            </w:r>
          </w:p>
        </w:tc>
        <w:tc>
          <w:tcPr>
            <w:tcW w:w="5374" w:type="dxa"/>
            <w:vAlign w:val="center"/>
          </w:tcPr>
          <w:p w14:paraId="3870A60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8"/>
                <w:highlight w:val="none"/>
                <w:u w:val="single" w:color="auto"/>
              </w:rPr>
              <w:t>严格按照施工监理规范开展工作</w:t>
            </w:r>
            <w:r>
              <w:rPr>
                <w:color w:val="auto"/>
                <w:spacing w:val="8"/>
                <w:highlight w:val="none"/>
              </w:rPr>
              <w:t>。</w:t>
            </w:r>
          </w:p>
        </w:tc>
      </w:tr>
      <w:tr w14:paraId="1482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3" w:type="dxa"/>
            <w:vAlign w:val="center"/>
          </w:tcPr>
          <w:p w14:paraId="487341F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highlight w:val="none"/>
              </w:rPr>
              <w:t>1.3.4</w:t>
            </w:r>
          </w:p>
        </w:tc>
        <w:tc>
          <w:tcPr>
            <w:tcW w:w="2877" w:type="dxa"/>
            <w:vAlign w:val="center"/>
          </w:tcPr>
          <w:p w14:paraId="0D05BC1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6"/>
                <w:highlight w:val="none"/>
              </w:rPr>
              <w:t>安全目标</w:t>
            </w:r>
          </w:p>
        </w:tc>
        <w:tc>
          <w:tcPr>
            <w:tcW w:w="5374" w:type="dxa"/>
            <w:vAlign w:val="center"/>
          </w:tcPr>
          <w:p w14:paraId="4E14109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9"/>
                <w:highlight w:val="none"/>
                <w:u w:val="single" w:color="auto"/>
              </w:rPr>
              <w:t>严格执行有关安全生产的法律法规和规章制</w:t>
            </w:r>
            <w:r>
              <w:rPr>
                <w:color w:val="auto"/>
                <w:spacing w:val="8"/>
                <w:highlight w:val="none"/>
                <w:u w:val="single" w:color="auto"/>
              </w:rPr>
              <w:t>度</w:t>
            </w:r>
            <w:r>
              <w:rPr>
                <w:color w:val="auto"/>
                <w:spacing w:val="8"/>
                <w:highlight w:val="none"/>
              </w:rPr>
              <w:t>。</w:t>
            </w:r>
          </w:p>
        </w:tc>
      </w:tr>
      <w:tr w14:paraId="408E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7A0B0E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1.4.1</w:t>
            </w:r>
          </w:p>
        </w:tc>
        <w:tc>
          <w:tcPr>
            <w:tcW w:w="2877" w:type="dxa"/>
            <w:vAlign w:val="center"/>
          </w:tcPr>
          <w:p w14:paraId="036E715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投标人资质条件、能力和信</w:t>
            </w:r>
          </w:p>
          <w:p w14:paraId="469572F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1"/>
                <w:highlight w:val="none"/>
              </w:rPr>
              <w:t>誉</w:t>
            </w:r>
          </w:p>
        </w:tc>
        <w:tc>
          <w:tcPr>
            <w:tcW w:w="5374" w:type="dxa"/>
            <w:vAlign w:val="center"/>
          </w:tcPr>
          <w:p w14:paraId="5FCE1F8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6"/>
                <w:highlight w:val="none"/>
              </w:rPr>
              <w:t>资质要求：见附录</w:t>
            </w:r>
            <w:r>
              <w:rPr>
                <w:color w:val="auto"/>
                <w:spacing w:val="-16"/>
                <w:highlight w:val="none"/>
              </w:rPr>
              <w:t xml:space="preserve"> </w:t>
            </w:r>
            <w:r>
              <w:rPr>
                <w:color w:val="auto"/>
                <w:spacing w:val="6"/>
                <w:highlight w:val="none"/>
              </w:rPr>
              <w:t>1</w:t>
            </w:r>
          </w:p>
          <w:p w14:paraId="78771A61">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业绩要求：见附录</w:t>
            </w:r>
            <w:r>
              <w:rPr>
                <w:color w:val="auto"/>
                <w:spacing w:val="-28"/>
                <w:highlight w:val="none"/>
              </w:rPr>
              <w:t xml:space="preserve"> </w:t>
            </w:r>
            <w:r>
              <w:rPr>
                <w:color w:val="auto"/>
                <w:spacing w:val="7"/>
                <w:highlight w:val="none"/>
              </w:rPr>
              <w:t>2</w:t>
            </w:r>
          </w:p>
          <w:p w14:paraId="24EEAAB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信誉要求：见附录</w:t>
            </w:r>
            <w:r>
              <w:rPr>
                <w:color w:val="auto"/>
                <w:spacing w:val="-28"/>
                <w:highlight w:val="none"/>
              </w:rPr>
              <w:t xml:space="preserve"> </w:t>
            </w:r>
            <w:r>
              <w:rPr>
                <w:color w:val="auto"/>
                <w:spacing w:val="7"/>
                <w:highlight w:val="none"/>
              </w:rPr>
              <w:t>3</w:t>
            </w:r>
          </w:p>
          <w:p w14:paraId="5812DF1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4"/>
              <w:jc w:val="both"/>
              <w:rPr>
                <w:color w:val="auto"/>
                <w:highlight w:val="none"/>
              </w:rPr>
            </w:pPr>
            <w:r>
              <w:rPr>
                <w:color w:val="auto"/>
                <w:spacing w:val="11"/>
                <w:highlight w:val="none"/>
              </w:rPr>
              <w:t>总监理工程师或驻地监理工程师资格：见附录4</w:t>
            </w:r>
            <w:r>
              <w:rPr>
                <w:color w:val="auto"/>
                <w:spacing w:val="-2"/>
                <w:highlight w:val="none"/>
              </w:rPr>
              <w:t>其他要求:</w:t>
            </w:r>
            <w:r>
              <w:rPr>
                <w:color w:val="auto"/>
                <w:spacing w:val="58"/>
                <w:highlight w:val="none"/>
              </w:rPr>
              <w:t xml:space="preserve"> </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57E2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7E23DF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1.4.2</w:t>
            </w:r>
          </w:p>
        </w:tc>
        <w:tc>
          <w:tcPr>
            <w:tcW w:w="2877" w:type="dxa"/>
            <w:vAlign w:val="center"/>
          </w:tcPr>
          <w:p w14:paraId="48060D4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是否接受联合体投标</w:t>
            </w:r>
          </w:p>
        </w:tc>
        <w:tc>
          <w:tcPr>
            <w:tcW w:w="5374" w:type="dxa"/>
            <w:vAlign w:val="center"/>
          </w:tcPr>
          <w:p w14:paraId="319C7BE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2"/>
                <w:highlight w:val="none"/>
                <w:lang w:eastAsia="zh-CN"/>
              </w:rPr>
              <w:t>☑</w:t>
            </w:r>
            <w:r>
              <w:rPr>
                <w:color w:val="auto"/>
                <w:spacing w:val="2"/>
                <w:highlight w:val="none"/>
              </w:rPr>
              <w:t>不接受</w:t>
            </w:r>
          </w:p>
          <w:p w14:paraId="6E30B58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6"/>
                <w:highlight w:val="none"/>
              </w:rPr>
              <w:t>□接受，应满足下列要求：</w:t>
            </w:r>
          </w:p>
          <w:p w14:paraId="4CAF9A7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（1）联合体所有成员数量不得超过</w:t>
            </w:r>
            <w:r>
              <w:rPr>
                <w:color w:val="auto"/>
                <w:spacing w:val="-91"/>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9"/>
                <w:highlight w:val="none"/>
              </w:rPr>
              <w:t xml:space="preserve"> </w:t>
            </w:r>
            <w:r>
              <w:rPr>
                <w:color w:val="auto"/>
                <w:spacing w:val="7"/>
                <w:highlight w:val="none"/>
              </w:rPr>
              <w:t>家；</w:t>
            </w:r>
          </w:p>
          <w:p w14:paraId="5B8D689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5"/>
                <w:highlight w:val="none"/>
              </w:rPr>
              <w:t>（2）联合体牵头人应具有</w:t>
            </w:r>
            <w:r>
              <w:rPr>
                <w:color w:val="auto"/>
                <w:spacing w:val="-92"/>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2"/>
                <w:highlight w:val="none"/>
              </w:rPr>
              <w:t xml:space="preserve"> </w:t>
            </w:r>
            <w:r>
              <w:rPr>
                <w:color w:val="auto"/>
                <w:spacing w:val="5"/>
                <w:highlight w:val="none"/>
              </w:rPr>
              <w:t>资质；</w:t>
            </w:r>
            <w:r>
              <w:rPr>
                <w:color w:val="auto"/>
                <w:spacing w:val="-67"/>
                <w:highlight w:val="none"/>
              </w:rPr>
              <w:t xml:space="preserve"> </w:t>
            </w:r>
            <w:r>
              <w:rPr>
                <w:color w:val="auto"/>
                <w:spacing w:val="5"/>
                <w:highlight w:val="none"/>
              </w:rPr>
              <w:t>……</w:t>
            </w:r>
          </w:p>
        </w:tc>
      </w:tr>
      <w:tr w14:paraId="3452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43F3D0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1.4.3</w:t>
            </w:r>
          </w:p>
        </w:tc>
        <w:tc>
          <w:tcPr>
            <w:tcW w:w="2877" w:type="dxa"/>
            <w:vAlign w:val="center"/>
          </w:tcPr>
          <w:p w14:paraId="7229E0A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投标人不得存在的其他关联</w:t>
            </w:r>
          </w:p>
          <w:p w14:paraId="4B9E956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4"/>
                <w:highlight w:val="none"/>
              </w:rPr>
              <w:t>情形</w:t>
            </w:r>
          </w:p>
        </w:tc>
        <w:tc>
          <w:tcPr>
            <w:tcW w:w="5374" w:type="dxa"/>
            <w:vAlign w:val="center"/>
          </w:tcPr>
          <w:p w14:paraId="2E0095A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10"/>
              <w:jc w:val="both"/>
              <w:rPr>
                <w:rFonts w:hint="eastAsia" w:eastAsia="宋体"/>
                <w:color w:val="auto"/>
                <w:highlight w:val="none"/>
                <w:lang w:eastAsia="zh-CN"/>
              </w:rPr>
            </w:pPr>
            <w:r>
              <w:rPr>
                <w:rFonts w:hint="eastAsia"/>
                <w:color w:val="auto"/>
                <w:spacing w:val="11"/>
                <w:highlight w:val="none"/>
                <w:lang w:val="en-US" w:eastAsia="zh-CN"/>
              </w:rPr>
              <w:t>/</w:t>
            </w:r>
          </w:p>
        </w:tc>
      </w:tr>
      <w:tr w14:paraId="0F44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7BA17F98">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p w14:paraId="56BDBF4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1.4.4</w:t>
            </w:r>
          </w:p>
        </w:tc>
        <w:tc>
          <w:tcPr>
            <w:tcW w:w="2877" w:type="dxa"/>
            <w:vAlign w:val="center"/>
          </w:tcPr>
          <w:p w14:paraId="57DC279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right="180" w:hanging="314"/>
              <w:jc w:val="center"/>
              <w:textAlignment w:val="baseline"/>
              <w:rPr>
                <w:color w:val="auto"/>
                <w:highlight w:val="none"/>
              </w:rPr>
            </w:pPr>
            <w:r>
              <w:rPr>
                <w:color w:val="auto"/>
                <w:spacing w:val="8"/>
                <w:highlight w:val="none"/>
              </w:rPr>
              <w:t>投标人不得存在的其他不良状况或不良信用记录</w:t>
            </w:r>
          </w:p>
        </w:tc>
        <w:tc>
          <w:tcPr>
            <w:tcW w:w="5374" w:type="dxa"/>
            <w:vAlign w:val="center"/>
          </w:tcPr>
          <w:p w14:paraId="6586BD9D">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0E3DE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vAlign w:val="center"/>
          </w:tcPr>
          <w:p w14:paraId="77EF2E24">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p w14:paraId="4E6548F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1"/>
                <w:highlight w:val="none"/>
              </w:rPr>
              <w:t>1.10.2</w:t>
            </w:r>
          </w:p>
        </w:tc>
        <w:tc>
          <w:tcPr>
            <w:tcW w:w="2877" w:type="dxa"/>
            <w:vAlign w:val="center"/>
          </w:tcPr>
          <w:p w14:paraId="0B48976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投标人在投标预备会前提出</w:t>
            </w:r>
          </w:p>
          <w:p w14:paraId="1B2E1CA6">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问题</w:t>
            </w:r>
          </w:p>
        </w:tc>
        <w:tc>
          <w:tcPr>
            <w:tcW w:w="5374" w:type="dxa"/>
            <w:vAlign w:val="center"/>
          </w:tcPr>
          <w:p w14:paraId="0218F2A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6"/>
                <w:highlight w:val="none"/>
              </w:rPr>
              <w:t>时间：投标预备会召开之日</w:t>
            </w:r>
            <w:r>
              <w:rPr>
                <w:color w:val="auto"/>
                <w:spacing w:val="-27"/>
                <w:highlight w:val="none"/>
              </w:rPr>
              <w:t xml:space="preserve"> </w:t>
            </w:r>
            <w:r>
              <w:rPr>
                <w:rFonts w:hint="eastAsia"/>
                <w:color w:val="auto"/>
                <w:spacing w:val="6"/>
                <w:highlight w:val="none"/>
                <w:u w:val="single" w:color="auto"/>
                <w:lang w:val="en-US" w:eastAsia="zh-CN"/>
              </w:rPr>
              <w:t xml:space="preserve"> /</w:t>
            </w:r>
            <w:r>
              <w:rPr>
                <w:color w:val="auto"/>
                <w:spacing w:val="-33"/>
                <w:highlight w:val="none"/>
                <w:u w:val="single" w:color="auto"/>
              </w:rPr>
              <w:t xml:space="preserve"> </w:t>
            </w:r>
            <w:r>
              <w:rPr>
                <w:color w:val="auto"/>
                <w:spacing w:val="6"/>
                <w:highlight w:val="none"/>
              </w:rPr>
              <w:t>天前</w:t>
            </w:r>
          </w:p>
          <w:p w14:paraId="766640B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5"/>
                <w:highlight w:val="none"/>
              </w:rPr>
              <w:t>形式：</w:t>
            </w:r>
            <w:r>
              <w:rPr>
                <w:rFonts w:hint="eastAsia"/>
                <w:color w:val="auto"/>
                <w:spacing w:val="6"/>
                <w:highlight w:val="none"/>
                <w:u w:val="single" w:color="auto"/>
                <w:lang w:val="en-US" w:eastAsia="zh-CN"/>
              </w:rPr>
              <w:t xml:space="preserve"> /</w:t>
            </w:r>
            <w:r>
              <w:rPr>
                <w:color w:val="auto"/>
                <w:spacing w:val="-33"/>
                <w:highlight w:val="none"/>
                <w:u w:val="single" w:color="auto"/>
              </w:rPr>
              <w:t xml:space="preserve"> </w:t>
            </w:r>
          </w:p>
        </w:tc>
      </w:tr>
      <w:tr w14:paraId="188F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13" w:type="dxa"/>
            <w:vAlign w:val="center"/>
          </w:tcPr>
          <w:p w14:paraId="44E4D71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1"/>
                <w:position w:val="1"/>
                <w:highlight w:val="none"/>
              </w:rPr>
              <w:t>2.1</w:t>
            </w:r>
          </w:p>
        </w:tc>
        <w:tc>
          <w:tcPr>
            <w:tcW w:w="2877" w:type="dxa"/>
            <w:vAlign w:val="center"/>
          </w:tcPr>
          <w:p w14:paraId="1FB1DBC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构成招标文件的其他资料</w:t>
            </w:r>
          </w:p>
        </w:tc>
        <w:tc>
          <w:tcPr>
            <w:tcW w:w="5374" w:type="dxa"/>
            <w:vAlign w:val="center"/>
          </w:tcPr>
          <w:p w14:paraId="04579E8B">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ascii="Arial"/>
                <w:color w:val="auto"/>
                <w:sz w:val="21"/>
                <w:highlight w:val="none"/>
              </w:rPr>
              <w:t>招标文件所附的其他资料</w:t>
            </w:r>
          </w:p>
        </w:tc>
      </w:tr>
      <w:tr w14:paraId="4A79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13" w:type="dxa"/>
            <w:vMerge w:val="restart"/>
            <w:tcBorders>
              <w:bottom w:val="nil"/>
            </w:tcBorders>
            <w:vAlign w:val="center"/>
          </w:tcPr>
          <w:p w14:paraId="75B2EAA9">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p w14:paraId="0CA60CE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2.2.1</w:t>
            </w:r>
          </w:p>
        </w:tc>
        <w:tc>
          <w:tcPr>
            <w:tcW w:w="2877" w:type="dxa"/>
            <w:vMerge w:val="restart"/>
            <w:tcBorders>
              <w:bottom w:val="nil"/>
            </w:tcBorders>
            <w:vAlign w:val="center"/>
          </w:tcPr>
          <w:p w14:paraId="2268E440">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p w14:paraId="506B7E2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投标人要求澄清招标文件</w:t>
            </w:r>
          </w:p>
        </w:tc>
        <w:tc>
          <w:tcPr>
            <w:tcW w:w="5374" w:type="dxa"/>
            <w:vAlign w:val="center"/>
          </w:tcPr>
          <w:p w14:paraId="0F4BC634">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default" w:ascii="Arial"/>
                <w:color w:val="auto"/>
                <w:sz w:val="21"/>
                <w:highlight w:val="none"/>
                <w:lang w:val="en-US" w:eastAsia="zh-CN"/>
              </w:rPr>
            </w:pPr>
            <w:r>
              <w:rPr>
                <w:rFonts w:hint="eastAsia" w:ascii="Arial"/>
                <w:color w:val="auto"/>
                <w:sz w:val="21"/>
                <w:highlight w:val="none"/>
              </w:rPr>
              <w:t>时间：见“重要事项时间地点一览表”</w:t>
            </w:r>
          </w:p>
        </w:tc>
      </w:tr>
      <w:tr w14:paraId="6474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Merge w:val="continue"/>
            <w:tcBorders>
              <w:top w:val="nil"/>
            </w:tcBorders>
            <w:vAlign w:val="center"/>
          </w:tcPr>
          <w:p w14:paraId="7A9343AB">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tc>
        <w:tc>
          <w:tcPr>
            <w:tcW w:w="2877" w:type="dxa"/>
            <w:vMerge w:val="continue"/>
            <w:tcBorders>
              <w:top w:val="nil"/>
            </w:tcBorders>
            <w:vAlign w:val="center"/>
          </w:tcPr>
          <w:p w14:paraId="37DA1C65">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tc>
        <w:tc>
          <w:tcPr>
            <w:tcW w:w="5374" w:type="dxa"/>
            <w:vAlign w:val="center"/>
          </w:tcPr>
          <w:p w14:paraId="18CED218">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color w:val="auto"/>
                <w:sz w:val="21"/>
                <w:highlight w:val="none"/>
              </w:rPr>
            </w:pPr>
            <w:r>
              <w:rPr>
                <w:rFonts w:hint="eastAsia" w:ascii="Arial"/>
                <w:color w:val="auto"/>
                <w:sz w:val="21"/>
                <w:highlight w:val="none"/>
              </w:rPr>
              <w:t>形式：投标人对招标文件的疑问或要求澄清的内容以不署名的形式在</w:t>
            </w:r>
            <w:r>
              <w:rPr>
                <w:rFonts w:hint="eastAsia" w:ascii="Arial"/>
                <w:color w:val="auto"/>
                <w:sz w:val="21"/>
                <w:highlight w:val="none"/>
                <w:lang w:eastAsia="zh-CN"/>
              </w:rPr>
              <w:t>全国公共资源交易平台 （广东省 · 韶关市）</w:t>
            </w:r>
            <w:r>
              <w:rPr>
                <w:rFonts w:hint="eastAsia" w:ascii="Arial"/>
                <w:color w:val="auto"/>
                <w:sz w:val="21"/>
                <w:highlight w:val="none"/>
              </w:rPr>
              <w:t>建设工程交易系统提出。</w:t>
            </w:r>
          </w:p>
        </w:tc>
      </w:tr>
      <w:tr w14:paraId="563A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E39D18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2.2.2</w:t>
            </w:r>
          </w:p>
        </w:tc>
        <w:tc>
          <w:tcPr>
            <w:tcW w:w="2877" w:type="dxa"/>
            <w:vAlign w:val="center"/>
          </w:tcPr>
          <w:p w14:paraId="4FB613B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招标文件澄清发出的形式</w:t>
            </w:r>
          </w:p>
        </w:tc>
        <w:tc>
          <w:tcPr>
            <w:tcW w:w="5374" w:type="dxa"/>
            <w:vAlign w:val="center"/>
          </w:tcPr>
          <w:p w14:paraId="46E4611C">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color w:val="auto"/>
                <w:sz w:val="21"/>
                <w:highlight w:val="none"/>
                <w:lang w:eastAsia="zh-CN"/>
              </w:rPr>
            </w:pPr>
            <w:r>
              <w:rPr>
                <w:rFonts w:hint="eastAsia" w:ascii="Arial"/>
                <w:color w:val="auto"/>
                <w:sz w:val="21"/>
                <w:highlight w:val="none"/>
                <w:lang w:eastAsia="zh-CN"/>
              </w:rPr>
              <w:t>在全国公共资源交易平台（广东省·韶关市）（https://ygp.gdzwfw.gov.cn/ggzy-portal/#/440200/index）发布</w:t>
            </w:r>
          </w:p>
        </w:tc>
      </w:tr>
      <w:tr w14:paraId="2D2A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013" w:type="dxa"/>
            <w:vAlign w:val="center"/>
          </w:tcPr>
          <w:p w14:paraId="4E7E64B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highlight w:val="none"/>
              </w:rPr>
              <w:t>2.3.1</w:t>
            </w:r>
          </w:p>
        </w:tc>
        <w:tc>
          <w:tcPr>
            <w:tcW w:w="2877" w:type="dxa"/>
            <w:vAlign w:val="center"/>
          </w:tcPr>
          <w:p w14:paraId="3EA7C62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招标文件修改发出的形式</w:t>
            </w:r>
          </w:p>
        </w:tc>
        <w:tc>
          <w:tcPr>
            <w:tcW w:w="5374" w:type="dxa"/>
            <w:vAlign w:val="center"/>
          </w:tcPr>
          <w:p w14:paraId="79A34B33">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color w:val="auto"/>
                <w:sz w:val="21"/>
                <w:highlight w:val="none"/>
                <w:lang w:eastAsia="zh-CN"/>
              </w:rPr>
            </w:pPr>
            <w:r>
              <w:rPr>
                <w:rFonts w:hint="eastAsia" w:ascii="Arial"/>
                <w:color w:val="auto"/>
                <w:sz w:val="21"/>
                <w:highlight w:val="none"/>
                <w:lang w:eastAsia="zh-CN"/>
              </w:rPr>
              <w:t>在全国公共资源交易平台（广东省·韶关市）（https://ygp.gdzwfw.gov.cn/ggzy-portal/#/440200/index）发布</w:t>
            </w:r>
          </w:p>
        </w:tc>
      </w:tr>
      <w:tr w14:paraId="6502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13" w:type="dxa"/>
            <w:vAlign w:val="center"/>
          </w:tcPr>
          <w:p w14:paraId="176732C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3.1.1</w:t>
            </w:r>
          </w:p>
        </w:tc>
        <w:tc>
          <w:tcPr>
            <w:tcW w:w="2877" w:type="dxa"/>
            <w:vAlign w:val="center"/>
          </w:tcPr>
          <w:p w14:paraId="5869118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构成投标文件的其他资料</w:t>
            </w:r>
          </w:p>
        </w:tc>
        <w:tc>
          <w:tcPr>
            <w:tcW w:w="5374" w:type="dxa"/>
            <w:vAlign w:val="center"/>
          </w:tcPr>
          <w:p w14:paraId="02C59880">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eastAsia="宋体"/>
                <w:color w:val="auto"/>
                <w:sz w:val="21"/>
                <w:highlight w:val="none"/>
                <w:lang w:val="en-US" w:eastAsia="zh-CN"/>
              </w:rPr>
              <w:t>/</w:t>
            </w:r>
          </w:p>
        </w:tc>
      </w:tr>
      <w:tr w14:paraId="59A3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13" w:type="dxa"/>
            <w:vAlign w:val="center"/>
          </w:tcPr>
          <w:p w14:paraId="3A35D58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3.2.1</w:t>
            </w:r>
          </w:p>
        </w:tc>
        <w:tc>
          <w:tcPr>
            <w:tcW w:w="2877" w:type="dxa"/>
            <w:vAlign w:val="center"/>
          </w:tcPr>
          <w:p w14:paraId="2237A49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增值税税金的计算方法</w:t>
            </w:r>
          </w:p>
        </w:tc>
        <w:tc>
          <w:tcPr>
            <w:tcW w:w="5374" w:type="dxa"/>
            <w:vAlign w:val="center"/>
          </w:tcPr>
          <w:p w14:paraId="10556CFA">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r>
              <w:rPr>
                <w:rFonts w:hint="eastAsia" w:ascii="Arial"/>
                <w:color w:val="auto"/>
                <w:sz w:val="21"/>
                <w:highlight w:val="none"/>
              </w:rPr>
              <w:t>按国家、省、市规定执行</w:t>
            </w:r>
            <w:r>
              <w:rPr>
                <w:rFonts w:hint="eastAsia" w:ascii="Arial"/>
                <w:color w:val="auto"/>
                <w:sz w:val="21"/>
                <w:highlight w:val="none"/>
                <w:lang w:eastAsia="zh-CN"/>
              </w:rPr>
              <w:t>。</w:t>
            </w:r>
          </w:p>
        </w:tc>
      </w:tr>
      <w:tr w14:paraId="14C0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13" w:type="dxa"/>
            <w:vMerge w:val="restart"/>
            <w:vAlign w:val="center"/>
          </w:tcPr>
          <w:p w14:paraId="0E906C6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宋体" w:hAnsi="宋体" w:eastAsia="宋体" w:cs="宋体"/>
                <w:color w:val="auto"/>
                <w:highlight w:val="none"/>
              </w:rPr>
            </w:pPr>
            <w:bookmarkStart w:id="36" w:name="bookmark51"/>
            <w:bookmarkEnd w:id="36"/>
            <w:r>
              <w:rPr>
                <w:rFonts w:ascii="宋体" w:hAnsi="宋体" w:eastAsia="宋体" w:cs="宋体"/>
                <w:color w:val="auto"/>
                <w:highlight w:val="none"/>
              </w:rPr>
              <w:t>3.2.3</w:t>
            </w:r>
          </w:p>
        </w:tc>
        <w:tc>
          <w:tcPr>
            <w:tcW w:w="2877" w:type="dxa"/>
            <w:vMerge w:val="restart"/>
            <w:vAlign w:val="center"/>
          </w:tcPr>
          <w:p w14:paraId="3AAE0D2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宋体" w:hAnsi="宋体" w:eastAsia="宋体" w:cs="宋体"/>
                <w:color w:val="auto"/>
                <w:highlight w:val="none"/>
              </w:rPr>
            </w:pPr>
            <w:r>
              <w:rPr>
                <w:rFonts w:ascii="宋体" w:hAnsi="宋体" w:eastAsia="宋体" w:cs="宋体"/>
                <w:color w:val="auto"/>
                <w:highlight w:val="none"/>
              </w:rPr>
              <w:t>报价方式</w:t>
            </w:r>
          </w:p>
        </w:tc>
        <w:tc>
          <w:tcPr>
            <w:tcW w:w="5374" w:type="dxa"/>
            <w:vAlign w:val="center"/>
          </w:tcPr>
          <w:p w14:paraId="4E869C0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1"/>
                <w:highlight w:val="none"/>
                <w:lang w:eastAsia="zh-CN"/>
              </w:rPr>
              <w:t>☑</w:t>
            </w:r>
            <w:r>
              <w:rPr>
                <w:color w:val="auto"/>
                <w:spacing w:val="-1"/>
                <w:highlight w:val="none"/>
              </w:rPr>
              <w:t>总价</w:t>
            </w:r>
          </w:p>
        </w:tc>
      </w:tr>
      <w:tr w14:paraId="27C3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013" w:type="dxa"/>
            <w:vMerge w:val="continue"/>
            <w:vAlign w:val="center"/>
          </w:tcPr>
          <w:p w14:paraId="11CC5E86">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tc>
        <w:tc>
          <w:tcPr>
            <w:tcW w:w="2877" w:type="dxa"/>
            <w:vMerge w:val="continue"/>
            <w:vAlign w:val="center"/>
          </w:tcPr>
          <w:p w14:paraId="1B441819">
            <w:pPr>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ascii="Arial"/>
                <w:color w:val="auto"/>
                <w:sz w:val="21"/>
                <w:highlight w:val="none"/>
              </w:rPr>
            </w:pPr>
          </w:p>
        </w:tc>
        <w:tc>
          <w:tcPr>
            <w:tcW w:w="5374" w:type="dxa"/>
            <w:vAlign w:val="center"/>
          </w:tcPr>
          <w:p w14:paraId="7AB5032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1"/>
                <w:highlight w:val="none"/>
              </w:rPr>
              <w:t>□单价</w:t>
            </w:r>
          </w:p>
        </w:tc>
      </w:tr>
      <w:tr w14:paraId="6FE6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13" w:type="dxa"/>
            <w:vAlign w:val="center"/>
          </w:tcPr>
          <w:p w14:paraId="222F3A0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highlight w:val="none"/>
              </w:rPr>
              <w:t>3.2.4</w:t>
            </w:r>
          </w:p>
        </w:tc>
        <w:tc>
          <w:tcPr>
            <w:tcW w:w="2877" w:type="dxa"/>
            <w:vAlign w:val="center"/>
          </w:tcPr>
          <w:p w14:paraId="4F58D78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最高投标限价</w:t>
            </w:r>
          </w:p>
        </w:tc>
        <w:tc>
          <w:tcPr>
            <w:tcW w:w="5374" w:type="dxa"/>
            <w:vAlign w:val="center"/>
          </w:tcPr>
          <w:p w14:paraId="2C21723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8"/>
                <w:highlight w:val="none"/>
                <w:u w:val="single"/>
              </w:rPr>
              <w:t>最高投标限价144576</w:t>
            </w:r>
            <w:r>
              <w:rPr>
                <w:rFonts w:hint="eastAsia"/>
                <w:color w:val="auto"/>
                <w:spacing w:val="8"/>
                <w:highlight w:val="none"/>
                <w:u w:val="single"/>
                <w:lang w:val="en-US" w:eastAsia="zh-CN"/>
              </w:rPr>
              <w:t>0</w:t>
            </w:r>
            <w:r>
              <w:rPr>
                <w:rFonts w:hint="eastAsia"/>
                <w:color w:val="auto"/>
                <w:spacing w:val="8"/>
                <w:highlight w:val="none"/>
                <w:u w:val="single"/>
              </w:rPr>
              <w:t>元（其中含暂列金额</w:t>
            </w:r>
            <w:r>
              <w:rPr>
                <w:rFonts w:hint="eastAsia"/>
                <w:color w:val="auto"/>
                <w:spacing w:val="8"/>
                <w:highlight w:val="none"/>
                <w:u w:val="single"/>
                <w:lang w:val="en-US" w:eastAsia="zh-CN"/>
              </w:rPr>
              <w:t>/</w:t>
            </w:r>
            <w:r>
              <w:rPr>
                <w:rFonts w:hint="eastAsia"/>
                <w:color w:val="auto"/>
                <w:spacing w:val="8"/>
                <w:highlight w:val="none"/>
                <w:u w:val="single"/>
              </w:rPr>
              <w:t>元）</w:t>
            </w:r>
          </w:p>
        </w:tc>
      </w:tr>
      <w:tr w14:paraId="7E28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13" w:type="dxa"/>
            <w:vAlign w:val="center"/>
          </w:tcPr>
          <w:p w14:paraId="1E57A1F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highlight w:val="none"/>
              </w:rPr>
              <w:t>3.2.5</w:t>
            </w:r>
          </w:p>
        </w:tc>
        <w:tc>
          <w:tcPr>
            <w:tcW w:w="2877" w:type="dxa"/>
            <w:vAlign w:val="center"/>
          </w:tcPr>
          <w:p w14:paraId="0781891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投标报价的其他要求</w:t>
            </w:r>
          </w:p>
        </w:tc>
        <w:tc>
          <w:tcPr>
            <w:tcW w:w="5374" w:type="dxa"/>
            <w:vAlign w:val="center"/>
          </w:tcPr>
          <w:p w14:paraId="07D3DBFD">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7E46F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13" w:type="dxa"/>
            <w:vAlign w:val="center"/>
          </w:tcPr>
          <w:p w14:paraId="428BCA1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highlight w:val="none"/>
              </w:rPr>
              <w:t>3.3.1</w:t>
            </w:r>
          </w:p>
        </w:tc>
        <w:tc>
          <w:tcPr>
            <w:tcW w:w="2877" w:type="dxa"/>
            <w:vAlign w:val="center"/>
          </w:tcPr>
          <w:p w14:paraId="0B10E82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投标有效期</w:t>
            </w:r>
          </w:p>
        </w:tc>
        <w:tc>
          <w:tcPr>
            <w:tcW w:w="5374" w:type="dxa"/>
            <w:vAlign w:val="center"/>
          </w:tcPr>
          <w:p w14:paraId="51B42F0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自投标人提交投标文件截止之日起计算</w:t>
            </w:r>
            <w:r>
              <w:rPr>
                <w:color w:val="auto"/>
                <w:spacing w:val="-98"/>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90</w:t>
            </w:r>
            <w:r>
              <w:rPr>
                <w:color w:val="auto"/>
                <w:spacing w:val="4"/>
                <w:highlight w:val="none"/>
                <w:u w:val="single" w:color="auto"/>
              </w:rPr>
              <w:t xml:space="preserve"> </w:t>
            </w:r>
            <w:r>
              <w:rPr>
                <w:color w:val="auto"/>
                <w:spacing w:val="-54"/>
                <w:highlight w:val="none"/>
              </w:rPr>
              <w:t xml:space="preserve"> </w:t>
            </w:r>
            <w:r>
              <w:rPr>
                <w:color w:val="auto"/>
                <w:spacing w:val="7"/>
                <w:highlight w:val="none"/>
              </w:rPr>
              <w:t>日</w:t>
            </w:r>
          </w:p>
        </w:tc>
      </w:tr>
      <w:tr w14:paraId="07BB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A1A1D1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3.4.1</w:t>
            </w:r>
          </w:p>
        </w:tc>
        <w:tc>
          <w:tcPr>
            <w:tcW w:w="2877" w:type="dxa"/>
            <w:vAlign w:val="center"/>
          </w:tcPr>
          <w:p w14:paraId="2C37453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7"/>
                <w:highlight w:val="none"/>
              </w:rPr>
              <w:t>投标保证金</w:t>
            </w:r>
          </w:p>
        </w:tc>
        <w:tc>
          <w:tcPr>
            <w:tcW w:w="5374" w:type="dxa"/>
            <w:vAlign w:val="center"/>
          </w:tcPr>
          <w:p w14:paraId="7211D40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highlight w:val="none"/>
              </w:rPr>
            </w:pPr>
            <w:r>
              <w:rPr>
                <w:color w:val="auto"/>
                <w:spacing w:val="8"/>
                <w:highlight w:val="none"/>
              </w:rPr>
              <w:t>是否要求投标人递交投标保证金：</w:t>
            </w:r>
          </w:p>
          <w:p w14:paraId="6F37761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spacing w:val="6"/>
                <w:position w:val="10"/>
                <w:sz w:val="10"/>
                <w:szCs w:val="10"/>
                <w:highlight w:val="none"/>
              </w:rPr>
            </w:pPr>
            <w:r>
              <w:rPr>
                <w:rFonts w:hint="eastAsia"/>
                <w:color w:val="auto"/>
                <w:spacing w:val="6"/>
                <w:highlight w:val="none"/>
                <w:lang w:eastAsia="zh-CN"/>
              </w:rPr>
              <w:t>☑</w:t>
            </w:r>
            <w:r>
              <w:rPr>
                <w:color w:val="auto"/>
                <w:spacing w:val="6"/>
                <w:highlight w:val="none"/>
              </w:rPr>
              <w:t>要求，投标保证金的金额：</w:t>
            </w:r>
            <w:r>
              <w:rPr>
                <w:b/>
                <w:bCs/>
                <w:color w:val="auto"/>
                <w:spacing w:val="6"/>
                <w:highlight w:val="none"/>
                <w:u w:val="single" w:color="auto"/>
              </w:rPr>
              <w:t xml:space="preserve"> </w:t>
            </w:r>
            <w:r>
              <w:rPr>
                <w:rFonts w:hint="eastAsia"/>
                <w:b/>
                <w:bCs/>
                <w:color w:val="auto"/>
                <w:spacing w:val="6"/>
                <w:highlight w:val="none"/>
                <w:u w:val="single" w:color="auto"/>
                <w:lang w:val="en-US" w:eastAsia="zh-CN"/>
              </w:rPr>
              <w:t>贰万元整</w:t>
            </w:r>
            <w:r>
              <w:rPr>
                <w:color w:val="auto"/>
                <w:spacing w:val="6"/>
                <w:highlight w:val="none"/>
                <w:u w:val="single" w:color="auto"/>
              </w:rPr>
              <w:t xml:space="preserve"> </w:t>
            </w:r>
          </w:p>
          <w:p w14:paraId="0BFC125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color w:val="auto"/>
                <w:spacing w:val="6"/>
                <w:position w:val="10"/>
                <w:sz w:val="20"/>
                <w:szCs w:val="20"/>
                <w:highlight w:val="none"/>
              </w:rPr>
            </w:pPr>
            <w:r>
              <w:rPr>
                <w:rFonts w:hint="eastAsia"/>
                <w:color w:val="auto"/>
                <w:spacing w:val="6"/>
                <w:position w:val="10"/>
                <w:sz w:val="20"/>
                <w:szCs w:val="20"/>
                <w:highlight w:val="none"/>
              </w:rPr>
              <w:t>缴纳项目投标保证金截止时间(以资金到账时间或成功上传保函或成功上传保单时间为准)为投标截止时间前24小时，见“重要事项时间地点一览表”。</w:t>
            </w:r>
          </w:p>
          <w:p w14:paraId="35DCEB8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color w:val="auto"/>
                <w:spacing w:val="6"/>
                <w:position w:val="10"/>
                <w:sz w:val="20"/>
                <w:szCs w:val="20"/>
                <w:highlight w:val="none"/>
              </w:rPr>
            </w:pPr>
            <w:r>
              <w:rPr>
                <w:rFonts w:hint="eastAsia"/>
                <w:color w:val="auto"/>
                <w:spacing w:val="6"/>
                <w:position w:val="10"/>
                <w:sz w:val="20"/>
                <w:szCs w:val="20"/>
                <w:highlight w:val="none"/>
              </w:rPr>
              <w:t>投标保证的形式包括投标保证金、投标保证担保、投标保证保险三种，由投标人自主选择。</w:t>
            </w:r>
          </w:p>
          <w:p w14:paraId="4569DB4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rFonts w:hint="eastAsia"/>
                <w:color w:val="auto"/>
                <w:spacing w:val="6"/>
                <w:position w:val="10"/>
                <w:sz w:val="20"/>
                <w:szCs w:val="20"/>
                <w:highlight w:val="none"/>
              </w:rPr>
            </w:pPr>
            <w:r>
              <w:rPr>
                <w:rFonts w:hint="eastAsia"/>
                <w:color w:val="auto"/>
                <w:spacing w:val="6"/>
                <w:position w:val="10"/>
                <w:sz w:val="20"/>
                <w:szCs w:val="20"/>
                <w:highlight w:val="none"/>
              </w:rPr>
              <w:t xml:space="preserve">(1)采用投标保证金的，投标人在建设工程交易系统获取招标文件后，即可在系统申请缴纳投标保证金，获取本次招标投标保证金缴纳账号。投标人须于投标保证金到账截止时间(详见“重要事项时间地点一览表”)前，从其基本账户将投标保证金转账到指定的缴纳账号。逾期到账的、从非投标人基本账户转出的，其投标无效。 </w:t>
            </w:r>
          </w:p>
          <w:p w14:paraId="6050512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rFonts w:hint="eastAsia"/>
                <w:color w:val="auto"/>
                <w:spacing w:val="6"/>
                <w:position w:val="10"/>
                <w:sz w:val="20"/>
                <w:szCs w:val="20"/>
                <w:highlight w:val="none"/>
              </w:rPr>
            </w:pPr>
            <w:r>
              <w:rPr>
                <w:rFonts w:hint="eastAsia"/>
                <w:color w:val="auto"/>
                <w:spacing w:val="6"/>
                <w:position w:val="10"/>
                <w:sz w:val="20"/>
                <w:szCs w:val="20"/>
                <w:highlight w:val="none"/>
              </w:rPr>
              <w:t>(2)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66305C2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rFonts w:hint="eastAsia"/>
                <w:color w:val="auto"/>
                <w:spacing w:val="6"/>
                <w:position w:val="10"/>
                <w:sz w:val="20"/>
                <w:szCs w:val="20"/>
                <w:highlight w:val="none"/>
              </w:rPr>
            </w:pPr>
            <w:r>
              <w:rPr>
                <w:rFonts w:hint="eastAsia"/>
                <w:color w:val="auto"/>
                <w:spacing w:val="6"/>
                <w:position w:val="10"/>
                <w:sz w:val="20"/>
                <w:szCs w:val="20"/>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 （广东省 · 韶关市）（https://ygp.gdzwfw.gov.cn/ggzy-portal/#/440200/index），在【服务指南】栏目中下载《韶关市公共资源建设工程交易系统-投标人操作指南》，了解网上投保具体操作流程。逾期投保的，其投标无效。</w:t>
            </w:r>
          </w:p>
          <w:p w14:paraId="268119E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spacing w:val="6"/>
                <w:position w:val="10"/>
                <w:sz w:val="10"/>
                <w:szCs w:val="10"/>
                <w:highlight w:val="none"/>
              </w:rPr>
            </w:pPr>
            <w:r>
              <w:rPr>
                <w:rFonts w:hint="eastAsia"/>
                <w:color w:val="auto"/>
                <w:spacing w:val="6"/>
                <w:position w:val="10"/>
                <w:sz w:val="20"/>
                <w:szCs w:val="2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AB4AE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18"/>
              <w:jc w:val="both"/>
              <w:textAlignment w:val="baseline"/>
              <w:rPr>
                <w:color w:val="auto"/>
                <w:highlight w:val="none"/>
              </w:rPr>
            </w:pPr>
            <w:r>
              <w:rPr>
                <w:color w:val="auto"/>
                <w:spacing w:val="8"/>
                <w:highlight w:val="none"/>
              </w:rPr>
              <w:t>□按投标人在广东省交通运输厅最新年度发布的广</w:t>
            </w:r>
            <w:r>
              <w:rPr>
                <w:color w:val="auto"/>
                <w:spacing w:val="9"/>
                <w:highlight w:val="none"/>
              </w:rPr>
              <w:t>东省公路工程从业单位信用等级（监理单位）减免</w:t>
            </w:r>
            <w:r>
              <w:rPr>
                <w:color w:val="auto"/>
                <w:spacing w:val="8"/>
                <w:highlight w:val="none"/>
              </w:rPr>
              <w:t>投标保证金，减免幅度如下:</w:t>
            </w:r>
          </w:p>
          <w:tbl>
            <w:tblPr>
              <w:tblStyle w:val="22"/>
              <w:tblW w:w="462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1010"/>
              <w:gridCol w:w="886"/>
              <w:gridCol w:w="483"/>
              <w:gridCol w:w="488"/>
            </w:tblGrid>
            <w:tr w14:paraId="0992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758" w:type="dxa"/>
                  <w:vAlign w:val="top"/>
                </w:tcPr>
                <w:p w14:paraId="0CBC4171">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2"/>
                      <w:sz w:val="18"/>
                      <w:szCs w:val="18"/>
                      <w:highlight w:val="none"/>
                    </w:rPr>
                    <w:t>信用评价等级</w:t>
                  </w:r>
                </w:p>
              </w:tc>
              <w:tc>
                <w:tcPr>
                  <w:tcW w:w="1010" w:type="dxa"/>
                  <w:vAlign w:val="top"/>
                </w:tcPr>
                <w:p w14:paraId="7AF04B7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1"/>
                      <w:sz w:val="18"/>
                      <w:szCs w:val="18"/>
                      <w:highlight w:val="none"/>
                    </w:rPr>
                    <w:t>AA</w:t>
                  </w:r>
                </w:p>
              </w:tc>
              <w:tc>
                <w:tcPr>
                  <w:tcW w:w="886" w:type="dxa"/>
                  <w:vAlign w:val="top"/>
                </w:tcPr>
                <w:p w14:paraId="64C610F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z w:val="18"/>
                      <w:szCs w:val="18"/>
                      <w:highlight w:val="none"/>
                    </w:rPr>
                    <w:t>A</w:t>
                  </w:r>
                </w:p>
              </w:tc>
              <w:tc>
                <w:tcPr>
                  <w:tcW w:w="483" w:type="dxa"/>
                  <w:vAlign w:val="top"/>
                </w:tcPr>
                <w:p w14:paraId="6C8AC6A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z w:val="18"/>
                      <w:szCs w:val="18"/>
                      <w:highlight w:val="none"/>
                    </w:rPr>
                    <w:t>B</w:t>
                  </w:r>
                </w:p>
              </w:tc>
              <w:tc>
                <w:tcPr>
                  <w:tcW w:w="488" w:type="dxa"/>
                  <w:vAlign w:val="top"/>
                </w:tcPr>
                <w:p w14:paraId="71DD83C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z w:val="18"/>
                      <w:szCs w:val="18"/>
                      <w:highlight w:val="none"/>
                    </w:rPr>
                    <w:t>C</w:t>
                  </w:r>
                </w:p>
              </w:tc>
            </w:tr>
            <w:tr w14:paraId="5CDE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58" w:type="dxa"/>
                  <w:vAlign w:val="top"/>
                </w:tcPr>
                <w:p w14:paraId="337756E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558" w:leftChars="50" w:right="6" w:hanging="453"/>
                    <w:jc w:val="both"/>
                    <w:rPr>
                      <w:color w:val="auto"/>
                      <w:sz w:val="18"/>
                      <w:szCs w:val="18"/>
                      <w:highlight w:val="none"/>
                    </w:rPr>
                  </w:pPr>
                  <w:r>
                    <w:rPr>
                      <w:color w:val="auto"/>
                      <w:spacing w:val="-2"/>
                      <w:sz w:val="18"/>
                      <w:szCs w:val="18"/>
                      <w:highlight w:val="none"/>
                    </w:rPr>
                    <w:t>投标保证金减免</w:t>
                  </w:r>
                  <w:r>
                    <w:rPr>
                      <w:color w:val="auto"/>
                      <w:spacing w:val="-8"/>
                      <w:sz w:val="18"/>
                      <w:szCs w:val="18"/>
                      <w:highlight w:val="none"/>
                    </w:rPr>
                    <w:t>幅度</w:t>
                  </w:r>
                </w:p>
              </w:tc>
              <w:tc>
                <w:tcPr>
                  <w:tcW w:w="1010" w:type="dxa"/>
                  <w:vAlign w:val="top"/>
                </w:tcPr>
                <w:p w14:paraId="6545490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13"/>
                      <w:sz w:val="18"/>
                      <w:szCs w:val="18"/>
                      <w:highlight w:val="none"/>
                      <w:u w:val="single" w:color="auto"/>
                    </w:rPr>
                    <w:t>50%</w:t>
                  </w:r>
                  <w:r>
                    <w:rPr>
                      <w:rFonts w:hint="eastAsia"/>
                      <w:color w:val="auto"/>
                      <w:spacing w:val="13"/>
                      <w:sz w:val="18"/>
                      <w:szCs w:val="18"/>
                      <w:highlight w:val="none"/>
                      <w:u w:val="single" w:color="auto"/>
                      <w:lang w:val="en-US" w:eastAsia="zh-CN"/>
                    </w:rPr>
                    <w:t>~</w:t>
                  </w:r>
                  <w:r>
                    <w:rPr>
                      <w:color w:val="auto"/>
                      <w:spacing w:val="-5"/>
                      <w:sz w:val="18"/>
                      <w:szCs w:val="18"/>
                      <w:highlight w:val="none"/>
                      <w:u w:val="single" w:color="auto"/>
                    </w:rPr>
                    <w:t>100%</w:t>
                  </w:r>
                </w:p>
              </w:tc>
              <w:tc>
                <w:tcPr>
                  <w:tcW w:w="886" w:type="dxa"/>
                  <w:vAlign w:val="top"/>
                </w:tcPr>
                <w:p w14:paraId="1A93DD5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10"/>
                      <w:sz w:val="18"/>
                      <w:szCs w:val="18"/>
                      <w:highlight w:val="none"/>
                      <w:u w:val="single" w:color="auto"/>
                    </w:rPr>
                    <w:t>10%~</w:t>
                  </w:r>
                  <w:r>
                    <w:rPr>
                      <w:color w:val="auto"/>
                      <w:spacing w:val="-4"/>
                      <w:sz w:val="18"/>
                      <w:szCs w:val="18"/>
                      <w:highlight w:val="none"/>
                      <w:u w:val="single" w:color="auto"/>
                    </w:rPr>
                    <w:t>50%</w:t>
                  </w:r>
                </w:p>
              </w:tc>
              <w:tc>
                <w:tcPr>
                  <w:tcW w:w="483" w:type="dxa"/>
                  <w:vAlign w:val="top"/>
                </w:tcPr>
                <w:p w14:paraId="18C4619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4"/>
                      <w:sz w:val="18"/>
                      <w:szCs w:val="18"/>
                      <w:highlight w:val="none"/>
                    </w:rPr>
                    <w:t>0%</w:t>
                  </w:r>
                </w:p>
              </w:tc>
              <w:tc>
                <w:tcPr>
                  <w:tcW w:w="488" w:type="dxa"/>
                  <w:vAlign w:val="top"/>
                </w:tcPr>
                <w:p w14:paraId="4F1EE7C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sz w:val="18"/>
                      <w:szCs w:val="18"/>
                      <w:highlight w:val="none"/>
                    </w:rPr>
                  </w:pPr>
                  <w:r>
                    <w:rPr>
                      <w:color w:val="auto"/>
                      <w:spacing w:val="-4"/>
                      <w:sz w:val="18"/>
                      <w:szCs w:val="18"/>
                      <w:highlight w:val="none"/>
                    </w:rPr>
                    <w:t>0%</w:t>
                  </w:r>
                </w:p>
              </w:tc>
            </w:tr>
            <w:tr w14:paraId="7F739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758" w:type="dxa"/>
                  <w:vAlign w:val="top"/>
                </w:tcPr>
                <w:p w14:paraId="033636F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373" w:leftChars="50" w:right="6" w:hanging="268"/>
                    <w:jc w:val="both"/>
                    <w:rPr>
                      <w:color w:val="auto"/>
                      <w:sz w:val="18"/>
                      <w:szCs w:val="18"/>
                      <w:highlight w:val="none"/>
                    </w:rPr>
                  </w:pPr>
                  <w:r>
                    <w:rPr>
                      <w:color w:val="auto"/>
                      <w:spacing w:val="-2"/>
                      <w:sz w:val="18"/>
                      <w:szCs w:val="18"/>
                      <w:highlight w:val="none"/>
                    </w:rPr>
                    <w:t>减免后的投标保证金金额</w:t>
                  </w:r>
                </w:p>
              </w:tc>
              <w:tc>
                <w:tcPr>
                  <w:tcW w:w="1010" w:type="dxa"/>
                  <w:vAlign w:val="top"/>
                </w:tcPr>
                <w:p w14:paraId="76F6B1FF">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p>
              </w:tc>
              <w:tc>
                <w:tcPr>
                  <w:tcW w:w="886" w:type="dxa"/>
                  <w:vAlign w:val="top"/>
                </w:tcPr>
                <w:p w14:paraId="24A04286">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p>
              </w:tc>
              <w:tc>
                <w:tcPr>
                  <w:tcW w:w="483" w:type="dxa"/>
                  <w:vAlign w:val="top"/>
                </w:tcPr>
                <w:p w14:paraId="2C783A26">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p>
              </w:tc>
              <w:tc>
                <w:tcPr>
                  <w:tcW w:w="488" w:type="dxa"/>
                  <w:vAlign w:val="top"/>
                </w:tcPr>
                <w:p w14:paraId="716CCFD3">
                  <w:pPr>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ascii="Arial"/>
                      <w:color w:val="auto"/>
                      <w:sz w:val="21"/>
                      <w:highlight w:val="none"/>
                    </w:rPr>
                  </w:pPr>
                </w:p>
              </w:tc>
            </w:tr>
          </w:tbl>
          <w:p w14:paraId="4FDA2DC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19"/>
              <w:jc w:val="both"/>
              <w:rPr>
                <w:color w:val="auto"/>
                <w:highlight w:val="none"/>
              </w:rPr>
            </w:pPr>
            <w:r>
              <w:rPr>
                <w:rFonts w:hint="eastAsia"/>
                <w:color w:val="auto"/>
                <w:spacing w:val="11"/>
                <w:highlight w:val="none"/>
                <w:lang w:eastAsia="zh-CN"/>
              </w:rPr>
              <w:t>□</w:t>
            </w:r>
            <w:r>
              <w:rPr>
                <w:color w:val="auto"/>
                <w:spacing w:val="11"/>
                <w:highlight w:val="none"/>
              </w:rPr>
              <w:t>无失信记录的中小微企业</w:t>
            </w:r>
            <w:r>
              <w:rPr>
                <w:color w:val="auto"/>
                <w:spacing w:val="-17"/>
                <w:position w:val="10"/>
                <w:sz w:val="10"/>
                <w:szCs w:val="10"/>
                <w:highlight w:val="none"/>
              </w:rPr>
              <w:t xml:space="preserve"> </w:t>
            </w:r>
            <w:r>
              <w:rPr>
                <w:color w:val="auto"/>
                <w:spacing w:val="11"/>
                <w:highlight w:val="none"/>
              </w:rPr>
              <w:t>,</w:t>
            </w:r>
            <w:r>
              <w:rPr>
                <w:color w:val="auto"/>
                <w:spacing w:val="69"/>
                <w:highlight w:val="none"/>
              </w:rPr>
              <w:t xml:space="preserve"> </w:t>
            </w:r>
            <w:r>
              <w:rPr>
                <w:color w:val="auto"/>
                <w:spacing w:val="11"/>
                <w:highlight w:val="none"/>
              </w:rPr>
              <w:t>给予减免投标</w:t>
            </w:r>
            <w:r>
              <w:rPr>
                <w:color w:val="auto"/>
                <w:spacing w:val="10"/>
                <w:highlight w:val="none"/>
              </w:rPr>
              <w:t>保证金，减免</w:t>
            </w:r>
            <w:r>
              <w:rPr>
                <w:color w:val="auto"/>
                <w:spacing w:val="-83"/>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 xml:space="preserve">/ </w:t>
            </w:r>
            <w:r>
              <w:rPr>
                <w:color w:val="auto"/>
                <w:spacing w:val="7"/>
                <w:highlight w:val="none"/>
                <w:u w:val="single" w:color="auto"/>
              </w:rPr>
              <w:t xml:space="preserve"> </w:t>
            </w:r>
            <w:r>
              <w:rPr>
                <w:color w:val="auto"/>
                <w:spacing w:val="-96"/>
                <w:highlight w:val="none"/>
              </w:rPr>
              <w:t xml:space="preserve"> </w:t>
            </w:r>
            <w:r>
              <w:rPr>
                <w:color w:val="auto"/>
                <w:spacing w:val="10"/>
                <w:highlight w:val="none"/>
              </w:rPr>
              <w:t>%缴纳投标保证金，减免后投标保证</w:t>
            </w:r>
          </w:p>
          <w:p w14:paraId="19AADC1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9"/>
                <w:highlight w:val="none"/>
              </w:rPr>
              <w:t>金金额：</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54"/>
                <w:highlight w:val="none"/>
              </w:rPr>
              <w:t xml:space="preserve"> </w:t>
            </w:r>
            <w:r>
              <w:rPr>
                <w:color w:val="auto"/>
                <w:spacing w:val="9"/>
                <w:highlight w:val="none"/>
              </w:rPr>
              <w:t>。如同时满足以上信用等级和中小微</w:t>
            </w:r>
            <w:r>
              <w:rPr>
                <w:color w:val="auto"/>
                <w:spacing w:val="12"/>
                <w:highlight w:val="none"/>
              </w:rPr>
              <w:t>企业减免投标保证金的情形，则以减免后投</w:t>
            </w:r>
            <w:r>
              <w:rPr>
                <w:color w:val="auto"/>
                <w:spacing w:val="11"/>
                <w:highlight w:val="none"/>
              </w:rPr>
              <w:t>标保证</w:t>
            </w:r>
            <w:r>
              <w:rPr>
                <w:color w:val="auto"/>
                <w:spacing w:val="8"/>
                <w:highlight w:val="none"/>
              </w:rPr>
              <w:t>金金额较少的为准。</w:t>
            </w:r>
            <w:r>
              <w:rPr>
                <w:color w:val="auto"/>
                <w:spacing w:val="-57"/>
                <w:highlight w:val="none"/>
              </w:rPr>
              <w:t xml:space="preserve"> </w:t>
            </w:r>
            <w:r>
              <w:rPr>
                <w:color w:val="auto"/>
                <w:spacing w:val="8"/>
                <w:highlight w:val="none"/>
              </w:rPr>
              <w:t>以联合体形式参加投标的，</w:t>
            </w:r>
            <w:r>
              <w:rPr>
                <w:color w:val="auto"/>
                <w:spacing w:val="-57"/>
                <w:highlight w:val="none"/>
              </w:rPr>
              <w:t xml:space="preserve"> </w:t>
            </w:r>
            <w:r>
              <w:rPr>
                <w:color w:val="auto"/>
                <w:spacing w:val="8"/>
                <w:highlight w:val="none"/>
              </w:rPr>
              <w:t>以上情形以联合体牵头人的企业性质为准。</w:t>
            </w:r>
          </w:p>
          <w:p w14:paraId="157BE586">
            <w:pPr>
              <w:pStyle w:val="23"/>
              <w:keepNext w:val="0"/>
              <w:keepLines w:val="0"/>
              <w:pageBreakBefore w:val="0"/>
              <w:widowControl/>
              <w:tabs>
                <w:tab w:val="left" w:pos="4776"/>
              </w:tabs>
              <w:kinsoku w:val="0"/>
              <w:wordWrap/>
              <w:overflowPunct/>
              <w:topLinePunct w:val="0"/>
              <w:autoSpaceDE w:val="0"/>
              <w:autoSpaceDN w:val="0"/>
              <w:bidi w:val="0"/>
              <w:adjustRightInd w:val="0"/>
              <w:snapToGrid w:val="0"/>
              <w:spacing w:line="340" w:lineRule="exact"/>
              <w:ind w:left="105" w:leftChars="50" w:right="6" w:firstLine="220"/>
              <w:jc w:val="both"/>
              <w:rPr>
                <w:rFonts w:hint="default" w:eastAsia="宋体"/>
                <w:color w:val="auto"/>
                <w:highlight w:val="none"/>
                <w:lang w:val="en-US" w:eastAsia="zh-CN"/>
              </w:rPr>
            </w:pPr>
            <w:r>
              <w:rPr>
                <w:color w:val="auto"/>
                <w:spacing w:val="5"/>
                <w:highlight w:val="none"/>
              </w:rPr>
              <w:t>投标保证金可采用的其他形式：</w:t>
            </w:r>
            <w:r>
              <w:rPr>
                <w:rFonts w:hint="eastAsia"/>
                <w:color w:val="auto"/>
                <w:spacing w:val="8"/>
                <w:highlight w:val="none"/>
                <w:u w:val="single"/>
                <w:lang w:val="en-US" w:eastAsia="zh-CN"/>
              </w:rPr>
              <w:t>以韶关市公共资源交易中心</w:t>
            </w:r>
            <w:r>
              <w:rPr>
                <w:rFonts w:hint="eastAsia"/>
                <w:color w:val="auto"/>
                <w:spacing w:val="8"/>
                <w:highlight w:val="none"/>
                <w:u w:val="single"/>
                <w:lang w:eastAsia="zh-CN"/>
              </w:rPr>
              <w:t>建设工程交易系统</w:t>
            </w:r>
            <w:r>
              <w:rPr>
                <w:rFonts w:hint="eastAsia"/>
                <w:color w:val="auto"/>
                <w:spacing w:val="8"/>
                <w:highlight w:val="none"/>
                <w:u w:val="single"/>
                <w:lang w:val="en-US" w:eastAsia="zh-CN"/>
              </w:rPr>
              <w:t>的</w:t>
            </w:r>
            <w:r>
              <w:rPr>
                <w:color w:val="auto"/>
                <w:spacing w:val="8"/>
                <w:highlight w:val="none"/>
                <w:u w:val="single" w:color="auto"/>
              </w:rPr>
              <w:t>形式</w:t>
            </w:r>
            <w:r>
              <w:rPr>
                <w:rFonts w:hint="eastAsia"/>
                <w:color w:val="auto"/>
                <w:spacing w:val="8"/>
                <w:highlight w:val="none"/>
                <w:u w:val="single" w:color="auto"/>
                <w:lang w:val="en-US" w:eastAsia="zh-CN"/>
              </w:rPr>
              <w:t>为准。</w:t>
            </w:r>
          </w:p>
          <w:p w14:paraId="74017C8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432" w:firstLineChars="200"/>
              <w:jc w:val="both"/>
              <w:rPr>
                <w:color w:val="auto"/>
                <w:spacing w:val="8"/>
                <w:highlight w:val="none"/>
              </w:rPr>
            </w:pPr>
            <w:r>
              <w:rPr>
                <w:color w:val="auto"/>
                <w:spacing w:val="8"/>
                <w:highlight w:val="none"/>
              </w:rPr>
              <w:t>招标人指定的开户银行及账号如下：</w:t>
            </w:r>
            <w:r>
              <w:rPr>
                <w:rFonts w:hint="eastAsia"/>
                <w:color w:val="auto"/>
                <w:spacing w:val="8"/>
                <w:highlight w:val="none"/>
                <w:u w:val="single"/>
                <w:lang w:eastAsia="zh-CN"/>
              </w:rPr>
              <w:t>在建设工程交易系统获取本次招标投标保证金缴纳账号。</w:t>
            </w:r>
          </w:p>
          <w:p w14:paraId="41EFD9A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9"/>
                <w:highlight w:val="none"/>
              </w:rPr>
              <w:t>采用其他形式时：</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p w14:paraId="2C56BB1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2"/>
                <w:highlight w:val="none"/>
              </w:rPr>
              <w:t>□不要求</w:t>
            </w:r>
          </w:p>
        </w:tc>
      </w:tr>
      <w:tr w14:paraId="4E95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13" w:type="dxa"/>
            <w:vAlign w:val="center"/>
          </w:tcPr>
          <w:p w14:paraId="4297C66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3.4.3</w:t>
            </w:r>
          </w:p>
        </w:tc>
        <w:tc>
          <w:tcPr>
            <w:tcW w:w="2877" w:type="dxa"/>
            <w:vAlign w:val="center"/>
          </w:tcPr>
          <w:p w14:paraId="0ED803F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投标保证金的利息计算原则</w:t>
            </w:r>
          </w:p>
        </w:tc>
        <w:tc>
          <w:tcPr>
            <w:tcW w:w="5374" w:type="dxa"/>
            <w:vAlign w:val="center"/>
          </w:tcPr>
          <w:p w14:paraId="0B41CF1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6" w:leftChars="50" w:right="6" w:hanging="1"/>
              <w:jc w:val="both"/>
              <w:rPr>
                <w:color w:val="auto"/>
                <w:highlight w:val="none"/>
              </w:rPr>
            </w:pPr>
            <w:r>
              <w:rPr>
                <w:color w:val="auto"/>
                <w:spacing w:val="18"/>
                <w:highlight w:val="none"/>
              </w:rPr>
              <w:t>利息退还方式按</w:t>
            </w:r>
            <w:r>
              <w:rPr>
                <w:color w:val="auto"/>
                <w:spacing w:val="-75"/>
                <w:highlight w:val="none"/>
              </w:rPr>
              <w:t xml:space="preserve"> </w:t>
            </w:r>
            <w:r>
              <w:rPr>
                <w:color w:val="auto"/>
                <w:spacing w:val="16"/>
                <w:highlight w:val="none"/>
                <w:u w:val="single" w:color="auto"/>
              </w:rPr>
              <w:t xml:space="preserve"> </w:t>
            </w:r>
            <w:r>
              <w:rPr>
                <w:rFonts w:hint="eastAsia"/>
                <w:color w:val="auto"/>
                <w:spacing w:val="16"/>
                <w:highlight w:val="none"/>
                <w:u w:val="single" w:color="auto"/>
                <w:lang w:val="en-US" w:eastAsia="zh-CN"/>
              </w:rPr>
              <w:t>韶关市</w:t>
            </w:r>
            <w:r>
              <w:rPr>
                <w:color w:val="auto"/>
                <w:spacing w:val="16"/>
                <w:highlight w:val="none"/>
                <w:u w:val="single" w:color="auto"/>
              </w:rPr>
              <w:t xml:space="preserve"> </w:t>
            </w:r>
            <w:r>
              <w:rPr>
                <w:color w:val="auto"/>
                <w:spacing w:val="-83"/>
                <w:highlight w:val="none"/>
              </w:rPr>
              <w:t xml:space="preserve"> </w:t>
            </w:r>
            <w:r>
              <w:rPr>
                <w:color w:val="auto"/>
                <w:spacing w:val="18"/>
                <w:highlight w:val="none"/>
              </w:rPr>
              <w:t>公共资源交易中心规定办</w:t>
            </w:r>
            <w:r>
              <w:rPr>
                <w:color w:val="auto"/>
                <w:spacing w:val="-1"/>
                <w:highlight w:val="none"/>
              </w:rPr>
              <w:t>理。</w:t>
            </w:r>
          </w:p>
        </w:tc>
      </w:tr>
      <w:tr w14:paraId="429C2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trPr>
        <w:tc>
          <w:tcPr>
            <w:tcW w:w="1013" w:type="dxa"/>
            <w:vAlign w:val="center"/>
          </w:tcPr>
          <w:p w14:paraId="4FC2287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3.4.4</w:t>
            </w:r>
          </w:p>
        </w:tc>
        <w:tc>
          <w:tcPr>
            <w:tcW w:w="2877" w:type="dxa"/>
            <w:vAlign w:val="center"/>
          </w:tcPr>
          <w:p w14:paraId="0FAE32A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其他可以不予退还投标保证</w:t>
            </w:r>
          </w:p>
          <w:p w14:paraId="02E9D6A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6"/>
                <w:highlight w:val="none"/>
              </w:rPr>
              <w:t>金的情形</w:t>
            </w:r>
          </w:p>
        </w:tc>
        <w:tc>
          <w:tcPr>
            <w:tcW w:w="5374" w:type="dxa"/>
            <w:vAlign w:val="center"/>
          </w:tcPr>
          <w:p w14:paraId="55FCE54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7"/>
                <w:highlight w:val="none"/>
              </w:rPr>
              <w:t>（4）串通投标；或</w:t>
            </w:r>
          </w:p>
          <w:p w14:paraId="1312B14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11" w:leftChars="50" w:right="6" w:hanging="6"/>
              <w:jc w:val="both"/>
              <w:rPr>
                <w:color w:val="auto"/>
                <w:highlight w:val="none"/>
              </w:rPr>
            </w:pPr>
            <w:r>
              <w:rPr>
                <w:color w:val="auto"/>
                <w:spacing w:val="14"/>
                <w:highlight w:val="none"/>
              </w:rPr>
              <w:t>（5）评标、</w:t>
            </w:r>
            <w:r>
              <w:rPr>
                <w:color w:val="auto"/>
                <w:spacing w:val="-57"/>
                <w:highlight w:val="none"/>
              </w:rPr>
              <w:t xml:space="preserve"> </w:t>
            </w:r>
            <w:r>
              <w:rPr>
                <w:rFonts w:hint="eastAsia"/>
                <w:color w:val="auto"/>
                <w:spacing w:val="14"/>
                <w:highlight w:val="none"/>
                <w:lang w:val="en-US" w:eastAsia="zh-CN"/>
              </w:rPr>
              <w:t>中</w:t>
            </w:r>
            <w:r>
              <w:rPr>
                <w:color w:val="auto"/>
                <w:spacing w:val="14"/>
                <w:highlight w:val="none"/>
              </w:rPr>
              <w:t>标候选人公示、签订合同前等环节</w:t>
            </w:r>
            <w:r>
              <w:rPr>
                <w:color w:val="auto"/>
                <w:spacing w:val="8"/>
                <w:highlight w:val="none"/>
              </w:rPr>
              <w:t>因作假而被取消中标资格；或</w:t>
            </w:r>
          </w:p>
          <w:p w14:paraId="6371DAF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8"/>
                <w:highlight w:val="none"/>
              </w:rPr>
              <w:t>（6）因投诉属实取消投标资格的；或</w:t>
            </w:r>
          </w:p>
          <w:p w14:paraId="558EEB7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7"/>
              <w:jc w:val="both"/>
              <w:rPr>
                <w:color w:val="auto"/>
                <w:highlight w:val="none"/>
              </w:rPr>
            </w:pPr>
            <w:r>
              <w:rPr>
                <w:color w:val="auto"/>
                <w:spacing w:val="13"/>
                <w:highlight w:val="none"/>
              </w:rPr>
              <w:t>（7）其他违反规定、妨碍公平竞争准则的行为；</w:t>
            </w:r>
            <w:r>
              <w:rPr>
                <w:color w:val="auto"/>
                <w:highlight w:val="none"/>
              </w:rPr>
              <w:t>或</w:t>
            </w:r>
          </w:p>
          <w:p w14:paraId="5EB6A20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2"/>
                <w:highlight w:val="none"/>
              </w:rPr>
              <w:t>（8）</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5BDE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013" w:type="dxa"/>
            <w:vAlign w:val="center"/>
          </w:tcPr>
          <w:p w14:paraId="61C673E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1"/>
                <w:position w:val="1"/>
                <w:highlight w:val="none"/>
              </w:rPr>
              <w:t>3.5</w:t>
            </w:r>
          </w:p>
        </w:tc>
        <w:tc>
          <w:tcPr>
            <w:tcW w:w="2877" w:type="dxa"/>
            <w:vAlign w:val="center"/>
          </w:tcPr>
          <w:p w14:paraId="17F0E99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资格审查资料的特殊要求</w:t>
            </w:r>
          </w:p>
        </w:tc>
        <w:tc>
          <w:tcPr>
            <w:tcW w:w="5374" w:type="dxa"/>
            <w:vAlign w:val="center"/>
          </w:tcPr>
          <w:p w14:paraId="6040B0E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5"/>
                <w:highlight w:val="none"/>
                <w:lang w:eastAsia="zh-CN"/>
              </w:rPr>
              <w:t>☑</w:t>
            </w:r>
            <w:r>
              <w:rPr>
                <w:color w:val="auto"/>
                <w:spacing w:val="-5"/>
                <w:highlight w:val="none"/>
              </w:rPr>
              <w:t>无</w:t>
            </w:r>
          </w:p>
          <w:p w14:paraId="2CF870F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6"/>
                <w:highlight w:val="none"/>
              </w:rPr>
              <w:t>□有，具体要求：</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215B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1013" w:type="dxa"/>
            <w:vAlign w:val="center"/>
          </w:tcPr>
          <w:p w14:paraId="0B99A0C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3.5.2</w:t>
            </w:r>
          </w:p>
        </w:tc>
        <w:tc>
          <w:tcPr>
            <w:tcW w:w="2877" w:type="dxa"/>
            <w:vAlign w:val="center"/>
          </w:tcPr>
          <w:p w14:paraId="6313172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近年完成的类似项目情况的</w:t>
            </w:r>
          </w:p>
          <w:p w14:paraId="26130AF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4"/>
                <w:highlight w:val="none"/>
              </w:rPr>
              <w:t>时间要求</w:t>
            </w:r>
          </w:p>
        </w:tc>
        <w:tc>
          <w:tcPr>
            <w:tcW w:w="5374" w:type="dxa"/>
            <w:vAlign w:val="center"/>
          </w:tcPr>
          <w:p w14:paraId="1DF6D825">
            <w:pPr>
              <w:pStyle w:val="23"/>
              <w:keepNext w:val="0"/>
              <w:keepLines w:val="0"/>
              <w:pageBreakBefore w:val="0"/>
              <w:widowControl/>
              <w:tabs>
                <w:tab w:val="left" w:pos="840"/>
              </w:tabs>
              <w:kinsoku w:val="0"/>
              <w:wordWrap/>
              <w:overflowPunct/>
              <w:topLinePunct w:val="0"/>
              <w:autoSpaceDE w:val="0"/>
              <w:autoSpaceDN w:val="0"/>
              <w:bidi w:val="0"/>
              <w:adjustRightInd w:val="0"/>
              <w:snapToGrid w:val="0"/>
              <w:spacing w:line="340" w:lineRule="exact"/>
              <w:ind w:left="105" w:leftChars="50" w:right="6" w:firstLine="411"/>
              <w:jc w:val="both"/>
              <w:rPr>
                <w:color w:val="auto"/>
                <w:highlight w:val="none"/>
              </w:rPr>
            </w:pPr>
            <w:r>
              <w:rPr>
                <w:rFonts w:hint="eastAsia"/>
                <w:color w:val="auto"/>
                <w:highlight w:val="none"/>
                <w:u w:val="single" w:color="auto"/>
                <w:lang w:val="en-US" w:eastAsia="zh-CN"/>
              </w:rPr>
              <w:t>2021</w:t>
            </w:r>
            <w:r>
              <w:rPr>
                <w:color w:val="auto"/>
                <w:spacing w:val="-80"/>
                <w:highlight w:val="none"/>
              </w:rPr>
              <w:t xml:space="preserve"> </w:t>
            </w:r>
            <w:r>
              <w:rPr>
                <w:color w:val="auto"/>
                <w:spacing w:val="4"/>
                <w:highlight w:val="none"/>
              </w:rPr>
              <w:t>年</w:t>
            </w:r>
            <w:r>
              <w:rPr>
                <w:color w:val="auto"/>
                <w:spacing w:val="4"/>
                <w:highlight w:val="none"/>
                <w:u w:val="single" w:color="auto"/>
              </w:rPr>
              <w:t xml:space="preserve"> </w:t>
            </w:r>
            <w:r>
              <w:rPr>
                <w:rFonts w:hint="eastAsia"/>
                <w:color w:val="auto"/>
                <w:spacing w:val="4"/>
                <w:highlight w:val="none"/>
                <w:u w:val="single" w:color="auto"/>
                <w:lang w:val="en-US" w:eastAsia="zh-CN"/>
              </w:rPr>
              <w:t>4</w:t>
            </w:r>
            <w:r>
              <w:rPr>
                <w:color w:val="auto"/>
                <w:spacing w:val="4"/>
                <w:highlight w:val="none"/>
                <w:u w:val="single" w:color="auto"/>
              </w:rPr>
              <w:t xml:space="preserve"> </w:t>
            </w:r>
            <w:r>
              <w:rPr>
                <w:color w:val="auto"/>
                <w:spacing w:val="4"/>
                <w:highlight w:val="none"/>
              </w:rPr>
              <w:t>月</w:t>
            </w:r>
            <w:r>
              <w:rPr>
                <w:color w:val="auto"/>
                <w:spacing w:val="-98"/>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1</w:t>
            </w:r>
            <w:r>
              <w:rPr>
                <w:color w:val="auto"/>
                <w:spacing w:val="4"/>
                <w:highlight w:val="none"/>
                <w:u w:val="single" w:color="auto"/>
              </w:rPr>
              <w:t xml:space="preserve"> </w:t>
            </w:r>
            <w:r>
              <w:rPr>
                <w:color w:val="auto"/>
                <w:spacing w:val="-53"/>
                <w:highlight w:val="none"/>
              </w:rPr>
              <w:t xml:space="preserve"> </w:t>
            </w:r>
            <w:r>
              <w:rPr>
                <w:color w:val="auto"/>
                <w:spacing w:val="4"/>
                <w:highlight w:val="none"/>
              </w:rPr>
              <w:t>日至投标文件递交截止日（近</w:t>
            </w:r>
            <w:r>
              <w:rPr>
                <w:color w:val="auto"/>
                <w:spacing w:val="-35"/>
                <w:highlight w:val="none"/>
              </w:rPr>
              <w:t xml:space="preserve"> </w:t>
            </w:r>
            <w:r>
              <w:rPr>
                <w:color w:val="auto"/>
                <w:spacing w:val="4"/>
                <w:highlight w:val="none"/>
              </w:rPr>
              <w:t>5</w:t>
            </w:r>
            <w:r>
              <w:rPr>
                <w:color w:val="auto"/>
                <w:highlight w:val="none"/>
              </w:rPr>
              <w:t>年</w:t>
            </w:r>
            <w:r>
              <w:rPr>
                <w:color w:val="auto"/>
                <w:spacing w:val="6"/>
                <w:highlight w:val="none"/>
              </w:rPr>
              <w:t>），</w:t>
            </w:r>
            <w:r>
              <w:rPr>
                <w:color w:val="auto"/>
                <w:spacing w:val="-60"/>
                <w:highlight w:val="none"/>
              </w:rPr>
              <w:t xml:space="preserve"> </w:t>
            </w:r>
            <w:r>
              <w:rPr>
                <w:color w:val="auto"/>
                <w:highlight w:val="none"/>
              </w:rPr>
              <w:t>以</w:t>
            </w:r>
          </w:p>
          <w:p w14:paraId="57F9637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438"/>
              <w:jc w:val="both"/>
              <w:rPr>
                <w:color w:val="auto"/>
                <w:highlight w:val="none"/>
              </w:rPr>
            </w:pPr>
            <w:r>
              <w:rPr>
                <w:rFonts w:hint="eastAsia"/>
                <w:color w:val="auto"/>
                <w:spacing w:val="7"/>
                <w:highlight w:val="none"/>
                <w:lang w:eastAsia="zh-CN"/>
              </w:rPr>
              <w:t>☑</w:t>
            </w:r>
            <w:r>
              <w:rPr>
                <w:color w:val="auto"/>
                <w:spacing w:val="7"/>
                <w:highlight w:val="none"/>
                <w:u w:val="single" w:color="auto"/>
              </w:rPr>
              <w:t>“全国公路建设市场监督管理系统</w:t>
            </w:r>
            <w:r>
              <w:rPr>
                <w:color w:val="auto"/>
                <w:spacing w:val="-70"/>
                <w:highlight w:val="none"/>
                <w:u w:val="single" w:color="auto"/>
              </w:rPr>
              <w:t xml:space="preserve"> </w:t>
            </w:r>
            <w:r>
              <w:rPr>
                <w:color w:val="auto"/>
                <w:spacing w:val="7"/>
                <w:highlight w:val="none"/>
                <w:u w:val="single" w:color="auto"/>
              </w:rPr>
              <w:t>”上的交</w:t>
            </w:r>
            <w:r>
              <w:rPr>
                <w:color w:val="auto"/>
                <w:spacing w:val="9"/>
                <w:highlight w:val="none"/>
                <w:u w:val="single" w:color="auto"/>
              </w:rPr>
              <w:t>工验收或未交工验收一次性竣工验收的时间为准。</w:t>
            </w:r>
          </w:p>
          <w:p w14:paraId="3FE12D9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firstLine="439"/>
              <w:jc w:val="both"/>
              <w:rPr>
                <w:color w:val="auto"/>
                <w:highlight w:val="none"/>
              </w:rPr>
            </w:pPr>
            <w:r>
              <w:rPr>
                <w:rFonts w:hint="eastAsia"/>
                <w:color w:val="auto"/>
                <w:spacing w:val="9"/>
                <w:highlight w:val="none"/>
                <w:lang w:eastAsia="zh-CN"/>
              </w:rPr>
              <w:t>□</w:t>
            </w:r>
            <w:r>
              <w:rPr>
                <w:color w:val="auto"/>
                <w:spacing w:val="9"/>
                <w:highlight w:val="none"/>
                <w:u w:val="single" w:color="auto"/>
              </w:rPr>
              <w:t>“全国公路建设市场监督管理系统</w:t>
            </w:r>
            <w:r>
              <w:rPr>
                <w:color w:val="auto"/>
                <w:spacing w:val="-58"/>
                <w:highlight w:val="none"/>
                <w:u w:val="single" w:color="auto"/>
              </w:rPr>
              <w:t xml:space="preserve"> </w:t>
            </w:r>
            <w:r>
              <w:rPr>
                <w:color w:val="auto"/>
                <w:spacing w:val="9"/>
                <w:highlight w:val="none"/>
                <w:u w:val="single" w:color="auto"/>
              </w:rPr>
              <w:t>”或省级</w:t>
            </w:r>
            <w:r>
              <w:rPr>
                <w:color w:val="auto"/>
                <w:spacing w:val="15"/>
                <w:highlight w:val="none"/>
                <w:u w:val="single" w:color="auto"/>
              </w:rPr>
              <w:t>交通运输主管部门“公路建设市场监督管理系统</w:t>
            </w:r>
            <w:r>
              <w:rPr>
                <w:color w:val="auto"/>
                <w:spacing w:val="-68"/>
                <w:highlight w:val="none"/>
                <w:u w:val="single" w:color="auto"/>
              </w:rPr>
              <w:t xml:space="preserve"> </w:t>
            </w:r>
            <w:r>
              <w:rPr>
                <w:color w:val="auto"/>
                <w:spacing w:val="15"/>
                <w:highlight w:val="none"/>
                <w:u w:val="single" w:color="auto"/>
              </w:rPr>
              <w:t>”</w:t>
            </w:r>
            <w:r>
              <w:rPr>
                <w:color w:val="auto"/>
                <w:spacing w:val="12"/>
                <w:highlight w:val="none"/>
                <w:u w:val="single" w:color="auto"/>
              </w:rPr>
              <w:t>上的交工验收或未交工验收一次性竣工验收</w:t>
            </w:r>
            <w:r>
              <w:rPr>
                <w:color w:val="auto"/>
                <w:spacing w:val="11"/>
                <w:highlight w:val="none"/>
                <w:u w:val="single" w:color="auto"/>
              </w:rPr>
              <w:t>的时间</w:t>
            </w:r>
            <w:r>
              <w:rPr>
                <w:color w:val="auto"/>
                <w:spacing w:val="2"/>
                <w:highlight w:val="none"/>
                <w:u w:val="single" w:color="auto"/>
              </w:rPr>
              <w:t>为准</w:t>
            </w:r>
            <w:r>
              <w:rPr>
                <w:color w:val="auto"/>
                <w:spacing w:val="2"/>
                <w:highlight w:val="none"/>
              </w:rPr>
              <w:t>。</w:t>
            </w:r>
          </w:p>
          <w:p w14:paraId="7442050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color w:val="auto"/>
                <w:spacing w:val="6"/>
                <w:highlight w:val="none"/>
              </w:rPr>
              <w:t>□</w:t>
            </w:r>
            <w:r>
              <w:rPr>
                <w:rFonts w:ascii="MingLiU-ExtB" w:hAnsi="MingLiU-ExtB" w:eastAsia="MingLiU-ExtB" w:cs="MingLiU-ExtB"/>
                <w:color w:val="auto"/>
                <w:highlight w:val="none"/>
                <w:u w:val="single" w:color="auto"/>
              </w:rPr>
              <w:t>XX</w:t>
            </w:r>
            <w:r>
              <w:rPr>
                <w:rFonts w:ascii="MingLiU-ExtB" w:hAnsi="MingLiU-ExtB" w:eastAsia="MingLiU-ExtB" w:cs="MingLiU-ExtB"/>
                <w:color w:val="auto"/>
                <w:spacing w:val="-32"/>
                <w:highlight w:val="none"/>
                <w:u w:val="single" w:color="auto"/>
              </w:rPr>
              <w:t xml:space="preserve"> </w:t>
            </w:r>
            <w:r>
              <w:rPr>
                <w:color w:val="auto"/>
                <w:spacing w:val="6"/>
                <w:highlight w:val="none"/>
                <w:u w:val="single" w:color="auto"/>
              </w:rPr>
              <w:t>证明材料签发时间为准</w:t>
            </w:r>
            <w:r>
              <w:rPr>
                <w:color w:val="auto"/>
                <w:spacing w:val="6"/>
                <w:highlight w:val="none"/>
              </w:rPr>
              <w:t>。</w:t>
            </w:r>
          </w:p>
        </w:tc>
      </w:tr>
      <w:tr w14:paraId="1BB3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13" w:type="dxa"/>
            <w:vAlign w:val="center"/>
          </w:tcPr>
          <w:p w14:paraId="3EF25C8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3.6.1</w:t>
            </w:r>
          </w:p>
        </w:tc>
        <w:tc>
          <w:tcPr>
            <w:tcW w:w="2877" w:type="dxa"/>
            <w:vAlign w:val="center"/>
          </w:tcPr>
          <w:p w14:paraId="07DA9CF1">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是否允许递交备选投标方案</w:t>
            </w:r>
          </w:p>
        </w:tc>
        <w:tc>
          <w:tcPr>
            <w:tcW w:w="5374" w:type="dxa"/>
            <w:vAlign w:val="center"/>
          </w:tcPr>
          <w:p w14:paraId="399D72B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color w:val="auto"/>
                <w:highlight w:val="none"/>
              </w:rPr>
            </w:pPr>
            <w:r>
              <w:rPr>
                <w:rFonts w:hint="eastAsia"/>
                <w:color w:val="auto"/>
                <w:spacing w:val="2"/>
                <w:highlight w:val="none"/>
                <w:lang w:eastAsia="zh-CN"/>
              </w:rPr>
              <w:t>☑</w:t>
            </w:r>
            <w:r>
              <w:rPr>
                <w:color w:val="auto"/>
                <w:spacing w:val="2"/>
                <w:highlight w:val="none"/>
              </w:rPr>
              <w:t>不允许</w:t>
            </w:r>
            <w:r>
              <w:rPr>
                <w:color w:val="auto"/>
                <w:spacing w:val="-1"/>
                <w:highlight w:val="none"/>
              </w:rPr>
              <w:t>□允许</w:t>
            </w:r>
          </w:p>
        </w:tc>
      </w:tr>
      <w:tr w14:paraId="12EB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298DBAE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3.7.4</w:t>
            </w:r>
          </w:p>
        </w:tc>
        <w:tc>
          <w:tcPr>
            <w:tcW w:w="2877" w:type="dxa"/>
            <w:vAlign w:val="center"/>
          </w:tcPr>
          <w:p w14:paraId="37059A3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投标文件其他要求</w:t>
            </w:r>
          </w:p>
        </w:tc>
        <w:tc>
          <w:tcPr>
            <w:tcW w:w="5374" w:type="dxa"/>
            <w:vAlign w:val="center"/>
          </w:tcPr>
          <w:p w14:paraId="3365023E">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投标文件包括盖有电子公章的加密电子投标文件。</w:t>
            </w:r>
          </w:p>
          <w:p w14:paraId="7D929A3F">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（1）投标文件的页码起始从封面开始。</w:t>
            </w:r>
          </w:p>
          <w:p w14:paraId="1433D5A0">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（2）电子投标解密失败及突发情况的补救</w:t>
            </w:r>
          </w:p>
          <w:p w14:paraId="7C6C6347">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按照交易平台关于全流程电子化项目的相关指引进行操作。详见：全国公共资源交易平台（广东省·韶关市）（https://ygp.gdzwfw.gov.cn/ggzy-portal/#/440200/index）交易指引栏目发布的最新版操作指引。  </w:t>
            </w:r>
          </w:p>
          <w:p w14:paraId="35D14B9E">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14:paraId="6E61F807">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7008B2B">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color w:val="auto"/>
                <w:spacing w:val="11"/>
                <w:highlight w:val="none"/>
              </w:rPr>
            </w:pPr>
            <w:r>
              <w:rPr>
                <w:rFonts w:hint="eastAsia" w:ascii="宋体" w:hAnsi="宋体" w:eastAsia="宋体" w:cs="宋体"/>
                <w:color w:val="auto"/>
                <w:highlight w:val="none"/>
              </w:rPr>
              <w:t>（3）除发生上述情况外，开标评标均以投标人通过交易平台网上递交的电子投标文件为准。</w:t>
            </w:r>
          </w:p>
        </w:tc>
      </w:tr>
      <w:tr w14:paraId="240E8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1D0D757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1"/>
                <w:position w:val="1"/>
                <w:highlight w:val="none"/>
              </w:rPr>
              <w:t>5.1</w:t>
            </w:r>
          </w:p>
        </w:tc>
        <w:tc>
          <w:tcPr>
            <w:tcW w:w="2877" w:type="dxa"/>
            <w:vAlign w:val="center"/>
          </w:tcPr>
          <w:p w14:paraId="2AA4A61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开标时间和地点</w:t>
            </w:r>
          </w:p>
        </w:tc>
        <w:tc>
          <w:tcPr>
            <w:tcW w:w="5374" w:type="dxa"/>
            <w:vAlign w:val="center"/>
          </w:tcPr>
          <w:p w14:paraId="408445E3">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投标文件第一个信封（商务及技术文件）开标时间：同电子投标截止时间。</w:t>
            </w:r>
          </w:p>
          <w:p w14:paraId="1D5B9E49">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投标文件第一个信封（商务及技术文件）开标地点：详见“重要事项时间地点一览表”。</w:t>
            </w:r>
          </w:p>
          <w:p w14:paraId="6B4E83D5">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投标文件第二个信封（报价文件）开标时间：第一个信封（商务及技术文件）评审结束后，另行通知。</w:t>
            </w:r>
          </w:p>
          <w:p w14:paraId="3FD621E9">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投标文件第二个信封（报价文件）开标地点：详见“重要事项时间地点一览表”。</w:t>
            </w:r>
          </w:p>
        </w:tc>
      </w:tr>
      <w:tr w14:paraId="0486C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3D49BF2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5.2.1</w:t>
            </w:r>
          </w:p>
        </w:tc>
        <w:tc>
          <w:tcPr>
            <w:tcW w:w="2877" w:type="dxa"/>
            <w:vAlign w:val="center"/>
          </w:tcPr>
          <w:p w14:paraId="5558407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180" w:firstLine="0" w:firstLineChars="0"/>
              <w:jc w:val="center"/>
              <w:textAlignment w:val="baseline"/>
              <w:rPr>
                <w:color w:val="auto"/>
                <w:highlight w:val="none"/>
              </w:rPr>
            </w:pPr>
            <w:r>
              <w:rPr>
                <w:color w:val="auto"/>
                <w:spacing w:val="8"/>
                <w:highlight w:val="none"/>
              </w:rPr>
              <w:t>投标文件第一个信封（商务及技术文件）开标</w:t>
            </w:r>
          </w:p>
        </w:tc>
        <w:tc>
          <w:tcPr>
            <w:tcW w:w="5374" w:type="dxa"/>
            <w:vAlign w:val="center"/>
          </w:tcPr>
          <w:p w14:paraId="12669158">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（6）密封情况检查：</w:t>
            </w:r>
          </w:p>
          <w:p w14:paraId="5A7CDC07">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本项目采用全流程电子投标，不需要检查密封情况</w:t>
            </w:r>
          </w:p>
          <w:p w14:paraId="0C68AEC4">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color w:val="auto"/>
                <w:highlight w:val="none"/>
              </w:rPr>
            </w:pPr>
            <w:r>
              <w:rPr>
                <w:rFonts w:hint="eastAsia"/>
                <w:color w:val="auto"/>
                <w:highlight w:val="none"/>
              </w:rPr>
              <w:t>开标顺序：随机启封、逐一公布</w:t>
            </w:r>
          </w:p>
        </w:tc>
      </w:tr>
      <w:tr w14:paraId="43BD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090F7EB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5.2.3</w:t>
            </w:r>
          </w:p>
        </w:tc>
        <w:tc>
          <w:tcPr>
            <w:tcW w:w="2877" w:type="dxa"/>
            <w:vAlign w:val="center"/>
          </w:tcPr>
          <w:p w14:paraId="02448EE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投标文件第二个信封（报价</w:t>
            </w:r>
          </w:p>
          <w:p w14:paraId="762C4F7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文件）开标</w:t>
            </w:r>
          </w:p>
        </w:tc>
        <w:tc>
          <w:tcPr>
            <w:tcW w:w="5374" w:type="dxa"/>
            <w:vAlign w:val="center"/>
          </w:tcPr>
          <w:p w14:paraId="648702A1">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（7）密封情况检查：</w:t>
            </w:r>
          </w:p>
          <w:p w14:paraId="08BDC660">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rFonts w:hint="eastAsia"/>
                <w:color w:val="auto"/>
                <w:highlight w:val="none"/>
              </w:rPr>
            </w:pPr>
            <w:r>
              <w:rPr>
                <w:rFonts w:hint="eastAsia"/>
                <w:color w:val="auto"/>
                <w:highlight w:val="none"/>
              </w:rPr>
              <w:t>本项目采用全流程电子投标，不需要检查密封情况</w:t>
            </w:r>
          </w:p>
          <w:p w14:paraId="3344D893">
            <w:pPr>
              <w:pStyle w:val="23"/>
              <w:keepNext w:val="0"/>
              <w:keepLines w:val="0"/>
              <w:pageBreakBefore w:val="0"/>
              <w:widowControl/>
              <w:tabs>
                <w:tab w:val="left" w:pos="4840"/>
              </w:tabs>
              <w:kinsoku w:val="0"/>
              <w:wordWrap/>
              <w:overflowPunct/>
              <w:topLinePunct w:val="0"/>
              <w:autoSpaceDE w:val="0"/>
              <w:autoSpaceDN w:val="0"/>
              <w:bidi w:val="0"/>
              <w:adjustRightInd w:val="0"/>
              <w:snapToGrid w:val="0"/>
              <w:spacing w:line="380" w:lineRule="exact"/>
              <w:ind w:left="0" w:leftChars="0" w:right="0" w:rightChars="0" w:firstLine="100" w:firstLineChars="50"/>
              <w:jc w:val="both"/>
              <w:textAlignment w:val="baseline"/>
              <w:rPr>
                <w:color w:val="auto"/>
                <w:highlight w:val="none"/>
              </w:rPr>
            </w:pPr>
            <w:r>
              <w:rPr>
                <w:rFonts w:hint="eastAsia"/>
                <w:color w:val="auto"/>
                <w:highlight w:val="none"/>
              </w:rPr>
              <w:t>开标顺序：随机启封、逐一公布</w:t>
            </w:r>
          </w:p>
        </w:tc>
      </w:tr>
      <w:tr w14:paraId="0D12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vAlign w:val="center"/>
          </w:tcPr>
          <w:p w14:paraId="2411D70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6.1.1</w:t>
            </w:r>
          </w:p>
        </w:tc>
        <w:tc>
          <w:tcPr>
            <w:tcW w:w="2877" w:type="dxa"/>
            <w:vAlign w:val="center"/>
          </w:tcPr>
          <w:p w14:paraId="39EE77E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sz w:val="10"/>
                <w:szCs w:val="10"/>
                <w:highlight w:val="none"/>
              </w:rPr>
            </w:pPr>
            <w:r>
              <w:rPr>
                <w:color w:val="auto"/>
                <w:spacing w:val="8"/>
                <w:highlight w:val="none"/>
              </w:rPr>
              <w:t>评标委员会的组建</w:t>
            </w:r>
          </w:p>
        </w:tc>
        <w:tc>
          <w:tcPr>
            <w:tcW w:w="5374" w:type="dxa"/>
            <w:vAlign w:val="center"/>
          </w:tcPr>
          <w:p w14:paraId="3777D59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rFonts w:hint="eastAsia"/>
                <w:color w:val="auto"/>
                <w:spacing w:val="12"/>
                <w:sz w:val="20"/>
                <w:szCs w:val="20"/>
                <w:highlight w:val="none"/>
                <w:lang w:eastAsia="zh-CN"/>
              </w:rPr>
            </w:pPr>
            <w:r>
              <w:rPr>
                <w:rFonts w:hint="eastAsia"/>
                <w:color w:val="auto"/>
                <w:spacing w:val="12"/>
                <w:sz w:val="20"/>
                <w:szCs w:val="20"/>
                <w:highlight w:val="none"/>
                <w:lang w:eastAsia="zh-CN"/>
              </w:rPr>
              <w:t>评标委员会构成：</w:t>
            </w:r>
            <w:r>
              <w:rPr>
                <w:rFonts w:hint="eastAsia"/>
                <w:color w:val="auto"/>
                <w:spacing w:val="12"/>
                <w:sz w:val="20"/>
                <w:szCs w:val="20"/>
                <w:highlight w:val="none"/>
                <w:lang w:val="en-US" w:eastAsia="zh-CN"/>
              </w:rPr>
              <w:t>7</w:t>
            </w:r>
            <w:r>
              <w:rPr>
                <w:rFonts w:hint="eastAsia"/>
                <w:color w:val="auto"/>
                <w:spacing w:val="12"/>
                <w:sz w:val="20"/>
                <w:szCs w:val="20"/>
                <w:highlight w:val="none"/>
                <w:lang w:eastAsia="zh-CN"/>
              </w:rPr>
              <w:t>人，评标委员会由招标人代表和有关专家组成，其中技术、经济等方面的专家不得少于成员总数的三分之二；</w:t>
            </w:r>
          </w:p>
          <w:p w14:paraId="568C393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rFonts w:hint="eastAsia" w:eastAsia="宋体"/>
                <w:color w:val="auto"/>
                <w:highlight w:val="none"/>
                <w:lang w:eastAsia="zh-CN"/>
              </w:rPr>
            </w:pPr>
            <w:r>
              <w:rPr>
                <w:rFonts w:hint="eastAsia"/>
                <w:color w:val="auto"/>
                <w:spacing w:val="12"/>
                <w:sz w:val="20"/>
                <w:szCs w:val="20"/>
                <w:highlight w:val="none"/>
                <w:lang w:eastAsia="zh-CN"/>
              </w:rPr>
              <w:t>评标专家确定方式：</w:t>
            </w:r>
            <w:r>
              <w:rPr>
                <w:color w:val="auto"/>
                <w:spacing w:val="12"/>
                <w:sz w:val="20"/>
                <w:szCs w:val="20"/>
                <w:highlight w:val="none"/>
              </w:rPr>
              <w:t>：依法从</w:t>
            </w:r>
            <w:r>
              <w:rPr>
                <w:rFonts w:hint="eastAsia"/>
                <w:color w:val="auto"/>
                <w:spacing w:val="12"/>
                <w:sz w:val="20"/>
                <w:szCs w:val="20"/>
                <w:highlight w:val="none"/>
              </w:rPr>
              <w:t>广东省综合评标评审专家库</w:t>
            </w:r>
            <w:r>
              <w:rPr>
                <w:color w:val="auto"/>
                <w:spacing w:val="12"/>
                <w:sz w:val="20"/>
                <w:szCs w:val="20"/>
                <w:highlight w:val="none"/>
              </w:rPr>
              <w:t>中随机抽取</w:t>
            </w:r>
            <w:r>
              <w:rPr>
                <w:rFonts w:hint="eastAsia"/>
                <w:color w:val="auto"/>
                <w:spacing w:val="12"/>
                <w:sz w:val="20"/>
                <w:szCs w:val="20"/>
                <w:highlight w:val="none"/>
                <w:lang w:eastAsia="zh-CN"/>
              </w:rPr>
              <w:t>。</w:t>
            </w:r>
          </w:p>
        </w:tc>
      </w:tr>
      <w:tr w14:paraId="5D602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C00E88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bookmarkStart w:id="37" w:name="bookmark63"/>
            <w:bookmarkEnd w:id="37"/>
            <w:r>
              <w:rPr>
                <w:color w:val="auto"/>
                <w:spacing w:val="2"/>
                <w:position w:val="1"/>
                <w:highlight w:val="none"/>
              </w:rPr>
              <w:t>6.3.2</w:t>
            </w:r>
          </w:p>
        </w:tc>
        <w:tc>
          <w:tcPr>
            <w:tcW w:w="2877" w:type="dxa"/>
            <w:vAlign w:val="center"/>
          </w:tcPr>
          <w:p w14:paraId="1BF5336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9"/>
                <w:highlight w:val="none"/>
              </w:rPr>
              <w:t>评标委员会推荐</w:t>
            </w:r>
            <w:r>
              <w:rPr>
                <w:rFonts w:hint="eastAsia"/>
                <w:color w:val="auto"/>
                <w:spacing w:val="9"/>
                <w:highlight w:val="none"/>
                <w:lang w:val="en-US" w:eastAsia="zh-CN"/>
              </w:rPr>
              <w:t>定</w:t>
            </w:r>
            <w:r>
              <w:rPr>
                <w:color w:val="auto"/>
                <w:spacing w:val="9"/>
                <w:highlight w:val="none"/>
              </w:rPr>
              <w:t>标候选人</w:t>
            </w:r>
          </w:p>
          <w:p w14:paraId="040BC42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1"/>
                <w:highlight w:val="none"/>
              </w:rPr>
              <w:t>的人数</w:t>
            </w:r>
          </w:p>
        </w:tc>
        <w:tc>
          <w:tcPr>
            <w:tcW w:w="5374" w:type="dxa"/>
            <w:vAlign w:val="center"/>
          </w:tcPr>
          <w:p w14:paraId="19BAF9A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5"/>
              <w:jc w:val="both"/>
              <w:textAlignment w:val="baseline"/>
              <w:rPr>
                <w:color w:val="auto"/>
                <w:highlight w:val="none"/>
              </w:rPr>
            </w:pPr>
            <w:r>
              <w:rPr>
                <w:color w:val="auto"/>
                <w:spacing w:val="-21"/>
                <w:highlight w:val="none"/>
              </w:rPr>
              <w:t xml:space="preserve"> </w:t>
            </w:r>
            <w:r>
              <w:rPr>
                <w:rFonts w:hint="eastAsia"/>
                <w:color w:val="auto"/>
                <w:spacing w:val="14"/>
                <w:highlight w:val="none"/>
                <w:lang w:val="en-US" w:eastAsia="zh-CN"/>
              </w:rPr>
              <w:t>5</w:t>
            </w:r>
            <w:r>
              <w:rPr>
                <w:color w:val="auto"/>
                <w:spacing w:val="-29"/>
                <w:highlight w:val="none"/>
              </w:rPr>
              <w:t xml:space="preserve"> </w:t>
            </w:r>
            <w:r>
              <w:rPr>
                <w:color w:val="auto"/>
                <w:spacing w:val="14"/>
                <w:highlight w:val="none"/>
              </w:rPr>
              <w:t>名</w:t>
            </w:r>
          </w:p>
        </w:tc>
      </w:tr>
      <w:tr w14:paraId="1099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FDCE98C">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position w:val="1"/>
                <w:highlight w:val="none"/>
              </w:rPr>
              <w:t>7.1</w:t>
            </w:r>
          </w:p>
        </w:tc>
        <w:tc>
          <w:tcPr>
            <w:tcW w:w="2877" w:type="dxa"/>
            <w:vAlign w:val="center"/>
          </w:tcPr>
          <w:p w14:paraId="724A236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rFonts w:hint="eastAsia"/>
                <w:color w:val="auto"/>
                <w:spacing w:val="7"/>
                <w:highlight w:val="none"/>
                <w:lang w:val="en-US" w:eastAsia="zh-CN"/>
              </w:rPr>
              <w:t>定</w:t>
            </w:r>
            <w:r>
              <w:rPr>
                <w:color w:val="auto"/>
                <w:spacing w:val="7"/>
                <w:highlight w:val="none"/>
              </w:rPr>
              <w:t>标候选人公示媒介及期限</w:t>
            </w:r>
          </w:p>
        </w:tc>
        <w:tc>
          <w:tcPr>
            <w:tcW w:w="5374" w:type="dxa"/>
            <w:vAlign w:val="center"/>
          </w:tcPr>
          <w:p w14:paraId="5AA444B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7"/>
              <w:jc w:val="both"/>
              <w:textAlignment w:val="baseline"/>
              <w:rPr>
                <w:color w:val="auto"/>
                <w:highlight w:val="none"/>
              </w:rPr>
            </w:pPr>
            <w:r>
              <w:rPr>
                <w:color w:val="auto"/>
                <w:spacing w:val="15"/>
                <w:highlight w:val="none"/>
              </w:rPr>
              <w:t>公示媒介：广东省招标投标监管网、</w:t>
            </w:r>
            <w:r>
              <w:rPr>
                <w:rFonts w:hint="eastAsia"/>
                <w:color w:val="auto"/>
                <w:spacing w:val="15"/>
                <w:highlight w:val="none"/>
              </w:rPr>
              <w:t>全国公共资源交易平台（广东省·韶关市）</w:t>
            </w:r>
            <w:r>
              <w:rPr>
                <w:color w:val="auto"/>
                <w:spacing w:val="8"/>
                <w:highlight w:val="none"/>
                <w:u w:val="none" w:color="auto"/>
              </w:rPr>
              <w:t>网站</w:t>
            </w:r>
          </w:p>
          <w:p w14:paraId="76742A1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sz w:val="10"/>
                <w:szCs w:val="10"/>
                <w:highlight w:val="none"/>
              </w:rPr>
            </w:pPr>
            <w:r>
              <w:rPr>
                <w:color w:val="auto"/>
                <w:highlight w:val="none"/>
              </w:rPr>
              <w:t>公示期限：</w:t>
            </w:r>
            <w:r>
              <w:rPr>
                <w:color w:val="auto"/>
                <w:spacing w:val="18"/>
                <w:highlight w:val="none"/>
                <w:u w:val="single" w:color="auto"/>
              </w:rPr>
              <w:t xml:space="preserve"> </w:t>
            </w:r>
            <w:r>
              <w:rPr>
                <w:color w:val="auto"/>
                <w:highlight w:val="none"/>
                <w:u w:val="single" w:color="auto"/>
              </w:rPr>
              <w:t>3</w:t>
            </w:r>
            <w:r>
              <w:rPr>
                <w:color w:val="auto"/>
                <w:spacing w:val="-49"/>
                <w:highlight w:val="none"/>
                <w:u w:val="single" w:color="auto"/>
              </w:rPr>
              <w:t xml:space="preserve"> </w:t>
            </w:r>
            <w:r>
              <w:rPr>
                <w:color w:val="auto"/>
                <w:spacing w:val="-55"/>
                <w:highlight w:val="none"/>
              </w:rPr>
              <w:t xml:space="preserve"> </w:t>
            </w:r>
            <w:r>
              <w:rPr>
                <w:color w:val="auto"/>
                <w:highlight w:val="none"/>
              </w:rPr>
              <w:t>日</w:t>
            </w:r>
          </w:p>
          <w:p w14:paraId="346A5DD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12"/>
              <w:jc w:val="both"/>
              <w:textAlignment w:val="baseline"/>
              <w:rPr>
                <w:color w:val="auto"/>
                <w:highlight w:val="none"/>
              </w:rPr>
            </w:pPr>
            <w:r>
              <w:rPr>
                <w:color w:val="auto"/>
                <w:spacing w:val="14"/>
                <w:highlight w:val="none"/>
              </w:rPr>
              <w:t>公示的其他内容：</w:t>
            </w:r>
            <w:r>
              <w:rPr>
                <w:color w:val="auto"/>
                <w:spacing w:val="-49"/>
                <w:highlight w:val="none"/>
              </w:rPr>
              <w:t xml:space="preserve"> </w:t>
            </w:r>
            <w:r>
              <w:rPr>
                <w:rFonts w:hint="eastAsia"/>
                <w:color w:val="auto"/>
                <w:spacing w:val="14"/>
                <w:highlight w:val="none"/>
                <w:u w:val="single" w:color="auto"/>
                <w:lang w:val="en-US" w:eastAsia="zh-CN"/>
              </w:rPr>
              <w:t>定</w:t>
            </w:r>
            <w:r>
              <w:rPr>
                <w:color w:val="auto"/>
                <w:spacing w:val="14"/>
                <w:highlight w:val="none"/>
                <w:u w:val="single" w:color="auto"/>
              </w:rPr>
              <w:t>标候选人的投标文件、</w:t>
            </w:r>
            <w:r>
              <w:rPr>
                <w:color w:val="auto"/>
                <w:spacing w:val="13"/>
                <w:highlight w:val="none"/>
                <w:u w:val="single" w:color="auto"/>
              </w:rPr>
              <w:t>评标</w:t>
            </w:r>
            <w:r>
              <w:rPr>
                <w:color w:val="auto"/>
                <w:spacing w:val="11"/>
                <w:highlight w:val="none"/>
                <w:u w:val="single" w:color="auto"/>
              </w:rPr>
              <w:t>报告（含资审结果）、最新一年度</w:t>
            </w:r>
            <w:r>
              <w:rPr>
                <w:color w:val="auto"/>
                <w:spacing w:val="-29"/>
                <w:highlight w:val="none"/>
                <w:u w:val="single" w:color="auto"/>
              </w:rPr>
              <w:t xml:space="preserve"> </w:t>
            </w:r>
            <w:r>
              <w:rPr>
                <w:color w:val="auto"/>
                <w:highlight w:val="none"/>
                <w:u w:val="single" w:color="auto"/>
              </w:rPr>
              <w:t>AA</w:t>
            </w:r>
            <w:r>
              <w:rPr>
                <w:color w:val="auto"/>
                <w:spacing w:val="11"/>
                <w:highlight w:val="none"/>
                <w:u w:val="single" w:color="auto"/>
              </w:rPr>
              <w:t>、A</w:t>
            </w:r>
            <w:r>
              <w:rPr>
                <w:color w:val="auto"/>
                <w:spacing w:val="-32"/>
                <w:highlight w:val="none"/>
                <w:u w:val="single" w:color="auto"/>
              </w:rPr>
              <w:t xml:space="preserve"> </w:t>
            </w:r>
            <w:r>
              <w:rPr>
                <w:color w:val="auto"/>
                <w:spacing w:val="11"/>
                <w:highlight w:val="none"/>
                <w:u w:val="single" w:color="auto"/>
              </w:rPr>
              <w:t>级投标人</w:t>
            </w:r>
            <w:r>
              <w:rPr>
                <w:color w:val="auto"/>
                <w:spacing w:val="22"/>
                <w:highlight w:val="none"/>
                <w:u w:val="single" w:color="auto"/>
              </w:rPr>
              <w:t>的信用等级使用情况及所有承诺使用最新一年度</w:t>
            </w:r>
            <w:r>
              <w:rPr>
                <w:color w:val="auto"/>
                <w:highlight w:val="none"/>
                <w:u w:val="single" w:color="auto"/>
              </w:rPr>
              <w:t>AA</w:t>
            </w:r>
            <w:r>
              <w:rPr>
                <w:color w:val="auto"/>
                <w:spacing w:val="8"/>
                <w:highlight w:val="none"/>
                <w:u w:val="single" w:color="auto"/>
              </w:rPr>
              <w:t>、A</w:t>
            </w:r>
            <w:r>
              <w:rPr>
                <w:color w:val="auto"/>
                <w:spacing w:val="-20"/>
                <w:highlight w:val="none"/>
                <w:u w:val="single" w:color="auto"/>
              </w:rPr>
              <w:t xml:space="preserve"> </w:t>
            </w:r>
            <w:r>
              <w:rPr>
                <w:color w:val="auto"/>
                <w:spacing w:val="8"/>
                <w:highlight w:val="none"/>
                <w:u w:val="single" w:color="auto"/>
              </w:rPr>
              <w:t>级投标人的年度信用等级使用情况</w:t>
            </w:r>
            <w:r>
              <w:rPr>
                <w:color w:val="auto"/>
                <w:spacing w:val="8"/>
                <w:highlight w:val="none"/>
              </w:rPr>
              <w:t>。</w:t>
            </w:r>
          </w:p>
        </w:tc>
      </w:tr>
      <w:tr w14:paraId="16D6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35733EE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hint="eastAsia" w:eastAsia="宋体"/>
                <w:color w:val="auto"/>
                <w:highlight w:val="none"/>
                <w:lang w:eastAsia="zh-CN"/>
              </w:rPr>
            </w:pPr>
            <w:r>
              <w:rPr>
                <w:color w:val="auto"/>
                <w:position w:val="1"/>
                <w:highlight w:val="none"/>
              </w:rPr>
              <w:t>7.</w:t>
            </w:r>
            <w:r>
              <w:rPr>
                <w:rFonts w:hint="eastAsia"/>
                <w:color w:val="auto"/>
                <w:position w:val="1"/>
                <w:highlight w:val="none"/>
                <w:lang w:val="en-US" w:eastAsia="zh-CN"/>
              </w:rPr>
              <w:t>3</w:t>
            </w:r>
          </w:p>
        </w:tc>
        <w:tc>
          <w:tcPr>
            <w:tcW w:w="2877" w:type="dxa"/>
            <w:vAlign w:val="center"/>
          </w:tcPr>
          <w:p w14:paraId="4353D94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8"/>
                <w:highlight w:val="none"/>
              </w:rPr>
              <w:t>是否授权评标委员会确定中</w:t>
            </w:r>
          </w:p>
          <w:p w14:paraId="53A0B71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4"/>
                <w:highlight w:val="none"/>
              </w:rPr>
              <w:t>标人</w:t>
            </w:r>
          </w:p>
        </w:tc>
        <w:tc>
          <w:tcPr>
            <w:tcW w:w="5374" w:type="dxa"/>
            <w:vAlign w:val="center"/>
          </w:tcPr>
          <w:p w14:paraId="5A5A9E9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highlight w:val="none"/>
              </w:rPr>
            </w:pPr>
            <w:r>
              <w:rPr>
                <w:color w:val="auto"/>
                <w:spacing w:val="-5"/>
                <w:highlight w:val="none"/>
              </w:rPr>
              <w:t>□是</w:t>
            </w:r>
          </w:p>
          <w:p w14:paraId="2ED9EB2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highlight w:val="none"/>
              </w:rPr>
            </w:pPr>
            <w:r>
              <w:rPr>
                <w:rFonts w:hint="eastAsia"/>
                <w:color w:val="auto"/>
                <w:spacing w:val="-5"/>
                <w:highlight w:val="none"/>
                <w:lang w:eastAsia="zh-CN"/>
              </w:rPr>
              <w:t>☑</w:t>
            </w:r>
            <w:r>
              <w:rPr>
                <w:color w:val="auto"/>
                <w:spacing w:val="-5"/>
                <w:highlight w:val="none"/>
              </w:rPr>
              <w:t>否</w:t>
            </w:r>
            <w:r>
              <w:rPr>
                <w:rFonts w:hint="eastAsia"/>
                <w:color w:val="auto"/>
                <w:spacing w:val="-5"/>
                <w:highlight w:val="none"/>
              </w:rPr>
              <w:t>，由定标委员会确定中标人。</w:t>
            </w:r>
          </w:p>
        </w:tc>
      </w:tr>
      <w:tr w14:paraId="6771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2B14D015">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position w:val="1"/>
                <w:sz w:val="20"/>
                <w:szCs w:val="20"/>
                <w:highlight w:val="none"/>
              </w:rPr>
            </w:pPr>
            <w:r>
              <w:rPr>
                <w:rFonts w:hint="eastAsia" w:ascii="宋体" w:hAnsi="宋体" w:eastAsia="宋体" w:cs="宋体"/>
                <w:color w:val="auto"/>
                <w:sz w:val="20"/>
                <w:szCs w:val="20"/>
                <w:highlight w:val="none"/>
                <w:lang w:val="en-US" w:eastAsia="zh-CN"/>
              </w:rPr>
              <w:t>7.3.1</w:t>
            </w:r>
          </w:p>
        </w:tc>
        <w:tc>
          <w:tcPr>
            <w:tcW w:w="2877" w:type="dxa"/>
            <w:vAlign w:val="center"/>
          </w:tcPr>
          <w:p w14:paraId="1FC2A9CE">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lang w:val="en-US" w:eastAsia="zh-CN"/>
              </w:rPr>
              <w:t>定标时间和地点</w:t>
            </w:r>
          </w:p>
        </w:tc>
        <w:tc>
          <w:tcPr>
            <w:tcW w:w="5374" w:type="dxa"/>
            <w:vAlign w:val="center"/>
          </w:tcPr>
          <w:p w14:paraId="6B70B923">
            <w:pPr>
              <w:keepNext w:val="0"/>
              <w:keepLines w:val="0"/>
              <w:pageBreakBefore w:val="0"/>
              <w:widowControl/>
              <w:tabs>
                <w:tab w:val="left" w:pos="6040"/>
              </w:tabs>
              <w:kinsoku w:val="0"/>
              <w:wordWrap/>
              <w:overflowPunct/>
              <w:topLinePunct w:val="0"/>
              <w:autoSpaceDE w:val="0"/>
              <w:autoSpaceDN w:val="0"/>
              <w:bidi w:val="0"/>
              <w:adjustRightInd w:val="0"/>
              <w:snapToGrid w:val="0"/>
              <w:spacing w:line="360" w:lineRule="exact"/>
              <w:ind w:left="147" w:leftChars="70" w:right="111" w:rightChars="53"/>
              <w:jc w:val="left"/>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定标时间：定标候选人公示结束后5个工作日内。</w:t>
            </w:r>
          </w:p>
          <w:p w14:paraId="54EF2F92">
            <w:pPr>
              <w:keepNext w:val="0"/>
              <w:keepLines w:val="0"/>
              <w:pageBreakBefore w:val="0"/>
              <w:widowControl/>
              <w:tabs>
                <w:tab w:val="left" w:pos="6040"/>
              </w:tabs>
              <w:kinsoku w:val="0"/>
              <w:wordWrap/>
              <w:overflowPunct/>
              <w:topLinePunct w:val="0"/>
              <w:autoSpaceDE w:val="0"/>
              <w:autoSpaceDN w:val="0"/>
              <w:bidi w:val="0"/>
              <w:adjustRightInd w:val="0"/>
              <w:snapToGrid w:val="0"/>
              <w:spacing w:line="360" w:lineRule="exact"/>
              <w:ind w:left="147" w:leftChars="70" w:right="111" w:rightChars="53"/>
              <w:jc w:val="left"/>
              <w:textAlignment w:val="baseline"/>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z w:val="20"/>
                <w:szCs w:val="20"/>
                <w:highlight w:val="none"/>
                <w:lang w:val="en-US" w:eastAsia="zh-CN"/>
              </w:rPr>
              <w:t>定标地点：同开标地点。</w:t>
            </w:r>
          </w:p>
        </w:tc>
      </w:tr>
      <w:tr w14:paraId="6980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EDA438D">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position w:val="1"/>
                <w:sz w:val="20"/>
                <w:szCs w:val="20"/>
                <w:highlight w:val="none"/>
              </w:rPr>
            </w:pPr>
            <w:r>
              <w:rPr>
                <w:rFonts w:hint="eastAsia" w:ascii="宋体" w:hAnsi="宋体" w:eastAsia="宋体" w:cs="宋体"/>
                <w:color w:val="auto"/>
                <w:sz w:val="20"/>
                <w:szCs w:val="20"/>
                <w:highlight w:val="none"/>
                <w:lang w:val="en-US" w:eastAsia="zh-CN"/>
              </w:rPr>
              <w:t>7.3.2.1</w:t>
            </w:r>
          </w:p>
        </w:tc>
        <w:tc>
          <w:tcPr>
            <w:tcW w:w="2877" w:type="dxa"/>
            <w:vAlign w:val="center"/>
          </w:tcPr>
          <w:p w14:paraId="676B9C07">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lang w:val="en-US" w:eastAsia="zh-CN"/>
              </w:rPr>
              <w:t>招标监督小组的组建</w:t>
            </w:r>
          </w:p>
        </w:tc>
        <w:tc>
          <w:tcPr>
            <w:tcW w:w="5374" w:type="dxa"/>
            <w:vAlign w:val="center"/>
          </w:tcPr>
          <w:p w14:paraId="089E6E09">
            <w:pPr>
              <w:keepNext w:val="0"/>
              <w:keepLines w:val="0"/>
              <w:pageBreakBefore w:val="0"/>
              <w:widowControl/>
              <w:tabs>
                <w:tab w:val="left" w:pos="6060"/>
              </w:tabs>
              <w:kinsoku w:val="0"/>
              <w:wordWrap/>
              <w:overflowPunct/>
              <w:topLinePunct w:val="0"/>
              <w:autoSpaceDE w:val="0"/>
              <w:autoSpaceDN w:val="0"/>
              <w:bidi w:val="0"/>
              <w:adjustRightInd w:val="0"/>
              <w:snapToGrid w:val="0"/>
              <w:spacing w:line="360" w:lineRule="exact"/>
              <w:ind w:left="145" w:leftChars="69" w:right="71" w:rightChars="34"/>
              <w:textAlignment w:val="baseline"/>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kern w:val="2"/>
                <w:sz w:val="20"/>
                <w:szCs w:val="20"/>
                <w:highlight w:val="none"/>
                <w:u w:val="none"/>
                <w:lang w:val="en-US" w:eastAsia="zh-CN" w:bidi="ar-SA"/>
              </w:rPr>
              <w:t>监督小组构成：</w:t>
            </w:r>
            <w:r>
              <w:rPr>
                <w:rFonts w:hint="eastAsia" w:ascii="宋体" w:hAnsi="宋体" w:eastAsia="宋体" w:cs="宋体"/>
                <w:color w:val="auto"/>
                <w:kern w:val="2"/>
                <w:sz w:val="20"/>
                <w:szCs w:val="20"/>
                <w:highlight w:val="none"/>
                <w:u w:val="single"/>
                <w:lang w:val="en-US" w:eastAsia="zh-CN" w:bidi="ar-SA"/>
              </w:rPr>
              <w:t xml:space="preserve"> 3 </w:t>
            </w:r>
            <w:r>
              <w:rPr>
                <w:rFonts w:hint="eastAsia" w:ascii="宋体" w:hAnsi="宋体" w:eastAsia="宋体" w:cs="宋体"/>
                <w:color w:val="auto"/>
                <w:kern w:val="2"/>
                <w:sz w:val="20"/>
                <w:szCs w:val="20"/>
                <w:highlight w:val="none"/>
                <w:u w:val="none"/>
                <w:lang w:val="en-US" w:eastAsia="zh-CN" w:bidi="ar-SA"/>
              </w:rPr>
              <w:t>人，监督小组成员</w:t>
            </w:r>
            <w:r>
              <w:rPr>
                <w:rFonts w:hint="eastAsia" w:ascii="宋体" w:hAnsi="宋体" w:eastAsia="宋体" w:cs="宋体"/>
                <w:color w:val="auto"/>
                <w:kern w:val="0"/>
                <w:sz w:val="20"/>
                <w:szCs w:val="20"/>
                <w:highlight w:val="none"/>
                <w:lang w:val="en-US" w:eastAsia="zh-CN"/>
              </w:rPr>
              <w:t>由招标人直接委派，并确定一名组长负责统筹监督工作。</w:t>
            </w:r>
          </w:p>
        </w:tc>
      </w:tr>
      <w:tr w14:paraId="472E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3D6A84E9">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position w:val="1"/>
                <w:sz w:val="20"/>
                <w:szCs w:val="20"/>
                <w:highlight w:val="none"/>
              </w:rPr>
            </w:pPr>
            <w:r>
              <w:rPr>
                <w:rFonts w:hint="eastAsia" w:ascii="宋体" w:hAnsi="宋体" w:eastAsia="宋体" w:cs="宋体"/>
                <w:color w:val="auto"/>
                <w:sz w:val="20"/>
                <w:szCs w:val="20"/>
                <w:highlight w:val="none"/>
                <w:lang w:val="en-US" w:eastAsia="zh-CN"/>
              </w:rPr>
              <w:t>7.3.3.1</w:t>
            </w:r>
          </w:p>
        </w:tc>
        <w:tc>
          <w:tcPr>
            <w:tcW w:w="2877" w:type="dxa"/>
            <w:vAlign w:val="center"/>
          </w:tcPr>
          <w:p w14:paraId="58D1F193">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rPr>
              <w:t>定标委员会</w:t>
            </w:r>
            <w:r>
              <w:rPr>
                <w:rFonts w:hint="eastAsia" w:ascii="宋体" w:hAnsi="宋体" w:eastAsia="宋体" w:cs="宋体"/>
                <w:color w:val="auto"/>
                <w:sz w:val="20"/>
                <w:szCs w:val="20"/>
                <w:highlight w:val="none"/>
                <w:lang w:eastAsia="zh-CN"/>
              </w:rPr>
              <w:t>的</w:t>
            </w:r>
            <w:r>
              <w:rPr>
                <w:rFonts w:hint="eastAsia" w:ascii="宋体" w:hAnsi="宋体" w:eastAsia="宋体" w:cs="宋体"/>
                <w:color w:val="auto"/>
                <w:sz w:val="20"/>
                <w:szCs w:val="20"/>
                <w:highlight w:val="none"/>
              </w:rPr>
              <w:t>组建</w:t>
            </w:r>
          </w:p>
        </w:tc>
        <w:tc>
          <w:tcPr>
            <w:tcW w:w="5374" w:type="dxa"/>
            <w:vAlign w:val="center"/>
          </w:tcPr>
          <w:p w14:paraId="154A3075">
            <w:pPr>
              <w:keepNext w:val="0"/>
              <w:keepLines w:val="0"/>
              <w:pageBreakBefore w:val="0"/>
              <w:widowControl/>
              <w:tabs>
                <w:tab w:val="left" w:pos="6100"/>
              </w:tabs>
              <w:kinsoku w:val="0"/>
              <w:wordWrap/>
              <w:overflowPunct/>
              <w:topLinePunct w:val="0"/>
              <w:autoSpaceDE w:val="0"/>
              <w:autoSpaceDN w:val="0"/>
              <w:bidi w:val="0"/>
              <w:adjustRightInd w:val="0"/>
              <w:snapToGrid w:val="0"/>
              <w:spacing w:line="360" w:lineRule="exact"/>
              <w:ind w:left="145" w:leftChars="69"/>
              <w:textAlignment w:val="baseline"/>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z w:val="20"/>
                <w:szCs w:val="20"/>
                <w:highlight w:val="none"/>
                <w:u w:val="none"/>
                <w:lang w:val="en-US" w:eastAsia="zh-CN"/>
              </w:rPr>
              <w:t>定标委员会构成：</w:t>
            </w:r>
            <w:r>
              <w:rPr>
                <w:rFonts w:hint="eastAsia" w:ascii="宋体" w:hAnsi="宋体" w:eastAsia="宋体" w:cs="宋体"/>
                <w:color w:val="auto"/>
                <w:sz w:val="20"/>
                <w:szCs w:val="20"/>
                <w:highlight w:val="none"/>
                <w:u w:val="single"/>
                <w:lang w:val="en-US" w:eastAsia="zh-CN"/>
              </w:rPr>
              <w:t>7</w:t>
            </w:r>
            <w:r>
              <w:rPr>
                <w:rFonts w:hint="eastAsia" w:ascii="宋体" w:hAnsi="宋体" w:eastAsia="宋体" w:cs="宋体"/>
                <w:color w:val="auto"/>
                <w:sz w:val="20"/>
                <w:szCs w:val="20"/>
                <w:highlight w:val="none"/>
                <w:u w:val="none"/>
                <w:lang w:val="en-US" w:eastAsia="zh-CN"/>
              </w:rPr>
              <w:t>人。定标委员会由招标人组建，从招标人的领导班子成员、经营管理人员，或具备中级及以上职称、具有注册执业资格证的工程技术（经济）人员中产生，以上人员难以满足时从广东省综合评标评审专家库（全省区域）抽取专家补足。</w:t>
            </w:r>
          </w:p>
        </w:tc>
      </w:tr>
      <w:tr w14:paraId="3262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0D50B4D5">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position w:val="1"/>
                <w:sz w:val="20"/>
                <w:szCs w:val="20"/>
                <w:highlight w:val="none"/>
              </w:rPr>
            </w:pPr>
            <w:r>
              <w:rPr>
                <w:rFonts w:hint="eastAsia" w:ascii="宋体" w:hAnsi="宋体" w:eastAsia="宋体" w:cs="宋体"/>
                <w:color w:val="auto"/>
                <w:sz w:val="20"/>
                <w:szCs w:val="20"/>
                <w:highlight w:val="none"/>
                <w:lang w:val="en-US" w:eastAsia="zh-CN"/>
              </w:rPr>
              <w:t>7.3.4.2</w:t>
            </w:r>
          </w:p>
        </w:tc>
        <w:tc>
          <w:tcPr>
            <w:tcW w:w="2877" w:type="dxa"/>
            <w:vAlign w:val="center"/>
          </w:tcPr>
          <w:p w14:paraId="0A1EEEB6">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spacing w:val="4"/>
                <w:sz w:val="20"/>
                <w:szCs w:val="20"/>
                <w:highlight w:val="none"/>
              </w:rPr>
            </w:pPr>
            <w:r>
              <w:rPr>
                <w:rFonts w:hint="eastAsia" w:ascii="宋体" w:hAnsi="宋体" w:eastAsia="宋体" w:cs="宋体"/>
                <w:color w:val="auto"/>
                <w:kern w:val="2"/>
                <w:sz w:val="20"/>
                <w:szCs w:val="20"/>
                <w:highlight w:val="none"/>
                <w:lang w:val="en-US" w:eastAsia="zh-CN" w:bidi="ar-SA"/>
              </w:rPr>
              <w:t>定标委员会推荐的中标候选人的人数</w:t>
            </w:r>
          </w:p>
        </w:tc>
        <w:tc>
          <w:tcPr>
            <w:tcW w:w="5374" w:type="dxa"/>
            <w:vAlign w:val="center"/>
          </w:tcPr>
          <w:p w14:paraId="4091F0B2">
            <w:pPr>
              <w:keepNext w:val="0"/>
              <w:keepLines w:val="0"/>
              <w:pageBreakBefore w:val="0"/>
              <w:widowControl/>
              <w:tabs>
                <w:tab w:val="left" w:pos="6060"/>
              </w:tabs>
              <w:kinsoku w:val="0"/>
              <w:wordWrap/>
              <w:overflowPunct/>
              <w:topLinePunct w:val="0"/>
              <w:autoSpaceDE w:val="0"/>
              <w:autoSpaceDN w:val="0"/>
              <w:bidi w:val="0"/>
              <w:adjustRightInd w:val="0"/>
              <w:snapToGrid w:val="0"/>
              <w:spacing w:line="360" w:lineRule="exact"/>
              <w:ind w:right="71" w:rightChars="34"/>
              <w:textAlignment w:val="baseline"/>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kern w:val="2"/>
                <w:sz w:val="20"/>
                <w:szCs w:val="20"/>
                <w:highlight w:val="none"/>
                <w:u w:val="single"/>
                <w:lang w:val="en-US" w:eastAsia="zh-CN" w:bidi="ar-SA"/>
              </w:rPr>
              <w:t xml:space="preserve">   1  </w:t>
            </w:r>
            <w:r>
              <w:rPr>
                <w:rFonts w:hint="eastAsia" w:ascii="宋体" w:hAnsi="宋体" w:eastAsia="宋体" w:cs="宋体"/>
                <w:color w:val="auto"/>
                <w:kern w:val="2"/>
                <w:sz w:val="20"/>
                <w:szCs w:val="20"/>
                <w:highlight w:val="none"/>
                <w:u w:val="none"/>
                <w:lang w:val="en-US" w:eastAsia="zh-CN" w:bidi="ar-SA"/>
              </w:rPr>
              <w:t>名</w:t>
            </w:r>
          </w:p>
        </w:tc>
      </w:tr>
      <w:tr w14:paraId="3D3D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3DE12134">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position w:val="1"/>
                <w:sz w:val="20"/>
                <w:szCs w:val="20"/>
                <w:highlight w:val="none"/>
              </w:rPr>
            </w:pPr>
            <w:r>
              <w:rPr>
                <w:rFonts w:hint="eastAsia" w:ascii="宋体" w:hAnsi="宋体" w:eastAsia="宋体" w:cs="宋体"/>
                <w:color w:val="auto"/>
                <w:sz w:val="20"/>
                <w:szCs w:val="20"/>
                <w:highlight w:val="none"/>
                <w:lang w:val="en-US" w:eastAsia="zh-CN"/>
              </w:rPr>
              <w:t>7.4.1</w:t>
            </w:r>
          </w:p>
        </w:tc>
        <w:tc>
          <w:tcPr>
            <w:tcW w:w="2877" w:type="dxa"/>
            <w:vAlign w:val="center"/>
          </w:tcPr>
          <w:p w14:paraId="7C46B7CB">
            <w:pPr>
              <w:keepNext w:val="0"/>
              <w:keepLines w:val="0"/>
              <w:pageBreakBefore w:val="0"/>
              <w:widowControl/>
              <w:kinsoku w:val="0"/>
              <w:wordWrap/>
              <w:overflowPunct/>
              <w:topLinePunct w:val="0"/>
              <w:autoSpaceDE w:val="0"/>
              <w:autoSpaceDN w:val="0"/>
              <w:bidi w:val="0"/>
              <w:adjustRightInd w:val="0"/>
              <w:snapToGrid w:val="0"/>
              <w:spacing w:line="340" w:lineRule="exact"/>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lang w:val="en-US" w:eastAsia="zh-CN"/>
              </w:rPr>
              <w:t>定</w:t>
            </w:r>
            <w:r>
              <w:rPr>
                <w:rFonts w:hint="eastAsia" w:ascii="宋体" w:hAnsi="宋体" w:eastAsia="宋体" w:cs="宋体"/>
                <w:color w:val="auto"/>
                <w:sz w:val="20"/>
                <w:szCs w:val="20"/>
                <w:highlight w:val="none"/>
              </w:rPr>
              <w:t>标</w:t>
            </w:r>
            <w:r>
              <w:rPr>
                <w:rFonts w:hint="eastAsia" w:ascii="宋体" w:hAnsi="宋体" w:eastAsia="宋体" w:cs="宋体"/>
                <w:color w:val="auto"/>
                <w:sz w:val="20"/>
                <w:szCs w:val="20"/>
                <w:highlight w:val="none"/>
                <w:lang w:eastAsia="zh-CN"/>
              </w:rPr>
              <w:t>结果</w:t>
            </w:r>
            <w:r>
              <w:rPr>
                <w:rFonts w:hint="eastAsia" w:ascii="宋体" w:hAnsi="宋体" w:eastAsia="宋体" w:cs="宋体"/>
                <w:color w:val="auto"/>
                <w:sz w:val="20"/>
                <w:szCs w:val="20"/>
                <w:highlight w:val="none"/>
              </w:rPr>
              <w:t>公示媒介及期限</w:t>
            </w:r>
          </w:p>
        </w:tc>
        <w:tc>
          <w:tcPr>
            <w:tcW w:w="5374" w:type="dxa"/>
            <w:vAlign w:val="center"/>
          </w:tcPr>
          <w:p w14:paraId="5D821796">
            <w:pPr>
              <w:keepNext w:val="0"/>
              <w:keepLines w:val="0"/>
              <w:pageBreakBefore w:val="0"/>
              <w:widowControl/>
              <w:tabs>
                <w:tab w:val="left" w:pos="6100"/>
              </w:tabs>
              <w:kinsoku w:val="0"/>
              <w:wordWrap/>
              <w:overflowPunct/>
              <w:topLinePunct w:val="0"/>
              <w:autoSpaceDE w:val="0"/>
              <w:autoSpaceDN w:val="0"/>
              <w:bidi w:val="0"/>
              <w:adjustRightInd w:val="0"/>
              <w:snapToGrid w:val="0"/>
              <w:spacing w:line="360" w:lineRule="exact"/>
              <w:ind w:left="147" w:leftChars="70"/>
              <w:jc w:val="lef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公示媒介：广东省招标投标监管网、全国公共资源交易平台（广东省·韶关市）</w:t>
            </w:r>
          </w:p>
          <w:p w14:paraId="647C7D7B">
            <w:pPr>
              <w:keepNext w:val="0"/>
              <w:keepLines w:val="0"/>
              <w:pageBreakBefore w:val="0"/>
              <w:widowControl/>
              <w:tabs>
                <w:tab w:val="left" w:pos="6100"/>
              </w:tabs>
              <w:kinsoku w:val="0"/>
              <w:wordWrap/>
              <w:overflowPunct/>
              <w:topLinePunct w:val="0"/>
              <w:autoSpaceDE w:val="0"/>
              <w:autoSpaceDN w:val="0"/>
              <w:bidi w:val="0"/>
              <w:adjustRightInd w:val="0"/>
              <w:snapToGrid w:val="0"/>
              <w:spacing w:line="360" w:lineRule="exact"/>
              <w:ind w:left="147" w:leftChars="70"/>
              <w:textAlignment w:val="baseline"/>
              <w:rPr>
                <w:rFonts w:hint="eastAsia" w:ascii="宋体" w:hAnsi="宋体" w:eastAsia="宋体" w:cs="宋体"/>
                <w:color w:val="auto"/>
                <w:spacing w:val="-5"/>
                <w:sz w:val="20"/>
                <w:szCs w:val="20"/>
                <w:highlight w:val="none"/>
                <w:lang w:eastAsia="zh-CN"/>
              </w:rPr>
            </w:pPr>
            <w:r>
              <w:rPr>
                <w:rFonts w:hint="eastAsia" w:ascii="宋体" w:hAnsi="宋体" w:eastAsia="宋体" w:cs="宋体"/>
                <w:color w:val="auto"/>
                <w:sz w:val="20"/>
                <w:szCs w:val="20"/>
                <w:highlight w:val="none"/>
              </w:rPr>
              <w:t>公示期限：</w:t>
            </w:r>
            <w:r>
              <w:rPr>
                <w:rFonts w:hint="eastAsia" w:ascii="宋体" w:hAnsi="宋体" w:eastAsia="宋体" w:cs="宋体"/>
                <w:color w:val="auto"/>
                <w:sz w:val="20"/>
                <w:szCs w:val="20"/>
                <w:highlight w:val="none"/>
                <w:u w:val="single"/>
              </w:rPr>
              <w:t xml:space="preserve"> 3 </w:t>
            </w:r>
            <w:r>
              <w:rPr>
                <w:rFonts w:hint="eastAsia" w:ascii="宋体" w:hAnsi="宋体" w:eastAsia="宋体" w:cs="宋体"/>
                <w:color w:val="auto"/>
                <w:sz w:val="20"/>
                <w:szCs w:val="20"/>
                <w:highlight w:val="none"/>
              </w:rPr>
              <w:t>日</w:t>
            </w:r>
          </w:p>
        </w:tc>
      </w:tr>
      <w:tr w14:paraId="6269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013" w:type="dxa"/>
            <w:vAlign w:val="center"/>
          </w:tcPr>
          <w:p w14:paraId="0609B78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rFonts w:hint="eastAsia" w:eastAsia="宋体"/>
                <w:color w:val="auto"/>
                <w:highlight w:val="none"/>
                <w:lang w:eastAsia="zh-CN"/>
              </w:rPr>
            </w:pPr>
            <w:r>
              <w:rPr>
                <w:color w:val="auto"/>
                <w:position w:val="1"/>
                <w:highlight w:val="none"/>
              </w:rPr>
              <w:t>7.</w:t>
            </w:r>
            <w:r>
              <w:rPr>
                <w:rFonts w:hint="eastAsia"/>
                <w:color w:val="auto"/>
                <w:position w:val="1"/>
                <w:highlight w:val="none"/>
                <w:lang w:val="en-US" w:eastAsia="zh-CN"/>
              </w:rPr>
              <w:t>6</w:t>
            </w:r>
          </w:p>
        </w:tc>
        <w:tc>
          <w:tcPr>
            <w:tcW w:w="2877" w:type="dxa"/>
            <w:vAlign w:val="center"/>
          </w:tcPr>
          <w:p w14:paraId="3647135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color w:val="auto"/>
                <w:highlight w:val="none"/>
              </w:rPr>
            </w:pPr>
            <w:r>
              <w:rPr>
                <w:color w:val="auto"/>
                <w:spacing w:val="7"/>
                <w:highlight w:val="none"/>
              </w:rPr>
              <w:t>中标通知书和中标结果通知发出的形式</w:t>
            </w:r>
          </w:p>
        </w:tc>
        <w:tc>
          <w:tcPr>
            <w:tcW w:w="5374" w:type="dxa"/>
            <w:vAlign w:val="center"/>
          </w:tcPr>
          <w:p w14:paraId="6DF636F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18"/>
              <w:jc w:val="both"/>
              <w:textAlignment w:val="baseline"/>
              <w:rPr>
                <w:color w:val="auto"/>
                <w:highlight w:val="none"/>
              </w:rPr>
            </w:pPr>
            <w:r>
              <w:rPr>
                <w:color w:val="auto"/>
                <w:spacing w:val="9"/>
                <w:highlight w:val="none"/>
              </w:rPr>
              <w:t>中标通知书以书</w:t>
            </w:r>
            <w:r>
              <w:rPr>
                <w:rFonts w:ascii="宋体" w:hAnsi="宋体" w:eastAsia="宋体" w:cs="宋体"/>
                <w:color w:val="auto"/>
                <w:spacing w:val="14"/>
                <w:highlight w:val="none"/>
              </w:rPr>
              <w:t xml:space="preserve">面或电子形式发出； 中标结果在广东省招标投标监管网及 </w:t>
            </w:r>
            <w:r>
              <w:rPr>
                <w:rFonts w:hint="eastAsia" w:ascii="宋体" w:hAnsi="宋体" w:eastAsia="宋体" w:cs="宋体"/>
                <w:color w:val="auto"/>
                <w:spacing w:val="14"/>
                <w:highlight w:val="none"/>
              </w:rPr>
              <w:t>全国公共资源交易平台（广东省·韶关市）</w:t>
            </w:r>
            <w:r>
              <w:rPr>
                <w:rFonts w:ascii="宋体" w:hAnsi="宋体" w:eastAsia="宋体" w:cs="宋体"/>
                <w:color w:val="auto"/>
                <w:spacing w:val="14"/>
                <w:highlight w:val="none"/>
              </w:rPr>
              <w:t>网站发布。</w:t>
            </w:r>
          </w:p>
        </w:tc>
      </w:tr>
      <w:tr w14:paraId="64A9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B192523">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rFonts w:hint="eastAsia" w:eastAsia="宋体"/>
                <w:color w:val="auto"/>
                <w:highlight w:val="none"/>
                <w:lang w:eastAsia="zh-CN"/>
              </w:rPr>
            </w:pPr>
            <w:r>
              <w:rPr>
                <w:color w:val="auto"/>
                <w:position w:val="1"/>
                <w:highlight w:val="none"/>
              </w:rPr>
              <w:t>7.</w:t>
            </w:r>
            <w:r>
              <w:rPr>
                <w:rFonts w:hint="eastAsia"/>
                <w:color w:val="auto"/>
                <w:position w:val="1"/>
                <w:highlight w:val="none"/>
                <w:lang w:val="en-US" w:eastAsia="zh-CN"/>
              </w:rPr>
              <w:t>7</w:t>
            </w:r>
          </w:p>
        </w:tc>
        <w:tc>
          <w:tcPr>
            <w:tcW w:w="2877" w:type="dxa"/>
            <w:vAlign w:val="center"/>
          </w:tcPr>
          <w:p w14:paraId="65C67D7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中标结果公告媒介及期限</w:t>
            </w:r>
          </w:p>
        </w:tc>
        <w:tc>
          <w:tcPr>
            <w:tcW w:w="5374" w:type="dxa"/>
            <w:vAlign w:val="center"/>
          </w:tcPr>
          <w:p w14:paraId="4C234BF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firstLine="7"/>
              <w:jc w:val="both"/>
              <w:textAlignment w:val="baseline"/>
              <w:rPr>
                <w:color w:val="auto"/>
                <w:highlight w:val="none"/>
              </w:rPr>
            </w:pPr>
            <w:r>
              <w:rPr>
                <w:color w:val="auto"/>
                <w:spacing w:val="15"/>
                <w:highlight w:val="none"/>
              </w:rPr>
              <w:t>公告媒介：广东省招标投标监管网、</w:t>
            </w:r>
            <w:r>
              <w:rPr>
                <w:rFonts w:hint="eastAsia" w:ascii="宋体" w:hAnsi="宋体" w:eastAsia="宋体" w:cs="宋体"/>
                <w:color w:val="auto"/>
                <w:spacing w:val="14"/>
                <w:highlight w:val="none"/>
              </w:rPr>
              <w:t>全国公共资源交易平台（广东省·韶关市）</w:t>
            </w:r>
            <w:r>
              <w:rPr>
                <w:rFonts w:ascii="宋体" w:hAnsi="宋体" w:eastAsia="宋体" w:cs="宋体"/>
                <w:color w:val="auto"/>
                <w:spacing w:val="14"/>
                <w:highlight w:val="none"/>
              </w:rPr>
              <w:t>网站</w:t>
            </w:r>
          </w:p>
          <w:p w14:paraId="2ECE53E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6"/>
              <w:jc w:val="both"/>
              <w:textAlignment w:val="baseline"/>
              <w:rPr>
                <w:color w:val="auto"/>
                <w:highlight w:val="none"/>
              </w:rPr>
            </w:pPr>
            <w:r>
              <w:rPr>
                <w:color w:val="auto"/>
                <w:spacing w:val="5"/>
                <w:highlight w:val="none"/>
              </w:rPr>
              <w:t>公告期限：</w:t>
            </w:r>
            <w:r>
              <w:rPr>
                <w:color w:val="auto"/>
                <w:spacing w:val="5"/>
                <w:highlight w:val="none"/>
                <w:u w:val="single" w:color="auto"/>
              </w:rPr>
              <w:t xml:space="preserve"> </w:t>
            </w:r>
            <w:r>
              <w:rPr>
                <w:rFonts w:hint="eastAsia"/>
                <w:color w:val="auto"/>
                <w:spacing w:val="5"/>
                <w:highlight w:val="none"/>
                <w:u w:val="single" w:color="auto"/>
                <w:lang w:val="en-US" w:eastAsia="zh-CN"/>
              </w:rPr>
              <w:t>1</w:t>
            </w:r>
            <w:r>
              <w:rPr>
                <w:color w:val="auto"/>
                <w:spacing w:val="5"/>
                <w:highlight w:val="none"/>
                <w:u w:val="single" w:color="auto"/>
              </w:rPr>
              <w:t xml:space="preserve"> </w:t>
            </w:r>
            <w:r>
              <w:rPr>
                <w:color w:val="auto"/>
                <w:spacing w:val="-51"/>
                <w:highlight w:val="none"/>
              </w:rPr>
              <w:t xml:space="preserve"> </w:t>
            </w:r>
            <w:r>
              <w:rPr>
                <w:color w:val="auto"/>
                <w:spacing w:val="5"/>
                <w:highlight w:val="none"/>
              </w:rPr>
              <w:t>日</w:t>
            </w:r>
          </w:p>
        </w:tc>
      </w:tr>
      <w:tr w14:paraId="5C2FB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DF4B698">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2"/>
                <w:position w:val="1"/>
                <w:highlight w:val="none"/>
              </w:rPr>
              <w:t>7.</w:t>
            </w:r>
            <w:r>
              <w:rPr>
                <w:rFonts w:hint="eastAsia"/>
                <w:color w:val="auto"/>
                <w:spacing w:val="2"/>
                <w:position w:val="1"/>
                <w:highlight w:val="none"/>
                <w:lang w:val="en-US" w:eastAsia="zh-CN"/>
              </w:rPr>
              <w:t>8</w:t>
            </w:r>
            <w:r>
              <w:rPr>
                <w:color w:val="auto"/>
                <w:spacing w:val="2"/>
                <w:position w:val="1"/>
                <w:highlight w:val="none"/>
              </w:rPr>
              <w:t>.1</w:t>
            </w:r>
          </w:p>
        </w:tc>
        <w:tc>
          <w:tcPr>
            <w:tcW w:w="2877" w:type="dxa"/>
            <w:vAlign w:val="center"/>
          </w:tcPr>
          <w:p w14:paraId="34A382AE">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履约保证金</w:t>
            </w:r>
          </w:p>
        </w:tc>
        <w:tc>
          <w:tcPr>
            <w:tcW w:w="5374" w:type="dxa"/>
            <w:vAlign w:val="center"/>
          </w:tcPr>
          <w:p w14:paraId="101D9A5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both"/>
              <w:textAlignment w:val="baseline"/>
              <w:rPr>
                <w:color w:val="auto"/>
                <w:highlight w:val="none"/>
              </w:rPr>
            </w:pPr>
            <w:r>
              <w:rPr>
                <w:color w:val="auto"/>
                <w:spacing w:val="8"/>
                <w:highlight w:val="none"/>
              </w:rPr>
              <w:t>是否要求中标人提交履约保证金：</w:t>
            </w:r>
          </w:p>
          <w:p w14:paraId="5D1C4AF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9"/>
              <w:jc w:val="both"/>
              <w:textAlignment w:val="baseline"/>
              <w:rPr>
                <w:color w:val="auto"/>
                <w:spacing w:val="9"/>
                <w:highlight w:val="none"/>
                <w:u w:val="single" w:color="auto"/>
              </w:rPr>
            </w:pPr>
            <w:r>
              <w:rPr>
                <w:rFonts w:hint="eastAsia"/>
                <w:color w:val="auto"/>
                <w:spacing w:val="8"/>
                <w:highlight w:val="none"/>
                <w:lang w:eastAsia="zh-CN"/>
              </w:rPr>
              <w:t>☑</w:t>
            </w:r>
            <w:r>
              <w:rPr>
                <w:color w:val="auto"/>
                <w:spacing w:val="8"/>
                <w:highlight w:val="none"/>
              </w:rPr>
              <w:t>要求，履约保证金的形式：</w:t>
            </w:r>
            <w:r>
              <w:rPr>
                <w:color w:val="auto"/>
                <w:spacing w:val="-34"/>
                <w:highlight w:val="none"/>
              </w:rPr>
              <w:t xml:space="preserve"> </w:t>
            </w:r>
            <w:r>
              <w:rPr>
                <w:color w:val="auto"/>
                <w:spacing w:val="8"/>
                <w:highlight w:val="none"/>
              </w:rPr>
              <w:t>由投标人自主选择</w:t>
            </w:r>
            <w:r>
              <w:rPr>
                <w:color w:val="auto"/>
                <w:spacing w:val="8"/>
                <w:highlight w:val="none"/>
                <w:u w:val="single" w:color="auto"/>
              </w:rPr>
              <w:t>采</w:t>
            </w:r>
            <w:r>
              <w:rPr>
                <w:color w:val="auto"/>
                <w:spacing w:val="9"/>
                <w:highlight w:val="none"/>
                <w:u w:val="single" w:color="auto"/>
              </w:rPr>
              <w:t>用现金（或支票）或银行保函、或其他合法形式</w:t>
            </w:r>
          </w:p>
          <w:p w14:paraId="504059D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9"/>
              <w:jc w:val="both"/>
              <w:textAlignment w:val="baseline"/>
              <w:rPr>
                <w:color w:val="auto"/>
                <w:highlight w:val="none"/>
              </w:rPr>
            </w:pPr>
            <w:r>
              <w:rPr>
                <w:color w:val="auto"/>
                <w:spacing w:val="11"/>
                <w:highlight w:val="none"/>
              </w:rPr>
              <w:t>履约保证金的金额：</w:t>
            </w:r>
            <w:r>
              <w:rPr>
                <w:color w:val="auto"/>
                <w:spacing w:val="8"/>
                <w:highlight w:val="none"/>
                <w:u w:val="single" w:color="auto"/>
              </w:rPr>
              <w:t xml:space="preserve"> </w:t>
            </w:r>
            <w:r>
              <w:rPr>
                <w:rFonts w:hint="eastAsia"/>
                <w:color w:val="auto"/>
                <w:spacing w:val="8"/>
                <w:highlight w:val="none"/>
                <w:u w:val="single" w:color="auto"/>
                <w:lang w:val="en-US" w:eastAsia="zh-CN"/>
              </w:rPr>
              <w:t>5</w:t>
            </w:r>
            <w:r>
              <w:rPr>
                <w:color w:val="auto"/>
                <w:spacing w:val="8"/>
                <w:highlight w:val="none"/>
                <w:u w:val="single" w:color="auto"/>
              </w:rPr>
              <w:t xml:space="preserve"> </w:t>
            </w:r>
            <w:r>
              <w:rPr>
                <w:color w:val="auto"/>
                <w:spacing w:val="-67"/>
                <w:highlight w:val="none"/>
              </w:rPr>
              <w:t xml:space="preserve"> </w:t>
            </w:r>
            <w:r>
              <w:rPr>
                <w:color w:val="auto"/>
                <w:spacing w:val="11"/>
                <w:highlight w:val="none"/>
              </w:rPr>
              <w:t>%</w:t>
            </w:r>
            <w:r>
              <w:rPr>
                <w:color w:val="auto"/>
                <w:spacing w:val="-71"/>
                <w:highlight w:val="none"/>
              </w:rPr>
              <w:t xml:space="preserve"> </w:t>
            </w:r>
            <w:r>
              <w:rPr>
                <w:color w:val="auto"/>
                <w:spacing w:val="11"/>
                <w:highlight w:val="none"/>
              </w:rPr>
              <w:t>签约合同价</w:t>
            </w:r>
          </w:p>
          <w:p w14:paraId="335C9101">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18"/>
              <w:jc w:val="both"/>
              <w:textAlignment w:val="baseline"/>
              <w:rPr>
                <w:color w:val="auto"/>
                <w:highlight w:val="none"/>
              </w:rPr>
            </w:pPr>
            <w:r>
              <w:rPr>
                <w:rFonts w:hint="eastAsia"/>
                <w:color w:val="auto"/>
                <w:spacing w:val="1"/>
                <w:highlight w:val="none"/>
                <w:lang w:eastAsia="zh-CN"/>
              </w:rPr>
              <w:t>□</w:t>
            </w:r>
            <w:r>
              <w:rPr>
                <w:color w:val="auto"/>
                <w:spacing w:val="1"/>
                <w:highlight w:val="none"/>
              </w:rPr>
              <w:t>最新年度在广东省公路工程从业单位信用评价（监理单位）等级</w:t>
            </w:r>
            <w:r>
              <w:rPr>
                <w:color w:val="auto"/>
                <w:spacing w:val="-44"/>
                <w:highlight w:val="none"/>
              </w:rPr>
              <w:t xml:space="preserve"> </w:t>
            </w:r>
            <w:r>
              <w:rPr>
                <w:color w:val="auto"/>
                <w:highlight w:val="none"/>
              </w:rPr>
              <w:t>AA</w:t>
            </w:r>
            <w:r>
              <w:rPr>
                <w:color w:val="auto"/>
                <w:spacing w:val="-49"/>
                <w:highlight w:val="none"/>
              </w:rPr>
              <w:t xml:space="preserve"> </w:t>
            </w:r>
            <w:r>
              <w:rPr>
                <w:color w:val="auto"/>
                <w:spacing w:val="1"/>
                <w:highlight w:val="none"/>
              </w:rPr>
              <w:t>级的投标人，给予减少履约保证</w:t>
            </w:r>
          </w:p>
          <w:p w14:paraId="27FEBA2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both"/>
              <w:textAlignment w:val="baseline"/>
              <w:rPr>
                <w:color w:val="auto"/>
                <w:highlight w:val="none"/>
              </w:rPr>
            </w:pPr>
            <w:r>
              <w:rPr>
                <w:color w:val="auto"/>
                <w:spacing w:val="-3"/>
                <w:highlight w:val="none"/>
              </w:rPr>
              <w:t>金，履约保证金金额:</w:t>
            </w:r>
            <w:r>
              <w:rPr>
                <w:color w:val="auto"/>
                <w:spacing w:val="55"/>
                <w:highlight w:val="none"/>
              </w:rPr>
              <w:t xml:space="preserve"> </w:t>
            </w:r>
            <w:r>
              <w:rPr>
                <w:color w:val="auto"/>
                <w:highlight w:val="none"/>
                <w:u w:val="single" w:color="auto"/>
              </w:rPr>
              <w:t xml:space="preserve">  </w:t>
            </w:r>
            <w:r>
              <w:rPr>
                <w:rFonts w:hint="eastAsia"/>
                <w:color w:val="auto"/>
                <w:highlight w:val="none"/>
                <w:u w:val="single" w:color="auto"/>
                <w:lang w:val="en-US" w:eastAsia="zh-CN"/>
              </w:rPr>
              <w:t xml:space="preserve"> /</w:t>
            </w:r>
            <w:r>
              <w:rPr>
                <w:color w:val="auto"/>
                <w:highlight w:val="none"/>
                <w:u w:val="single" w:color="auto"/>
              </w:rPr>
              <w:t xml:space="preserve">  </w:t>
            </w:r>
            <w:r>
              <w:rPr>
                <w:color w:val="auto"/>
                <w:spacing w:val="11"/>
                <w:highlight w:val="none"/>
              </w:rPr>
              <w:t>签约合同价</w:t>
            </w:r>
          </w:p>
          <w:p w14:paraId="1D2499D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20"/>
              <w:jc w:val="both"/>
              <w:textAlignment w:val="baseline"/>
              <w:rPr>
                <w:color w:val="auto"/>
                <w:highlight w:val="none"/>
              </w:rPr>
            </w:pPr>
            <w:r>
              <w:rPr>
                <w:rFonts w:hint="eastAsia"/>
                <w:color w:val="auto"/>
                <w:spacing w:val="1"/>
                <w:highlight w:val="none"/>
                <w:lang w:eastAsia="zh-CN"/>
              </w:rPr>
              <w:t>□</w:t>
            </w:r>
            <w:r>
              <w:rPr>
                <w:color w:val="auto"/>
                <w:spacing w:val="1"/>
                <w:highlight w:val="none"/>
              </w:rPr>
              <w:t>最新年度在广东省公路工程从业单位信用评价（监理单位）A</w:t>
            </w:r>
            <w:r>
              <w:rPr>
                <w:color w:val="auto"/>
                <w:spacing w:val="-37"/>
                <w:highlight w:val="none"/>
              </w:rPr>
              <w:t xml:space="preserve"> </w:t>
            </w:r>
            <w:r>
              <w:rPr>
                <w:color w:val="auto"/>
                <w:spacing w:val="1"/>
                <w:highlight w:val="none"/>
              </w:rPr>
              <w:t>级的投标人，给予减少履约保证金，履约</w:t>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1"/>
                <w:highlight w:val="none"/>
              </w:rPr>
              <w:t>保证金金额</w:t>
            </w:r>
            <w:r>
              <w:rPr>
                <w:color w:val="auto"/>
                <w:spacing w:val="1"/>
                <w:position w:val="10"/>
                <w:sz w:val="10"/>
                <w:szCs w:val="10"/>
                <w:highlight w:val="none"/>
              </w:rPr>
              <w:fldChar w:fldCharType="end"/>
            </w:r>
            <w:r>
              <w:rPr>
                <w:color w:val="auto"/>
                <w:spacing w:val="-24"/>
                <w:position w:val="10"/>
                <w:sz w:val="10"/>
                <w:szCs w:val="10"/>
                <w:highlight w:val="none"/>
              </w:rPr>
              <w:t xml:space="preserve"> </w:t>
            </w:r>
            <w:r>
              <w:rPr>
                <w:color w:val="auto"/>
                <w:spacing w:val="-70"/>
                <w:highlight w:val="none"/>
              </w:rPr>
              <w:t>:</w:t>
            </w:r>
            <w:r>
              <w:rPr>
                <w:color w:val="auto"/>
                <w:spacing w:val="52"/>
                <w:highlight w:val="none"/>
              </w:rPr>
              <w:t xml:space="preserve"> </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r>
              <w:rPr>
                <w:color w:val="auto"/>
                <w:spacing w:val="11"/>
                <w:highlight w:val="none"/>
              </w:rPr>
              <w:t>签约合同价</w:t>
            </w:r>
          </w:p>
          <w:p w14:paraId="234D0F1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403"/>
              <w:jc w:val="both"/>
              <w:textAlignment w:val="baseline"/>
              <w:rPr>
                <w:color w:val="auto"/>
                <w:highlight w:val="none"/>
              </w:rPr>
            </w:pPr>
            <w:r>
              <w:rPr>
                <w:color w:val="auto"/>
                <w:spacing w:val="13"/>
                <w:highlight w:val="none"/>
              </w:rPr>
              <w:t>采用银行保函时，出具保函的银行级别：</w:t>
            </w:r>
            <w:r>
              <w:rPr>
                <w:color w:val="auto"/>
                <w:spacing w:val="13"/>
                <w:highlight w:val="none"/>
                <w:u w:val="single" w:color="auto"/>
              </w:rPr>
              <w:t>投标</w:t>
            </w:r>
            <w:r>
              <w:rPr>
                <w:color w:val="auto"/>
                <w:spacing w:val="11"/>
                <w:highlight w:val="none"/>
                <w:u w:val="single" w:color="auto"/>
              </w:rPr>
              <w:t>人公司注册所在地的股份制商业银行或城市商业银</w:t>
            </w:r>
            <w:r>
              <w:rPr>
                <w:color w:val="auto"/>
                <w:spacing w:val="12"/>
                <w:highlight w:val="none"/>
                <w:u w:val="single" w:color="auto"/>
              </w:rPr>
              <w:t>行或农村商业银行或全国性国有商业银行的分</w:t>
            </w:r>
            <w:r>
              <w:rPr>
                <w:color w:val="auto"/>
                <w:spacing w:val="11"/>
                <w:highlight w:val="none"/>
                <w:u w:val="single" w:color="auto"/>
              </w:rPr>
              <w:t>支机</w:t>
            </w:r>
            <w:r>
              <w:rPr>
                <w:color w:val="auto"/>
                <w:spacing w:val="13"/>
                <w:highlight w:val="none"/>
                <w:u w:val="single" w:color="auto"/>
              </w:rPr>
              <w:t>构。</w:t>
            </w:r>
          </w:p>
          <w:p w14:paraId="52D3E76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both"/>
              <w:textAlignment w:val="baseline"/>
              <w:rPr>
                <w:color w:val="auto"/>
                <w:highlight w:val="none"/>
              </w:rPr>
            </w:pPr>
            <w:r>
              <w:rPr>
                <w:color w:val="auto"/>
                <w:spacing w:val="2"/>
                <w:highlight w:val="none"/>
              </w:rPr>
              <w:t>□不要求</w:t>
            </w:r>
          </w:p>
        </w:tc>
      </w:tr>
      <w:tr w14:paraId="3DB5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71E86BB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3"/>
                <w:position w:val="1"/>
                <w:highlight w:val="none"/>
              </w:rPr>
              <w:t>8.</w:t>
            </w:r>
            <w:r>
              <w:rPr>
                <w:rFonts w:hint="eastAsia"/>
                <w:color w:val="auto"/>
                <w:spacing w:val="3"/>
                <w:position w:val="1"/>
                <w:highlight w:val="none"/>
                <w:lang w:val="en-US" w:eastAsia="zh-CN"/>
              </w:rPr>
              <w:t>7</w:t>
            </w:r>
            <w:r>
              <w:rPr>
                <w:color w:val="auto"/>
                <w:spacing w:val="3"/>
                <w:position w:val="1"/>
                <w:highlight w:val="none"/>
              </w:rPr>
              <w:t>.1</w:t>
            </w:r>
          </w:p>
        </w:tc>
        <w:tc>
          <w:tcPr>
            <w:tcW w:w="2877" w:type="dxa"/>
            <w:vAlign w:val="center"/>
          </w:tcPr>
          <w:p w14:paraId="7671806A">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color w:val="auto"/>
                <w:spacing w:val="7"/>
                <w:highlight w:val="none"/>
              </w:rPr>
              <w:t>监督部门</w:t>
            </w:r>
          </w:p>
        </w:tc>
        <w:tc>
          <w:tcPr>
            <w:tcW w:w="5374" w:type="dxa"/>
            <w:vAlign w:val="center"/>
          </w:tcPr>
          <w:p w14:paraId="5B0E45A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 xml:space="preserve">监督部门：韶关市交通运输局 </w:t>
            </w:r>
          </w:p>
          <w:p w14:paraId="4597CB7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电    话：0751-8877330</w:t>
            </w:r>
          </w:p>
          <w:p w14:paraId="0D12CB1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通信地址：广东省韶关市浈江区执信路1号</w:t>
            </w:r>
          </w:p>
          <w:p w14:paraId="7C5BEFB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邮政编码：512000</w:t>
            </w:r>
          </w:p>
          <w:p w14:paraId="5181E7D5">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p>
          <w:p w14:paraId="6176E7D0">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项目上级管理单位：韶关市交通旅游投资集团有限公司</w:t>
            </w:r>
          </w:p>
          <w:p w14:paraId="3C1E088F">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电 话：0751-6921315</w:t>
            </w:r>
          </w:p>
          <w:p w14:paraId="2303667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通信地址：广东省韶关市浈江区大德路1号韶关国际会展中心B馆北面2层</w:t>
            </w:r>
          </w:p>
          <w:p w14:paraId="49D42EC7">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邮政编码：512000</w:t>
            </w:r>
          </w:p>
          <w:p w14:paraId="7C038944">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p>
          <w:p w14:paraId="122AD78D">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项目管理单位：韶关市粤丹工程管理有限公司</w:t>
            </w:r>
          </w:p>
          <w:p w14:paraId="00DE82AB">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电    话：15875125031</w:t>
            </w:r>
          </w:p>
          <w:p w14:paraId="1E3D5CB9">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通信地址：</w:t>
            </w:r>
            <w:r>
              <w:rPr>
                <w:rFonts w:hint="eastAsia"/>
                <w:color w:val="auto"/>
                <w:highlight w:val="none"/>
                <w:lang w:eastAsia="zh-CN"/>
              </w:rPr>
              <w:t>韶关市浈江区启明北路9号</w:t>
            </w:r>
          </w:p>
          <w:p w14:paraId="0407A0A2">
            <w:pPr>
              <w:pStyle w:val="23"/>
              <w:keepNext w:val="0"/>
              <w:keepLines w:val="0"/>
              <w:pageBreakBefore w:val="0"/>
              <w:widowControl/>
              <w:kinsoku w:val="0"/>
              <w:wordWrap/>
              <w:overflowPunct/>
              <w:topLinePunct w:val="0"/>
              <w:autoSpaceDE w:val="0"/>
              <w:autoSpaceDN w:val="0"/>
              <w:bidi w:val="0"/>
              <w:adjustRightInd w:val="0"/>
              <w:snapToGrid w:val="0"/>
              <w:spacing w:line="340" w:lineRule="exact"/>
              <w:ind w:left="105" w:leftChars="50" w:right="6"/>
              <w:jc w:val="both"/>
              <w:rPr>
                <w:rFonts w:hint="eastAsia" w:eastAsia="宋体"/>
                <w:color w:val="auto"/>
                <w:highlight w:val="none"/>
                <w:lang w:eastAsia="zh-CN"/>
              </w:rPr>
            </w:pPr>
            <w:r>
              <w:rPr>
                <w:rFonts w:hint="eastAsia" w:eastAsia="宋体"/>
                <w:color w:val="auto"/>
                <w:highlight w:val="none"/>
                <w:lang w:eastAsia="zh-CN"/>
              </w:rPr>
              <w:t>邮政编码：512000</w:t>
            </w:r>
          </w:p>
        </w:tc>
      </w:tr>
      <w:tr w14:paraId="6958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2077071">
            <w:pPr>
              <w:pStyle w:val="23"/>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color w:val="auto"/>
                <w:highlight w:val="none"/>
              </w:rPr>
            </w:pPr>
            <w:r>
              <w:rPr>
                <w:color w:val="auto"/>
                <w:position w:val="1"/>
                <w:highlight w:val="none"/>
              </w:rPr>
              <w:t>9</w:t>
            </w:r>
          </w:p>
        </w:tc>
        <w:tc>
          <w:tcPr>
            <w:tcW w:w="2877" w:type="dxa"/>
            <w:vAlign w:val="center"/>
          </w:tcPr>
          <w:p w14:paraId="35DCDBFC">
            <w:pPr>
              <w:pStyle w:val="23"/>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rPr>
                <w:color w:val="auto"/>
                <w:highlight w:val="none"/>
              </w:rPr>
            </w:pPr>
            <w:r>
              <w:rPr>
                <w:color w:val="auto"/>
                <w:spacing w:val="8"/>
                <w:highlight w:val="none"/>
              </w:rPr>
              <w:t>是否采用电子招标投标</w:t>
            </w:r>
          </w:p>
        </w:tc>
        <w:tc>
          <w:tcPr>
            <w:tcW w:w="5374" w:type="dxa"/>
            <w:vAlign w:val="center"/>
          </w:tcPr>
          <w:p w14:paraId="0C26AA7C">
            <w:pPr>
              <w:pStyle w:val="23"/>
              <w:keepNext w:val="0"/>
              <w:keepLines w:val="0"/>
              <w:pageBreakBefore w:val="0"/>
              <w:widowControl/>
              <w:kinsoku w:val="0"/>
              <w:wordWrap/>
              <w:overflowPunct/>
              <w:topLinePunct w:val="0"/>
              <w:autoSpaceDE w:val="0"/>
              <w:autoSpaceDN w:val="0"/>
              <w:bidi w:val="0"/>
              <w:adjustRightInd w:val="0"/>
              <w:snapToGrid w:val="0"/>
              <w:spacing w:before="141" w:line="228" w:lineRule="auto"/>
              <w:ind w:left="105" w:leftChars="50" w:right="6"/>
              <w:jc w:val="both"/>
              <w:rPr>
                <w:color w:val="auto"/>
                <w:highlight w:val="none"/>
              </w:rPr>
            </w:pPr>
            <w:r>
              <w:rPr>
                <w:color w:val="auto"/>
                <w:spacing w:val="-5"/>
                <w:highlight w:val="none"/>
              </w:rPr>
              <w:t>□否</w:t>
            </w:r>
          </w:p>
          <w:p w14:paraId="623B1991">
            <w:pPr>
              <w:pStyle w:val="23"/>
              <w:keepNext w:val="0"/>
              <w:keepLines w:val="0"/>
              <w:pageBreakBefore w:val="0"/>
              <w:widowControl/>
              <w:kinsoku w:val="0"/>
              <w:wordWrap/>
              <w:overflowPunct/>
              <w:topLinePunct w:val="0"/>
              <w:autoSpaceDE w:val="0"/>
              <w:autoSpaceDN w:val="0"/>
              <w:bidi w:val="0"/>
              <w:adjustRightInd w:val="0"/>
              <w:snapToGrid w:val="0"/>
              <w:spacing w:before="153" w:line="228" w:lineRule="auto"/>
              <w:ind w:left="105" w:leftChars="50" w:right="6"/>
              <w:jc w:val="both"/>
              <w:rPr>
                <w:color w:val="auto"/>
                <w:highlight w:val="none"/>
              </w:rPr>
            </w:pPr>
            <w:r>
              <w:rPr>
                <w:rFonts w:ascii="MS Gothic" w:hAnsi="MS Gothic" w:eastAsia="MS Gothic" w:cs="MS Gothic"/>
                <w:color w:val="auto"/>
                <w:spacing w:val="6"/>
                <w:highlight w:val="none"/>
              </w:rPr>
              <w:t>☑</w:t>
            </w:r>
            <w:r>
              <w:rPr>
                <w:color w:val="auto"/>
                <w:spacing w:val="6"/>
                <w:highlight w:val="none"/>
              </w:rPr>
              <w:t>是，</w:t>
            </w:r>
            <w:r>
              <w:rPr>
                <w:color w:val="auto"/>
                <w:spacing w:val="-57"/>
                <w:highlight w:val="none"/>
              </w:rPr>
              <w:t xml:space="preserve"> </w:t>
            </w:r>
            <w:r>
              <w:rPr>
                <w:color w:val="auto"/>
                <w:spacing w:val="6"/>
                <w:highlight w:val="none"/>
              </w:rPr>
              <w:t>电子招标投标的其他要求：</w:t>
            </w:r>
            <w:r>
              <w:rPr>
                <w:rFonts w:hint="eastAsia" w:ascii="宋体" w:hAnsi="宋体" w:eastAsia="宋体" w:cs="宋体"/>
                <w:b/>
                <w:color w:val="auto"/>
                <w:sz w:val="20"/>
                <w:szCs w:val="20"/>
                <w:highlight w:val="none"/>
                <w:u w:val="double"/>
              </w:rPr>
              <w:t>投标人必须在规定的截止时间前使用建设工程交易系统完成电子投标(包括缴纳投标保证金)，只有满足以上所有条件，方为有效投标。</w:t>
            </w:r>
          </w:p>
        </w:tc>
      </w:tr>
      <w:tr w14:paraId="1076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64" w:type="dxa"/>
            <w:gridSpan w:val="3"/>
            <w:vAlign w:val="top"/>
          </w:tcPr>
          <w:p w14:paraId="1D00B51F">
            <w:pPr>
              <w:pStyle w:val="23"/>
              <w:spacing w:before="142" w:line="228" w:lineRule="auto"/>
              <w:ind w:left="126"/>
              <w:rPr>
                <w:color w:val="auto"/>
                <w:highlight w:val="none"/>
              </w:rPr>
            </w:pPr>
            <w:r>
              <w:rPr>
                <w:b/>
                <w:bCs/>
                <w:color w:val="auto"/>
                <w:spacing w:val="6"/>
                <w:highlight w:val="none"/>
              </w:rPr>
              <w:t>需要补充的其他内容</w:t>
            </w:r>
          </w:p>
        </w:tc>
      </w:tr>
      <w:tr w14:paraId="2414E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A3027B6">
            <w:pPr>
              <w:pStyle w:val="23"/>
              <w:keepNext w:val="0"/>
              <w:keepLines w:val="0"/>
              <w:pageBreakBefore w:val="0"/>
              <w:widowControl/>
              <w:kinsoku w:val="0"/>
              <w:wordWrap/>
              <w:overflowPunct/>
              <w:topLinePunct w:val="0"/>
              <w:autoSpaceDE w:val="0"/>
              <w:autoSpaceDN w:val="0"/>
              <w:bidi w:val="0"/>
              <w:adjustRightInd w:val="0"/>
              <w:snapToGrid w:val="0"/>
              <w:spacing w:line="267" w:lineRule="exact"/>
              <w:ind w:left="0" w:right="0"/>
              <w:jc w:val="center"/>
              <w:textAlignment w:val="baseline"/>
              <w:rPr>
                <w:color w:val="auto"/>
                <w:highlight w:val="none"/>
              </w:rPr>
            </w:pPr>
            <w:r>
              <w:rPr>
                <w:color w:val="auto"/>
                <w:position w:val="1"/>
                <w:highlight w:val="none"/>
              </w:rPr>
              <w:t>1.4.4</w:t>
            </w:r>
          </w:p>
        </w:tc>
        <w:tc>
          <w:tcPr>
            <w:tcW w:w="8251" w:type="dxa"/>
            <w:gridSpan w:val="2"/>
            <w:vAlign w:val="center"/>
          </w:tcPr>
          <w:p w14:paraId="15B8908F">
            <w:pPr>
              <w:pStyle w:val="23"/>
              <w:keepNext w:val="0"/>
              <w:keepLines w:val="0"/>
              <w:pageBreakBefore w:val="0"/>
              <w:widowControl/>
              <w:kinsoku w:val="0"/>
              <w:wordWrap/>
              <w:overflowPunct/>
              <w:topLinePunct w:val="0"/>
              <w:autoSpaceDE w:val="0"/>
              <w:autoSpaceDN w:val="0"/>
              <w:bidi w:val="0"/>
              <w:adjustRightInd w:val="0"/>
              <w:snapToGrid w:val="0"/>
              <w:spacing w:line="370" w:lineRule="auto"/>
              <w:ind w:left="42" w:leftChars="20" w:right="42" w:rightChars="20" w:firstLine="16"/>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投标人须知正文</w:t>
            </w:r>
          </w:p>
          <w:p w14:paraId="61F47878">
            <w:pPr>
              <w:pStyle w:val="23"/>
              <w:keepNext w:val="0"/>
              <w:keepLines w:val="0"/>
              <w:pageBreakBefore w:val="0"/>
              <w:widowControl/>
              <w:kinsoku w:val="0"/>
              <w:wordWrap/>
              <w:overflowPunct/>
              <w:topLinePunct w:val="0"/>
              <w:autoSpaceDE w:val="0"/>
              <w:autoSpaceDN w:val="0"/>
              <w:bidi w:val="0"/>
              <w:adjustRightInd w:val="0"/>
              <w:snapToGrid w:val="0"/>
              <w:spacing w:line="370" w:lineRule="auto"/>
              <w:ind w:left="42" w:leftChars="20" w:right="42" w:rightChars="20" w:firstLine="16"/>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第 1.4.4 项中 (1) 目中的“招标项目所在地”指“广东省”。</w:t>
            </w:r>
          </w:p>
          <w:p w14:paraId="22F7CFD6">
            <w:pPr>
              <w:pStyle w:val="23"/>
              <w:keepNext w:val="0"/>
              <w:keepLines w:val="0"/>
              <w:pageBreakBefore w:val="0"/>
              <w:widowControl/>
              <w:kinsoku w:val="0"/>
              <w:wordWrap/>
              <w:overflowPunct/>
              <w:topLinePunct w:val="0"/>
              <w:autoSpaceDE w:val="0"/>
              <w:autoSpaceDN w:val="0"/>
              <w:bidi w:val="0"/>
              <w:adjustRightInd w:val="0"/>
              <w:snapToGrid w:val="0"/>
              <w:spacing w:line="370" w:lineRule="auto"/>
              <w:ind w:left="42" w:leftChars="20" w:right="42" w:rightChars="20" w:firstLine="16"/>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第 1.4.4 (6) 目内容细化如下：</w:t>
            </w:r>
          </w:p>
          <w:p w14:paraId="3D1D7BDE">
            <w:pPr>
              <w:pStyle w:val="23"/>
              <w:keepNext w:val="0"/>
              <w:keepLines w:val="0"/>
              <w:pageBreakBefore w:val="0"/>
              <w:widowControl/>
              <w:kinsoku w:val="0"/>
              <w:wordWrap/>
              <w:overflowPunct/>
              <w:topLinePunct w:val="0"/>
              <w:autoSpaceDE w:val="0"/>
              <w:autoSpaceDN w:val="0"/>
              <w:bidi w:val="0"/>
              <w:adjustRightInd w:val="0"/>
              <w:snapToGrid w:val="0"/>
              <w:spacing w:line="370" w:lineRule="auto"/>
              <w:ind w:left="42" w:leftChars="20" w:right="42" w:rightChars="20" w:firstLine="16"/>
              <w:jc w:val="both"/>
              <w:textAlignment w:val="baseline"/>
              <w:rPr>
                <w:color w:val="auto"/>
                <w:highlight w:val="none"/>
              </w:rPr>
            </w:pPr>
            <w:r>
              <w:rPr>
                <w:rFonts w:hint="eastAsia" w:ascii="宋体" w:hAnsi="宋体" w:eastAsia="宋体" w:cs="宋体"/>
                <w:color w:val="auto"/>
                <w:spacing w:val="11"/>
                <w:highlight w:val="none"/>
              </w:rPr>
              <w:t>投标人及其法定代表人、拟委任的总监理工程师（含备选，如有）或驻地监理工程师（含备选，如有）在近三年内有行贿犯罪行为的（以投标人投标函中的承诺为准）。</w:t>
            </w:r>
          </w:p>
        </w:tc>
      </w:tr>
      <w:tr w14:paraId="03AD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13" w:type="dxa"/>
            <w:vAlign w:val="center"/>
          </w:tcPr>
          <w:p w14:paraId="33E03B72">
            <w:pPr>
              <w:spacing w:line="380" w:lineRule="exact"/>
              <w:jc w:val="center"/>
              <w:rPr>
                <w:rFonts w:hint="eastAsia" w:ascii="宋体" w:hAnsi="宋体" w:eastAsia="宋体" w:cs="宋体"/>
                <w:color w:val="auto"/>
                <w:spacing w:val="2"/>
                <w:position w:val="1"/>
                <w:sz w:val="20"/>
                <w:szCs w:val="20"/>
                <w:highlight w:val="none"/>
              </w:rPr>
            </w:pPr>
            <w:r>
              <w:rPr>
                <w:rFonts w:hint="eastAsia" w:ascii="宋体" w:hAnsi="宋体" w:eastAsia="宋体" w:cs="宋体"/>
                <w:color w:val="auto"/>
                <w:sz w:val="20"/>
                <w:szCs w:val="20"/>
                <w:highlight w:val="none"/>
              </w:rPr>
              <w:t>2.2</w:t>
            </w:r>
          </w:p>
        </w:tc>
        <w:tc>
          <w:tcPr>
            <w:tcW w:w="8251" w:type="dxa"/>
            <w:gridSpan w:val="2"/>
            <w:vAlign w:val="center"/>
          </w:tcPr>
          <w:p w14:paraId="66674BAA">
            <w:pPr>
              <w:pStyle w:val="24"/>
              <w:keepNext w:val="0"/>
              <w:keepLines w:val="0"/>
              <w:pageBreakBefore w:val="0"/>
              <w:wordWrap/>
              <w:overflowPunct/>
              <w:topLinePunct w:val="0"/>
              <w:bidi w:val="0"/>
              <w:spacing w:line="360" w:lineRule="exact"/>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投标人须知</w:t>
            </w:r>
            <w:r>
              <w:rPr>
                <w:rFonts w:hint="eastAsia" w:ascii="宋体" w:hAnsi="宋体" w:eastAsia="宋体" w:cs="宋体"/>
                <w:color w:val="auto"/>
                <w:sz w:val="20"/>
                <w:szCs w:val="20"/>
                <w:highlight w:val="none"/>
              </w:rPr>
              <w:t>正文</w:t>
            </w:r>
            <w:r>
              <w:rPr>
                <w:rFonts w:hint="eastAsia" w:ascii="宋体" w:hAnsi="宋体" w:eastAsia="宋体" w:cs="宋体"/>
                <w:color w:val="auto"/>
                <w:kern w:val="2"/>
                <w:sz w:val="20"/>
                <w:szCs w:val="20"/>
                <w:highlight w:val="none"/>
              </w:rPr>
              <w:t>2.2款增加内容如下：</w:t>
            </w:r>
          </w:p>
          <w:p w14:paraId="139967AC">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pacing w:val="11"/>
                <w:sz w:val="20"/>
                <w:szCs w:val="20"/>
                <w:highlight w:val="none"/>
              </w:rPr>
            </w:pPr>
            <w:r>
              <w:rPr>
                <w:rFonts w:hint="eastAsia" w:ascii="宋体" w:hAnsi="宋体" w:eastAsia="宋体" w:cs="宋体"/>
                <w:color w:val="auto"/>
                <w:sz w:val="20"/>
                <w:szCs w:val="20"/>
                <w:highlight w:val="none"/>
              </w:rPr>
              <w:t>澄清和修改内容将以编号的补遗书</w:t>
            </w:r>
            <w:r>
              <w:rPr>
                <w:rFonts w:hint="eastAsia" w:ascii="宋体" w:hAnsi="宋体" w:eastAsia="宋体" w:cs="宋体"/>
                <w:color w:val="auto"/>
                <w:sz w:val="20"/>
                <w:szCs w:val="20"/>
                <w:highlight w:val="none"/>
                <w:shd w:val="clear" w:color="auto" w:fill="auto"/>
              </w:rPr>
              <w:t>或补充公告</w:t>
            </w:r>
            <w:r>
              <w:rPr>
                <w:rFonts w:hint="eastAsia" w:ascii="宋体" w:hAnsi="宋体" w:eastAsia="宋体" w:cs="宋体"/>
                <w:color w:val="auto"/>
                <w:sz w:val="20"/>
                <w:szCs w:val="20"/>
                <w:highlight w:val="none"/>
              </w:rPr>
              <w:t>形式在全国公共资源交易平台 （广东省· 韶关市）（https://ygp.gdzwfw.gov.cn/ggzy-portal/#/440200/index）建设工程栏目的公告公示上发布。补遗书</w:t>
            </w:r>
            <w:r>
              <w:rPr>
                <w:rFonts w:hint="eastAsia" w:ascii="宋体" w:hAnsi="宋体" w:eastAsia="宋体" w:cs="宋体"/>
                <w:color w:val="auto"/>
                <w:sz w:val="20"/>
                <w:szCs w:val="20"/>
                <w:highlight w:val="none"/>
                <w:shd w:val="clear" w:color="auto" w:fill="auto"/>
              </w:rPr>
              <w:t>或补充公告</w:t>
            </w:r>
            <w:r>
              <w:rPr>
                <w:rFonts w:hint="eastAsia" w:ascii="宋体" w:hAnsi="宋体" w:eastAsia="宋体" w:cs="宋体"/>
                <w:color w:val="auto"/>
                <w:sz w:val="20"/>
                <w:szCs w:val="20"/>
                <w:highlight w:val="none"/>
              </w:rPr>
              <w:t>作为招标文件的组成部分，对所有投标人均具有约束力。</w:t>
            </w:r>
          </w:p>
        </w:tc>
      </w:tr>
      <w:tr w14:paraId="25CB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13" w:type="dxa"/>
            <w:vAlign w:val="center"/>
          </w:tcPr>
          <w:p w14:paraId="013134A8">
            <w:pPr>
              <w:autoSpaceDE w:val="0"/>
              <w:autoSpaceDN w:val="0"/>
              <w:spacing w:line="480" w:lineRule="auto"/>
              <w:jc w:val="center"/>
              <w:rPr>
                <w:rFonts w:hint="eastAsia" w:ascii="宋体" w:hAnsi="宋体" w:eastAsia="宋体" w:cs="宋体"/>
                <w:color w:val="auto"/>
                <w:spacing w:val="2"/>
                <w:position w:val="1"/>
                <w:sz w:val="20"/>
                <w:szCs w:val="20"/>
                <w:highlight w:val="none"/>
              </w:rPr>
            </w:pPr>
            <w:r>
              <w:rPr>
                <w:rFonts w:hint="eastAsia" w:ascii="宋体" w:hAnsi="宋体" w:eastAsia="宋体" w:cs="宋体"/>
                <w:bCs/>
                <w:color w:val="auto"/>
                <w:kern w:val="0"/>
                <w:sz w:val="20"/>
                <w:szCs w:val="20"/>
                <w:highlight w:val="none"/>
              </w:rPr>
              <w:t>2.3</w:t>
            </w:r>
          </w:p>
        </w:tc>
        <w:tc>
          <w:tcPr>
            <w:tcW w:w="8251" w:type="dxa"/>
            <w:gridSpan w:val="2"/>
            <w:vAlign w:val="center"/>
          </w:tcPr>
          <w:p w14:paraId="28519BF3">
            <w:pPr>
              <w:keepNext w:val="0"/>
              <w:keepLines w:val="0"/>
              <w:pageBreakBefore w:val="0"/>
              <w:wordWrap/>
              <w:overflowPunct/>
              <w:topLinePunct w:val="0"/>
              <w:autoSpaceDE w:val="0"/>
              <w:autoSpaceDN w:val="0"/>
              <w:bidi w:val="0"/>
              <w:adjustRightInd w:val="0"/>
              <w:spacing w:line="360" w:lineRule="exact"/>
              <w:ind w:right="176"/>
              <w:jc w:val="left"/>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投标人须知正文第2.3款内容修改如下：</w:t>
            </w:r>
          </w:p>
          <w:p w14:paraId="69702D6A">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2.3.1在投标人须知前附表规定的截止投标时间15天前，招标人可以书面修改招标文件，并在全国公共资源交易平台 （广东省·韶关市）网站上发布。如果修改招标文件的时间超出规定的截止时间，相应延长投标截止时间。</w:t>
            </w:r>
          </w:p>
          <w:p w14:paraId="37E650F4">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pacing w:val="11"/>
                <w:sz w:val="20"/>
                <w:szCs w:val="20"/>
                <w:highlight w:val="none"/>
              </w:rPr>
            </w:pPr>
            <w:r>
              <w:rPr>
                <w:rFonts w:hint="eastAsia" w:ascii="宋体" w:hAnsi="宋体" w:eastAsia="宋体" w:cs="宋体"/>
                <w:color w:val="auto"/>
                <w:kern w:val="2"/>
                <w:sz w:val="20"/>
                <w:szCs w:val="20"/>
                <w:highlight w:val="none"/>
                <w:lang w:val="en-US" w:eastAsia="zh-CN" w:bidi="ar-SA"/>
              </w:rPr>
              <w:t>2.3.2招标文件的修改及有关补充通知一经在全国公共资源交易平台 （广东省·韶关市）网站上发布，视作已发放给所有投标人。</w:t>
            </w:r>
            <w:r>
              <w:rPr>
                <w:rFonts w:hint="eastAsia" w:ascii="宋体" w:hAnsi="宋体" w:eastAsia="宋体" w:cs="宋体"/>
                <w:strike w:val="0"/>
                <w:dstrike w:val="0"/>
                <w:color w:val="auto"/>
                <w:kern w:val="2"/>
                <w:sz w:val="20"/>
                <w:szCs w:val="20"/>
                <w:highlight w:val="none"/>
                <w:lang w:val="en-US" w:eastAsia="zh-CN" w:bidi="ar-SA"/>
              </w:rPr>
              <w:t>投标人应注意及时浏览网上发出的修改，因投标人自身原因未及时获知修改内容而导致的任何后果将由投标人自行承担。</w:t>
            </w:r>
          </w:p>
        </w:tc>
      </w:tr>
      <w:tr w14:paraId="0BCB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13" w:type="dxa"/>
            <w:vAlign w:val="center"/>
          </w:tcPr>
          <w:p w14:paraId="3250149A">
            <w:pPr>
              <w:spacing w:line="380" w:lineRule="exact"/>
              <w:jc w:val="center"/>
              <w:rPr>
                <w:rFonts w:hint="eastAsia" w:ascii="宋体" w:hAnsi="宋体" w:eastAsia="宋体" w:cs="宋体"/>
                <w:color w:val="auto"/>
                <w:spacing w:val="2"/>
                <w:position w:val="1"/>
                <w:sz w:val="20"/>
                <w:szCs w:val="20"/>
                <w:highlight w:val="none"/>
              </w:rPr>
            </w:pPr>
            <w:r>
              <w:rPr>
                <w:rFonts w:hint="eastAsia" w:ascii="宋体" w:hAnsi="宋体" w:eastAsia="宋体" w:cs="宋体"/>
                <w:color w:val="auto"/>
                <w:sz w:val="20"/>
                <w:szCs w:val="20"/>
                <w:highlight w:val="none"/>
              </w:rPr>
              <w:t>3.1.1</w:t>
            </w:r>
          </w:p>
        </w:tc>
        <w:tc>
          <w:tcPr>
            <w:tcW w:w="8251" w:type="dxa"/>
            <w:gridSpan w:val="2"/>
            <w:vAlign w:val="center"/>
          </w:tcPr>
          <w:p w14:paraId="005D11F5">
            <w:pPr>
              <w:keepNext w:val="0"/>
              <w:keepLines w:val="0"/>
              <w:pageBreakBefore w:val="0"/>
              <w:wordWrap/>
              <w:overflowPunct/>
              <w:topLinePunct w:val="0"/>
              <w:bidi w:val="0"/>
              <w:spacing w:line="36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将投标人须知原文3.1.1款修改如下：</w:t>
            </w:r>
          </w:p>
          <w:p w14:paraId="59B5E3FE">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3.1.1 投标文件应采用双信封形式，包括下列内容：</w:t>
            </w:r>
          </w:p>
          <w:p w14:paraId="7E54091B">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第一个信封（商务及技术文件）：</w:t>
            </w:r>
          </w:p>
          <w:p w14:paraId="54FB7885">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（1）投标函；</w:t>
            </w:r>
          </w:p>
          <w:p w14:paraId="03F87A30">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（2）授权委托书或法定代表人身份证明；</w:t>
            </w:r>
          </w:p>
          <w:p w14:paraId="6C50FF44">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（3）联合体协议书；</w:t>
            </w:r>
          </w:p>
          <w:p w14:paraId="6A342A85">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（4）投标保证金；</w:t>
            </w:r>
          </w:p>
          <w:p w14:paraId="2834322E">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（5）资格审查资料；</w:t>
            </w:r>
          </w:p>
          <w:p w14:paraId="03121C2E">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（6）投标人须知前附表规定的其他资料；</w:t>
            </w:r>
          </w:p>
          <w:p w14:paraId="5E4F95C2">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（7）技术建议书。</w:t>
            </w:r>
          </w:p>
          <w:p w14:paraId="11C351B5">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第二个信封（报价文件）：</w:t>
            </w:r>
          </w:p>
          <w:p w14:paraId="7D35E0C7">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（1）投标函</w:t>
            </w:r>
          </w:p>
          <w:p w14:paraId="47A12C99">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监理服务费用清单</w:t>
            </w:r>
          </w:p>
          <w:p w14:paraId="466720F0">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（3）定标佐证资料（另册，格式自拟）</w:t>
            </w:r>
          </w:p>
          <w:p w14:paraId="033BE885">
            <w:pPr>
              <w:pStyle w:val="2"/>
              <w:keepNext w:val="0"/>
              <w:keepLines w:val="0"/>
              <w:pageBreakBefore w:val="0"/>
              <w:wordWrap/>
              <w:overflowPunct/>
              <w:topLinePunct w:val="0"/>
              <w:bidi w:val="0"/>
              <w:spacing w:line="360" w:lineRule="exact"/>
              <w:ind w:firstLine="561" w:firstLineChars="0"/>
              <w:rPr>
                <w:rFonts w:hint="eastAsia" w:ascii="宋体" w:hAnsi="宋体" w:eastAsia="宋体" w:cs="宋体"/>
                <w:color w:val="auto"/>
                <w:spacing w:val="11"/>
                <w:sz w:val="20"/>
                <w:szCs w:val="20"/>
                <w:highlight w:val="none"/>
              </w:rPr>
            </w:pPr>
            <w:r>
              <w:rPr>
                <w:rFonts w:hint="eastAsia" w:ascii="宋体" w:hAnsi="宋体" w:eastAsia="宋体" w:cs="宋体"/>
                <w:color w:val="auto"/>
                <w:sz w:val="20"/>
                <w:szCs w:val="20"/>
                <w:highlight w:val="none"/>
              </w:rPr>
              <w:t>投标人在评标过程中作出的符合法律法规和招标文件规定的澄清确认，构成投标文件的组成部分。</w:t>
            </w:r>
          </w:p>
        </w:tc>
      </w:tr>
      <w:tr w14:paraId="5B91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13" w:type="dxa"/>
            <w:vAlign w:val="center"/>
          </w:tcPr>
          <w:p w14:paraId="36192AE4">
            <w:pPr>
              <w:spacing w:line="3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3.4</w:t>
            </w:r>
            <w:r>
              <w:rPr>
                <w:rFonts w:hint="eastAsia" w:ascii="宋体" w:hAnsi="宋体" w:eastAsia="宋体" w:cs="宋体"/>
                <w:color w:val="auto"/>
                <w:sz w:val="20"/>
                <w:szCs w:val="20"/>
                <w:highlight w:val="none"/>
              </w:rPr>
              <w:t>.3</w:t>
            </w:r>
          </w:p>
        </w:tc>
        <w:tc>
          <w:tcPr>
            <w:tcW w:w="8251" w:type="dxa"/>
            <w:gridSpan w:val="2"/>
            <w:vAlign w:val="top"/>
          </w:tcPr>
          <w:p w14:paraId="4377D6C5">
            <w:pPr>
              <w:keepNext w:val="0"/>
              <w:keepLines w:val="0"/>
              <w:pageBreakBefore w:val="0"/>
              <w:wordWrap/>
              <w:overflowPunct/>
              <w:topLinePunct w:val="0"/>
              <w:bidi w:val="0"/>
              <w:spacing w:line="360" w:lineRule="exact"/>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 xml:space="preserve">投标人须知正文第3.4.3款项修改如下：     </w:t>
            </w:r>
          </w:p>
          <w:p w14:paraId="01D14D87">
            <w:pPr>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6957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13" w:type="dxa"/>
            <w:vAlign w:val="center"/>
          </w:tcPr>
          <w:p w14:paraId="31DC9207">
            <w:pPr>
              <w:pStyle w:val="23"/>
              <w:keepNext w:val="0"/>
              <w:keepLines w:val="0"/>
              <w:pageBreakBefore w:val="0"/>
              <w:widowControl/>
              <w:kinsoku w:val="0"/>
              <w:wordWrap/>
              <w:overflowPunct/>
              <w:topLinePunct w:val="0"/>
              <w:autoSpaceDE w:val="0"/>
              <w:autoSpaceDN w:val="0"/>
              <w:bidi w:val="0"/>
              <w:adjustRightInd w:val="0"/>
              <w:snapToGrid w:val="0"/>
              <w:spacing w:line="267" w:lineRule="exact"/>
              <w:ind w:left="0" w:right="0"/>
              <w:jc w:val="center"/>
              <w:textAlignment w:val="baseline"/>
              <w:rPr>
                <w:color w:val="auto"/>
                <w:highlight w:val="none"/>
              </w:rPr>
            </w:pPr>
            <w:r>
              <w:rPr>
                <w:color w:val="auto"/>
                <w:spacing w:val="2"/>
                <w:position w:val="1"/>
                <w:highlight w:val="none"/>
              </w:rPr>
              <w:t>3.5.2</w:t>
            </w:r>
          </w:p>
        </w:tc>
        <w:tc>
          <w:tcPr>
            <w:tcW w:w="8251" w:type="dxa"/>
            <w:gridSpan w:val="2"/>
            <w:vAlign w:val="center"/>
          </w:tcPr>
          <w:p w14:paraId="4904BC6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16"/>
              <w:jc w:val="both"/>
              <w:textAlignment w:val="baseline"/>
              <w:rPr>
                <w:rFonts w:hint="default" w:ascii="宋体" w:hAnsi="宋体" w:eastAsia="宋体" w:cs="宋体"/>
                <w:color w:val="auto"/>
                <w:spacing w:val="11"/>
                <w:highlight w:val="none"/>
                <w:lang w:val="en-US" w:eastAsia="zh-CN"/>
              </w:rPr>
            </w:pPr>
            <w:r>
              <w:rPr>
                <w:rFonts w:hint="eastAsia" w:ascii="宋体" w:hAnsi="宋体" w:eastAsia="宋体" w:cs="宋体"/>
                <w:color w:val="auto"/>
                <w:spacing w:val="11"/>
                <w:highlight w:val="none"/>
              </w:rPr>
              <w:t>本项目使用投标人须知 3.5.2 (</w:t>
            </w:r>
            <w:r>
              <w:rPr>
                <w:rFonts w:hint="eastAsia" w:ascii="宋体" w:hAnsi="宋体" w:eastAsia="宋体" w:cs="宋体"/>
                <w:color w:val="auto"/>
                <w:spacing w:val="11"/>
                <w:highlight w:val="none"/>
                <w:lang w:val="en-US" w:eastAsia="zh-CN"/>
              </w:rPr>
              <w:t xml:space="preserve"> </w:t>
            </w:r>
            <w:r>
              <w:rPr>
                <w:rFonts w:hint="eastAsia" w:cs="宋体"/>
                <w:color w:val="auto"/>
                <w:spacing w:val="11"/>
                <w:highlight w:val="none"/>
                <w:lang w:val="en-US" w:eastAsia="zh-CN"/>
              </w:rPr>
              <w:t xml:space="preserve">B </w:t>
            </w:r>
            <w:r>
              <w:rPr>
                <w:rFonts w:hint="eastAsia" w:ascii="宋体" w:hAnsi="宋体" w:eastAsia="宋体" w:cs="宋体"/>
                <w:color w:val="auto"/>
                <w:spacing w:val="11"/>
                <w:highlight w:val="none"/>
              </w:rPr>
              <w:t>) 款正文内容。</w:t>
            </w:r>
          </w:p>
        </w:tc>
      </w:tr>
      <w:tr w14:paraId="35676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13" w:type="dxa"/>
            <w:vAlign w:val="center"/>
          </w:tcPr>
          <w:p w14:paraId="0D0982BD">
            <w:pPr>
              <w:pStyle w:val="23"/>
              <w:keepNext w:val="0"/>
              <w:keepLines w:val="0"/>
              <w:pageBreakBefore w:val="0"/>
              <w:widowControl/>
              <w:kinsoku w:val="0"/>
              <w:wordWrap/>
              <w:overflowPunct/>
              <w:topLinePunct w:val="0"/>
              <w:autoSpaceDE w:val="0"/>
              <w:autoSpaceDN w:val="0"/>
              <w:bidi w:val="0"/>
              <w:adjustRightInd w:val="0"/>
              <w:snapToGrid w:val="0"/>
              <w:spacing w:line="267" w:lineRule="exact"/>
              <w:ind w:left="0" w:right="0"/>
              <w:jc w:val="center"/>
              <w:textAlignment w:val="baseline"/>
              <w:rPr>
                <w:color w:val="auto"/>
                <w:highlight w:val="none"/>
              </w:rPr>
            </w:pPr>
            <w:r>
              <w:rPr>
                <w:color w:val="auto"/>
                <w:spacing w:val="2"/>
                <w:position w:val="1"/>
                <w:highlight w:val="none"/>
              </w:rPr>
              <w:t>3.5.4</w:t>
            </w:r>
          </w:p>
        </w:tc>
        <w:tc>
          <w:tcPr>
            <w:tcW w:w="8251" w:type="dxa"/>
            <w:gridSpan w:val="2"/>
            <w:vAlign w:val="center"/>
          </w:tcPr>
          <w:p w14:paraId="2B1F2E5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16"/>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本项目使用投标人须知 3.5.4</w:t>
            </w:r>
            <w:r>
              <w:rPr>
                <w:rFonts w:hint="eastAsia" w:ascii="宋体" w:hAnsi="宋体" w:eastAsia="宋体" w:cs="宋体"/>
                <w:color w:val="auto"/>
                <w:spacing w:val="11"/>
                <w:highlight w:val="none"/>
                <w:lang w:val="en-US" w:eastAsia="zh-CN"/>
              </w:rPr>
              <w:t xml:space="preserve"> </w:t>
            </w:r>
            <w:r>
              <w:rPr>
                <w:rFonts w:hint="eastAsia" w:ascii="宋体" w:hAnsi="宋体" w:eastAsia="宋体" w:cs="宋体"/>
                <w:color w:val="auto"/>
                <w:spacing w:val="11"/>
                <w:highlight w:val="none"/>
              </w:rPr>
              <w:t xml:space="preserve">( </w:t>
            </w:r>
            <w:r>
              <w:rPr>
                <w:rFonts w:hint="eastAsia" w:cs="宋体"/>
                <w:color w:val="auto"/>
                <w:spacing w:val="11"/>
                <w:highlight w:val="none"/>
                <w:lang w:val="en-US" w:eastAsia="zh-CN"/>
              </w:rPr>
              <w:t>B</w:t>
            </w:r>
            <w:r>
              <w:rPr>
                <w:rFonts w:hint="eastAsia" w:ascii="宋体" w:hAnsi="宋体" w:eastAsia="宋体" w:cs="宋体"/>
                <w:color w:val="auto"/>
                <w:spacing w:val="11"/>
                <w:highlight w:val="none"/>
              </w:rPr>
              <w:t xml:space="preserve"> ) 款正文内容。</w:t>
            </w:r>
          </w:p>
        </w:tc>
      </w:tr>
      <w:tr w14:paraId="01E41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5C6D5D26">
            <w:pPr>
              <w:pStyle w:val="23"/>
              <w:keepNext w:val="0"/>
              <w:keepLines w:val="0"/>
              <w:pageBreakBefore w:val="0"/>
              <w:widowControl/>
              <w:kinsoku w:val="0"/>
              <w:wordWrap/>
              <w:overflowPunct/>
              <w:topLinePunct w:val="0"/>
              <w:autoSpaceDE w:val="0"/>
              <w:autoSpaceDN w:val="0"/>
              <w:bidi w:val="0"/>
              <w:adjustRightInd w:val="0"/>
              <w:snapToGrid w:val="0"/>
              <w:spacing w:line="285" w:lineRule="exact"/>
              <w:ind w:left="0" w:right="0"/>
              <w:jc w:val="center"/>
              <w:textAlignment w:val="baseline"/>
              <w:rPr>
                <w:color w:val="auto"/>
                <w:sz w:val="10"/>
                <w:szCs w:val="10"/>
                <w:highlight w:val="none"/>
              </w:rPr>
            </w:pPr>
            <w:r>
              <w:rPr>
                <w:color w:val="auto"/>
                <w:spacing w:val="3"/>
                <w:highlight w:val="none"/>
              </w:rPr>
              <w:t>3.5.5</w:t>
            </w:r>
          </w:p>
        </w:tc>
        <w:tc>
          <w:tcPr>
            <w:tcW w:w="8251" w:type="dxa"/>
            <w:gridSpan w:val="2"/>
            <w:vAlign w:val="center"/>
          </w:tcPr>
          <w:p w14:paraId="17D5A77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16"/>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删除原 3.5.5 条款内容。</w:t>
            </w:r>
          </w:p>
        </w:tc>
      </w:tr>
      <w:tr w14:paraId="7B851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27AE117B">
            <w:pPr>
              <w:pStyle w:val="23"/>
              <w:keepNext w:val="0"/>
              <w:keepLines w:val="0"/>
              <w:pageBreakBefore w:val="0"/>
              <w:widowControl/>
              <w:kinsoku w:val="0"/>
              <w:wordWrap/>
              <w:overflowPunct/>
              <w:topLinePunct w:val="0"/>
              <w:autoSpaceDE w:val="0"/>
              <w:autoSpaceDN w:val="0"/>
              <w:bidi w:val="0"/>
              <w:adjustRightInd w:val="0"/>
              <w:snapToGrid w:val="0"/>
              <w:spacing w:line="285" w:lineRule="exact"/>
              <w:ind w:left="0" w:right="0"/>
              <w:jc w:val="center"/>
              <w:textAlignment w:val="baseline"/>
              <w:rPr>
                <w:rFonts w:hint="default" w:eastAsia="宋体"/>
                <w:color w:val="auto"/>
                <w:spacing w:val="3"/>
                <w:highlight w:val="none"/>
                <w:lang w:val="en-US" w:eastAsia="zh-CN"/>
              </w:rPr>
            </w:pPr>
            <w:r>
              <w:rPr>
                <w:rFonts w:hint="eastAsia"/>
                <w:color w:val="auto"/>
                <w:spacing w:val="3"/>
                <w:highlight w:val="none"/>
                <w:lang w:val="en-US" w:eastAsia="zh-CN"/>
              </w:rPr>
              <w:t>3.7.3</w:t>
            </w:r>
          </w:p>
        </w:tc>
        <w:tc>
          <w:tcPr>
            <w:tcW w:w="8251" w:type="dxa"/>
            <w:gridSpan w:val="2"/>
            <w:vAlign w:val="center"/>
          </w:tcPr>
          <w:p w14:paraId="52F87E5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right="42" w:rightChars="20"/>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投标人须知正文3.7.3项内容修改如下：</w:t>
            </w:r>
          </w:p>
          <w:p w14:paraId="0AF900B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59" w:firstLineChars="207"/>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w:t>
            </w:r>
            <w:r>
              <w:rPr>
                <w:rFonts w:hint="eastAsia" w:cs="宋体"/>
                <w:color w:val="auto"/>
                <w:spacing w:val="11"/>
                <w:highlight w:val="none"/>
                <w:lang w:val="en-US" w:eastAsia="zh-CN"/>
              </w:rPr>
              <w:t>1</w:t>
            </w:r>
            <w:r>
              <w:rPr>
                <w:rFonts w:hint="eastAsia" w:ascii="宋体" w:hAnsi="宋体" w:eastAsia="宋体" w:cs="宋体"/>
                <w:color w:val="auto"/>
                <w:spacing w:val="11"/>
                <w:highlight w:val="none"/>
              </w:rPr>
              <w:t>）投标人在编制投标文件时应建立分级目录。</w:t>
            </w:r>
          </w:p>
          <w:p w14:paraId="4C21611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459" w:firstLineChars="207"/>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w:t>
            </w:r>
            <w:r>
              <w:rPr>
                <w:rFonts w:hint="eastAsia" w:cs="宋体"/>
                <w:color w:val="auto"/>
                <w:spacing w:val="11"/>
                <w:highlight w:val="none"/>
                <w:lang w:val="en-US" w:eastAsia="zh-CN"/>
              </w:rPr>
              <w:t>2</w:t>
            </w:r>
            <w:r>
              <w:rPr>
                <w:rFonts w:hint="eastAsia" w:ascii="宋体" w:hAnsi="宋体" w:eastAsia="宋体" w:cs="宋体"/>
                <w:color w:val="auto"/>
                <w:spacing w:val="11"/>
                <w:highlight w:val="none"/>
              </w:rPr>
              <w:t>）投标文件中的已标价报价清单数据文件应与招标人提供的报价清单数据文件格式一致。</w:t>
            </w:r>
          </w:p>
          <w:p w14:paraId="77E309F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459" w:firstLineChars="207"/>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w:t>
            </w:r>
            <w:r>
              <w:rPr>
                <w:rFonts w:hint="eastAsia" w:cs="宋体"/>
                <w:color w:val="auto"/>
                <w:spacing w:val="11"/>
                <w:highlight w:val="none"/>
                <w:lang w:val="en-US" w:eastAsia="zh-CN"/>
              </w:rPr>
              <w:t>3</w:t>
            </w:r>
            <w:r>
              <w:rPr>
                <w:rFonts w:hint="eastAsia" w:ascii="宋体" w:hAnsi="宋体" w:eastAsia="宋体" w:cs="宋体"/>
                <w:color w:val="auto"/>
                <w:spacing w:val="11"/>
                <w:highlight w:val="none"/>
              </w:rPr>
              <w:t>）投标文件中需签名(签字)的，投标人应按要求使用个人电子签名章进行签名。如投标人法定代表人或其委托代理人或总监理工程师（含备选，如有）或驻地监理工程师（含备选，如有）未办理个人电子签名章的，投标人应打印需要签名的相关页面，本人亲笔签名后扫描上传至投标文件相应位置中。</w:t>
            </w:r>
          </w:p>
          <w:p w14:paraId="082106B6">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459" w:firstLineChars="207"/>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（4）定标佐证资料加盖投标人单位公章。</w:t>
            </w:r>
          </w:p>
          <w:p w14:paraId="36AF334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459" w:firstLineChars="207"/>
              <w:jc w:val="both"/>
              <w:textAlignment w:val="baseline"/>
              <w:rPr>
                <w:rFonts w:hint="eastAsia" w:ascii="宋体" w:hAnsi="宋体" w:eastAsia="宋体" w:cs="宋体"/>
                <w:color w:val="auto"/>
                <w:spacing w:val="11"/>
                <w:highlight w:val="none"/>
              </w:rPr>
            </w:pPr>
            <w:r>
              <w:rPr>
                <w:rFonts w:hint="eastAsia" w:ascii="宋体" w:hAnsi="宋体" w:eastAsia="宋体" w:cs="宋体"/>
                <w:color w:val="auto"/>
                <w:spacing w:val="11"/>
                <w:highlight w:val="none"/>
              </w:rPr>
              <w:t>（</w:t>
            </w:r>
            <w:r>
              <w:rPr>
                <w:rFonts w:hint="eastAsia" w:cs="宋体"/>
                <w:color w:val="auto"/>
                <w:spacing w:val="11"/>
                <w:highlight w:val="none"/>
                <w:lang w:val="en-US" w:eastAsia="zh-CN"/>
              </w:rPr>
              <w:t>5</w:t>
            </w:r>
            <w:r>
              <w:rPr>
                <w:rFonts w:hint="eastAsia" w:ascii="宋体" w:hAnsi="宋体" w:eastAsia="宋体" w:cs="宋体"/>
                <w:color w:val="auto"/>
                <w:spacing w:val="11"/>
                <w:highlight w:val="none"/>
              </w:rPr>
              <w:t>）投标文件（含定标佐证资料）制作完成后，投标人应使用 CA 数字证书对投标文件进行文件加密进行加密并上传到建设工程交易系统。</w:t>
            </w:r>
          </w:p>
        </w:tc>
      </w:tr>
      <w:tr w14:paraId="1E4A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50C3DAA0">
            <w:pPr>
              <w:pStyle w:val="23"/>
              <w:keepNext w:val="0"/>
              <w:keepLines w:val="0"/>
              <w:pageBreakBefore w:val="0"/>
              <w:widowControl/>
              <w:kinsoku w:val="0"/>
              <w:wordWrap/>
              <w:overflowPunct/>
              <w:topLinePunct w:val="0"/>
              <w:autoSpaceDE w:val="0"/>
              <w:autoSpaceDN w:val="0"/>
              <w:bidi w:val="0"/>
              <w:adjustRightInd w:val="0"/>
              <w:snapToGrid w:val="0"/>
              <w:spacing w:line="285" w:lineRule="exact"/>
              <w:ind w:left="0" w:right="0"/>
              <w:jc w:val="center"/>
              <w:textAlignment w:val="baseline"/>
              <w:rPr>
                <w:rFonts w:hint="default"/>
                <w:color w:val="auto"/>
                <w:spacing w:val="3"/>
                <w:highlight w:val="none"/>
                <w:lang w:val="en-US" w:eastAsia="zh-CN"/>
              </w:rPr>
            </w:pPr>
            <w:r>
              <w:rPr>
                <w:rFonts w:hint="eastAsia"/>
                <w:color w:val="auto"/>
                <w:spacing w:val="3"/>
                <w:highlight w:val="none"/>
                <w:lang w:val="en-US" w:eastAsia="zh-CN"/>
              </w:rPr>
              <w:t>4.2</w:t>
            </w:r>
          </w:p>
        </w:tc>
        <w:tc>
          <w:tcPr>
            <w:tcW w:w="8251" w:type="dxa"/>
            <w:gridSpan w:val="2"/>
            <w:vAlign w:val="center"/>
          </w:tcPr>
          <w:p w14:paraId="49A02AC5">
            <w:pPr>
              <w:pStyle w:val="27"/>
              <w:keepNext w:val="0"/>
              <w:keepLines w:val="0"/>
              <w:pageBreakBefore w:val="0"/>
              <w:widowControl w:val="0"/>
              <w:kinsoku/>
              <w:wordWrap/>
              <w:overflowPunct/>
              <w:topLinePunct w:val="0"/>
              <w:bidi w:val="0"/>
              <w:snapToGrid/>
              <w:spacing w:line="360" w:lineRule="exact"/>
              <w:ind w:left="105" w:leftChars="50" w:right="283" w:rightChars="0"/>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rPr>
              <w:t xml:space="preserve">投标人须知正文 </w:t>
            </w:r>
            <w:r>
              <w:rPr>
                <w:rFonts w:hint="eastAsia" w:ascii="宋体" w:hAnsi="宋体" w:eastAsia="宋体" w:cs="宋体"/>
                <w:color w:val="auto"/>
                <w:sz w:val="20"/>
                <w:szCs w:val="20"/>
                <w:highlight w:val="none"/>
                <w:lang w:val="en-US" w:eastAsia="zh-CN"/>
              </w:rPr>
              <w:t>4.2.1</w:t>
            </w:r>
            <w:r>
              <w:rPr>
                <w:rFonts w:hint="eastAsia" w:ascii="宋体" w:hAnsi="宋体" w:eastAsia="宋体" w:cs="宋体"/>
                <w:color w:val="auto"/>
                <w:sz w:val="20"/>
                <w:szCs w:val="20"/>
                <w:highlight w:val="none"/>
              </w:rPr>
              <w:t>项内容修改如下</w:t>
            </w:r>
          </w:p>
          <w:p w14:paraId="4A3E82CB">
            <w:pPr>
              <w:pStyle w:val="27"/>
              <w:keepNext w:val="0"/>
              <w:keepLines w:val="0"/>
              <w:pageBreakBefore w:val="0"/>
              <w:widowControl w:val="0"/>
              <w:kinsoku/>
              <w:wordWrap/>
              <w:overflowPunct/>
              <w:topLinePunct w:val="0"/>
              <w:bidi w:val="0"/>
              <w:snapToGrid/>
              <w:spacing w:line="360" w:lineRule="exact"/>
              <w:ind w:left="105" w:leftChars="50" w:right="283" w:rightChars="0" w:firstLine="420" w:firstLineChars="0"/>
              <w:textAlignment w:val="auto"/>
              <w:rPr>
                <w:rFonts w:hint="eastAsia" w:ascii="宋体" w:hAnsi="宋体" w:eastAsia="宋体" w:cs="宋体"/>
                <w:color w:val="auto"/>
                <w:spacing w:val="11"/>
                <w:highlight w:val="none"/>
              </w:rPr>
            </w:pPr>
            <w:r>
              <w:rPr>
                <w:rFonts w:hint="eastAsia" w:ascii="宋体" w:hAnsi="宋体" w:eastAsia="宋体"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1 在建设工程交易系统上传加盖了电子印章的投标文件、录入相关信息及标书页码信息，（页码起始从封面开始）并提交投标标书。提交标书为已加密投标文件。具体操作参照全国公共资源交易平台（广东省·韶关市）（https://ygp.gdzwfw.gov.cn/ggzy-portal/#/440200/index），在【服务指引】栏目中发布的最新操作指引。本项目评标采用全流程电子化进行招标投标（投标人应根据全国公共资源交易平台（广东省·韶关市）交易平台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tc>
      </w:tr>
      <w:tr w14:paraId="1A91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F81F9B0">
            <w:pPr>
              <w:pStyle w:val="24"/>
              <w:spacing w:line="380" w:lineRule="exact"/>
              <w:ind w:firstLine="0" w:firstLine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4.3</w:t>
            </w:r>
          </w:p>
        </w:tc>
        <w:tc>
          <w:tcPr>
            <w:tcW w:w="8251" w:type="dxa"/>
            <w:gridSpan w:val="2"/>
            <w:vAlign w:val="center"/>
          </w:tcPr>
          <w:p w14:paraId="087B975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投标人须知正文 </w:t>
            </w:r>
            <w:r>
              <w:rPr>
                <w:rFonts w:hint="eastAsia" w:ascii="宋体" w:hAnsi="宋体" w:eastAsia="宋体" w:cs="宋体"/>
                <w:color w:val="auto"/>
                <w:sz w:val="20"/>
                <w:szCs w:val="20"/>
                <w:highlight w:val="none"/>
                <w:lang w:val="en-US" w:eastAsia="zh-CN"/>
              </w:rPr>
              <w:t>4.3.1</w:t>
            </w:r>
            <w:r>
              <w:rPr>
                <w:rFonts w:hint="eastAsia" w:ascii="宋体" w:hAnsi="宋体" w:eastAsia="宋体" w:cs="宋体"/>
                <w:color w:val="auto"/>
                <w:sz w:val="20"/>
                <w:szCs w:val="20"/>
                <w:highlight w:val="none"/>
              </w:rPr>
              <w:t>项内容修改如下：</w:t>
            </w:r>
          </w:p>
          <w:p w14:paraId="71045DB0">
            <w:pPr>
              <w:pStyle w:val="27"/>
              <w:keepNext w:val="0"/>
              <w:keepLines w:val="0"/>
              <w:pageBreakBefore w:val="0"/>
              <w:widowControl w:val="0"/>
              <w:kinsoku/>
              <w:wordWrap/>
              <w:overflowPunct/>
              <w:topLinePunct w:val="0"/>
              <w:autoSpaceDE w:val="0"/>
              <w:autoSpaceDN w:val="0"/>
              <w:bidi w:val="0"/>
              <w:adjustRightInd w:val="0"/>
              <w:snapToGrid/>
              <w:spacing w:line="360" w:lineRule="exact"/>
              <w:ind w:left="105" w:leftChars="50" w:right="283" w:rightChars="0" w:firstLine="420" w:firstLineChars="0"/>
              <w:jc w:val="both"/>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4.3.1</w:t>
            </w:r>
            <w:r>
              <w:rPr>
                <w:rFonts w:hint="eastAsia" w:ascii="宋体" w:hAnsi="宋体" w:eastAsia="宋体" w:cs="宋体"/>
                <w:color w:val="auto"/>
                <w:sz w:val="20"/>
                <w:szCs w:val="20"/>
                <w:highlight w:val="none"/>
                <w:shd w:val="clear" w:color="auto" w:fill="auto"/>
              </w:rPr>
              <w:t xml:space="preserve"> 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tc>
      </w:tr>
      <w:tr w14:paraId="5981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1819B5F4">
            <w:pPr>
              <w:pStyle w:val="24"/>
              <w:spacing w:line="380" w:lineRule="exact"/>
              <w:ind w:firstLine="0" w:firstLineChars="0"/>
              <w:rPr>
                <w:rFonts w:hint="eastAsia" w:ascii="宋体" w:hAnsi="宋体" w:eastAsia="宋体" w:cs="宋体"/>
                <w:color w:val="auto"/>
                <w:spacing w:val="-1"/>
                <w:position w:val="1"/>
                <w:sz w:val="20"/>
                <w:szCs w:val="20"/>
                <w:highlight w:val="none"/>
              </w:rPr>
            </w:pPr>
            <w:r>
              <w:rPr>
                <w:rFonts w:hint="eastAsia" w:ascii="宋体" w:hAnsi="宋体" w:eastAsia="宋体" w:cs="宋体"/>
                <w:color w:val="auto"/>
                <w:sz w:val="20"/>
                <w:szCs w:val="20"/>
                <w:highlight w:val="none"/>
                <w:lang w:val="en-US" w:eastAsia="zh-CN"/>
              </w:rPr>
              <w:t>5.2.1</w:t>
            </w:r>
          </w:p>
        </w:tc>
        <w:tc>
          <w:tcPr>
            <w:tcW w:w="8251" w:type="dxa"/>
            <w:gridSpan w:val="2"/>
            <w:vAlign w:val="center"/>
          </w:tcPr>
          <w:p w14:paraId="08EF291B">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rPr>
              <w:t xml:space="preserve">投标人须知正文 </w:t>
            </w:r>
            <w:r>
              <w:rPr>
                <w:rFonts w:hint="eastAsia" w:ascii="宋体" w:hAnsi="宋体" w:eastAsia="宋体" w:cs="宋体"/>
                <w:color w:val="auto"/>
                <w:sz w:val="20"/>
                <w:szCs w:val="20"/>
                <w:highlight w:val="none"/>
                <w:lang w:val="en-US" w:eastAsia="zh-CN"/>
              </w:rPr>
              <w:t>5.2.1</w:t>
            </w:r>
            <w:r>
              <w:rPr>
                <w:rFonts w:hint="eastAsia" w:ascii="宋体" w:hAnsi="宋体" w:eastAsia="宋体" w:cs="宋体"/>
                <w:color w:val="auto"/>
                <w:sz w:val="20"/>
                <w:szCs w:val="20"/>
                <w:highlight w:val="none"/>
              </w:rPr>
              <w:t>项内容修改如下：</w:t>
            </w:r>
          </w:p>
          <w:p w14:paraId="4EA12DCF">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5.2.1 投标文件第一个信封（商务及技术文件）开标</w:t>
            </w:r>
          </w:p>
          <w:p w14:paraId="191D1B7C">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主持人</w:t>
            </w:r>
            <w:r>
              <w:rPr>
                <w:rFonts w:hint="eastAsia" w:ascii="宋体" w:hAnsi="宋体" w:eastAsia="宋体" w:cs="宋体"/>
                <w:color w:val="auto"/>
                <w:sz w:val="20"/>
                <w:szCs w:val="20"/>
                <w:highlight w:val="none"/>
                <w:shd w:val="clear" w:color="auto" w:fill="auto"/>
                <w:lang w:val="en-US" w:eastAsia="zh-CN"/>
              </w:rPr>
              <w:t>按下列程序对投标文件第一个信封（商务及技术文件）进行开标：</w:t>
            </w:r>
          </w:p>
          <w:p w14:paraId="4C930602">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（1）宣读开标纪律。</w:t>
            </w:r>
          </w:p>
          <w:p w14:paraId="6994395D">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（2）主持人宣布唱标人、记录人、见证人、监督人等有关人员姓名。</w:t>
            </w:r>
          </w:p>
          <w:p w14:paraId="7A206878">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）在公共资源交易场所工作人员见证下由招标代理机构对投标人的电子投标信息进行解密，建设工程交易系统自动生成《投标保证缴纳情况表》和《开标一览表》。</w:t>
            </w:r>
          </w:p>
          <w:p w14:paraId="3E03183D">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）唱标人检查《投标保证缴纳情况表》中各投标人所缴纳投标保证的金额、有效期是否符合招标文件规定。若不符合规定，该投标人的投标</w:t>
            </w:r>
            <w:r>
              <w:rPr>
                <w:rFonts w:hint="eastAsia" w:ascii="宋体" w:hAnsi="宋体" w:eastAsia="宋体" w:cs="宋体"/>
                <w:color w:val="auto"/>
                <w:sz w:val="20"/>
                <w:szCs w:val="20"/>
                <w:highlight w:val="none"/>
                <w:shd w:val="clear" w:color="auto" w:fill="auto"/>
                <w:lang w:eastAsia="zh-CN"/>
              </w:rPr>
              <w:t>保证金</w:t>
            </w:r>
            <w:r>
              <w:rPr>
                <w:rFonts w:hint="eastAsia" w:ascii="宋体" w:hAnsi="宋体" w:eastAsia="宋体" w:cs="宋体"/>
                <w:color w:val="auto"/>
                <w:sz w:val="20"/>
                <w:szCs w:val="20"/>
                <w:highlight w:val="none"/>
                <w:shd w:val="clear" w:color="auto" w:fill="auto"/>
              </w:rPr>
              <w:t>无效。将有关情形在《投标保证缴纳情况表》“备注”栏中注明。</w:t>
            </w:r>
          </w:p>
          <w:p w14:paraId="59FC4CDD">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）唱标人检查《</w:t>
            </w:r>
            <w:r>
              <w:rPr>
                <w:rFonts w:hint="eastAsia" w:ascii="宋体" w:hAnsi="宋体" w:eastAsia="宋体" w:cs="宋体"/>
                <w:color w:val="auto"/>
                <w:sz w:val="20"/>
                <w:szCs w:val="20"/>
                <w:highlight w:val="none"/>
                <w:shd w:val="clear" w:color="auto" w:fill="auto"/>
                <w:lang w:val="en-US" w:eastAsia="zh-CN"/>
              </w:rPr>
              <w:t>第一个信封</w:t>
            </w:r>
            <w:r>
              <w:rPr>
                <w:rFonts w:hint="eastAsia" w:ascii="宋体" w:hAnsi="宋体" w:eastAsia="宋体" w:cs="宋体"/>
                <w:color w:val="auto"/>
                <w:sz w:val="20"/>
                <w:szCs w:val="20"/>
                <w:highlight w:val="none"/>
                <w:shd w:val="clear" w:color="auto" w:fill="auto"/>
              </w:rPr>
              <w:t>开标一览表》中各投标人的</w:t>
            </w:r>
            <w:r>
              <w:rPr>
                <w:rFonts w:hint="eastAsia" w:ascii="宋体" w:hAnsi="宋体" w:eastAsia="宋体" w:cs="宋体"/>
                <w:color w:val="auto"/>
                <w:sz w:val="20"/>
                <w:szCs w:val="20"/>
                <w:highlight w:val="none"/>
                <w:shd w:val="clear" w:color="auto" w:fill="auto"/>
                <w:lang w:val="en-US" w:eastAsia="zh-CN"/>
              </w:rPr>
              <w:t>标段名称</w:t>
            </w: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投标人名称</w:t>
            </w:r>
            <w:r>
              <w:rPr>
                <w:rFonts w:hint="eastAsia" w:ascii="宋体" w:hAnsi="宋体" w:eastAsia="宋体" w:cs="宋体"/>
                <w:color w:val="auto"/>
                <w:sz w:val="20"/>
                <w:szCs w:val="20"/>
                <w:highlight w:val="none"/>
                <w:shd w:val="clear" w:color="auto" w:fill="auto"/>
              </w:rPr>
              <w:t>、工期是否符合招标文件规定。若不符合规定，招标代理机构应将有关情形在《开标一览表》“备注”栏中注明。</w:t>
            </w:r>
          </w:p>
          <w:p w14:paraId="3325EFB3">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6</w:t>
            </w:r>
            <w:r>
              <w:rPr>
                <w:rFonts w:hint="eastAsia" w:ascii="宋体" w:hAnsi="宋体" w:eastAsia="宋体" w:cs="宋体"/>
                <w:color w:val="auto"/>
                <w:sz w:val="20"/>
                <w:szCs w:val="20"/>
                <w:highlight w:val="none"/>
                <w:shd w:val="clear" w:color="auto" w:fill="auto"/>
              </w:rPr>
              <w:t>）招标人代表、唱标人、记录人等有关人员在《投标保证缴纳情况表》以及《</w:t>
            </w:r>
            <w:r>
              <w:rPr>
                <w:rFonts w:hint="eastAsia" w:ascii="宋体" w:hAnsi="宋体" w:eastAsia="宋体" w:cs="宋体"/>
                <w:color w:val="auto"/>
                <w:sz w:val="20"/>
                <w:szCs w:val="20"/>
                <w:highlight w:val="none"/>
                <w:shd w:val="clear" w:color="auto" w:fill="auto"/>
                <w:lang w:val="en-US" w:eastAsia="zh-CN"/>
              </w:rPr>
              <w:t>第一个信封</w:t>
            </w:r>
            <w:r>
              <w:rPr>
                <w:rFonts w:hint="eastAsia" w:ascii="宋体" w:hAnsi="宋体" w:eastAsia="宋体" w:cs="宋体"/>
                <w:color w:val="auto"/>
                <w:sz w:val="20"/>
                <w:szCs w:val="20"/>
                <w:highlight w:val="none"/>
                <w:shd w:val="clear" w:color="auto" w:fill="auto"/>
              </w:rPr>
              <w:t>开标一览表》上签字确认。</w:t>
            </w:r>
          </w:p>
          <w:p w14:paraId="195F24DE">
            <w:pPr>
              <w:pStyle w:val="27"/>
              <w:keepNext w:val="0"/>
              <w:keepLines w:val="0"/>
              <w:pageBreakBefore w:val="0"/>
              <w:widowControl w:val="0"/>
              <w:kinsoku/>
              <w:wordWrap/>
              <w:overflowPunct/>
              <w:topLinePunct w:val="0"/>
              <w:bidi w:val="0"/>
              <w:snapToGrid/>
              <w:spacing w:line="360" w:lineRule="exact"/>
              <w:ind w:left="4" w:leftChars="0" w:right="225" w:rightChars="0" w:firstLine="420" w:firstLineChars="0"/>
              <w:textAlignment w:val="auto"/>
              <w:rPr>
                <w:rFonts w:hint="eastAsia" w:ascii="宋体" w:hAnsi="宋体" w:eastAsia="宋体" w:cs="宋体"/>
                <w:color w:val="auto"/>
                <w:spacing w:val="12"/>
                <w:sz w:val="20"/>
                <w:szCs w:val="20"/>
                <w:highlight w:val="none"/>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7</w:t>
            </w:r>
            <w:r>
              <w:rPr>
                <w:rFonts w:hint="eastAsia" w:ascii="宋体" w:hAnsi="宋体" w:eastAsia="宋体" w:cs="宋体"/>
                <w:color w:val="auto"/>
                <w:sz w:val="20"/>
                <w:szCs w:val="20"/>
                <w:highlight w:val="none"/>
                <w:shd w:val="clear" w:color="auto" w:fill="auto"/>
              </w:rPr>
              <w:t>）主持人宣布有关注意事项后，宣布</w:t>
            </w:r>
            <w:r>
              <w:rPr>
                <w:rFonts w:hint="eastAsia" w:ascii="宋体" w:hAnsi="宋体" w:eastAsia="宋体" w:cs="宋体"/>
                <w:color w:val="auto"/>
                <w:sz w:val="20"/>
                <w:szCs w:val="20"/>
                <w:highlight w:val="none"/>
                <w:shd w:val="clear" w:color="auto" w:fill="auto"/>
                <w:lang w:val="en-US" w:eastAsia="zh-CN"/>
              </w:rPr>
              <w:t>第一个信封（商务及技术文件）</w:t>
            </w:r>
            <w:r>
              <w:rPr>
                <w:rFonts w:hint="eastAsia" w:ascii="宋体" w:hAnsi="宋体" w:eastAsia="宋体" w:cs="宋体"/>
                <w:color w:val="auto"/>
                <w:sz w:val="20"/>
                <w:szCs w:val="20"/>
                <w:highlight w:val="none"/>
                <w:shd w:val="clear" w:color="auto" w:fill="auto"/>
              </w:rPr>
              <w:t>开标结束。</w:t>
            </w:r>
          </w:p>
        </w:tc>
      </w:tr>
      <w:tr w14:paraId="69E3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D717549">
            <w:pPr>
              <w:pStyle w:val="24"/>
              <w:spacing w:line="380" w:lineRule="exact"/>
              <w:ind w:firstLine="0" w:firstLineChars="0"/>
              <w:rPr>
                <w:rFonts w:hint="eastAsia" w:ascii="宋体" w:hAnsi="宋体" w:eastAsia="宋体" w:cs="宋体"/>
                <w:color w:val="auto"/>
                <w:spacing w:val="-1"/>
                <w:position w:val="1"/>
                <w:sz w:val="20"/>
                <w:szCs w:val="20"/>
                <w:highlight w:val="none"/>
              </w:rPr>
            </w:pPr>
            <w:r>
              <w:rPr>
                <w:rFonts w:hint="eastAsia" w:ascii="宋体" w:hAnsi="宋体" w:eastAsia="宋体" w:cs="宋体"/>
                <w:color w:val="auto"/>
                <w:sz w:val="20"/>
                <w:szCs w:val="20"/>
                <w:highlight w:val="none"/>
                <w:lang w:val="en-US" w:eastAsia="zh-CN"/>
              </w:rPr>
              <w:t>5.2.3</w:t>
            </w:r>
          </w:p>
        </w:tc>
        <w:tc>
          <w:tcPr>
            <w:tcW w:w="8251" w:type="dxa"/>
            <w:gridSpan w:val="2"/>
            <w:vAlign w:val="center"/>
          </w:tcPr>
          <w:p w14:paraId="7B78F10E">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投标人须知正文 </w:t>
            </w:r>
            <w:r>
              <w:rPr>
                <w:rFonts w:hint="eastAsia" w:ascii="宋体" w:hAnsi="宋体" w:eastAsia="宋体" w:cs="宋体"/>
                <w:color w:val="auto"/>
                <w:sz w:val="20"/>
                <w:szCs w:val="20"/>
                <w:highlight w:val="none"/>
                <w:lang w:val="en-US" w:eastAsia="zh-CN"/>
              </w:rPr>
              <w:t>5.2.3</w:t>
            </w:r>
            <w:r>
              <w:rPr>
                <w:rFonts w:hint="eastAsia" w:ascii="宋体" w:hAnsi="宋体" w:eastAsia="宋体" w:cs="宋体"/>
                <w:color w:val="auto"/>
                <w:sz w:val="20"/>
                <w:szCs w:val="20"/>
                <w:highlight w:val="none"/>
              </w:rPr>
              <w:t>项内容修改如下：</w:t>
            </w:r>
          </w:p>
          <w:p w14:paraId="056E86F0">
            <w:pPr>
              <w:pStyle w:val="28"/>
              <w:keepNext w:val="0"/>
              <w:keepLines w:val="0"/>
              <w:pageBreakBefore w:val="0"/>
              <w:wordWrap/>
              <w:overflowPunct/>
              <w:topLinePunct w:val="0"/>
              <w:bidi w:val="0"/>
              <w:spacing w:line="3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auto"/>
                <w:lang w:val="en-US" w:eastAsia="zh-CN"/>
              </w:rPr>
              <w:t>5.2.3招标人将按照本章5.1款规定的时间和地点对</w:t>
            </w:r>
            <w:r>
              <w:rPr>
                <w:rFonts w:hint="eastAsia" w:ascii="宋体" w:hAnsi="宋体" w:eastAsia="宋体" w:cs="宋体"/>
                <w:color w:val="auto"/>
                <w:sz w:val="20"/>
                <w:szCs w:val="20"/>
                <w:highlight w:val="none"/>
              </w:rPr>
              <w:t>通过投标文件第一个信封（商务及技术文件）评审的</w:t>
            </w:r>
            <w:r>
              <w:rPr>
                <w:rFonts w:hint="eastAsia" w:ascii="宋体" w:hAnsi="宋体" w:eastAsia="宋体" w:cs="宋体"/>
                <w:color w:val="auto"/>
                <w:sz w:val="20"/>
                <w:szCs w:val="20"/>
                <w:highlight w:val="none"/>
                <w:shd w:val="clear" w:color="auto" w:fill="auto"/>
                <w:lang w:val="en-US" w:eastAsia="zh-CN"/>
              </w:rPr>
              <w:t>投标文件第二个信封（报价文件）进行开标。主持人按下列程序进行开标：</w:t>
            </w:r>
          </w:p>
          <w:p w14:paraId="4E446E1B">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（1）宣读开标纪律。</w:t>
            </w:r>
          </w:p>
          <w:p w14:paraId="1E8F3CD2">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（2）主持人宣布</w:t>
            </w:r>
            <w:r>
              <w:rPr>
                <w:rFonts w:hint="eastAsia" w:ascii="宋体" w:hAnsi="宋体" w:eastAsia="宋体" w:cs="宋体"/>
                <w:color w:val="auto"/>
                <w:sz w:val="20"/>
                <w:szCs w:val="20"/>
                <w:highlight w:val="none"/>
                <w:shd w:val="clear" w:color="auto" w:fill="auto"/>
                <w:lang w:val="en-US" w:eastAsia="zh-CN"/>
              </w:rPr>
              <w:t>通过第一个信封（商务及技术文件）评审的投标人名单</w:t>
            </w:r>
            <w:r>
              <w:rPr>
                <w:rFonts w:hint="eastAsia" w:ascii="宋体" w:hAnsi="宋体" w:eastAsia="宋体" w:cs="宋体"/>
                <w:color w:val="auto"/>
                <w:sz w:val="20"/>
                <w:szCs w:val="20"/>
                <w:highlight w:val="none"/>
                <w:shd w:val="clear" w:color="auto" w:fill="auto"/>
              </w:rPr>
              <w:t>。</w:t>
            </w:r>
          </w:p>
          <w:p w14:paraId="3AACBBD7">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）主持人宣布唱标人、记录人、见证人、监督人等有关人员姓名。</w:t>
            </w:r>
          </w:p>
          <w:p w14:paraId="36F43B49">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）唱标人检查《</w:t>
            </w:r>
            <w:r>
              <w:rPr>
                <w:rFonts w:hint="eastAsia" w:ascii="宋体" w:hAnsi="宋体" w:eastAsia="宋体" w:cs="宋体"/>
                <w:color w:val="auto"/>
                <w:sz w:val="20"/>
                <w:szCs w:val="20"/>
                <w:highlight w:val="none"/>
                <w:shd w:val="clear" w:color="auto" w:fill="auto"/>
                <w:lang w:val="en-US" w:eastAsia="zh-CN"/>
              </w:rPr>
              <w:t>第二个信封</w:t>
            </w:r>
            <w:r>
              <w:rPr>
                <w:rFonts w:hint="eastAsia" w:ascii="宋体" w:hAnsi="宋体" w:eastAsia="宋体" w:cs="宋体"/>
                <w:color w:val="auto"/>
                <w:sz w:val="20"/>
                <w:szCs w:val="20"/>
                <w:highlight w:val="none"/>
                <w:shd w:val="clear" w:color="auto" w:fill="auto"/>
              </w:rPr>
              <w:t>开标一览表》中各投标人的</w:t>
            </w:r>
            <w:r>
              <w:rPr>
                <w:rFonts w:hint="eastAsia" w:ascii="宋体" w:hAnsi="宋体" w:eastAsia="宋体" w:cs="宋体"/>
                <w:color w:val="auto"/>
                <w:sz w:val="20"/>
                <w:szCs w:val="20"/>
                <w:highlight w:val="none"/>
                <w:shd w:val="clear" w:color="auto" w:fill="auto"/>
                <w:lang w:val="en-US" w:eastAsia="zh-CN"/>
              </w:rPr>
              <w:t>标段名称</w:t>
            </w: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投标人名称</w:t>
            </w:r>
            <w:r>
              <w:rPr>
                <w:rFonts w:hint="eastAsia" w:ascii="宋体" w:hAnsi="宋体" w:eastAsia="宋体" w:cs="宋体"/>
                <w:color w:val="auto"/>
                <w:sz w:val="20"/>
                <w:szCs w:val="20"/>
                <w:highlight w:val="none"/>
                <w:shd w:val="clear" w:color="auto" w:fill="auto"/>
              </w:rPr>
              <w:t>、投标</w:t>
            </w:r>
            <w:r>
              <w:rPr>
                <w:rFonts w:hint="eastAsia" w:ascii="宋体" w:hAnsi="宋体" w:eastAsia="宋体" w:cs="宋体"/>
                <w:color w:val="auto"/>
                <w:sz w:val="20"/>
                <w:szCs w:val="20"/>
                <w:highlight w:val="none"/>
                <w:shd w:val="clear" w:color="auto" w:fill="auto"/>
                <w:lang w:val="en-US" w:eastAsia="zh-CN"/>
              </w:rPr>
              <w:t>报价</w:t>
            </w:r>
            <w:r>
              <w:rPr>
                <w:rFonts w:hint="eastAsia" w:ascii="宋体" w:hAnsi="宋体" w:eastAsia="宋体" w:cs="宋体"/>
                <w:color w:val="auto"/>
                <w:sz w:val="20"/>
                <w:szCs w:val="20"/>
                <w:highlight w:val="none"/>
                <w:shd w:val="clear" w:color="auto" w:fill="auto"/>
              </w:rPr>
              <w:t>是否符合招标文件规定。若不符合规定，招标代理机构应将有关情形在《开标一览表》“备注”栏中注明。</w:t>
            </w:r>
          </w:p>
          <w:p w14:paraId="47236238">
            <w:pPr>
              <w:pStyle w:val="27"/>
              <w:keepNext w:val="0"/>
              <w:keepLines w:val="0"/>
              <w:pageBreakBefore w:val="0"/>
              <w:widowControl w:val="0"/>
              <w:kinsoku/>
              <w:wordWrap/>
              <w:overflowPunct/>
              <w:topLinePunct w:val="0"/>
              <w:bidi w:val="0"/>
              <w:snapToGrid/>
              <w:spacing w:line="360" w:lineRule="exact"/>
              <w:ind w:left="4" w:right="225" w:firstLine="420"/>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）招标人代表、唱标人、记录人等有关人员在《</w:t>
            </w:r>
            <w:r>
              <w:rPr>
                <w:rFonts w:hint="eastAsia" w:ascii="宋体" w:hAnsi="宋体" w:eastAsia="宋体" w:cs="宋体"/>
                <w:color w:val="auto"/>
                <w:sz w:val="20"/>
                <w:szCs w:val="20"/>
                <w:highlight w:val="none"/>
                <w:shd w:val="clear" w:color="auto" w:fill="auto"/>
                <w:lang w:val="en-US" w:eastAsia="zh-CN"/>
              </w:rPr>
              <w:t>第二个信封</w:t>
            </w:r>
            <w:r>
              <w:rPr>
                <w:rFonts w:hint="eastAsia" w:ascii="宋体" w:hAnsi="宋体" w:eastAsia="宋体" w:cs="宋体"/>
                <w:color w:val="auto"/>
                <w:sz w:val="20"/>
                <w:szCs w:val="20"/>
                <w:highlight w:val="none"/>
                <w:shd w:val="clear" w:color="auto" w:fill="auto"/>
              </w:rPr>
              <w:t>开标一览表》上签字确认。</w:t>
            </w:r>
          </w:p>
          <w:p w14:paraId="53369069">
            <w:pPr>
              <w:pStyle w:val="24"/>
              <w:keepNext w:val="0"/>
              <w:keepLines w:val="0"/>
              <w:pageBreakBefore w:val="0"/>
              <w:wordWrap/>
              <w:overflowPunct/>
              <w:topLinePunct w:val="0"/>
              <w:bidi w:val="0"/>
              <w:spacing w:line="360" w:lineRule="exact"/>
              <w:ind w:firstLine="400" w:firstLineChars="200"/>
              <w:jc w:val="both"/>
              <w:rPr>
                <w:rFonts w:hint="eastAsia" w:ascii="宋体" w:hAnsi="宋体" w:eastAsia="宋体" w:cs="宋体"/>
                <w:color w:val="auto"/>
                <w:spacing w:val="12"/>
                <w:sz w:val="20"/>
                <w:szCs w:val="20"/>
                <w:highlight w:val="none"/>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7</w:t>
            </w:r>
            <w:r>
              <w:rPr>
                <w:rFonts w:hint="eastAsia" w:ascii="宋体" w:hAnsi="宋体" w:eastAsia="宋体" w:cs="宋体"/>
                <w:color w:val="auto"/>
                <w:sz w:val="20"/>
                <w:szCs w:val="20"/>
                <w:highlight w:val="none"/>
                <w:shd w:val="clear" w:color="auto" w:fill="auto"/>
              </w:rPr>
              <w:t>）宣布</w:t>
            </w:r>
            <w:r>
              <w:rPr>
                <w:rFonts w:hint="eastAsia" w:ascii="宋体" w:hAnsi="宋体" w:eastAsia="宋体" w:cs="宋体"/>
                <w:color w:val="auto"/>
                <w:sz w:val="20"/>
                <w:szCs w:val="20"/>
                <w:highlight w:val="none"/>
                <w:shd w:val="clear" w:color="auto" w:fill="auto"/>
                <w:lang w:val="en-US" w:eastAsia="zh-CN"/>
              </w:rPr>
              <w:t>第二个信封（报价文件）</w:t>
            </w:r>
            <w:r>
              <w:rPr>
                <w:rFonts w:hint="eastAsia" w:ascii="宋体" w:hAnsi="宋体" w:eastAsia="宋体" w:cs="宋体"/>
                <w:color w:val="auto"/>
                <w:sz w:val="20"/>
                <w:szCs w:val="20"/>
                <w:highlight w:val="none"/>
                <w:shd w:val="clear" w:color="auto" w:fill="auto"/>
              </w:rPr>
              <w:t>开标结束。</w:t>
            </w:r>
          </w:p>
        </w:tc>
      </w:tr>
      <w:tr w14:paraId="1354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5EB5E27">
            <w:pPr>
              <w:pStyle w:val="24"/>
              <w:spacing w:line="380" w:lineRule="exact"/>
              <w:ind w:firstLine="0" w:firstLine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5.4</w:t>
            </w:r>
          </w:p>
        </w:tc>
        <w:tc>
          <w:tcPr>
            <w:tcW w:w="8251" w:type="dxa"/>
            <w:gridSpan w:val="2"/>
            <w:vAlign w:val="center"/>
          </w:tcPr>
          <w:p w14:paraId="4568931E">
            <w:pPr>
              <w:pStyle w:val="24"/>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right="105" w:rightChars="50"/>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投标人须知正文5.4项内容修改如下：</w:t>
            </w:r>
          </w:p>
          <w:p w14:paraId="47065AD9">
            <w:pPr>
              <w:pStyle w:val="24"/>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right="105" w:rightChars="50"/>
              <w:jc w:val="both"/>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5.4开标补救措施</w:t>
            </w:r>
          </w:p>
          <w:p w14:paraId="739864B1">
            <w:pPr>
              <w:pStyle w:val="24"/>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right="105" w:rightChars="50" w:firstLine="400" w:firstLineChars="200"/>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5.4.1 按照交易平台关于全流程电子化项目的相关指引进行操作。详见：全国公共资源交易平台（广东省·韶关市）（https://ygp.gdzwfw.gov.cn/ggzy-portal/#/440200/index）交易指引栏目发布的最新版操作指引。  </w:t>
            </w:r>
          </w:p>
          <w:p w14:paraId="07626D6F">
            <w:pPr>
              <w:pStyle w:val="24"/>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right="105" w:rightChars="50" w:firstLine="376" w:firstLineChars="200"/>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6"/>
                <w:sz w:val="20"/>
                <w:szCs w:val="20"/>
                <w:highlight w:val="none"/>
                <w:lang w:val="en-US" w:eastAsia="zh-CN"/>
              </w:rPr>
              <w:t>5.4.2 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r>
              <w:rPr>
                <w:rFonts w:hint="eastAsia" w:ascii="宋体" w:hAnsi="宋体" w:eastAsia="宋体" w:cs="宋体"/>
                <w:color w:val="auto"/>
                <w:sz w:val="20"/>
                <w:szCs w:val="20"/>
                <w:highlight w:val="none"/>
                <w:lang w:val="en-US" w:eastAsia="zh-CN"/>
              </w:rPr>
              <w:t>。</w:t>
            </w:r>
          </w:p>
          <w:p w14:paraId="3D56C235">
            <w:pPr>
              <w:pStyle w:val="24"/>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right="105" w:rightChars="50" w:firstLine="400" w:firstLineChars="200"/>
              <w:jc w:val="both"/>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除发生上述情况外，开标均以投标人通过交易平台网上递交的电子投标文件为准。</w:t>
            </w:r>
          </w:p>
        </w:tc>
      </w:tr>
      <w:tr w14:paraId="5A6D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45F50313">
            <w:pPr>
              <w:pStyle w:val="24"/>
              <w:spacing w:line="380" w:lineRule="exact"/>
              <w:ind w:firstLine="0" w:firstLineChars="0"/>
              <w:rPr>
                <w:rFonts w:hint="eastAsia" w:ascii="宋体" w:hAnsi="宋体" w:eastAsia="宋体" w:cs="宋体"/>
                <w:color w:val="auto"/>
                <w:spacing w:val="-1"/>
                <w:position w:val="1"/>
                <w:sz w:val="20"/>
                <w:szCs w:val="20"/>
                <w:highlight w:val="none"/>
              </w:rPr>
            </w:pPr>
            <w:r>
              <w:rPr>
                <w:rFonts w:hint="eastAsia" w:ascii="宋体" w:hAnsi="宋体" w:eastAsia="宋体" w:cs="宋体"/>
                <w:color w:val="auto"/>
                <w:sz w:val="20"/>
                <w:szCs w:val="20"/>
                <w:highlight w:val="none"/>
                <w:lang w:val="en-US" w:eastAsia="zh-CN"/>
              </w:rPr>
              <w:t>6.3.2</w:t>
            </w:r>
          </w:p>
        </w:tc>
        <w:tc>
          <w:tcPr>
            <w:tcW w:w="8251" w:type="dxa"/>
            <w:gridSpan w:val="2"/>
            <w:vAlign w:val="center"/>
          </w:tcPr>
          <w:p w14:paraId="3EB6B252">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投标人须知正文</w:t>
            </w:r>
            <w:r>
              <w:rPr>
                <w:rFonts w:hint="eastAsia" w:ascii="宋体" w:hAnsi="宋体" w:eastAsia="宋体" w:cs="宋体"/>
                <w:color w:val="auto"/>
                <w:sz w:val="20"/>
                <w:szCs w:val="20"/>
                <w:highlight w:val="none"/>
                <w:lang w:val="en-US" w:eastAsia="zh-CN"/>
              </w:rPr>
              <w:t>6.3.2</w:t>
            </w:r>
            <w:r>
              <w:rPr>
                <w:rFonts w:hint="eastAsia" w:ascii="宋体" w:hAnsi="宋体" w:eastAsia="宋体" w:cs="宋体"/>
                <w:color w:val="auto"/>
                <w:sz w:val="20"/>
                <w:szCs w:val="20"/>
                <w:highlight w:val="none"/>
              </w:rPr>
              <w:t>项内容修改如下：</w:t>
            </w:r>
          </w:p>
          <w:p w14:paraId="6CCB8B60">
            <w:pPr>
              <w:pStyle w:val="24"/>
              <w:keepNext w:val="0"/>
              <w:keepLines w:val="0"/>
              <w:pageBreakBefore w:val="0"/>
              <w:wordWrap/>
              <w:overflowPunct/>
              <w:topLinePunct w:val="0"/>
              <w:bidi w:val="0"/>
              <w:spacing w:line="360" w:lineRule="exact"/>
              <w:ind w:firstLine="400" w:firstLineChars="200"/>
              <w:jc w:val="both"/>
              <w:rPr>
                <w:rFonts w:hint="eastAsia" w:ascii="宋体" w:hAnsi="宋体" w:eastAsia="宋体" w:cs="宋体"/>
                <w:color w:val="auto"/>
                <w:spacing w:val="12"/>
                <w:sz w:val="20"/>
                <w:szCs w:val="20"/>
                <w:highlight w:val="none"/>
              </w:rPr>
            </w:pPr>
            <w:r>
              <w:rPr>
                <w:rFonts w:hint="eastAsia" w:ascii="宋体" w:hAnsi="宋体" w:eastAsia="宋体" w:cs="宋体"/>
                <w:color w:val="auto"/>
                <w:sz w:val="20"/>
                <w:szCs w:val="20"/>
                <w:highlight w:val="none"/>
                <w:lang w:val="en-US" w:eastAsia="zh-CN"/>
              </w:rPr>
              <w:t>6.3.2</w:t>
            </w:r>
            <w:r>
              <w:rPr>
                <w:rFonts w:hint="eastAsia" w:ascii="宋体" w:hAnsi="宋体" w:eastAsia="宋体" w:cs="宋体"/>
                <w:color w:val="auto"/>
                <w:sz w:val="20"/>
                <w:szCs w:val="20"/>
                <w:highlight w:val="none"/>
              </w:rPr>
              <w:t>评标完成后，评标委员会应向招标人提交书面评标报告和</w:t>
            </w:r>
            <w:r>
              <w:rPr>
                <w:rFonts w:hint="eastAsia" w:ascii="宋体" w:hAnsi="宋体" w:eastAsia="宋体" w:cs="宋体"/>
                <w:color w:val="auto"/>
                <w:sz w:val="20"/>
                <w:szCs w:val="20"/>
                <w:highlight w:val="none"/>
                <w:lang w:val="en-US" w:eastAsia="zh-CN"/>
              </w:rPr>
              <w:t>定</w:t>
            </w:r>
            <w:r>
              <w:rPr>
                <w:rFonts w:hint="eastAsia" w:ascii="宋体" w:hAnsi="宋体" w:eastAsia="宋体" w:cs="宋体"/>
                <w:color w:val="auto"/>
                <w:sz w:val="20"/>
                <w:szCs w:val="20"/>
                <w:highlight w:val="none"/>
              </w:rPr>
              <w:t>标候选人名单。评标委员会推荐</w:t>
            </w:r>
            <w:r>
              <w:rPr>
                <w:rFonts w:hint="eastAsia" w:ascii="宋体" w:hAnsi="宋体" w:eastAsia="宋体" w:cs="宋体"/>
                <w:color w:val="auto"/>
                <w:sz w:val="20"/>
                <w:szCs w:val="20"/>
                <w:highlight w:val="none"/>
                <w:lang w:val="en-US" w:eastAsia="zh-CN"/>
              </w:rPr>
              <w:t>定</w:t>
            </w:r>
            <w:r>
              <w:rPr>
                <w:rFonts w:hint="eastAsia" w:ascii="宋体" w:hAnsi="宋体" w:eastAsia="宋体" w:cs="宋体"/>
                <w:color w:val="auto"/>
                <w:sz w:val="20"/>
                <w:szCs w:val="20"/>
                <w:highlight w:val="none"/>
              </w:rPr>
              <w:t>标候选人的人数见投标人须知前附表。</w:t>
            </w:r>
          </w:p>
        </w:tc>
      </w:tr>
      <w:tr w14:paraId="3446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339C09B7">
            <w:pPr>
              <w:pStyle w:val="24"/>
              <w:spacing w:line="380" w:lineRule="exact"/>
              <w:ind w:firstLine="0" w:firstLine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6.3.3</w:t>
            </w:r>
          </w:p>
        </w:tc>
        <w:tc>
          <w:tcPr>
            <w:tcW w:w="8251" w:type="dxa"/>
            <w:gridSpan w:val="2"/>
            <w:vAlign w:val="center"/>
          </w:tcPr>
          <w:p w14:paraId="322C711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投标人须知正文</w:t>
            </w:r>
            <w:r>
              <w:rPr>
                <w:rFonts w:hint="eastAsia" w:ascii="宋体" w:hAnsi="宋体" w:eastAsia="宋体" w:cs="宋体"/>
                <w:color w:val="auto"/>
                <w:sz w:val="20"/>
                <w:szCs w:val="20"/>
                <w:highlight w:val="none"/>
                <w:lang w:val="en-US" w:eastAsia="zh-CN"/>
              </w:rPr>
              <w:t>6.3.3</w:t>
            </w:r>
            <w:r>
              <w:rPr>
                <w:rFonts w:hint="eastAsia" w:ascii="宋体" w:hAnsi="宋体" w:eastAsia="宋体" w:cs="宋体"/>
                <w:color w:val="auto"/>
                <w:sz w:val="20"/>
                <w:szCs w:val="20"/>
                <w:highlight w:val="none"/>
              </w:rPr>
              <w:t>项内容修改如下：</w:t>
            </w:r>
          </w:p>
          <w:p w14:paraId="215B5320">
            <w:pPr>
              <w:pStyle w:val="24"/>
              <w:keepNext w:val="0"/>
              <w:keepLines w:val="0"/>
              <w:pageBreakBefore w:val="0"/>
              <w:widowControl w:val="0"/>
              <w:wordWrap/>
              <w:overflowPunct/>
              <w:topLinePunct w:val="0"/>
              <w:bidi w:val="0"/>
              <w:spacing w:line="360" w:lineRule="exact"/>
              <w:ind w:left="105" w:leftChars="50" w:right="105" w:rightChars="5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6.3.3评标补救措施</w:t>
            </w:r>
          </w:p>
          <w:p w14:paraId="3B69F143">
            <w:pPr>
              <w:pStyle w:val="24"/>
              <w:keepNext w:val="0"/>
              <w:keepLines w:val="0"/>
              <w:pageBreakBefore w:val="0"/>
              <w:widowControl w:val="0"/>
              <w:wordWrap/>
              <w:overflowPunct/>
              <w:topLinePunct w:val="0"/>
              <w:bidi w:val="0"/>
              <w:spacing w:line="360" w:lineRule="exact"/>
              <w:ind w:left="105" w:leftChars="50" w:right="105" w:rightChars="50"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841275E">
            <w:pPr>
              <w:pStyle w:val="24"/>
              <w:keepNext w:val="0"/>
              <w:keepLines w:val="0"/>
              <w:pageBreakBefore w:val="0"/>
              <w:widowControl w:val="0"/>
              <w:wordWrap/>
              <w:overflowPunct/>
              <w:topLinePunct w:val="0"/>
              <w:bidi w:val="0"/>
              <w:spacing w:line="360" w:lineRule="exact"/>
              <w:ind w:left="105" w:leftChars="50" w:right="105" w:rightChars="50"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除发生上述情况外，评标均以投标人通过交易平台网上递交的电子投标文件为准。</w:t>
            </w:r>
          </w:p>
        </w:tc>
      </w:tr>
      <w:tr w14:paraId="5EAA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647809E0">
            <w:pPr>
              <w:pStyle w:val="23"/>
              <w:keepNext w:val="0"/>
              <w:keepLines w:val="0"/>
              <w:pageBreakBefore w:val="0"/>
              <w:widowControl/>
              <w:kinsoku w:val="0"/>
              <w:wordWrap/>
              <w:overflowPunct/>
              <w:topLinePunct w:val="0"/>
              <w:autoSpaceDE w:val="0"/>
              <w:autoSpaceDN w:val="0"/>
              <w:bidi w:val="0"/>
              <w:adjustRightInd w:val="0"/>
              <w:snapToGrid w:val="0"/>
              <w:spacing w:line="268" w:lineRule="exact"/>
              <w:ind w:left="0" w:right="0"/>
              <w:jc w:val="center"/>
              <w:textAlignment w:val="baseline"/>
              <w:rPr>
                <w:color w:val="auto"/>
                <w:highlight w:val="none"/>
              </w:rPr>
            </w:pPr>
            <w:r>
              <w:rPr>
                <w:color w:val="auto"/>
                <w:spacing w:val="-1"/>
                <w:position w:val="1"/>
                <w:highlight w:val="none"/>
              </w:rPr>
              <w:t>10.2</w:t>
            </w:r>
          </w:p>
        </w:tc>
        <w:tc>
          <w:tcPr>
            <w:tcW w:w="8251" w:type="dxa"/>
            <w:gridSpan w:val="2"/>
            <w:vAlign w:val="center"/>
          </w:tcPr>
          <w:p w14:paraId="7FE62D1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right="42" w:rightChars="20"/>
              <w:jc w:val="both"/>
              <w:textAlignment w:val="baseline"/>
              <w:rPr>
                <w:color w:val="auto"/>
                <w:highlight w:val="none"/>
              </w:rPr>
            </w:pPr>
            <w:r>
              <w:rPr>
                <w:color w:val="auto"/>
                <w:spacing w:val="5"/>
                <w:highlight w:val="none"/>
              </w:rPr>
              <w:t>增加</w:t>
            </w:r>
            <w:r>
              <w:rPr>
                <w:color w:val="auto"/>
                <w:spacing w:val="-19"/>
                <w:highlight w:val="none"/>
              </w:rPr>
              <w:t xml:space="preserve"> </w:t>
            </w:r>
            <w:r>
              <w:rPr>
                <w:color w:val="auto"/>
                <w:spacing w:val="5"/>
                <w:highlight w:val="none"/>
              </w:rPr>
              <w:t>10.2、10.3、10.4、10.5、10.6、10.7、10.8</w:t>
            </w:r>
            <w:r>
              <w:rPr>
                <w:color w:val="auto"/>
                <w:spacing w:val="-37"/>
                <w:highlight w:val="none"/>
              </w:rPr>
              <w:t xml:space="preserve"> </w:t>
            </w:r>
            <w:r>
              <w:rPr>
                <w:color w:val="auto"/>
                <w:spacing w:val="5"/>
                <w:highlight w:val="none"/>
              </w:rPr>
              <w:t>款如下：</w:t>
            </w:r>
          </w:p>
          <w:p w14:paraId="1D2A539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20" w:firstLineChars="200"/>
              <w:jc w:val="both"/>
              <w:textAlignment w:val="baseline"/>
              <w:rPr>
                <w:color w:val="auto"/>
                <w:highlight w:val="none"/>
              </w:rPr>
            </w:pPr>
            <w:r>
              <w:rPr>
                <w:color w:val="auto"/>
                <w:spacing w:val="5"/>
                <w:highlight w:val="none"/>
              </w:rPr>
              <w:t>10.2  信用等级的确定原则：</w:t>
            </w:r>
          </w:p>
          <w:p w14:paraId="1AE9B67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4" w:firstLineChars="200"/>
              <w:jc w:val="both"/>
              <w:textAlignment w:val="baseline"/>
              <w:rPr>
                <w:color w:val="auto"/>
                <w:highlight w:val="none"/>
              </w:rPr>
            </w:pPr>
            <w:r>
              <w:rPr>
                <w:color w:val="auto"/>
                <w:spacing w:val="11"/>
                <w:highlight w:val="none"/>
              </w:rPr>
              <w:t>10.2.1 招标文件中的信用等级指的是广东省交通运输厅最新年度发布的</w:t>
            </w:r>
            <w:r>
              <w:rPr>
                <w:color w:val="auto"/>
                <w:spacing w:val="10"/>
                <w:highlight w:val="none"/>
              </w:rPr>
              <w:t>公路工程</w:t>
            </w:r>
            <w:r>
              <w:rPr>
                <w:color w:val="auto"/>
                <w:spacing w:val="14"/>
                <w:highlight w:val="none"/>
              </w:rPr>
              <w:t>从业单位信用评价等级（监理单位）</w:t>
            </w:r>
            <w:r>
              <w:rPr>
                <w:color w:val="auto"/>
                <w:spacing w:val="-49"/>
                <w:highlight w:val="none"/>
              </w:rPr>
              <w:t xml:space="preserve"> </w:t>
            </w:r>
            <w:r>
              <w:rPr>
                <w:color w:val="auto"/>
                <w:spacing w:val="14"/>
                <w:highlight w:val="none"/>
              </w:rPr>
              <w:t>。如无广东省最新年度信用等级而有上</w:t>
            </w:r>
            <w:r>
              <w:rPr>
                <w:color w:val="auto"/>
                <w:spacing w:val="13"/>
                <w:highlight w:val="none"/>
              </w:rPr>
              <w:t>一年</w:t>
            </w:r>
            <w:r>
              <w:rPr>
                <w:color w:val="auto"/>
                <w:spacing w:val="15"/>
                <w:highlight w:val="none"/>
              </w:rPr>
              <w:t>度广东省信用等级的，则其原信用等级可延续一年，但在递交投标文件时信用等级的使用次数应按上一年度公布的信用评价结果顺延上一年度的使用次数。具体</w:t>
            </w:r>
            <w:r>
              <w:rPr>
                <w:color w:val="auto"/>
                <w:spacing w:val="8"/>
                <w:highlight w:val="none"/>
              </w:rPr>
              <w:t>使用次数有关规定如下：</w:t>
            </w:r>
          </w:p>
          <w:p w14:paraId="1A670BC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24" w:firstLineChars="200"/>
              <w:jc w:val="both"/>
              <w:textAlignment w:val="baseline"/>
              <w:rPr>
                <w:color w:val="auto"/>
                <w:highlight w:val="none"/>
              </w:rPr>
            </w:pPr>
            <w:r>
              <w:rPr>
                <w:color w:val="auto"/>
                <w:spacing w:val="6"/>
                <w:highlight w:val="none"/>
              </w:rPr>
              <w:t>1.对于信用等级为</w:t>
            </w:r>
            <w:r>
              <w:rPr>
                <w:color w:val="auto"/>
                <w:spacing w:val="-34"/>
                <w:highlight w:val="none"/>
              </w:rPr>
              <w:t xml:space="preserve"> </w:t>
            </w:r>
            <w:r>
              <w:rPr>
                <w:color w:val="auto"/>
                <w:highlight w:val="none"/>
              </w:rPr>
              <w:t>AA</w:t>
            </w:r>
            <w:r>
              <w:rPr>
                <w:color w:val="auto"/>
                <w:spacing w:val="-35"/>
                <w:highlight w:val="none"/>
              </w:rPr>
              <w:t xml:space="preserve"> </w:t>
            </w:r>
            <w:r>
              <w:rPr>
                <w:color w:val="auto"/>
                <w:spacing w:val="6"/>
                <w:highlight w:val="none"/>
              </w:rPr>
              <w:t>级的从业单位</w:t>
            </w:r>
            <w:r>
              <w:rPr>
                <w:color w:val="auto"/>
                <w:spacing w:val="-58"/>
                <w:highlight w:val="none"/>
              </w:rPr>
              <w:t xml:space="preserve"> </w:t>
            </w:r>
            <w:r>
              <w:rPr>
                <w:color w:val="auto"/>
                <w:spacing w:val="6"/>
                <w:highlight w:val="none"/>
              </w:rPr>
              <w:t>:</w:t>
            </w:r>
          </w:p>
          <w:p w14:paraId="2D9AB11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56" w:firstLineChars="200"/>
              <w:jc w:val="both"/>
              <w:textAlignment w:val="baseline"/>
              <w:rPr>
                <w:color w:val="auto"/>
                <w:highlight w:val="none"/>
              </w:rPr>
            </w:pPr>
            <w:r>
              <w:rPr>
                <w:color w:val="auto"/>
                <w:spacing w:val="14"/>
                <w:highlight w:val="none"/>
              </w:rPr>
              <w:t>(1)仅最新一年度信用等级为</w:t>
            </w:r>
            <w:r>
              <w:rPr>
                <w:color w:val="auto"/>
                <w:spacing w:val="-41"/>
                <w:highlight w:val="none"/>
              </w:rPr>
              <w:t xml:space="preserve"> </w:t>
            </w:r>
            <w:r>
              <w:rPr>
                <w:color w:val="auto"/>
                <w:highlight w:val="none"/>
              </w:rPr>
              <w:t>AA</w:t>
            </w:r>
            <w:r>
              <w:rPr>
                <w:color w:val="auto"/>
                <w:spacing w:val="-30"/>
                <w:highlight w:val="none"/>
              </w:rPr>
              <w:t xml:space="preserve"> </w:t>
            </w:r>
            <w:r>
              <w:rPr>
                <w:color w:val="auto"/>
                <w:spacing w:val="14"/>
                <w:highlight w:val="none"/>
              </w:rPr>
              <w:t>级的从业单位</w:t>
            </w:r>
            <w:r>
              <w:rPr>
                <w:color w:val="auto"/>
                <w:spacing w:val="13"/>
                <w:highlight w:val="none"/>
              </w:rPr>
              <w:t>在参加广东省公路工程建设项目投</w:t>
            </w:r>
            <w:r>
              <w:rPr>
                <w:color w:val="auto"/>
                <w:spacing w:val="12"/>
                <w:highlight w:val="none"/>
              </w:rPr>
              <w:t>标活动（以递交投标文件时间为准）时，可申请使用</w:t>
            </w:r>
            <w:r>
              <w:rPr>
                <w:color w:val="auto"/>
                <w:highlight w:val="none"/>
              </w:rPr>
              <w:t>AA</w:t>
            </w:r>
            <w:r>
              <w:rPr>
                <w:color w:val="auto"/>
                <w:spacing w:val="-33"/>
                <w:highlight w:val="none"/>
              </w:rPr>
              <w:t xml:space="preserve"> </w:t>
            </w:r>
            <w:r>
              <w:rPr>
                <w:color w:val="auto"/>
                <w:spacing w:val="12"/>
                <w:highlight w:val="none"/>
              </w:rPr>
              <w:t>级分值</w:t>
            </w:r>
            <w:r>
              <w:rPr>
                <w:color w:val="auto"/>
                <w:spacing w:val="-33"/>
                <w:highlight w:val="none"/>
              </w:rPr>
              <w:t xml:space="preserve"> </w:t>
            </w:r>
            <w:r>
              <w:rPr>
                <w:color w:val="auto"/>
                <w:spacing w:val="12"/>
                <w:highlight w:val="none"/>
              </w:rPr>
              <w:t>8</w:t>
            </w:r>
            <w:r>
              <w:rPr>
                <w:color w:val="auto"/>
                <w:spacing w:val="-33"/>
                <w:highlight w:val="none"/>
              </w:rPr>
              <w:t xml:space="preserve"> </w:t>
            </w:r>
            <w:r>
              <w:rPr>
                <w:color w:val="auto"/>
                <w:spacing w:val="12"/>
                <w:highlight w:val="none"/>
              </w:rPr>
              <w:t>次，</w:t>
            </w:r>
            <w:r>
              <w:rPr>
                <w:color w:val="auto"/>
                <w:spacing w:val="11"/>
                <w:highlight w:val="none"/>
              </w:rPr>
              <w:t>用完</w:t>
            </w:r>
            <w:r>
              <w:rPr>
                <w:color w:val="auto"/>
                <w:spacing w:val="-33"/>
                <w:highlight w:val="none"/>
              </w:rPr>
              <w:t xml:space="preserve"> </w:t>
            </w:r>
            <w:r>
              <w:rPr>
                <w:color w:val="auto"/>
                <w:spacing w:val="11"/>
                <w:highlight w:val="none"/>
              </w:rPr>
              <w:t>8</w:t>
            </w:r>
            <w:r>
              <w:rPr>
                <w:color w:val="auto"/>
                <w:spacing w:val="-30"/>
                <w:highlight w:val="none"/>
              </w:rPr>
              <w:t xml:space="preserve"> </w:t>
            </w:r>
            <w:r>
              <w:rPr>
                <w:color w:val="auto"/>
                <w:spacing w:val="11"/>
                <w:highlight w:val="none"/>
              </w:rPr>
              <w:t>次后</w:t>
            </w:r>
            <w:r>
              <w:rPr>
                <w:color w:val="auto"/>
                <w:spacing w:val="7"/>
                <w:highlight w:val="none"/>
              </w:rPr>
              <w:t>信用等级分值将按</w:t>
            </w:r>
            <w:r>
              <w:rPr>
                <w:color w:val="auto"/>
                <w:spacing w:val="-42"/>
                <w:highlight w:val="none"/>
              </w:rPr>
              <w:t xml:space="preserve"> </w:t>
            </w:r>
            <w:r>
              <w:rPr>
                <w:color w:val="auto"/>
                <w:spacing w:val="7"/>
                <w:highlight w:val="none"/>
              </w:rPr>
              <w:t>A</w:t>
            </w:r>
            <w:r>
              <w:rPr>
                <w:color w:val="auto"/>
                <w:spacing w:val="-35"/>
                <w:highlight w:val="none"/>
              </w:rPr>
              <w:t xml:space="preserve"> </w:t>
            </w:r>
            <w:r>
              <w:rPr>
                <w:color w:val="auto"/>
                <w:spacing w:val="7"/>
                <w:highlight w:val="none"/>
              </w:rPr>
              <w:t>级分值取定；</w:t>
            </w:r>
          </w:p>
          <w:p w14:paraId="7E9D72A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76" w:firstLineChars="200"/>
              <w:jc w:val="both"/>
              <w:textAlignment w:val="baseline"/>
              <w:rPr>
                <w:color w:val="auto"/>
                <w:highlight w:val="none"/>
              </w:rPr>
            </w:pPr>
            <w:r>
              <w:rPr>
                <w:color w:val="auto"/>
                <w:spacing w:val="19"/>
                <w:highlight w:val="none"/>
              </w:rPr>
              <w:t>(2)连续最近两个年度信用等级为</w:t>
            </w:r>
            <w:r>
              <w:rPr>
                <w:color w:val="auto"/>
                <w:spacing w:val="-19"/>
                <w:highlight w:val="none"/>
              </w:rPr>
              <w:t xml:space="preserve"> </w:t>
            </w:r>
            <w:r>
              <w:rPr>
                <w:color w:val="auto"/>
                <w:highlight w:val="none"/>
              </w:rPr>
              <w:t>AA</w:t>
            </w:r>
            <w:r>
              <w:rPr>
                <w:color w:val="auto"/>
                <w:spacing w:val="-23"/>
                <w:highlight w:val="none"/>
              </w:rPr>
              <w:t xml:space="preserve"> </w:t>
            </w:r>
            <w:r>
              <w:rPr>
                <w:color w:val="auto"/>
                <w:spacing w:val="19"/>
                <w:highlight w:val="none"/>
              </w:rPr>
              <w:t>级的单位在参加广东省公路工程投标活动</w:t>
            </w:r>
            <w:r>
              <w:rPr>
                <w:color w:val="auto"/>
                <w:spacing w:val="10"/>
                <w:highlight w:val="none"/>
              </w:rPr>
              <w:t>（以递交投标文件时间为准）时，可申请使用</w:t>
            </w:r>
            <w:r>
              <w:rPr>
                <w:color w:val="auto"/>
                <w:highlight w:val="none"/>
              </w:rPr>
              <w:t>AA</w:t>
            </w:r>
            <w:r>
              <w:rPr>
                <w:color w:val="auto"/>
                <w:spacing w:val="-21"/>
                <w:highlight w:val="none"/>
              </w:rPr>
              <w:t xml:space="preserve"> </w:t>
            </w:r>
            <w:r>
              <w:rPr>
                <w:color w:val="auto"/>
                <w:spacing w:val="10"/>
                <w:highlight w:val="none"/>
              </w:rPr>
              <w:t>级分值</w:t>
            </w:r>
            <w:r>
              <w:rPr>
                <w:color w:val="auto"/>
                <w:spacing w:val="-17"/>
                <w:highlight w:val="none"/>
              </w:rPr>
              <w:t xml:space="preserve"> </w:t>
            </w:r>
            <w:r>
              <w:rPr>
                <w:color w:val="auto"/>
                <w:spacing w:val="10"/>
                <w:highlight w:val="none"/>
              </w:rPr>
              <w:t>12</w:t>
            </w:r>
            <w:r>
              <w:rPr>
                <w:color w:val="auto"/>
                <w:spacing w:val="-32"/>
                <w:highlight w:val="none"/>
              </w:rPr>
              <w:t xml:space="preserve"> </w:t>
            </w:r>
            <w:r>
              <w:rPr>
                <w:color w:val="auto"/>
                <w:spacing w:val="10"/>
                <w:highlight w:val="none"/>
              </w:rPr>
              <w:t>次，用完</w:t>
            </w:r>
            <w:r>
              <w:rPr>
                <w:color w:val="auto"/>
                <w:spacing w:val="-19"/>
                <w:highlight w:val="none"/>
              </w:rPr>
              <w:t xml:space="preserve"> </w:t>
            </w:r>
            <w:r>
              <w:rPr>
                <w:color w:val="auto"/>
                <w:spacing w:val="10"/>
                <w:highlight w:val="none"/>
              </w:rPr>
              <w:t>12</w:t>
            </w:r>
            <w:r>
              <w:rPr>
                <w:color w:val="auto"/>
                <w:spacing w:val="-30"/>
                <w:highlight w:val="none"/>
              </w:rPr>
              <w:t xml:space="preserve"> </w:t>
            </w:r>
            <w:r>
              <w:rPr>
                <w:color w:val="auto"/>
                <w:spacing w:val="10"/>
                <w:highlight w:val="none"/>
              </w:rPr>
              <w:t>次后信用</w:t>
            </w:r>
            <w:r>
              <w:rPr>
                <w:color w:val="auto"/>
                <w:spacing w:val="6"/>
                <w:highlight w:val="none"/>
              </w:rPr>
              <w:t>等级分值将按</w:t>
            </w:r>
            <w:r>
              <w:rPr>
                <w:color w:val="auto"/>
                <w:spacing w:val="-45"/>
                <w:highlight w:val="none"/>
              </w:rPr>
              <w:t xml:space="preserve"> </w:t>
            </w:r>
            <w:r>
              <w:rPr>
                <w:color w:val="auto"/>
                <w:spacing w:val="6"/>
                <w:highlight w:val="none"/>
              </w:rPr>
              <w:t>A</w:t>
            </w:r>
            <w:r>
              <w:rPr>
                <w:color w:val="auto"/>
                <w:spacing w:val="-35"/>
                <w:highlight w:val="none"/>
              </w:rPr>
              <w:t xml:space="preserve"> </w:t>
            </w:r>
            <w:r>
              <w:rPr>
                <w:color w:val="auto"/>
                <w:spacing w:val="6"/>
                <w:highlight w:val="none"/>
              </w:rPr>
              <w:t>级取定；</w:t>
            </w:r>
          </w:p>
          <w:p w14:paraId="175D21D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0" w:firstLineChars="200"/>
              <w:jc w:val="both"/>
              <w:textAlignment w:val="baseline"/>
              <w:rPr>
                <w:color w:val="auto"/>
                <w:highlight w:val="none"/>
              </w:rPr>
            </w:pPr>
            <w:r>
              <w:rPr>
                <w:color w:val="auto"/>
                <w:spacing w:val="10"/>
                <w:highlight w:val="none"/>
              </w:rPr>
              <w:t>2.对于信用等级为</w:t>
            </w:r>
            <w:r>
              <w:rPr>
                <w:color w:val="auto"/>
                <w:spacing w:val="-24"/>
                <w:highlight w:val="none"/>
              </w:rPr>
              <w:t xml:space="preserve"> </w:t>
            </w:r>
            <w:r>
              <w:rPr>
                <w:color w:val="auto"/>
                <w:spacing w:val="10"/>
                <w:highlight w:val="none"/>
              </w:rPr>
              <w:t>A</w:t>
            </w:r>
            <w:r>
              <w:rPr>
                <w:color w:val="auto"/>
                <w:spacing w:val="-35"/>
                <w:highlight w:val="none"/>
              </w:rPr>
              <w:t xml:space="preserve"> </w:t>
            </w:r>
            <w:r>
              <w:rPr>
                <w:color w:val="auto"/>
                <w:spacing w:val="10"/>
                <w:highlight w:val="none"/>
              </w:rPr>
              <w:t>级的从业单位:当年度信用等级</w:t>
            </w:r>
            <w:r>
              <w:rPr>
                <w:color w:val="auto"/>
                <w:spacing w:val="-40"/>
                <w:highlight w:val="none"/>
              </w:rPr>
              <w:t xml:space="preserve"> </w:t>
            </w:r>
            <w:r>
              <w:rPr>
                <w:color w:val="auto"/>
                <w:spacing w:val="10"/>
                <w:highlight w:val="none"/>
              </w:rPr>
              <w:t>A</w:t>
            </w:r>
            <w:r>
              <w:rPr>
                <w:color w:val="auto"/>
                <w:spacing w:val="-33"/>
                <w:highlight w:val="none"/>
              </w:rPr>
              <w:t xml:space="preserve"> </w:t>
            </w:r>
            <w:r>
              <w:rPr>
                <w:color w:val="auto"/>
                <w:spacing w:val="10"/>
                <w:highlight w:val="none"/>
              </w:rPr>
              <w:t>级单位在参加广东省公路工</w:t>
            </w:r>
            <w:r>
              <w:rPr>
                <w:color w:val="auto"/>
                <w:spacing w:val="14"/>
                <w:highlight w:val="none"/>
              </w:rPr>
              <w:t>程建设项目招投标活动（以递交投标文件时间为</w:t>
            </w:r>
            <w:r>
              <w:rPr>
                <w:color w:val="auto"/>
                <w:spacing w:val="13"/>
                <w:highlight w:val="none"/>
              </w:rPr>
              <w:t>准）时，可申请使用A</w:t>
            </w:r>
            <w:r>
              <w:rPr>
                <w:color w:val="auto"/>
                <w:spacing w:val="-30"/>
                <w:highlight w:val="none"/>
              </w:rPr>
              <w:t xml:space="preserve"> </w:t>
            </w:r>
            <w:r>
              <w:rPr>
                <w:color w:val="auto"/>
                <w:spacing w:val="13"/>
                <w:highlight w:val="none"/>
              </w:rPr>
              <w:t>级分值</w:t>
            </w:r>
            <w:r>
              <w:rPr>
                <w:color w:val="auto"/>
                <w:spacing w:val="-19"/>
                <w:highlight w:val="none"/>
              </w:rPr>
              <w:t xml:space="preserve"> </w:t>
            </w:r>
            <w:r>
              <w:rPr>
                <w:color w:val="auto"/>
                <w:spacing w:val="13"/>
                <w:highlight w:val="none"/>
              </w:rPr>
              <w:t>12</w:t>
            </w:r>
            <w:r>
              <w:rPr>
                <w:color w:val="auto"/>
                <w:spacing w:val="6"/>
                <w:highlight w:val="none"/>
              </w:rPr>
              <w:t>次，用完</w:t>
            </w:r>
            <w:r>
              <w:rPr>
                <w:color w:val="auto"/>
                <w:spacing w:val="-24"/>
                <w:highlight w:val="none"/>
              </w:rPr>
              <w:t xml:space="preserve"> </w:t>
            </w:r>
            <w:r>
              <w:rPr>
                <w:color w:val="auto"/>
                <w:spacing w:val="6"/>
                <w:highlight w:val="none"/>
              </w:rPr>
              <w:t>12</w:t>
            </w:r>
            <w:r>
              <w:rPr>
                <w:color w:val="auto"/>
                <w:spacing w:val="-32"/>
                <w:highlight w:val="none"/>
              </w:rPr>
              <w:t xml:space="preserve"> </w:t>
            </w:r>
            <w:r>
              <w:rPr>
                <w:color w:val="auto"/>
                <w:spacing w:val="6"/>
                <w:highlight w:val="none"/>
              </w:rPr>
              <w:t>次后信用等级分值将按</w:t>
            </w:r>
            <w:r>
              <w:rPr>
                <w:color w:val="auto"/>
                <w:spacing w:val="-42"/>
                <w:highlight w:val="none"/>
              </w:rPr>
              <w:t xml:space="preserve"> </w:t>
            </w:r>
            <w:r>
              <w:rPr>
                <w:color w:val="auto"/>
                <w:spacing w:val="6"/>
                <w:highlight w:val="none"/>
              </w:rPr>
              <w:t>B</w:t>
            </w:r>
            <w:r>
              <w:rPr>
                <w:color w:val="auto"/>
                <w:spacing w:val="-34"/>
                <w:highlight w:val="none"/>
              </w:rPr>
              <w:t xml:space="preserve"> </w:t>
            </w:r>
            <w:r>
              <w:rPr>
                <w:color w:val="auto"/>
                <w:spacing w:val="6"/>
                <w:highlight w:val="none"/>
              </w:rPr>
              <w:t>级分值取定。</w:t>
            </w:r>
          </w:p>
          <w:p w14:paraId="2471831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52" w:firstLineChars="200"/>
              <w:jc w:val="both"/>
              <w:textAlignment w:val="baseline"/>
              <w:rPr>
                <w:color w:val="auto"/>
                <w:highlight w:val="none"/>
              </w:rPr>
            </w:pPr>
            <w:r>
              <w:rPr>
                <w:color w:val="auto"/>
                <w:spacing w:val="13"/>
                <w:highlight w:val="none"/>
              </w:rPr>
              <w:t>3.当年度信用等级为</w:t>
            </w:r>
            <w:r>
              <w:rPr>
                <w:color w:val="auto"/>
                <w:spacing w:val="-41"/>
                <w:highlight w:val="none"/>
              </w:rPr>
              <w:t xml:space="preserve"> </w:t>
            </w:r>
            <w:r>
              <w:rPr>
                <w:color w:val="auto"/>
                <w:highlight w:val="none"/>
              </w:rPr>
              <w:t>AA</w:t>
            </w:r>
            <w:r>
              <w:rPr>
                <w:color w:val="auto"/>
                <w:spacing w:val="13"/>
                <w:highlight w:val="none"/>
              </w:rPr>
              <w:t>、A</w:t>
            </w:r>
            <w:r>
              <w:rPr>
                <w:color w:val="auto"/>
                <w:spacing w:val="-32"/>
                <w:highlight w:val="none"/>
              </w:rPr>
              <w:t xml:space="preserve"> </w:t>
            </w:r>
            <w:r>
              <w:rPr>
                <w:color w:val="auto"/>
                <w:spacing w:val="13"/>
                <w:highlight w:val="none"/>
              </w:rPr>
              <w:t>级的从业单位未承诺使用的信用等级分值的，</w:t>
            </w:r>
            <w:r>
              <w:rPr>
                <w:color w:val="auto"/>
                <w:highlight w:val="none"/>
              </w:rPr>
              <w:t>AA</w:t>
            </w:r>
            <w:r>
              <w:rPr>
                <w:color w:val="auto"/>
                <w:spacing w:val="-33"/>
                <w:highlight w:val="none"/>
              </w:rPr>
              <w:t xml:space="preserve"> </w:t>
            </w:r>
            <w:r>
              <w:rPr>
                <w:color w:val="auto"/>
                <w:spacing w:val="12"/>
                <w:highlight w:val="none"/>
              </w:rPr>
              <w:t>级信</w:t>
            </w:r>
            <w:r>
              <w:rPr>
                <w:color w:val="auto"/>
                <w:spacing w:val="6"/>
                <w:highlight w:val="none"/>
              </w:rPr>
              <w:t>用等级企业按</w:t>
            </w:r>
            <w:r>
              <w:rPr>
                <w:color w:val="auto"/>
                <w:spacing w:val="-29"/>
                <w:highlight w:val="none"/>
              </w:rPr>
              <w:t xml:space="preserve"> </w:t>
            </w:r>
            <w:r>
              <w:rPr>
                <w:color w:val="auto"/>
                <w:spacing w:val="6"/>
                <w:highlight w:val="none"/>
              </w:rPr>
              <w:t>A</w:t>
            </w:r>
            <w:r>
              <w:rPr>
                <w:color w:val="auto"/>
                <w:spacing w:val="-34"/>
                <w:highlight w:val="none"/>
              </w:rPr>
              <w:t xml:space="preserve"> </w:t>
            </w:r>
            <w:r>
              <w:rPr>
                <w:color w:val="auto"/>
                <w:spacing w:val="6"/>
                <w:highlight w:val="none"/>
              </w:rPr>
              <w:t>级对待、A</w:t>
            </w:r>
            <w:r>
              <w:rPr>
                <w:color w:val="auto"/>
                <w:spacing w:val="-35"/>
                <w:highlight w:val="none"/>
              </w:rPr>
              <w:t xml:space="preserve"> </w:t>
            </w:r>
            <w:r>
              <w:rPr>
                <w:color w:val="auto"/>
                <w:spacing w:val="6"/>
                <w:highlight w:val="none"/>
              </w:rPr>
              <w:t>级信用等级企业按</w:t>
            </w:r>
            <w:r>
              <w:rPr>
                <w:color w:val="auto"/>
                <w:spacing w:val="-41"/>
                <w:highlight w:val="none"/>
              </w:rPr>
              <w:t xml:space="preserve"> </w:t>
            </w:r>
            <w:r>
              <w:rPr>
                <w:color w:val="auto"/>
                <w:spacing w:val="6"/>
                <w:highlight w:val="none"/>
              </w:rPr>
              <w:t>B</w:t>
            </w:r>
            <w:r>
              <w:rPr>
                <w:color w:val="auto"/>
                <w:spacing w:val="-37"/>
                <w:highlight w:val="none"/>
              </w:rPr>
              <w:t xml:space="preserve"> </w:t>
            </w:r>
            <w:r>
              <w:rPr>
                <w:color w:val="auto"/>
                <w:spacing w:val="6"/>
                <w:highlight w:val="none"/>
              </w:rPr>
              <w:t>级对待。</w:t>
            </w:r>
          </w:p>
          <w:p w14:paraId="2118144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36" w:firstLineChars="200"/>
              <w:jc w:val="both"/>
              <w:textAlignment w:val="baseline"/>
              <w:rPr>
                <w:color w:val="auto"/>
                <w:highlight w:val="none"/>
              </w:rPr>
            </w:pPr>
            <w:r>
              <w:rPr>
                <w:color w:val="auto"/>
                <w:spacing w:val="9"/>
                <w:highlight w:val="none"/>
              </w:rPr>
              <w:t>4.若从业企业在信用评价年度信用等级由</w:t>
            </w:r>
            <w:r>
              <w:rPr>
                <w:color w:val="auto"/>
                <w:spacing w:val="-33"/>
                <w:highlight w:val="none"/>
              </w:rPr>
              <w:t xml:space="preserve"> </w:t>
            </w:r>
            <w:r>
              <w:rPr>
                <w:color w:val="auto"/>
                <w:highlight w:val="none"/>
              </w:rPr>
              <w:t>AA</w:t>
            </w:r>
            <w:r>
              <w:rPr>
                <w:color w:val="auto"/>
                <w:spacing w:val="-21"/>
                <w:highlight w:val="none"/>
              </w:rPr>
              <w:t xml:space="preserve"> </w:t>
            </w:r>
            <w:r>
              <w:rPr>
                <w:color w:val="auto"/>
                <w:spacing w:val="9"/>
                <w:highlight w:val="none"/>
              </w:rPr>
              <w:t>降级为</w:t>
            </w:r>
            <w:r>
              <w:rPr>
                <w:color w:val="auto"/>
                <w:spacing w:val="-44"/>
                <w:highlight w:val="none"/>
              </w:rPr>
              <w:t xml:space="preserve"> </w:t>
            </w:r>
            <w:r>
              <w:rPr>
                <w:color w:val="auto"/>
                <w:spacing w:val="9"/>
                <w:highlight w:val="none"/>
              </w:rPr>
              <w:t>A</w:t>
            </w:r>
            <w:r>
              <w:rPr>
                <w:color w:val="auto"/>
                <w:spacing w:val="-34"/>
                <w:highlight w:val="none"/>
              </w:rPr>
              <w:t xml:space="preserve"> </w:t>
            </w:r>
            <w:r>
              <w:rPr>
                <w:color w:val="auto"/>
                <w:spacing w:val="9"/>
                <w:highlight w:val="none"/>
              </w:rPr>
              <w:t>级时，</w:t>
            </w:r>
            <w:r>
              <w:rPr>
                <w:color w:val="auto"/>
                <w:highlight w:val="none"/>
              </w:rPr>
              <w:t>AA</w:t>
            </w:r>
            <w:r>
              <w:rPr>
                <w:color w:val="auto"/>
                <w:spacing w:val="-35"/>
                <w:highlight w:val="none"/>
              </w:rPr>
              <w:t xml:space="preserve"> </w:t>
            </w:r>
            <w:r>
              <w:rPr>
                <w:color w:val="auto"/>
                <w:spacing w:val="9"/>
                <w:highlight w:val="none"/>
              </w:rPr>
              <w:t>级信用等级已使用</w:t>
            </w:r>
            <w:r>
              <w:rPr>
                <w:color w:val="auto"/>
                <w:spacing w:val="7"/>
                <w:highlight w:val="none"/>
              </w:rPr>
              <w:t>次数纳入</w:t>
            </w:r>
            <w:r>
              <w:rPr>
                <w:color w:val="auto"/>
                <w:spacing w:val="-36"/>
                <w:highlight w:val="none"/>
              </w:rPr>
              <w:t xml:space="preserve"> </w:t>
            </w:r>
            <w:r>
              <w:rPr>
                <w:color w:val="auto"/>
                <w:spacing w:val="7"/>
                <w:highlight w:val="none"/>
              </w:rPr>
              <w:t>A</w:t>
            </w:r>
            <w:r>
              <w:rPr>
                <w:color w:val="auto"/>
                <w:spacing w:val="-35"/>
                <w:highlight w:val="none"/>
              </w:rPr>
              <w:t xml:space="preserve"> </w:t>
            </w:r>
            <w:r>
              <w:rPr>
                <w:color w:val="auto"/>
                <w:spacing w:val="7"/>
                <w:highlight w:val="none"/>
              </w:rPr>
              <w:t>级信用等级使用次数合并累计。</w:t>
            </w:r>
          </w:p>
          <w:p w14:paraId="22AFA46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4" w:firstLineChars="200"/>
              <w:jc w:val="both"/>
              <w:textAlignment w:val="baseline"/>
              <w:rPr>
                <w:color w:val="auto"/>
                <w:highlight w:val="none"/>
              </w:rPr>
            </w:pPr>
            <w:r>
              <w:rPr>
                <w:color w:val="auto"/>
                <w:spacing w:val="11"/>
                <w:highlight w:val="none"/>
              </w:rPr>
              <w:t>10.2.2</w:t>
            </w:r>
            <w:r>
              <w:rPr>
                <w:color w:val="auto"/>
                <w:spacing w:val="-35"/>
                <w:highlight w:val="none"/>
              </w:rPr>
              <w:t xml:space="preserve"> </w:t>
            </w:r>
            <w:r>
              <w:rPr>
                <w:color w:val="auto"/>
                <w:spacing w:val="11"/>
                <w:highlight w:val="none"/>
              </w:rPr>
              <w:t>信用等级延续</w:t>
            </w:r>
            <w:r>
              <w:rPr>
                <w:color w:val="auto"/>
                <w:spacing w:val="-19"/>
                <w:highlight w:val="none"/>
              </w:rPr>
              <w:t xml:space="preserve"> </w:t>
            </w:r>
            <w:r>
              <w:rPr>
                <w:color w:val="auto"/>
                <w:spacing w:val="11"/>
                <w:highlight w:val="none"/>
              </w:rPr>
              <w:t>1</w:t>
            </w:r>
            <w:r>
              <w:rPr>
                <w:color w:val="auto"/>
                <w:spacing w:val="-33"/>
                <w:highlight w:val="none"/>
              </w:rPr>
              <w:t xml:space="preserve"> </w:t>
            </w:r>
            <w:r>
              <w:rPr>
                <w:color w:val="auto"/>
                <w:spacing w:val="11"/>
                <w:highlight w:val="none"/>
              </w:rPr>
              <w:t>年后仍无信用评价等级的，按照初次进入广</w:t>
            </w:r>
            <w:r>
              <w:rPr>
                <w:color w:val="auto"/>
                <w:spacing w:val="10"/>
                <w:highlight w:val="none"/>
              </w:rPr>
              <w:t>东省确定，原</w:t>
            </w:r>
            <w:r>
              <w:rPr>
                <w:color w:val="auto"/>
                <w:spacing w:val="14"/>
                <w:highlight w:val="none"/>
              </w:rPr>
              <w:t>则上按</w:t>
            </w:r>
            <w:r>
              <w:rPr>
                <w:color w:val="auto"/>
                <w:spacing w:val="-40"/>
                <w:highlight w:val="none"/>
              </w:rPr>
              <w:t xml:space="preserve"> </w:t>
            </w:r>
            <w:r>
              <w:rPr>
                <w:color w:val="auto"/>
                <w:spacing w:val="14"/>
                <w:highlight w:val="none"/>
              </w:rPr>
              <w:t>B</w:t>
            </w:r>
            <w:r>
              <w:rPr>
                <w:color w:val="auto"/>
                <w:spacing w:val="-30"/>
                <w:highlight w:val="none"/>
              </w:rPr>
              <w:t xml:space="preserve"> </w:t>
            </w:r>
            <w:r>
              <w:rPr>
                <w:color w:val="auto"/>
                <w:spacing w:val="14"/>
                <w:highlight w:val="none"/>
              </w:rPr>
              <w:t>级对待，但下列情况除外：最新年度的全国公路从业单位（监理单位）</w:t>
            </w:r>
            <w:r>
              <w:rPr>
                <w:color w:val="auto"/>
                <w:spacing w:val="13"/>
                <w:highlight w:val="none"/>
              </w:rPr>
              <w:t>信用评价结果为</w:t>
            </w:r>
            <w:r>
              <w:rPr>
                <w:color w:val="auto"/>
                <w:spacing w:val="-36"/>
                <w:highlight w:val="none"/>
              </w:rPr>
              <w:t xml:space="preserve"> </w:t>
            </w:r>
            <w:r>
              <w:rPr>
                <w:color w:val="auto"/>
                <w:spacing w:val="13"/>
                <w:highlight w:val="none"/>
              </w:rPr>
              <w:t>C</w:t>
            </w:r>
            <w:r>
              <w:rPr>
                <w:color w:val="auto"/>
                <w:spacing w:val="-30"/>
                <w:highlight w:val="none"/>
              </w:rPr>
              <w:t xml:space="preserve"> </w:t>
            </w:r>
            <w:r>
              <w:rPr>
                <w:color w:val="auto"/>
                <w:spacing w:val="13"/>
                <w:highlight w:val="none"/>
              </w:rPr>
              <w:t>级或</w:t>
            </w:r>
            <w:r>
              <w:rPr>
                <w:color w:val="auto"/>
                <w:spacing w:val="-36"/>
                <w:highlight w:val="none"/>
              </w:rPr>
              <w:t xml:space="preserve"> </w:t>
            </w:r>
            <w:r>
              <w:rPr>
                <w:color w:val="auto"/>
                <w:spacing w:val="13"/>
                <w:highlight w:val="none"/>
              </w:rPr>
              <w:t>D</w:t>
            </w:r>
            <w:r>
              <w:rPr>
                <w:color w:val="auto"/>
                <w:spacing w:val="-30"/>
                <w:highlight w:val="none"/>
              </w:rPr>
              <w:t xml:space="preserve"> </w:t>
            </w:r>
            <w:r>
              <w:rPr>
                <w:color w:val="auto"/>
                <w:spacing w:val="13"/>
                <w:highlight w:val="none"/>
              </w:rPr>
              <w:t>级的，则按最新年度的全国公路从业单位（监理</w:t>
            </w:r>
            <w:r>
              <w:rPr>
                <w:color w:val="auto"/>
                <w:spacing w:val="12"/>
                <w:highlight w:val="none"/>
              </w:rPr>
              <w:t>单位）</w:t>
            </w:r>
            <w:r>
              <w:rPr>
                <w:color w:val="auto"/>
                <w:spacing w:val="15"/>
                <w:highlight w:val="none"/>
              </w:rPr>
              <w:t>信用评价结果对待；或最新年度的全国公路从业单位（监理单位）信用评价结果</w:t>
            </w:r>
            <w:r>
              <w:rPr>
                <w:color w:val="auto"/>
                <w:spacing w:val="11"/>
                <w:highlight w:val="none"/>
              </w:rPr>
              <w:t>未被评为</w:t>
            </w:r>
            <w:r>
              <w:rPr>
                <w:color w:val="auto"/>
                <w:spacing w:val="-19"/>
                <w:highlight w:val="none"/>
              </w:rPr>
              <w:t xml:space="preserve"> </w:t>
            </w:r>
            <w:r>
              <w:rPr>
                <w:color w:val="auto"/>
                <w:spacing w:val="11"/>
                <w:highlight w:val="none"/>
              </w:rPr>
              <w:t>C</w:t>
            </w:r>
            <w:r>
              <w:rPr>
                <w:color w:val="auto"/>
                <w:spacing w:val="-30"/>
                <w:highlight w:val="none"/>
              </w:rPr>
              <w:t xml:space="preserve"> </w:t>
            </w:r>
            <w:r>
              <w:rPr>
                <w:color w:val="auto"/>
                <w:spacing w:val="11"/>
                <w:highlight w:val="none"/>
              </w:rPr>
              <w:t>级或</w:t>
            </w:r>
            <w:r>
              <w:rPr>
                <w:color w:val="auto"/>
                <w:spacing w:val="-36"/>
                <w:highlight w:val="none"/>
              </w:rPr>
              <w:t xml:space="preserve"> </w:t>
            </w:r>
            <w:r>
              <w:rPr>
                <w:color w:val="auto"/>
                <w:spacing w:val="11"/>
                <w:highlight w:val="none"/>
              </w:rPr>
              <w:t>D</w:t>
            </w:r>
            <w:r>
              <w:rPr>
                <w:color w:val="auto"/>
                <w:spacing w:val="-30"/>
                <w:highlight w:val="none"/>
              </w:rPr>
              <w:t xml:space="preserve"> </w:t>
            </w:r>
            <w:r>
              <w:rPr>
                <w:color w:val="auto"/>
                <w:spacing w:val="11"/>
                <w:highlight w:val="none"/>
              </w:rPr>
              <w:t>级的，但在广东省最近年度原评价等级为</w:t>
            </w:r>
            <w:r>
              <w:rPr>
                <w:color w:val="auto"/>
                <w:spacing w:val="-36"/>
                <w:highlight w:val="none"/>
              </w:rPr>
              <w:t xml:space="preserve"> </w:t>
            </w:r>
            <w:r>
              <w:rPr>
                <w:color w:val="auto"/>
                <w:spacing w:val="11"/>
                <w:highlight w:val="none"/>
              </w:rPr>
              <w:t>D</w:t>
            </w:r>
            <w:r>
              <w:rPr>
                <w:color w:val="auto"/>
                <w:spacing w:val="-30"/>
                <w:highlight w:val="none"/>
              </w:rPr>
              <w:t xml:space="preserve"> </w:t>
            </w:r>
            <w:r>
              <w:rPr>
                <w:color w:val="auto"/>
                <w:spacing w:val="11"/>
                <w:highlight w:val="none"/>
              </w:rPr>
              <w:t>级的，则按</w:t>
            </w:r>
            <w:r>
              <w:rPr>
                <w:color w:val="auto"/>
                <w:spacing w:val="-33"/>
                <w:highlight w:val="none"/>
              </w:rPr>
              <w:t xml:space="preserve"> </w:t>
            </w:r>
            <w:r>
              <w:rPr>
                <w:color w:val="auto"/>
                <w:spacing w:val="11"/>
                <w:highlight w:val="none"/>
              </w:rPr>
              <w:t>C</w:t>
            </w:r>
            <w:r>
              <w:rPr>
                <w:color w:val="auto"/>
                <w:spacing w:val="-30"/>
                <w:highlight w:val="none"/>
              </w:rPr>
              <w:t xml:space="preserve"> </w:t>
            </w:r>
            <w:r>
              <w:rPr>
                <w:color w:val="auto"/>
                <w:spacing w:val="11"/>
                <w:highlight w:val="none"/>
              </w:rPr>
              <w:t>级对</w:t>
            </w:r>
            <w:r>
              <w:rPr>
                <w:color w:val="auto"/>
                <w:highlight w:val="none"/>
              </w:rPr>
              <w:t>待。</w:t>
            </w:r>
          </w:p>
          <w:p w14:paraId="43B015B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 xml:space="preserve">10.2.3 </w:t>
            </w:r>
            <w:r>
              <w:rPr>
                <w:color w:val="auto"/>
                <w:highlight w:val="none"/>
              </w:rPr>
              <w:t>AA</w:t>
            </w:r>
            <w:r>
              <w:rPr>
                <w:color w:val="auto"/>
                <w:spacing w:val="12"/>
                <w:highlight w:val="none"/>
              </w:rPr>
              <w:t>、A</w:t>
            </w:r>
            <w:r>
              <w:rPr>
                <w:color w:val="auto"/>
                <w:spacing w:val="-30"/>
                <w:highlight w:val="none"/>
              </w:rPr>
              <w:t xml:space="preserve"> </w:t>
            </w:r>
            <w:r>
              <w:rPr>
                <w:color w:val="auto"/>
                <w:spacing w:val="12"/>
                <w:highlight w:val="none"/>
              </w:rPr>
              <w:t>级单位是指使用广东省信用评价等级申请承诺书的单位。提</w:t>
            </w:r>
            <w:r>
              <w:rPr>
                <w:color w:val="auto"/>
                <w:spacing w:val="11"/>
                <w:highlight w:val="none"/>
              </w:rPr>
              <w:t>交申请</w:t>
            </w:r>
            <w:r>
              <w:rPr>
                <w:color w:val="auto"/>
                <w:spacing w:val="13"/>
                <w:highlight w:val="none"/>
              </w:rPr>
              <w:t>承诺书未使用</w:t>
            </w:r>
            <w:r>
              <w:rPr>
                <w:color w:val="auto"/>
                <w:spacing w:val="-37"/>
                <w:highlight w:val="none"/>
              </w:rPr>
              <w:t xml:space="preserve"> </w:t>
            </w:r>
            <w:r>
              <w:rPr>
                <w:color w:val="auto"/>
                <w:highlight w:val="none"/>
              </w:rPr>
              <w:t>AA</w:t>
            </w:r>
            <w:r>
              <w:rPr>
                <w:color w:val="auto"/>
                <w:spacing w:val="13"/>
                <w:highlight w:val="none"/>
              </w:rPr>
              <w:t>、A</w:t>
            </w:r>
            <w:r>
              <w:rPr>
                <w:color w:val="auto"/>
                <w:spacing w:val="-23"/>
                <w:highlight w:val="none"/>
              </w:rPr>
              <w:t xml:space="preserve"> </w:t>
            </w:r>
            <w:r>
              <w:rPr>
                <w:color w:val="auto"/>
                <w:spacing w:val="13"/>
                <w:highlight w:val="none"/>
              </w:rPr>
              <w:t>时，在评标过程中，</w:t>
            </w:r>
            <w:r>
              <w:rPr>
                <w:color w:val="auto"/>
                <w:highlight w:val="none"/>
              </w:rPr>
              <w:t>AA</w:t>
            </w:r>
            <w:r>
              <w:rPr>
                <w:color w:val="auto"/>
                <w:spacing w:val="-30"/>
                <w:highlight w:val="none"/>
              </w:rPr>
              <w:t xml:space="preserve"> </w:t>
            </w:r>
            <w:r>
              <w:rPr>
                <w:color w:val="auto"/>
                <w:spacing w:val="13"/>
                <w:highlight w:val="none"/>
              </w:rPr>
              <w:t>级信用等级企业按</w:t>
            </w:r>
            <w:r>
              <w:rPr>
                <w:color w:val="auto"/>
                <w:spacing w:val="-38"/>
                <w:highlight w:val="none"/>
              </w:rPr>
              <w:t xml:space="preserve"> </w:t>
            </w:r>
            <w:r>
              <w:rPr>
                <w:color w:val="auto"/>
                <w:spacing w:val="13"/>
                <w:highlight w:val="none"/>
              </w:rPr>
              <w:t>A</w:t>
            </w:r>
            <w:r>
              <w:rPr>
                <w:color w:val="auto"/>
                <w:spacing w:val="-30"/>
                <w:highlight w:val="none"/>
              </w:rPr>
              <w:t xml:space="preserve"> </w:t>
            </w:r>
            <w:r>
              <w:rPr>
                <w:color w:val="auto"/>
                <w:spacing w:val="13"/>
                <w:highlight w:val="none"/>
              </w:rPr>
              <w:t>级对待、A</w:t>
            </w:r>
            <w:r>
              <w:rPr>
                <w:color w:val="auto"/>
                <w:spacing w:val="-30"/>
                <w:highlight w:val="none"/>
              </w:rPr>
              <w:t xml:space="preserve"> </w:t>
            </w:r>
            <w:r>
              <w:rPr>
                <w:color w:val="auto"/>
                <w:spacing w:val="13"/>
                <w:highlight w:val="none"/>
              </w:rPr>
              <w:t>级信</w:t>
            </w:r>
            <w:r>
              <w:rPr>
                <w:color w:val="auto"/>
                <w:spacing w:val="6"/>
                <w:highlight w:val="none"/>
              </w:rPr>
              <w:t>用等级企业按</w:t>
            </w:r>
            <w:r>
              <w:rPr>
                <w:color w:val="auto"/>
                <w:spacing w:val="-43"/>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级对待。</w:t>
            </w:r>
          </w:p>
          <w:p w14:paraId="31513CA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4" w:firstLineChars="200"/>
              <w:jc w:val="both"/>
              <w:textAlignment w:val="baseline"/>
              <w:rPr>
                <w:color w:val="auto"/>
                <w:highlight w:val="none"/>
              </w:rPr>
            </w:pPr>
            <w:r>
              <w:rPr>
                <w:color w:val="auto"/>
                <w:spacing w:val="11"/>
                <w:highlight w:val="none"/>
              </w:rPr>
              <w:t>10.2.4 在招标评标中，信用评价等级采用按次、按标段或标类申请使</w:t>
            </w:r>
            <w:r>
              <w:rPr>
                <w:color w:val="auto"/>
                <w:spacing w:val="10"/>
                <w:highlight w:val="none"/>
              </w:rPr>
              <w:t>用的原则，</w:t>
            </w:r>
            <w:r>
              <w:rPr>
                <w:color w:val="auto"/>
                <w:spacing w:val="14"/>
                <w:highlight w:val="none"/>
              </w:rPr>
              <w:t>即在同一次招标中的多个标段的投标，可自愿对其中部分或全部标段申请使用</w:t>
            </w:r>
            <w:r>
              <w:rPr>
                <w:color w:val="auto"/>
                <w:spacing w:val="-37"/>
                <w:highlight w:val="none"/>
              </w:rPr>
              <w:t xml:space="preserve"> </w:t>
            </w:r>
            <w:r>
              <w:rPr>
                <w:color w:val="auto"/>
                <w:highlight w:val="none"/>
              </w:rPr>
              <w:t>AA</w:t>
            </w:r>
            <w:r>
              <w:rPr>
                <w:color w:val="auto"/>
                <w:spacing w:val="15"/>
                <w:highlight w:val="none"/>
              </w:rPr>
              <w:t>或</w:t>
            </w:r>
            <w:r>
              <w:rPr>
                <w:color w:val="auto"/>
                <w:spacing w:val="-41"/>
                <w:highlight w:val="none"/>
              </w:rPr>
              <w:t xml:space="preserve"> </w:t>
            </w:r>
            <w:r>
              <w:rPr>
                <w:color w:val="auto"/>
                <w:spacing w:val="15"/>
                <w:highlight w:val="none"/>
              </w:rPr>
              <w:t>A</w:t>
            </w:r>
            <w:r>
              <w:rPr>
                <w:color w:val="auto"/>
                <w:spacing w:val="-33"/>
                <w:highlight w:val="none"/>
              </w:rPr>
              <w:t xml:space="preserve"> </w:t>
            </w:r>
            <w:r>
              <w:rPr>
                <w:color w:val="auto"/>
                <w:spacing w:val="15"/>
                <w:highlight w:val="none"/>
              </w:rPr>
              <w:t>信用等级，无论中标与否，均应根据申请递交</w:t>
            </w:r>
            <w:r>
              <w:rPr>
                <w:color w:val="auto"/>
                <w:spacing w:val="14"/>
                <w:highlight w:val="none"/>
              </w:rPr>
              <w:t>投标（或申请）文件情况按标</w:t>
            </w:r>
            <w:r>
              <w:rPr>
                <w:color w:val="auto"/>
                <w:spacing w:val="9"/>
                <w:highlight w:val="none"/>
              </w:rPr>
              <w:t>段计算使用次数（非投标人原因导致招标失败的情</w:t>
            </w:r>
            <w:r>
              <w:rPr>
                <w:color w:val="auto"/>
                <w:spacing w:val="8"/>
                <w:highlight w:val="none"/>
              </w:rPr>
              <w:t>况除外）。</w:t>
            </w:r>
          </w:p>
          <w:p w14:paraId="4381F9B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10.2.5</w:t>
            </w:r>
            <w:r>
              <w:rPr>
                <w:color w:val="auto"/>
                <w:spacing w:val="-12"/>
                <w:highlight w:val="none"/>
              </w:rPr>
              <w:t xml:space="preserve"> </w:t>
            </w:r>
            <w:r>
              <w:rPr>
                <w:color w:val="auto"/>
                <w:spacing w:val="12"/>
                <w:highlight w:val="none"/>
              </w:rPr>
              <w:t>以联合体形式投标的，信用等</w:t>
            </w:r>
            <w:r>
              <w:rPr>
                <w:color w:val="auto"/>
                <w:spacing w:val="11"/>
                <w:highlight w:val="none"/>
              </w:rPr>
              <w:t>级以联合体中信用等级较低的为准。如联合</w:t>
            </w:r>
            <w:r>
              <w:rPr>
                <w:color w:val="auto"/>
                <w:spacing w:val="15"/>
                <w:highlight w:val="none"/>
              </w:rPr>
              <w:t>体成员中存在不属于广东省公路工程从业企业信用评价体系的参评范围的单位，</w:t>
            </w:r>
            <w:r>
              <w:rPr>
                <w:color w:val="auto"/>
                <w:spacing w:val="6"/>
                <w:highlight w:val="none"/>
              </w:rPr>
              <w:t>其信用评价等级视为</w:t>
            </w:r>
            <w:r>
              <w:rPr>
                <w:color w:val="auto"/>
                <w:spacing w:val="-38"/>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w:t>
            </w:r>
          </w:p>
          <w:p w14:paraId="0141C19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4" w:firstLineChars="200"/>
              <w:jc w:val="both"/>
              <w:textAlignment w:val="baseline"/>
              <w:rPr>
                <w:color w:val="auto"/>
                <w:highlight w:val="none"/>
              </w:rPr>
            </w:pPr>
            <w:r>
              <w:rPr>
                <w:color w:val="auto"/>
                <w:spacing w:val="11"/>
                <w:highlight w:val="none"/>
              </w:rPr>
              <w:t>10.3 如果推荐的第一中标候选人放弃中标、因不可抗力提出不能履行合同或因被</w:t>
            </w:r>
            <w:r>
              <w:rPr>
                <w:color w:val="auto"/>
                <w:spacing w:val="15"/>
                <w:highlight w:val="none"/>
              </w:rPr>
              <w:t>投诉经查证属实取消中标资格的，或者招标文件规定应当提交履约保证金而在规</w:t>
            </w:r>
            <w:r>
              <w:rPr>
                <w:color w:val="auto"/>
                <w:spacing w:val="12"/>
                <w:highlight w:val="none"/>
              </w:rPr>
              <w:t>定的期限内未能提交的，招标人可以</w:t>
            </w:r>
            <w:r>
              <w:rPr>
                <w:rFonts w:hint="eastAsia"/>
                <w:color w:val="auto"/>
                <w:spacing w:val="12"/>
                <w:highlight w:val="none"/>
                <w:lang w:val="en-US" w:eastAsia="zh-CN"/>
              </w:rPr>
              <w:t>重新定标</w:t>
            </w:r>
            <w:r>
              <w:rPr>
                <w:color w:val="auto"/>
                <w:spacing w:val="12"/>
                <w:highlight w:val="none"/>
              </w:rPr>
              <w:t>,或重新</w:t>
            </w:r>
            <w:r>
              <w:rPr>
                <w:color w:val="auto"/>
                <w:spacing w:val="7"/>
                <w:highlight w:val="none"/>
              </w:rPr>
              <w:t>组织招标。</w:t>
            </w:r>
          </w:p>
          <w:p w14:paraId="3558239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36" w:firstLineChars="200"/>
              <w:jc w:val="both"/>
              <w:textAlignment w:val="baseline"/>
              <w:rPr>
                <w:color w:val="auto"/>
                <w:highlight w:val="none"/>
              </w:rPr>
            </w:pPr>
            <w:r>
              <w:rPr>
                <w:color w:val="auto"/>
                <w:spacing w:val="9"/>
                <w:highlight w:val="none"/>
              </w:rPr>
              <w:t>10.4 如果开标后至中标通知书发出前</w:t>
            </w:r>
            <w:r>
              <w:rPr>
                <w:color w:val="auto"/>
                <w:spacing w:val="8"/>
                <w:highlight w:val="none"/>
              </w:rPr>
              <w:t>，中标候选人发生投标人须知</w:t>
            </w:r>
            <w:r>
              <w:rPr>
                <w:color w:val="auto"/>
                <w:spacing w:val="-22"/>
                <w:highlight w:val="none"/>
              </w:rPr>
              <w:t xml:space="preserve"> </w:t>
            </w:r>
            <w:r>
              <w:rPr>
                <w:color w:val="auto"/>
                <w:spacing w:val="8"/>
                <w:highlight w:val="none"/>
              </w:rPr>
              <w:t>1.4.4（1）至</w:t>
            </w:r>
            <w:r>
              <w:rPr>
                <w:color w:val="auto"/>
                <w:spacing w:val="10"/>
                <w:highlight w:val="none"/>
              </w:rPr>
              <w:t>（7）</w:t>
            </w:r>
            <w:r>
              <w:rPr>
                <w:color w:val="auto"/>
                <w:spacing w:val="-51"/>
                <w:highlight w:val="none"/>
              </w:rPr>
              <w:t xml:space="preserve"> </w:t>
            </w:r>
            <w:r>
              <w:rPr>
                <w:color w:val="auto"/>
                <w:spacing w:val="10"/>
                <w:highlight w:val="none"/>
              </w:rPr>
              <w:t>的情形及中标候选人信用等级被广东省交通运输厅直接降为</w:t>
            </w:r>
            <w:r>
              <w:rPr>
                <w:color w:val="auto"/>
                <w:spacing w:val="-38"/>
                <w:highlight w:val="none"/>
              </w:rPr>
              <w:t xml:space="preserve"> </w:t>
            </w:r>
            <w:r>
              <w:rPr>
                <w:color w:val="auto"/>
                <w:spacing w:val="10"/>
                <w:highlight w:val="none"/>
              </w:rPr>
              <w:t>D</w:t>
            </w:r>
            <w:r>
              <w:rPr>
                <w:color w:val="auto"/>
                <w:spacing w:val="-33"/>
                <w:highlight w:val="none"/>
              </w:rPr>
              <w:t xml:space="preserve"> </w:t>
            </w:r>
            <w:r>
              <w:rPr>
                <w:color w:val="auto"/>
                <w:spacing w:val="10"/>
                <w:highlight w:val="none"/>
              </w:rPr>
              <w:t>级的情形，则</w:t>
            </w:r>
            <w:r>
              <w:rPr>
                <w:color w:val="auto"/>
                <w:spacing w:val="8"/>
                <w:highlight w:val="none"/>
              </w:rPr>
              <w:t>取消其中标资格，按否决其投标处理；</w:t>
            </w:r>
          </w:p>
          <w:p w14:paraId="272847F3">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60" w:firstLineChars="200"/>
              <w:jc w:val="both"/>
              <w:textAlignment w:val="baseline"/>
              <w:rPr>
                <w:color w:val="auto"/>
                <w:spacing w:val="15"/>
                <w:highlight w:val="none"/>
              </w:rPr>
            </w:pPr>
            <w:r>
              <w:rPr>
                <w:color w:val="auto"/>
                <w:spacing w:val="15"/>
                <w:highlight w:val="none"/>
              </w:rPr>
              <w:t>发生以上情况时，招标人</w:t>
            </w:r>
            <w:r>
              <w:rPr>
                <w:color w:val="auto"/>
                <w:spacing w:val="12"/>
                <w:highlight w:val="none"/>
              </w:rPr>
              <w:t>可以</w:t>
            </w:r>
            <w:r>
              <w:rPr>
                <w:rFonts w:hint="eastAsia"/>
                <w:color w:val="auto"/>
                <w:spacing w:val="12"/>
                <w:highlight w:val="none"/>
                <w:lang w:val="en-US" w:eastAsia="zh-CN"/>
              </w:rPr>
              <w:t>重新定标</w:t>
            </w:r>
            <w:r>
              <w:rPr>
                <w:color w:val="auto"/>
                <w:spacing w:val="12"/>
                <w:highlight w:val="none"/>
              </w:rPr>
              <w:t>,或重新</w:t>
            </w:r>
            <w:r>
              <w:rPr>
                <w:color w:val="auto"/>
                <w:spacing w:val="7"/>
                <w:highlight w:val="none"/>
              </w:rPr>
              <w:t>组织招标</w:t>
            </w:r>
            <w:r>
              <w:rPr>
                <w:color w:val="auto"/>
                <w:spacing w:val="4"/>
                <w:highlight w:val="none"/>
              </w:rPr>
              <w:t>。</w:t>
            </w:r>
          </w:p>
          <w:p w14:paraId="5B89129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28" w:firstLineChars="200"/>
              <w:jc w:val="both"/>
              <w:textAlignment w:val="baseline"/>
              <w:rPr>
                <w:color w:val="auto"/>
                <w:sz w:val="10"/>
                <w:szCs w:val="10"/>
                <w:highlight w:val="none"/>
              </w:rPr>
            </w:pPr>
            <w:r>
              <w:rPr>
                <w:color w:val="auto"/>
                <w:spacing w:val="7"/>
                <w:highlight w:val="none"/>
              </w:rPr>
              <w:t>10.5</w:t>
            </w:r>
            <w:r>
              <w:rPr>
                <w:rFonts w:hint="eastAsia"/>
                <w:color w:val="auto"/>
                <w:spacing w:val="7"/>
                <w:highlight w:val="none"/>
                <w:lang w:val="en-US" w:eastAsia="zh-CN"/>
              </w:rPr>
              <w:t xml:space="preserve"> </w:t>
            </w:r>
            <w:r>
              <w:rPr>
                <w:color w:val="auto"/>
                <w:spacing w:val="7"/>
                <w:highlight w:val="none"/>
              </w:rPr>
              <w:t>本招标文件中所有 “类似工程</w:t>
            </w:r>
            <w:r>
              <w:rPr>
                <w:color w:val="auto"/>
                <w:spacing w:val="-58"/>
                <w:highlight w:val="none"/>
              </w:rPr>
              <w:t xml:space="preserve"> </w:t>
            </w:r>
            <w:r>
              <w:rPr>
                <w:color w:val="auto"/>
                <w:spacing w:val="7"/>
                <w:highlight w:val="none"/>
              </w:rPr>
              <w:t>”均指</w:t>
            </w:r>
            <w:r>
              <w:rPr>
                <w:b/>
                <w:bCs/>
                <w:color w:val="auto"/>
                <w:spacing w:val="7"/>
                <w:highlight w:val="none"/>
                <w:u w:val="single" w:color="auto"/>
              </w:rPr>
              <w:t>新建（或改、扩建）</w:t>
            </w:r>
            <w:r>
              <w:rPr>
                <w:rFonts w:hint="eastAsia"/>
                <w:b/>
                <w:bCs/>
                <w:color w:val="auto"/>
                <w:spacing w:val="7"/>
                <w:highlight w:val="none"/>
                <w:u w:val="single" w:color="auto"/>
                <w:lang w:val="en-US" w:eastAsia="zh-CN"/>
              </w:rPr>
              <w:t>一级或以上</w:t>
            </w:r>
            <w:r>
              <w:rPr>
                <w:color w:val="auto"/>
                <w:spacing w:val="-36"/>
                <w:highlight w:val="none"/>
                <w:u w:val="single" w:color="auto"/>
              </w:rPr>
              <w:t xml:space="preserve"> </w:t>
            </w:r>
            <w:r>
              <w:rPr>
                <w:b/>
                <w:bCs/>
                <w:color w:val="auto"/>
                <w:spacing w:val="7"/>
                <w:highlight w:val="none"/>
                <w:u w:val="single" w:color="auto"/>
              </w:rPr>
              <w:t>(公路技术等级)</w:t>
            </w:r>
            <w:r>
              <w:rPr>
                <w:color w:val="auto"/>
                <w:spacing w:val="15"/>
                <w:highlight w:val="none"/>
                <w:u w:val="single" w:color="auto"/>
              </w:rPr>
              <w:t>公路工程</w:t>
            </w:r>
            <w:r>
              <w:rPr>
                <w:color w:val="auto"/>
                <w:spacing w:val="15"/>
                <w:highlight w:val="none"/>
              </w:rPr>
              <w:t>项目。</w:t>
            </w:r>
            <w:r>
              <w:rPr>
                <w:color w:val="auto"/>
                <w:spacing w:val="15"/>
                <w:highlight w:val="none"/>
                <w:u w:val="single" w:color="auto"/>
              </w:rPr>
              <w:t>在采用新建的公路项目完工业绩时，对于同等公路等级改、扩建</w:t>
            </w:r>
            <w:r>
              <w:rPr>
                <w:color w:val="auto"/>
                <w:spacing w:val="9"/>
                <w:highlight w:val="none"/>
                <w:u w:val="single" w:color="auto"/>
              </w:rPr>
              <w:t>中的新建桥梁或隧道工程业绩也应认可</w:t>
            </w:r>
            <w:r>
              <w:rPr>
                <w:color w:val="auto"/>
                <w:spacing w:val="9"/>
                <w:highlight w:val="none"/>
              </w:rPr>
              <w:t>。</w:t>
            </w:r>
          </w:p>
          <w:p w14:paraId="0D58E82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20" w:firstLineChars="200"/>
              <w:jc w:val="both"/>
              <w:textAlignment w:val="baseline"/>
              <w:rPr>
                <w:color w:val="auto"/>
                <w:highlight w:val="none"/>
              </w:rPr>
            </w:pPr>
            <w:r>
              <w:rPr>
                <w:color w:val="auto"/>
                <w:spacing w:val="5"/>
                <w:highlight w:val="none"/>
              </w:rPr>
              <w:t>10.6 有关业绩的说明</w:t>
            </w:r>
            <w:r>
              <w:rPr>
                <w:color w:val="auto"/>
                <w:spacing w:val="1"/>
                <w:highlight w:val="none"/>
              </w:rPr>
              <w:t>10.6.1</w:t>
            </w:r>
          </w:p>
          <w:p w14:paraId="3CE90DC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36" w:firstLineChars="200"/>
              <w:jc w:val="both"/>
              <w:textAlignment w:val="baseline"/>
              <w:rPr>
                <w:color w:val="auto"/>
                <w:highlight w:val="none"/>
              </w:rPr>
            </w:pPr>
            <w:r>
              <w:rPr>
                <w:color w:val="auto"/>
                <w:spacing w:val="9"/>
                <w:highlight w:val="none"/>
              </w:rPr>
              <w:t>a、特大桥及大桥按国家最新颁布的标准进行</w:t>
            </w:r>
            <w:r>
              <w:rPr>
                <w:color w:val="auto"/>
                <w:spacing w:val="8"/>
                <w:highlight w:val="none"/>
              </w:rPr>
              <w:t>划分；</w:t>
            </w:r>
          </w:p>
          <w:p w14:paraId="6CEC5B5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b、完成整座桥梁的半幅或整座桥梁其中的一部分工作内容达到特大桥或大桥对应</w:t>
            </w:r>
            <w:r>
              <w:rPr>
                <w:color w:val="auto"/>
                <w:spacing w:val="6"/>
                <w:highlight w:val="none"/>
              </w:rPr>
              <w:t>技术标准的，按相应标标准以</w:t>
            </w:r>
            <w:r>
              <w:rPr>
                <w:color w:val="auto"/>
                <w:spacing w:val="-13"/>
                <w:highlight w:val="none"/>
              </w:rPr>
              <w:t xml:space="preserve"> </w:t>
            </w:r>
            <w:r>
              <w:rPr>
                <w:color w:val="auto"/>
                <w:spacing w:val="6"/>
                <w:highlight w:val="none"/>
              </w:rPr>
              <w:t>1</w:t>
            </w:r>
            <w:r>
              <w:rPr>
                <w:color w:val="auto"/>
                <w:spacing w:val="-37"/>
                <w:highlight w:val="none"/>
              </w:rPr>
              <w:t xml:space="preserve"> </w:t>
            </w:r>
            <w:r>
              <w:rPr>
                <w:color w:val="auto"/>
                <w:spacing w:val="6"/>
                <w:highlight w:val="none"/>
              </w:rPr>
              <w:t>座计算；</w:t>
            </w:r>
          </w:p>
          <w:p w14:paraId="2A4411A2">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c、同一投标人的单座桥梁仅能计一次，只完成整个工程部分分部工程不参与计算</w:t>
            </w:r>
            <w:r>
              <w:rPr>
                <w:color w:val="auto"/>
                <w:spacing w:val="3"/>
                <w:highlight w:val="none"/>
              </w:rPr>
              <w:t>业绩。</w:t>
            </w:r>
          </w:p>
          <w:p w14:paraId="348BFFF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04" w:firstLineChars="200"/>
              <w:jc w:val="both"/>
              <w:textAlignment w:val="baseline"/>
              <w:rPr>
                <w:color w:val="auto"/>
                <w:highlight w:val="none"/>
              </w:rPr>
            </w:pPr>
            <w:r>
              <w:rPr>
                <w:color w:val="auto"/>
                <w:spacing w:val="1"/>
                <w:position w:val="1"/>
                <w:highlight w:val="none"/>
              </w:rPr>
              <w:t>10.6.2</w:t>
            </w:r>
          </w:p>
          <w:p w14:paraId="21FF642E">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0" w:firstLineChars="200"/>
              <w:jc w:val="both"/>
              <w:textAlignment w:val="baseline"/>
              <w:rPr>
                <w:color w:val="auto"/>
                <w:highlight w:val="none"/>
              </w:rPr>
            </w:pPr>
            <w:r>
              <w:rPr>
                <w:color w:val="auto"/>
                <w:spacing w:val="10"/>
                <w:highlight w:val="none"/>
              </w:rPr>
              <w:t>a、特长隧道：单座隧道单洞（即左洞加右洞）总长大于</w:t>
            </w:r>
            <w:r>
              <w:rPr>
                <w:color w:val="auto"/>
                <w:spacing w:val="-22"/>
                <w:highlight w:val="none"/>
              </w:rPr>
              <w:t xml:space="preserve"> </w:t>
            </w:r>
            <w:r>
              <w:rPr>
                <w:color w:val="auto"/>
                <w:spacing w:val="10"/>
                <w:highlight w:val="none"/>
              </w:rPr>
              <w:t>6000m</w:t>
            </w:r>
            <w:r>
              <w:rPr>
                <w:color w:val="auto"/>
                <w:spacing w:val="-18"/>
                <w:highlight w:val="none"/>
              </w:rPr>
              <w:t xml:space="preserve"> </w:t>
            </w:r>
            <w:r>
              <w:rPr>
                <w:color w:val="auto"/>
                <w:spacing w:val="10"/>
                <w:highlight w:val="none"/>
              </w:rPr>
              <w:t>的，或完成单座隧</w:t>
            </w:r>
            <w:r>
              <w:rPr>
                <w:color w:val="auto"/>
                <w:spacing w:val="12"/>
                <w:highlight w:val="none"/>
              </w:rPr>
              <w:t>道的一部分且该部分的单洞累计长度大于</w:t>
            </w:r>
            <w:r>
              <w:rPr>
                <w:color w:val="auto"/>
                <w:spacing w:val="-31"/>
                <w:highlight w:val="none"/>
              </w:rPr>
              <w:t xml:space="preserve"> </w:t>
            </w:r>
            <w:r>
              <w:rPr>
                <w:color w:val="auto"/>
                <w:spacing w:val="12"/>
                <w:highlight w:val="none"/>
              </w:rPr>
              <w:t>6000m</w:t>
            </w:r>
            <w:r>
              <w:rPr>
                <w:color w:val="auto"/>
                <w:spacing w:val="-16"/>
                <w:highlight w:val="none"/>
              </w:rPr>
              <w:t xml:space="preserve"> </w:t>
            </w:r>
            <w:r>
              <w:rPr>
                <w:color w:val="auto"/>
                <w:spacing w:val="12"/>
                <w:highlight w:val="none"/>
              </w:rPr>
              <w:t>的，均按</w:t>
            </w:r>
            <w:r>
              <w:rPr>
                <w:color w:val="auto"/>
                <w:spacing w:val="-16"/>
                <w:highlight w:val="none"/>
              </w:rPr>
              <w:t xml:space="preserve"> </w:t>
            </w:r>
            <w:r>
              <w:rPr>
                <w:color w:val="auto"/>
                <w:spacing w:val="11"/>
                <w:highlight w:val="none"/>
              </w:rPr>
              <w:t>1</w:t>
            </w:r>
            <w:r>
              <w:rPr>
                <w:color w:val="auto"/>
                <w:spacing w:val="-29"/>
                <w:highlight w:val="none"/>
              </w:rPr>
              <w:t xml:space="preserve"> </w:t>
            </w:r>
            <w:r>
              <w:rPr>
                <w:color w:val="auto"/>
                <w:spacing w:val="11"/>
                <w:highlight w:val="none"/>
              </w:rPr>
              <w:t>座计；完成单座特长</w:t>
            </w:r>
            <w:r>
              <w:rPr>
                <w:color w:val="auto"/>
                <w:spacing w:val="12"/>
                <w:highlight w:val="none"/>
              </w:rPr>
              <w:t>隧道的一部分</w:t>
            </w:r>
            <w:r>
              <w:rPr>
                <w:color w:val="auto"/>
                <w:spacing w:val="-58"/>
                <w:highlight w:val="none"/>
              </w:rPr>
              <w:t xml:space="preserve"> </w:t>
            </w:r>
            <w:r>
              <w:rPr>
                <w:color w:val="auto"/>
                <w:spacing w:val="12"/>
                <w:highlight w:val="none"/>
              </w:rPr>
              <w:t>，该部分单洞累计长度大于</w:t>
            </w:r>
            <w:r>
              <w:rPr>
                <w:color w:val="auto"/>
                <w:spacing w:val="-20"/>
                <w:highlight w:val="none"/>
              </w:rPr>
              <w:t xml:space="preserve"> </w:t>
            </w:r>
            <w:r>
              <w:rPr>
                <w:color w:val="auto"/>
                <w:spacing w:val="12"/>
                <w:highlight w:val="none"/>
              </w:rPr>
              <w:t>3000m</w:t>
            </w:r>
            <w:r>
              <w:rPr>
                <w:color w:val="auto"/>
                <w:spacing w:val="-24"/>
                <w:highlight w:val="none"/>
              </w:rPr>
              <w:t xml:space="preserve"> </w:t>
            </w:r>
            <w:r>
              <w:rPr>
                <w:color w:val="auto"/>
                <w:spacing w:val="12"/>
                <w:highlight w:val="none"/>
              </w:rPr>
              <w:t>且不大于</w:t>
            </w:r>
            <w:r>
              <w:rPr>
                <w:color w:val="auto"/>
                <w:spacing w:val="-23"/>
                <w:highlight w:val="none"/>
              </w:rPr>
              <w:t xml:space="preserve"> </w:t>
            </w:r>
            <w:r>
              <w:rPr>
                <w:color w:val="auto"/>
                <w:spacing w:val="12"/>
                <w:highlight w:val="none"/>
              </w:rPr>
              <w:t>600</w:t>
            </w:r>
            <w:r>
              <w:rPr>
                <w:color w:val="auto"/>
                <w:spacing w:val="11"/>
                <w:highlight w:val="none"/>
              </w:rPr>
              <w:t>0m 的</w:t>
            </w:r>
            <w:r>
              <w:rPr>
                <w:color w:val="auto"/>
                <w:spacing w:val="-58"/>
                <w:highlight w:val="none"/>
              </w:rPr>
              <w:t xml:space="preserve"> </w:t>
            </w:r>
            <w:r>
              <w:rPr>
                <w:color w:val="auto"/>
                <w:spacing w:val="11"/>
                <w:highlight w:val="none"/>
              </w:rPr>
              <w:t>，按</w:t>
            </w:r>
            <w:r>
              <w:rPr>
                <w:color w:val="auto"/>
                <w:spacing w:val="-23"/>
                <w:highlight w:val="none"/>
              </w:rPr>
              <w:t xml:space="preserve"> </w:t>
            </w:r>
            <w:r>
              <w:rPr>
                <w:color w:val="auto"/>
                <w:spacing w:val="11"/>
                <w:highlight w:val="none"/>
              </w:rPr>
              <w:t>0.5</w:t>
            </w:r>
            <w:r>
              <w:rPr>
                <w:color w:val="auto"/>
                <w:spacing w:val="-22"/>
                <w:highlight w:val="none"/>
              </w:rPr>
              <w:t xml:space="preserve"> </w:t>
            </w:r>
            <w:r>
              <w:rPr>
                <w:color w:val="auto"/>
                <w:spacing w:val="11"/>
                <w:highlight w:val="none"/>
              </w:rPr>
              <w:t>座</w:t>
            </w:r>
            <w:r>
              <w:rPr>
                <w:color w:val="auto"/>
                <w:spacing w:val="9"/>
                <w:highlight w:val="none"/>
              </w:rPr>
              <w:t>计，完成</w:t>
            </w:r>
            <w:r>
              <w:rPr>
                <w:color w:val="auto"/>
                <w:spacing w:val="-44"/>
                <w:highlight w:val="none"/>
              </w:rPr>
              <w:t xml:space="preserve"> </w:t>
            </w:r>
            <w:r>
              <w:rPr>
                <w:color w:val="auto"/>
                <w:spacing w:val="9"/>
                <w:highlight w:val="none"/>
              </w:rPr>
              <w:t>N</w:t>
            </w:r>
            <w:r>
              <w:rPr>
                <w:color w:val="auto"/>
                <w:spacing w:val="-36"/>
                <w:highlight w:val="none"/>
              </w:rPr>
              <w:t xml:space="preserve"> </w:t>
            </w:r>
            <w:r>
              <w:rPr>
                <w:color w:val="auto"/>
                <w:spacing w:val="9"/>
                <w:highlight w:val="none"/>
              </w:rPr>
              <w:t>座该类隧道按N×0.5</w:t>
            </w:r>
            <w:r>
              <w:rPr>
                <w:color w:val="auto"/>
                <w:spacing w:val="-36"/>
                <w:highlight w:val="none"/>
              </w:rPr>
              <w:t xml:space="preserve"> </w:t>
            </w:r>
            <w:r>
              <w:rPr>
                <w:color w:val="auto"/>
                <w:spacing w:val="9"/>
                <w:highlight w:val="none"/>
              </w:rPr>
              <w:t>座计；</w:t>
            </w:r>
          </w:p>
          <w:p w14:paraId="222627C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52" w:firstLineChars="200"/>
              <w:jc w:val="both"/>
              <w:textAlignment w:val="baseline"/>
              <w:rPr>
                <w:color w:val="auto"/>
                <w:highlight w:val="none"/>
              </w:rPr>
            </w:pPr>
            <w:r>
              <w:rPr>
                <w:color w:val="auto"/>
                <w:spacing w:val="13"/>
                <w:highlight w:val="none"/>
              </w:rPr>
              <w:t>b、长隧道：单座隧道单洞（即左洞加右洞）总长大于</w:t>
            </w:r>
            <w:r>
              <w:rPr>
                <w:color w:val="auto"/>
                <w:spacing w:val="-29"/>
                <w:highlight w:val="none"/>
              </w:rPr>
              <w:t xml:space="preserve"> </w:t>
            </w:r>
            <w:r>
              <w:rPr>
                <w:color w:val="auto"/>
                <w:spacing w:val="12"/>
                <w:highlight w:val="none"/>
              </w:rPr>
              <w:t>2000 米且不大于</w:t>
            </w:r>
            <w:r>
              <w:rPr>
                <w:color w:val="auto"/>
                <w:spacing w:val="-31"/>
                <w:highlight w:val="none"/>
              </w:rPr>
              <w:t xml:space="preserve"> </w:t>
            </w:r>
            <w:r>
              <w:rPr>
                <w:color w:val="auto"/>
                <w:spacing w:val="12"/>
                <w:highlight w:val="none"/>
              </w:rPr>
              <w:t>6000 米</w:t>
            </w:r>
            <w:r>
              <w:rPr>
                <w:color w:val="auto"/>
                <w:spacing w:val="20"/>
                <w:highlight w:val="none"/>
              </w:rPr>
              <w:t>的</w:t>
            </w:r>
            <w:r>
              <w:rPr>
                <w:color w:val="auto"/>
                <w:spacing w:val="-58"/>
                <w:highlight w:val="none"/>
              </w:rPr>
              <w:t xml:space="preserve"> </w:t>
            </w:r>
            <w:r>
              <w:rPr>
                <w:color w:val="auto"/>
                <w:spacing w:val="20"/>
                <w:highlight w:val="none"/>
              </w:rPr>
              <w:t>，或完成单座隧道的一部分且该部分的单洞累计长度大于</w:t>
            </w:r>
            <w:r>
              <w:rPr>
                <w:color w:val="auto"/>
                <w:spacing w:val="-20"/>
                <w:highlight w:val="none"/>
              </w:rPr>
              <w:t xml:space="preserve"> </w:t>
            </w:r>
            <w:r>
              <w:rPr>
                <w:color w:val="auto"/>
                <w:spacing w:val="20"/>
                <w:highlight w:val="none"/>
              </w:rPr>
              <w:t>2000 米且</w:t>
            </w:r>
            <w:r>
              <w:rPr>
                <w:color w:val="auto"/>
                <w:spacing w:val="19"/>
                <w:highlight w:val="none"/>
              </w:rPr>
              <w:t>不大于</w:t>
            </w:r>
            <w:r>
              <w:rPr>
                <w:color w:val="auto"/>
                <w:spacing w:val="3"/>
                <w:highlight w:val="none"/>
              </w:rPr>
              <w:t>6000 米的，均按</w:t>
            </w:r>
            <w:r>
              <w:rPr>
                <w:color w:val="auto"/>
                <w:spacing w:val="-14"/>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座计；</w:t>
            </w:r>
          </w:p>
          <w:p w14:paraId="378E4A2F">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c、同一座隧道同时满足条件的，同一投标人只计算一次业绩；特长隧道可计为长</w:t>
            </w:r>
            <w:r>
              <w:rPr>
                <w:color w:val="auto"/>
                <w:spacing w:val="-1"/>
                <w:highlight w:val="none"/>
              </w:rPr>
              <w:t>隧道。</w:t>
            </w:r>
          </w:p>
          <w:p w14:paraId="4E93073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28" w:firstLineChars="200"/>
              <w:jc w:val="both"/>
              <w:textAlignment w:val="baseline"/>
              <w:rPr>
                <w:rFonts w:ascii="Arial"/>
                <w:color w:val="auto"/>
                <w:sz w:val="21"/>
                <w:highlight w:val="none"/>
              </w:rPr>
            </w:pPr>
            <w:r>
              <w:rPr>
                <w:color w:val="auto"/>
                <w:spacing w:val="7"/>
                <w:highlight w:val="none"/>
              </w:rPr>
              <w:t>10.6.3</w:t>
            </w:r>
            <w:r>
              <w:rPr>
                <w:color w:val="auto"/>
                <w:spacing w:val="-33"/>
                <w:highlight w:val="none"/>
              </w:rPr>
              <w:t xml:space="preserve"> </w:t>
            </w:r>
            <w:r>
              <w:rPr>
                <w:color w:val="auto"/>
                <w:spacing w:val="7"/>
                <w:highlight w:val="none"/>
              </w:rPr>
              <w:t>一般互通式立交和枢纽互通式立交按国家最新颁布的标准进行划分。</w:t>
            </w:r>
            <w:r>
              <w:rPr>
                <w:color w:val="auto"/>
                <w:highlight w:val="none"/>
              </w:rPr>
              <w:t>或</w:t>
            </w:r>
          </w:p>
          <w:p w14:paraId="16B58B1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68" w:firstLineChars="200"/>
              <w:jc w:val="both"/>
              <w:textAlignment w:val="baseline"/>
              <w:rPr>
                <w:color w:val="auto"/>
                <w:highlight w:val="none"/>
              </w:rPr>
            </w:pPr>
            <w:r>
              <w:rPr>
                <w:color w:val="auto"/>
                <w:spacing w:val="17"/>
                <w:highlight w:val="none"/>
              </w:rPr>
              <w:t>10.6.3</w:t>
            </w:r>
            <w:r>
              <w:rPr>
                <w:color w:val="auto"/>
                <w:spacing w:val="-25"/>
                <w:highlight w:val="none"/>
              </w:rPr>
              <w:t xml:space="preserve"> </w:t>
            </w:r>
            <w:r>
              <w:rPr>
                <w:color w:val="auto"/>
                <w:spacing w:val="17"/>
                <w:highlight w:val="none"/>
              </w:rPr>
              <w:t>一般互通式立交和枢纽互通式立</w:t>
            </w:r>
            <w:r>
              <w:rPr>
                <w:color w:val="auto"/>
                <w:spacing w:val="16"/>
                <w:highlight w:val="none"/>
              </w:rPr>
              <w:t>交按《公路路线设计标准》</w:t>
            </w:r>
            <w:r>
              <w:rPr>
                <w:color w:val="auto"/>
                <w:spacing w:val="-60"/>
                <w:highlight w:val="none"/>
              </w:rPr>
              <w:t xml:space="preserve"> </w:t>
            </w:r>
            <w:r>
              <w:rPr>
                <w:color w:val="auto"/>
                <w:spacing w:val="16"/>
                <w:highlight w:val="none"/>
              </w:rPr>
              <w:t>（</w:t>
            </w:r>
            <w:r>
              <w:rPr>
                <w:color w:val="auto"/>
                <w:highlight w:val="none"/>
              </w:rPr>
              <w:t>JTG</w:t>
            </w:r>
            <w:r>
              <w:rPr>
                <w:color w:val="auto"/>
                <w:spacing w:val="16"/>
                <w:highlight w:val="none"/>
              </w:rPr>
              <w:t xml:space="preserve"> </w:t>
            </w:r>
            <w:r>
              <w:rPr>
                <w:color w:val="auto"/>
                <w:highlight w:val="none"/>
              </w:rPr>
              <w:t>D</w:t>
            </w:r>
            <w:r>
              <w:rPr>
                <w:color w:val="auto"/>
                <w:spacing w:val="16"/>
                <w:highlight w:val="none"/>
              </w:rPr>
              <w:t>20-</w:t>
            </w:r>
            <w:r>
              <w:rPr>
                <w:color w:val="auto"/>
                <w:highlight w:val="none"/>
              </w:rPr>
              <w:t xml:space="preserve"> </w:t>
            </w:r>
            <w:r>
              <w:rPr>
                <w:color w:val="auto"/>
                <w:spacing w:val="5"/>
                <w:highlight w:val="none"/>
              </w:rPr>
              <w:t>2017）进行划分。</w:t>
            </w:r>
          </w:p>
          <w:p w14:paraId="200D027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4" w:firstLineChars="200"/>
              <w:jc w:val="both"/>
              <w:textAlignment w:val="baseline"/>
              <w:rPr>
                <w:color w:val="auto"/>
                <w:highlight w:val="none"/>
              </w:rPr>
            </w:pPr>
            <w:r>
              <w:rPr>
                <w:color w:val="auto"/>
                <w:spacing w:val="11"/>
                <w:highlight w:val="none"/>
              </w:rPr>
              <w:t>10.7 招标文件中如无特别说明，土建工程路基、路面里程长度均不扣除桥隧等构</w:t>
            </w:r>
            <w:r>
              <w:rPr>
                <w:color w:val="auto"/>
                <w:spacing w:val="6"/>
                <w:highlight w:val="none"/>
              </w:rPr>
              <w:t>造物长度。</w:t>
            </w:r>
          </w:p>
          <w:p w14:paraId="217FDC1B">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42" w:leftChars="20" w:right="42" w:rightChars="20" w:firstLine="448" w:firstLineChars="200"/>
              <w:jc w:val="both"/>
              <w:textAlignment w:val="baseline"/>
              <w:rPr>
                <w:color w:val="auto"/>
                <w:highlight w:val="none"/>
              </w:rPr>
            </w:pPr>
            <w:r>
              <w:rPr>
                <w:color w:val="auto"/>
                <w:spacing w:val="12"/>
                <w:highlight w:val="none"/>
              </w:rPr>
              <w:t>10.8</w:t>
            </w:r>
            <w:r>
              <w:rPr>
                <w:color w:val="auto"/>
                <w:spacing w:val="-13"/>
                <w:highlight w:val="none"/>
              </w:rPr>
              <w:t xml:space="preserve"> </w:t>
            </w:r>
            <w:r>
              <w:rPr>
                <w:color w:val="auto"/>
                <w:spacing w:val="12"/>
                <w:highlight w:val="none"/>
              </w:rPr>
              <w:t>同时对两个及两个以上标段进行投标的投标人，不能使用同一</w:t>
            </w:r>
            <w:r>
              <w:rPr>
                <w:color w:val="auto"/>
                <w:spacing w:val="11"/>
                <w:highlight w:val="none"/>
              </w:rPr>
              <w:t>套人员。（如</w:t>
            </w:r>
            <w:r>
              <w:rPr>
                <w:color w:val="auto"/>
                <w:spacing w:val="8"/>
                <w:highlight w:val="none"/>
              </w:rPr>
              <w:t>果最终只允许中一个标段，则允许使用同一套人员）。</w:t>
            </w:r>
          </w:p>
        </w:tc>
      </w:tr>
      <w:tr w14:paraId="4247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3" w:type="dxa"/>
            <w:vAlign w:val="center"/>
          </w:tcPr>
          <w:p w14:paraId="23EEAC54">
            <w:pPr>
              <w:pStyle w:val="23"/>
              <w:keepNext w:val="0"/>
              <w:keepLines w:val="0"/>
              <w:pageBreakBefore w:val="0"/>
              <w:widowControl/>
              <w:kinsoku w:val="0"/>
              <w:wordWrap/>
              <w:overflowPunct/>
              <w:topLinePunct w:val="0"/>
              <w:autoSpaceDE w:val="0"/>
              <w:autoSpaceDN w:val="0"/>
              <w:bidi w:val="0"/>
              <w:adjustRightInd w:val="0"/>
              <w:snapToGrid w:val="0"/>
              <w:spacing w:line="298" w:lineRule="auto"/>
              <w:ind w:left="0" w:right="0" w:firstLine="11"/>
              <w:jc w:val="center"/>
              <w:textAlignment w:val="baseline"/>
              <w:rPr>
                <w:rFonts w:hint="default" w:ascii="宋体" w:hAnsi="宋体" w:eastAsia="宋体" w:cs="宋体"/>
                <w:color w:val="auto"/>
                <w:spacing w:val="12"/>
                <w:highlight w:val="none"/>
                <w:lang w:val="en-US" w:eastAsia="zh-CN"/>
              </w:rPr>
            </w:pPr>
            <w:r>
              <w:rPr>
                <w:rFonts w:hint="eastAsia" w:ascii="宋体" w:hAnsi="宋体" w:eastAsia="宋体" w:cs="宋体"/>
                <w:color w:val="auto"/>
                <w:spacing w:val="12"/>
                <w:highlight w:val="none"/>
                <w:lang w:val="en-US" w:eastAsia="zh-CN"/>
              </w:rPr>
              <w:t>10.9</w:t>
            </w:r>
          </w:p>
        </w:tc>
        <w:tc>
          <w:tcPr>
            <w:tcW w:w="8251" w:type="dxa"/>
            <w:gridSpan w:val="2"/>
            <w:vAlign w:val="top"/>
          </w:tcPr>
          <w:p w14:paraId="3302A6B8">
            <w:pPr>
              <w:pStyle w:val="23"/>
              <w:keepNext w:val="0"/>
              <w:keepLines w:val="0"/>
              <w:pageBreakBefore w:val="0"/>
              <w:wordWrap/>
              <w:overflowPunct/>
              <w:topLinePunct w:val="0"/>
              <w:bidi w:val="0"/>
              <w:spacing w:line="360" w:lineRule="exact"/>
              <w:ind w:left="116" w:right="108" w:firstLine="11"/>
              <w:rPr>
                <w:color w:val="auto"/>
                <w:spacing w:val="12"/>
                <w:highlight w:val="none"/>
              </w:rPr>
            </w:pPr>
            <w:r>
              <w:rPr>
                <w:rFonts w:hint="eastAsia"/>
                <w:color w:val="auto"/>
                <w:spacing w:val="12"/>
                <w:highlight w:val="none"/>
              </w:rPr>
              <w:t>本项目的招标代理服务费及评标专家酬劳全部由中标人支付，该费用不再另行报价，由投标人在投标报价时综合考虑在内。中标人在领取中标通知书前须向招标代理机构一次性支付招标代理服务费及评标专家酬劳，先由招标代理垫付（招标代理服务费按招标代理协议书约定执行，评标专家酬劳以评标结束当日的评标专家酬劳签收表总额为准）。</w:t>
            </w:r>
          </w:p>
        </w:tc>
      </w:tr>
    </w:tbl>
    <w:p w14:paraId="4D914A8C">
      <w:pPr>
        <w:spacing w:line="275" w:lineRule="auto"/>
        <w:rPr>
          <w:rFonts w:ascii="Arial"/>
          <w:color w:val="auto"/>
          <w:sz w:val="21"/>
          <w:highlight w:val="none"/>
        </w:rPr>
      </w:pPr>
    </w:p>
    <w:p w14:paraId="1B2FD50C">
      <w:pPr>
        <w:spacing w:line="275" w:lineRule="auto"/>
        <w:rPr>
          <w:rFonts w:ascii="Arial"/>
          <w:color w:val="auto"/>
          <w:sz w:val="21"/>
          <w:highlight w:val="none"/>
        </w:rPr>
      </w:pPr>
    </w:p>
    <w:p w14:paraId="69DD530A">
      <w:pPr>
        <w:spacing w:line="220" w:lineRule="auto"/>
        <w:rPr>
          <w:rFonts w:ascii="宋体" w:hAnsi="宋体" w:eastAsia="宋体" w:cs="宋体"/>
          <w:color w:val="auto"/>
          <w:sz w:val="18"/>
          <w:szCs w:val="18"/>
          <w:highlight w:val="none"/>
        </w:rPr>
        <w:sectPr>
          <w:footerReference r:id="rId12" w:type="default"/>
          <w:pgSz w:w="11906" w:h="16839"/>
          <w:pgMar w:top="1416" w:right="1785" w:bottom="1297" w:left="1304" w:header="0" w:footer="1066" w:gutter="0"/>
          <w:pgNumType w:fmt="decimal"/>
          <w:cols w:space="720" w:num="1"/>
        </w:sectPr>
      </w:pPr>
      <w:bookmarkStart w:id="38" w:name="bookmark79"/>
      <w:bookmarkEnd w:id="38"/>
    </w:p>
    <w:p w14:paraId="02AE0E6D">
      <w:pPr>
        <w:spacing w:before="128" w:line="219" w:lineRule="auto"/>
        <w:ind w:left="2186"/>
        <w:outlineLvl w:val="1"/>
        <w:rPr>
          <w:rFonts w:ascii="宋体" w:hAnsi="宋体" w:eastAsia="宋体" w:cs="宋体"/>
          <w:color w:val="auto"/>
          <w:sz w:val="28"/>
          <w:szCs w:val="28"/>
          <w:highlight w:val="none"/>
        </w:rPr>
      </w:pPr>
      <w:bookmarkStart w:id="39" w:name="_Toc25000"/>
      <w:bookmarkStart w:id="40" w:name="_Toc29797"/>
      <w:bookmarkStart w:id="41" w:name="_Toc31404"/>
      <w:bookmarkStart w:id="42" w:name="_Toc13426"/>
      <w:r>
        <w:rPr>
          <w:rFonts w:ascii="宋体" w:hAnsi="宋体" w:eastAsia="宋体" w:cs="宋体"/>
          <w:b/>
          <w:bCs/>
          <w:color w:val="auto"/>
          <w:spacing w:val="-6"/>
          <w:sz w:val="28"/>
          <w:szCs w:val="28"/>
          <w:highlight w:val="none"/>
        </w:rPr>
        <w:t>附录</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6"/>
          <w:sz w:val="28"/>
          <w:szCs w:val="28"/>
          <w:highlight w:val="none"/>
        </w:rPr>
        <w:t>1</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资格审查条件（资质最低要求）</w:t>
      </w:r>
      <w:bookmarkEnd w:id="39"/>
      <w:bookmarkEnd w:id="40"/>
      <w:bookmarkEnd w:id="41"/>
      <w:bookmarkEnd w:id="42"/>
    </w:p>
    <w:p w14:paraId="57911364">
      <w:pPr>
        <w:spacing w:before="300" w:line="220" w:lineRule="auto"/>
        <w:ind w:left="1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39B9E836">
      <w:pPr>
        <w:spacing w:line="145" w:lineRule="exact"/>
        <w:rPr>
          <w:color w:val="auto"/>
          <w:highlight w:val="none"/>
        </w:rPr>
      </w:pPr>
    </w:p>
    <w:tbl>
      <w:tblPr>
        <w:tblStyle w:val="22"/>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7160"/>
      </w:tblGrid>
      <w:tr w14:paraId="3C1C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130" w:type="dxa"/>
            <w:vAlign w:val="top"/>
          </w:tcPr>
          <w:p w14:paraId="6F525182">
            <w:pPr>
              <w:pStyle w:val="23"/>
              <w:spacing w:before="208" w:line="228" w:lineRule="auto"/>
              <w:ind w:left="649"/>
              <w:rPr>
                <w:color w:val="auto"/>
                <w:highlight w:val="none"/>
              </w:rPr>
            </w:pPr>
            <w:r>
              <w:rPr>
                <w:b/>
                <w:bCs/>
                <w:color w:val="auto"/>
                <w:spacing w:val="6"/>
                <w:highlight w:val="none"/>
              </w:rPr>
              <w:t>标段标类</w:t>
            </w:r>
          </w:p>
        </w:tc>
        <w:tc>
          <w:tcPr>
            <w:tcW w:w="7160" w:type="dxa"/>
            <w:vAlign w:val="top"/>
          </w:tcPr>
          <w:p w14:paraId="323F7C22">
            <w:pPr>
              <w:pStyle w:val="23"/>
              <w:spacing w:before="189" w:line="266" w:lineRule="exact"/>
              <w:ind w:left="2477"/>
              <w:rPr>
                <w:color w:val="auto"/>
                <w:sz w:val="10"/>
                <w:szCs w:val="10"/>
                <w:highlight w:val="none"/>
              </w:rPr>
            </w:pPr>
            <w:r>
              <w:rPr>
                <w:b/>
                <w:bCs/>
                <w:color w:val="auto"/>
                <w:spacing w:val="7"/>
                <w:highlight w:val="none"/>
              </w:rPr>
              <w:t>监理企业资质等级要求</w:t>
            </w:r>
          </w:p>
        </w:tc>
      </w:tr>
      <w:tr w14:paraId="5584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2130" w:type="dxa"/>
            <w:vAlign w:val="center"/>
          </w:tcPr>
          <w:p w14:paraId="7BE91617">
            <w:pPr>
              <w:pStyle w:val="23"/>
              <w:keepNext w:val="0"/>
              <w:keepLines w:val="0"/>
              <w:pageBreakBefore w:val="0"/>
              <w:widowControl/>
              <w:kinsoku w:val="0"/>
              <w:wordWrap/>
              <w:overflowPunct/>
              <w:topLinePunct w:val="0"/>
              <w:autoSpaceDE w:val="0"/>
              <w:autoSpaceDN w:val="0"/>
              <w:bidi w:val="0"/>
              <w:adjustRightInd w:val="0"/>
              <w:snapToGrid w:val="0"/>
              <w:spacing w:line="353" w:lineRule="auto"/>
              <w:ind w:left="170" w:leftChars="0" w:right="28" w:rightChars="0" w:hanging="142" w:firstLineChars="0"/>
              <w:jc w:val="center"/>
              <w:textAlignment w:val="baseline"/>
              <w:rPr>
                <w:color w:val="auto"/>
                <w:highlight w:val="none"/>
              </w:rPr>
            </w:pPr>
            <w:r>
              <w:rPr>
                <w:rFonts w:hint="eastAsia"/>
                <w:color w:val="auto"/>
                <w:highlight w:val="none"/>
              </w:rPr>
              <w:t>土建监理含中心试验室（D 类）</w:t>
            </w:r>
          </w:p>
        </w:tc>
        <w:tc>
          <w:tcPr>
            <w:tcW w:w="7160" w:type="dxa"/>
            <w:vAlign w:val="top"/>
          </w:tcPr>
          <w:p w14:paraId="7717C852">
            <w:pPr>
              <w:spacing w:line="419" w:lineRule="auto"/>
              <w:rPr>
                <w:rFonts w:ascii="Arial"/>
                <w:color w:val="auto"/>
                <w:sz w:val="21"/>
                <w:highlight w:val="none"/>
              </w:rPr>
            </w:pPr>
          </w:p>
          <w:p w14:paraId="783AE271">
            <w:pPr>
              <w:pStyle w:val="23"/>
              <w:spacing w:before="65" w:line="228" w:lineRule="auto"/>
              <w:ind w:left="116" w:leftChars="0"/>
              <w:rPr>
                <w:color w:val="auto"/>
                <w:highlight w:val="none"/>
              </w:rPr>
            </w:pPr>
            <w:r>
              <w:rPr>
                <w:rFonts w:hint="eastAsia"/>
                <w:color w:val="auto"/>
                <w:highlight w:val="none"/>
              </w:rPr>
              <w:t>具有交通运输主管部门核发的在有效期内的公路工程</w:t>
            </w:r>
            <w:r>
              <w:rPr>
                <w:rFonts w:hint="eastAsia"/>
                <w:color w:val="auto"/>
                <w:highlight w:val="none"/>
                <w:u w:val="single"/>
              </w:rPr>
              <w:t>乙</w:t>
            </w:r>
            <w:r>
              <w:rPr>
                <w:rFonts w:hint="eastAsia"/>
                <w:color w:val="auto"/>
                <w:highlight w:val="none"/>
              </w:rPr>
              <w:t>级以上（含乙级）监理企业资质。</w:t>
            </w:r>
          </w:p>
        </w:tc>
      </w:tr>
    </w:tbl>
    <w:p w14:paraId="78F7BE5D">
      <w:pPr>
        <w:spacing w:before="271" w:line="379" w:lineRule="auto"/>
        <w:ind w:left="118" w:right="115"/>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注：若联合体协议书约定同一专业分工由两个及以上单位共同承担的</w:t>
      </w:r>
      <w:r>
        <w:rPr>
          <w:rFonts w:ascii="宋体" w:hAnsi="宋体" w:eastAsia="宋体" w:cs="宋体"/>
          <w:color w:val="auto"/>
          <w:spacing w:val="10"/>
          <w:sz w:val="20"/>
          <w:szCs w:val="20"/>
          <w:highlight w:val="none"/>
        </w:rPr>
        <w:t>，按照就低不就高的原则确定</w:t>
      </w:r>
      <w:r>
        <w:rPr>
          <w:rFonts w:ascii="宋体" w:hAnsi="宋体" w:eastAsia="宋体" w:cs="宋体"/>
          <w:color w:val="auto"/>
          <w:spacing w:val="11"/>
          <w:sz w:val="20"/>
          <w:szCs w:val="20"/>
          <w:highlight w:val="none"/>
        </w:rPr>
        <w:t>联合体的资质；不同专业分工由不同单位分别承担的，按照各自的</w:t>
      </w:r>
      <w:r>
        <w:rPr>
          <w:rFonts w:ascii="宋体" w:hAnsi="宋体" w:eastAsia="宋体" w:cs="宋体"/>
          <w:color w:val="auto"/>
          <w:spacing w:val="10"/>
          <w:sz w:val="20"/>
          <w:szCs w:val="20"/>
          <w:highlight w:val="none"/>
        </w:rPr>
        <w:t>专业资质确定联合体的资质，下</w:t>
      </w:r>
      <w:r>
        <w:rPr>
          <w:rFonts w:ascii="宋体" w:hAnsi="宋体" w:eastAsia="宋体" w:cs="宋体"/>
          <w:color w:val="auto"/>
          <w:sz w:val="20"/>
          <w:szCs w:val="20"/>
          <w:highlight w:val="none"/>
        </w:rPr>
        <w:t>同。</w:t>
      </w:r>
    </w:p>
    <w:p w14:paraId="56BE1E9E">
      <w:pPr>
        <w:rPr>
          <w:rFonts w:ascii="宋体" w:hAnsi="宋体" w:eastAsia="宋体" w:cs="宋体"/>
          <w:color w:val="auto"/>
          <w:sz w:val="18"/>
          <w:szCs w:val="18"/>
          <w:highlight w:val="none"/>
        </w:rPr>
        <w:sectPr>
          <w:footerReference r:id="rId13" w:type="default"/>
          <w:pgSz w:w="11906" w:h="16839"/>
          <w:pgMar w:top="1431" w:right="1305" w:bottom="1297" w:left="1305" w:header="0" w:footer="1067" w:gutter="0"/>
          <w:pgNumType w:fmt="decimal"/>
          <w:cols w:space="720" w:num="1"/>
        </w:sectPr>
      </w:pPr>
      <w:bookmarkStart w:id="43" w:name="bookmark81"/>
      <w:bookmarkEnd w:id="43"/>
    </w:p>
    <w:p w14:paraId="003F4323">
      <w:pPr>
        <w:spacing w:before="128" w:line="219" w:lineRule="auto"/>
        <w:ind w:left="2186"/>
        <w:outlineLvl w:val="1"/>
        <w:rPr>
          <w:rFonts w:ascii="宋体" w:hAnsi="宋体" w:eastAsia="宋体" w:cs="宋体"/>
          <w:b/>
          <w:bCs/>
          <w:color w:val="auto"/>
          <w:spacing w:val="-6"/>
          <w:sz w:val="28"/>
          <w:szCs w:val="28"/>
          <w:highlight w:val="none"/>
        </w:rPr>
      </w:pPr>
      <w:bookmarkStart w:id="44" w:name="_Toc26936"/>
      <w:bookmarkStart w:id="45" w:name="_Toc19724"/>
      <w:bookmarkStart w:id="46" w:name="_Toc1818"/>
      <w:bookmarkStart w:id="47" w:name="_Toc5931"/>
      <w:r>
        <w:rPr>
          <w:rFonts w:ascii="宋体" w:hAnsi="宋体" w:eastAsia="宋体" w:cs="宋体"/>
          <w:b/>
          <w:bCs/>
          <w:color w:val="auto"/>
          <w:spacing w:val="-6"/>
          <w:sz w:val="28"/>
          <w:szCs w:val="28"/>
          <w:highlight w:val="none"/>
        </w:rPr>
        <w:t>附录2 资格审查条件（业绩最低要求）</w:t>
      </w:r>
      <w:bookmarkEnd w:id="44"/>
      <w:bookmarkEnd w:id="45"/>
      <w:bookmarkEnd w:id="46"/>
      <w:bookmarkEnd w:id="47"/>
    </w:p>
    <w:p w14:paraId="08BCCFB3">
      <w:pPr>
        <w:spacing w:before="294" w:line="220"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4D594A44">
      <w:pPr>
        <w:spacing w:line="146" w:lineRule="exact"/>
        <w:rPr>
          <w:color w:val="auto"/>
          <w:highlight w:val="none"/>
        </w:rPr>
      </w:pPr>
    </w:p>
    <w:tbl>
      <w:tblPr>
        <w:tblStyle w:val="22"/>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8157"/>
      </w:tblGrid>
      <w:tr w14:paraId="6B6F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31" w:type="dxa"/>
            <w:vAlign w:val="top"/>
          </w:tcPr>
          <w:p w14:paraId="50FEADD6">
            <w:pPr>
              <w:pStyle w:val="23"/>
              <w:spacing w:before="59" w:line="228" w:lineRule="auto"/>
              <w:ind w:left="149"/>
              <w:rPr>
                <w:color w:val="auto"/>
                <w:highlight w:val="none"/>
              </w:rPr>
            </w:pPr>
            <w:r>
              <w:rPr>
                <w:b/>
                <w:bCs/>
                <w:color w:val="auto"/>
                <w:spacing w:val="6"/>
                <w:highlight w:val="none"/>
              </w:rPr>
              <w:t>标段类别</w:t>
            </w:r>
          </w:p>
        </w:tc>
        <w:tc>
          <w:tcPr>
            <w:tcW w:w="8157" w:type="dxa"/>
            <w:vAlign w:val="top"/>
          </w:tcPr>
          <w:p w14:paraId="452BA0A1">
            <w:pPr>
              <w:pStyle w:val="23"/>
              <w:spacing w:before="59" w:line="229" w:lineRule="auto"/>
              <w:ind w:left="3765"/>
              <w:rPr>
                <w:color w:val="auto"/>
                <w:highlight w:val="none"/>
              </w:rPr>
            </w:pPr>
            <w:r>
              <w:rPr>
                <w:b/>
                <w:bCs/>
                <w:color w:val="auto"/>
                <w:spacing w:val="-3"/>
                <w:highlight w:val="none"/>
              </w:rPr>
              <w:t>要</w:t>
            </w:r>
            <w:r>
              <w:rPr>
                <w:color w:val="auto"/>
                <w:spacing w:val="12"/>
                <w:highlight w:val="none"/>
              </w:rPr>
              <w:t xml:space="preserve">  </w:t>
            </w:r>
            <w:r>
              <w:rPr>
                <w:b/>
                <w:bCs/>
                <w:color w:val="auto"/>
                <w:spacing w:val="-3"/>
                <w:highlight w:val="none"/>
              </w:rPr>
              <w:t>求</w:t>
            </w:r>
          </w:p>
        </w:tc>
      </w:tr>
      <w:tr w14:paraId="6885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1131" w:type="dxa"/>
            <w:vAlign w:val="center"/>
          </w:tcPr>
          <w:p w14:paraId="0DDB80AD">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28" w:right="10" w:rightChars="5"/>
              <w:jc w:val="center"/>
              <w:textAlignment w:val="baseline"/>
              <w:rPr>
                <w:color w:val="auto"/>
                <w:highlight w:val="none"/>
              </w:rPr>
            </w:pPr>
            <w:r>
              <w:rPr>
                <w:rFonts w:hint="eastAsia"/>
                <w:color w:val="auto"/>
                <w:highlight w:val="none"/>
              </w:rPr>
              <w:t>土建监理含中心试验室（D 类）</w:t>
            </w:r>
          </w:p>
        </w:tc>
        <w:tc>
          <w:tcPr>
            <w:tcW w:w="8157" w:type="dxa"/>
            <w:vAlign w:val="top"/>
          </w:tcPr>
          <w:p w14:paraId="6E4B8F36">
            <w:pPr>
              <w:spacing w:line="371" w:lineRule="auto"/>
              <w:rPr>
                <w:rFonts w:ascii="Arial"/>
                <w:color w:val="auto"/>
                <w:sz w:val="21"/>
                <w:highlight w:val="none"/>
              </w:rPr>
            </w:pPr>
          </w:p>
          <w:p w14:paraId="01FBEAAD">
            <w:pPr>
              <w:pStyle w:val="23"/>
              <w:spacing w:before="65" w:line="228" w:lineRule="auto"/>
              <w:ind w:left="111"/>
              <w:rPr>
                <w:color w:val="auto"/>
                <w:highlight w:val="none"/>
              </w:rPr>
            </w:pPr>
            <w:r>
              <w:rPr>
                <w:color w:val="auto"/>
                <w:spacing w:val="9"/>
                <w:highlight w:val="none"/>
              </w:rPr>
              <w:t>近五年，成功完成过以下业绩</w:t>
            </w:r>
          </w:p>
          <w:p w14:paraId="4B8247C8">
            <w:pPr>
              <w:pStyle w:val="23"/>
              <w:spacing w:before="161" w:line="303" w:lineRule="auto"/>
              <w:ind w:left="113" w:right="108" w:firstLine="14"/>
              <w:rPr>
                <w:color w:val="auto"/>
                <w:highlight w:val="none"/>
              </w:rPr>
            </w:pPr>
            <w:r>
              <w:rPr>
                <w:color w:val="auto"/>
                <w:spacing w:val="8"/>
                <w:highlight w:val="none"/>
              </w:rPr>
              <w:t>1、累计完成过不少于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 xml:space="preserve"> 4</w:t>
            </w:r>
            <w:r>
              <w:rPr>
                <w:color w:val="auto"/>
                <w:spacing w:val="5"/>
                <w:highlight w:val="none"/>
                <w:u w:val="single" w:color="auto"/>
              </w:rPr>
              <w:t xml:space="preserve">  </w:t>
            </w:r>
            <w:r>
              <w:rPr>
                <w:color w:val="auto"/>
                <w:spacing w:val="-91"/>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的类似工程路基施工监理任务</w:t>
            </w:r>
            <w:r>
              <w:rPr>
                <w:color w:val="auto"/>
                <w:spacing w:val="7"/>
                <w:highlight w:val="none"/>
              </w:rPr>
              <w:t>，其中至少</w:t>
            </w:r>
            <w:r>
              <w:rPr>
                <w:color w:val="auto"/>
                <w:spacing w:val="-21"/>
                <w:highlight w:val="none"/>
              </w:rPr>
              <w:t xml:space="preserve"> </w:t>
            </w:r>
            <w:r>
              <w:rPr>
                <w:color w:val="auto"/>
                <w:spacing w:val="7"/>
                <w:highlight w:val="none"/>
              </w:rPr>
              <w:t>1</w:t>
            </w:r>
            <w:r>
              <w:rPr>
                <w:color w:val="auto"/>
                <w:spacing w:val="-41"/>
                <w:highlight w:val="none"/>
              </w:rPr>
              <w:t xml:space="preserve"> </w:t>
            </w:r>
            <w:r>
              <w:rPr>
                <w:color w:val="auto"/>
                <w:spacing w:val="7"/>
                <w:highlight w:val="none"/>
              </w:rPr>
              <w:t>个标段里程不</w:t>
            </w:r>
            <w:r>
              <w:rPr>
                <w:color w:val="auto"/>
                <w:spacing w:val="4"/>
                <w:highlight w:val="none"/>
              </w:rPr>
              <w:t>少于</w:t>
            </w:r>
            <w:r>
              <w:rPr>
                <w:color w:val="auto"/>
                <w:spacing w:val="-99"/>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4</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4"/>
                <w:highlight w:val="none"/>
              </w:rPr>
              <w:t>。</w:t>
            </w:r>
          </w:p>
          <w:p w14:paraId="4A599CFA">
            <w:pPr>
              <w:pStyle w:val="23"/>
              <w:spacing w:before="161" w:line="302" w:lineRule="auto"/>
              <w:ind w:left="113" w:right="159" w:firstLine="1"/>
              <w:rPr>
                <w:color w:val="auto"/>
                <w:highlight w:val="none"/>
              </w:rPr>
            </w:pPr>
            <w:r>
              <w:rPr>
                <w:color w:val="auto"/>
                <w:spacing w:val="10"/>
                <w:highlight w:val="none"/>
              </w:rPr>
              <w:t>2、累计完成过不少于</w:t>
            </w:r>
            <w:r>
              <w:rPr>
                <w:color w:val="auto"/>
                <w:spacing w:val="-92"/>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4</w:t>
            </w:r>
            <w:r>
              <w:rPr>
                <w:color w:val="auto"/>
                <w:spacing w:val="8"/>
                <w:highlight w:val="none"/>
                <w:u w:val="single" w:color="auto"/>
              </w:rPr>
              <w:t xml:space="preserve">  </w:t>
            </w:r>
            <w:r>
              <w:rPr>
                <w:color w:val="auto"/>
                <w:spacing w:val="-93"/>
                <w:highlight w:val="none"/>
              </w:rPr>
              <w:t xml:space="preserve"> </w:t>
            </w:r>
            <w:r>
              <w:rPr>
                <w:color w:val="auto"/>
                <w:highlight w:val="none"/>
              </w:rPr>
              <w:t>km</w:t>
            </w:r>
            <w:r>
              <w:rPr>
                <w:color w:val="auto"/>
                <w:spacing w:val="-21"/>
                <w:highlight w:val="none"/>
              </w:rPr>
              <w:t xml:space="preserve"> </w:t>
            </w:r>
            <w:r>
              <w:rPr>
                <w:color w:val="auto"/>
                <w:spacing w:val="10"/>
                <w:highlight w:val="none"/>
              </w:rPr>
              <w:t>的类似工程</w:t>
            </w:r>
            <w:r>
              <w:rPr>
                <w:color w:val="auto"/>
                <w:spacing w:val="10"/>
                <w:highlight w:val="none"/>
                <w:u w:val="single" w:color="auto"/>
              </w:rPr>
              <w:t>沥青混凝土</w:t>
            </w:r>
            <w:r>
              <w:rPr>
                <w:color w:val="auto"/>
                <w:spacing w:val="10"/>
                <w:highlight w:val="none"/>
              </w:rPr>
              <w:t>路面施工监理任务，</w:t>
            </w:r>
            <w:r>
              <w:rPr>
                <w:color w:val="auto"/>
                <w:spacing w:val="5"/>
                <w:highlight w:val="none"/>
              </w:rPr>
              <w:t>其中至少</w:t>
            </w:r>
            <w:r>
              <w:rPr>
                <w:color w:val="auto"/>
                <w:spacing w:val="-10"/>
                <w:highlight w:val="none"/>
              </w:rPr>
              <w:t xml:space="preserve"> </w:t>
            </w:r>
            <w:r>
              <w:rPr>
                <w:color w:val="auto"/>
                <w:spacing w:val="5"/>
                <w:highlight w:val="none"/>
              </w:rPr>
              <w:t>1</w:t>
            </w:r>
            <w:r>
              <w:rPr>
                <w:color w:val="auto"/>
                <w:spacing w:val="-38"/>
                <w:highlight w:val="none"/>
              </w:rPr>
              <w:t xml:space="preserve"> </w:t>
            </w:r>
            <w:r>
              <w:rPr>
                <w:color w:val="auto"/>
                <w:spacing w:val="5"/>
                <w:highlight w:val="none"/>
              </w:rPr>
              <w:t>个标段里程不少于</w:t>
            </w:r>
            <w:r>
              <w:rPr>
                <w:color w:val="auto"/>
                <w:spacing w:val="5"/>
                <w:highlight w:val="none"/>
                <w:u w:val="single" w:color="auto"/>
              </w:rPr>
              <w:t xml:space="preserve">   </w:t>
            </w:r>
            <w:r>
              <w:rPr>
                <w:rFonts w:hint="eastAsia"/>
                <w:color w:val="auto"/>
                <w:spacing w:val="5"/>
                <w:highlight w:val="none"/>
                <w:u w:val="single" w:color="auto"/>
                <w:lang w:val="en-US" w:eastAsia="zh-CN"/>
              </w:rPr>
              <w:t>4</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5"/>
                <w:highlight w:val="none"/>
              </w:rPr>
              <w:t>。</w:t>
            </w:r>
          </w:p>
          <w:p w14:paraId="08D8940C">
            <w:pPr>
              <w:pStyle w:val="23"/>
              <w:spacing w:before="165" w:line="302" w:lineRule="auto"/>
              <w:ind w:left="113" w:right="108" w:firstLine="3"/>
              <w:rPr>
                <w:color w:val="auto"/>
                <w:highlight w:val="none"/>
              </w:rPr>
            </w:pPr>
            <w:r>
              <w:rPr>
                <w:rFonts w:hint="eastAsia"/>
                <w:color w:val="auto"/>
                <w:spacing w:val="8"/>
                <w:highlight w:val="none"/>
                <w:lang w:val="en-US" w:eastAsia="zh-CN"/>
              </w:rPr>
              <w:t>3</w:t>
            </w:r>
            <w:r>
              <w:rPr>
                <w:color w:val="auto"/>
                <w:spacing w:val="8"/>
                <w:highlight w:val="none"/>
              </w:rPr>
              <w:t>、累计完成过不少于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4</w:t>
            </w:r>
            <w:r>
              <w:rPr>
                <w:color w:val="auto"/>
                <w:spacing w:val="5"/>
                <w:highlight w:val="none"/>
                <w:u w:val="single" w:color="auto"/>
              </w:rPr>
              <w:t xml:space="preserve">  </w:t>
            </w:r>
            <w:r>
              <w:rPr>
                <w:color w:val="auto"/>
                <w:spacing w:val="-91"/>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的类似工程交通安全设施施工监理任务，其中至少</w:t>
            </w:r>
            <w:r>
              <w:rPr>
                <w:color w:val="auto"/>
                <w:spacing w:val="-22"/>
                <w:highlight w:val="none"/>
              </w:rPr>
              <w:t xml:space="preserve"> </w:t>
            </w:r>
            <w:r>
              <w:rPr>
                <w:color w:val="auto"/>
                <w:spacing w:val="7"/>
                <w:highlight w:val="none"/>
              </w:rPr>
              <w:t>1</w:t>
            </w:r>
            <w:r>
              <w:rPr>
                <w:color w:val="auto"/>
                <w:spacing w:val="-37"/>
                <w:highlight w:val="none"/>
              </w:rPr>
              <w:t xml:space="preserve"> </w:t>
            </w:r>
            <w:r>
              <w:rPr>
                <w:color w:val="auto"/>
                <w:spacing w:val="7"/>
                <w:highlight w:val="none"/>
              </w:rPr>
              <w:t>个标段里程不少于</w:t>
            </w:r>
            <w:r>
              <w:rPr>
                <w:color w:val="auto"/>
                <w:spacing w:val="-96"/>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4</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7"/>
                <w:highlight w:val="none"/>
              </w:rPr>
              <w:t>。</w:t>
            </w:r>
          </w:p>
          <w:p w14:paraId="4A2ABD73">
            <w:pPr>
              <w:pStyle w:val="23"/>
              <w:spacing w:before="130" w:line="371" w:lineRule="auto"/>
              <w:ind w:left="114"/>
              <w:rPr>
                <w:color w:val="auto"/>
                <w:highlight w:val="none"/>
              </w:rPr>
            </w:pPr>
          </w:p>
        </w:tc>
      </w:tr>
    </w:tbl>
    <w:p w14:paraId="5763704F">
      <w:pPr>
        <w:spacing w:before="31" w:line="232" w:lineRule="auto"/>
        <w:ind w:left="117"/>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2454EA2C">
      <w:pPr>
        <w:spacing w:before="156" w:line="227" w:lineRule="auto"/>
        <w:ind w:left="55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1、本附录所要求的业绩仅限中华人民共和国境内业绩。</w:t>
      </w:r>
    </w:p>
    <w:p w14:paraId="7A0514A4">
      <w:pPr>
        <w:spacing w:before="164" w:line="228" w:lineRule="auto"/>
        <w:ind w:left="5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2、同一工程项目同时满足</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项或多项业绩要求条件的，可分别计；</w:t>
      </w:r>
    </w:p>
    <w:p w14:paraId="49BE7536">
      <w:pPr>
        <w:spacing w:before="160" w:line="302" w:lineRule="auto"/>
        <w:ind w:left="117" w:right="111"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3、本表要求业绩指由投标人承接并完成的业绩,投标人上级单位（如总公司、集团公司等）的</w:t>
      </w:r>
      <w:r>
        <w:rPr>
          <w:rFonts w:ascii="宋体" w:hAnsi="宋体" w:eastAsia="宋体" w:cs="宋体"/>
          <w:color w:val="auto"/>
          <w:spacing w:val="9"/>
          <w:sz w:val="20"/>
          <w:szCs w:val="20"/>
          <w:highlight w:val="none"/>
        </w:rPr>
        <w:t>业绩和投标人具备独立法人资格的下属机构的业绩均不予认定。</w:t>
      </w:r>
    </w:p>
    <w:p w14:paraId="27689B96">
      <w:pPr>
        <w:spacing w:before="160" w:line="302" w:lineRule="auto"/>
        <w:ind w:left="117" w:right="111" w:firstLine="425"/>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4、若投标人提供的业绩证明为联合体业绩，则按投标人须知 3.5.2 项要求的证明材料体现其完成的相关专项工程的工程量认定，无法界定其完成的相关专项工程的工程量，此业绩不予认定。</w:t>
      </w:r>
    </w:p>
    <w:p w14:paraId="154ECEB2">
      <w:pPr>
        <w:spacing w:before="160" w:line="302" w:lineRule="auto"/>
        <w:ind w:left="117" w:right="111" w:firstLine="425"/>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5、若为联合体投标，投标人业绩的资格审查条件和加分条件（如有）的认定原则如下 ：</w:t>
      </w:r>
      <w:r>
        <w:rPr>
          <w:rFonts w:ascii="宋体" w:hAnsi="宋体" w:eastAsia="宋体" w:cs="宋体"/>
          <w:color w:val="auto"/>
          <w:spacing w:val="9"/>
          <w:sz w:val="20"/>
          <w:szCs w:val="20"/>
          <w:highlight w:val="none"/>
          <w:u w:val="single"/>
        </w:rPr>
        <w:t xml:space="preserve">     </w:t>
      </w:r>
      <w:r>
        <w:rPr>
          <w:rFonts w:hint="eastAsia" w:ascii="宋体" w:hAnsi="宋体" w:eastAsia="宋体" w:cs="宋体"/>
          <w:color w:val="auto"/>
          <w:spacing w:val="9"/>
          <w:sz w:val="20"/>
          <w:szCs w:val="20"/>
          <w:highlight w:val="none"/>
          <w:u w:val="single"/>
          <w:lang w:val="en-US" w:eastAsia="zh-CN"/>
        </w:rPr>
        <w:t>/</w:t>
      </w:r>
      <w:r>
        <w:rPr>
          <w:rFonts w:ascii="宋体" w:hAnsi="宋体" w:eastAsia="宋体" w:cs="宋体"/>
          <w:color w:val="auto"/>
          <w:spacing w:val="9"/>
          <w:sz w:val="20"/>
          <w:szCs w:val="20"/>
          <w:highlight w:val="none"/>
          <w:u w:val="single"/>
        </w:rPr>
        <w:t xml:space="preserve">     </w:t>
      </w:r>
      <w:r>
        <w:rPr>
          <w:rFonts w:ascii="宋体" w:hAnsi="宋体" w:eastAsia="宋体" w:cs="宋体"/>
          <w:color w:val="auto"/>
          <w:spacing w:val="9"/>
          <w:sz w:val="20"/>
          <w:szCs w:val="20"/>
          <w:highlight w:val="none"/>
        </w:rPr>
        <w:t>。</w:t>
      </w:r>
    </w:p>
    <w:p w14:paraId="6C39CB03">
      <w:pPr>
        <w:spacing w:line="259" w:lineRule="auto"/>
        <w:rPr>
          <w:rFonts w:ascii="Arial"/>
          <w:color w:val="auto"/>
          <w:sz w:val="21"/>
          <w:highlight w:val="none"/>
        </w:rPr>
      </w:pPr>
    </w:p>
    <w:p w14:paraId="3F42B6E1">
      <w:pPr>
        <w:spacing w:line="259" w:lineRule="auto"/>
        <w:rPr>
          <w:rFonts w:ascii="Arial"/>
          <w:color w:val="auto"/>
          <w:sz w:val="21"/>
          <w:highlight w:val="none"/>
        </w:rPr>
      </w:pPr>
    </w:p>
    <w:p w14:paraId="264E7FCA">
      <w:pPr>
        <w:spacing w:line="259" w:lineRule="auto"/>
        <w:rPr>
          <w:rFonts w:ascii="Arial"/>
          <w:color w:val="auto"/>
          <w:sz w:val="21"/>
          <w:highlight w:val="none"/>
        </w:rPr>
      </w:pPr>
    </w:p>
    <w:p w14:paraId="680A93F7">
      <w:pPr>
        <w:spacing w:line="259" w:lineRule="auto"/>
        <w:rPr>
          <w:rFonts w:ascii="Arial"/>
          <w:color w:val="auto"/>
          <w:sz w:val="21"/>
          <w:highlight w:val="none"/>
        </w:rPr>
      </w:pPr>
    </w:p>
    <w:p w14:paraId="068EEE86">
      <w:pPr>
        <w:spacing w:line="259" w:lineRule="auto"/>
        <w:rPr>
          <w:rFonts w:ascii="Arial"/>
          <w:color w:val="auto"/>
          <w:sz w:val="21"/>
          <w:highlight w:val="none"/>
        </w:rPr>
      </w:pPr>
    </w:p>
    <w:p w14:paraId="7F0E1EFB">
      <w:pPr>
        <w:spacing w:line="259" w:lineRule="auto"/>
        <w:rPr>
          <w:rFonts w:ascii="Arial"/>
          <w:color w:val="auto"/>
          <w:sz w:val="21"/>
          <w:highlight w:val="none"/>
        </w:rPr>
      </w:pPr>
    </w:p>
    <w:p w14:paraId="1AF83504">
      <w:pPr>
        <w:spacing w:line="259" w:lineRule="auto"/>
        <w:rPr>
          <w:rFonts w:ascii="Arial"/>
          <w:color w:val="auto"/>
          <w:sz w:val="21"/>
          <w:highlight w:val="none"/>
        </w:rPr>
      </w:pPr>
    </w:p>
    <w:p w14:paraId="5ECF5228">
      <w:pPr>
        <w:spacing w:line="259" w:lineRule="auto"/>
        <w:rPr>
          <w:rFonts w:ascii="Arial"/>
          <w:color w:val="auto"/>
          <w:sz w:val="21"/>
          <w:highlight w:val="none"/>
        </w:rPr>
      </w:pPr>
    </w:p>
    <w:p w14:paraId="141257D9">
      <w:pPr>
        <w:spacing w:line="259" w:lineRule="auto"/>
        <w:rPr>
          <w:rFonts w:ascii="Arial"/>
          <w:color w:val="auto"/>
          <w:sz w:val="21"/>
          <w:highlight w:val="none"/>
        </w:rPr>
      </w:pPr>
    </w:p>
    <w:p w14:paraId="5D519505">
      <w:pPr>
        <w:spacing w:line="260" w:lineRule="auto"/>
        <w:rPr>
          <w:rFonts w:ascii="Arial"/>
          <w:color w:val="auto"/>
          <w:sz w:val="21"/>
          <w:highlight w:val="none"/>
        </w:rPr>
      </w:pPr>
    </w:p>
    <w:p w14:paraId="79EAF1A4">
      <w:pPr>
        <w:spacing w:line="260" w:lineRule="auto"/>
        <w:rPr>
          <w:rFonts w:ascii="Arial"/>
          <w:color w:val="auto"/>
          <w:sz w:val="21"/>
          <w:highlight w:val="none"/>
        </w:rPr>
      </w:pPr>
    </w:p>
    <w:p w14:paraId="160D9DE9">
      <w:pPr>
        <w:spacing w:line="229" w:lineRule="auto"/>
        <w:rPr>
          <w:rFonts w:ascii="宋体" w:hAnsi="宋体" w:eastAsia="宋体" w:cs="宋体"/>
          <w:color w:val="auto"/>
          <w:sz w:val="18"/>
          <w:szCs w:val="18"/>
          <w:highlight w:val="none"/>
        </w:rPr>
        <w:sectPr>
          <w:footerReference r:id="rId14" w:type="default"/>
          <w:pgSz w:w="11906" w:h="16839"/>
          <w:pgMar w:top="1416" w:right="1306" w:bottom="1297" w:left="1306" w:header="0" w:footer="1067" w:gutter="0"/>
          <w:pgNumType w:fmt="decimal"/>
          <w:cols w:space="720" w:num="1"/>
        </w:sectPr>
      </w:pPr>
    </w:p>
    <w:p w14:paraId="21E656BD">
      <w:pPr>
        <w:spacing w:before="128" w:line="219" w:lineRule="auto"/>
        <w:ind w:left="2186"/>
        <w:outlineLvl w:val="1"/>
        <w:rPr>
          <w:rFonts w:ascii="宋体" w:hAnsi="宋体" w:eastAsia="宋体" w:cs="宋体"/>
          <w:b/>
          <w:bCs/>
          <w:color w:val="auto"/>
          <w:spacing w:val="-6"/>
          <w:sz w:val="28"/>
          <w:szCs w:val="28"/>
          <w:highlight w:val="none"/>
        </w:rPr>
      </w:pPr>
      <w:bookmarkStart w:id="48" w:name="bookmark90"/>
      <w:bookmarkEnd w:id="48"/>
      <w:bookmarkStart w:id="49" w:name="_Toc8917"/>
      <w:bookmarkStart w:id="50" w:name="_Toc20951"/>
      <w:bookmarkStart w:id="51" w:name="_Toc32263"/>
      <w:bookmarkStart w:id="52" w:name="_Toc1637"/>
      <w:r>
        <w:rPr>
          <w:rFonts w:ascii="宋体" w:hAnsi="宋体" w:eastAsia="宋体" w:cs="宋体"/>
          <w:b/>
          <w:bCs/>
          <w:color w:val="auto"/>
          <w:spacing w:val="-6"/>
          <w:sz w:val="28"/>
          <w:szCs w:val="28"/>
          <w:highlight w:val="none"/>
        </w:rPr>
        <w:t>附录 3  资格审查条件（信誉最低要求）</w:t>
      </w:r>
      <w:bookmarkEnd w:id="49"/>
      <w:bookmarkEnd w:id="50"/>
      <w:bookmarkEnd w:id="51"/>
      <w:bookmarkEnd w:id="52"/>
    </w:p>
    <w:p w14:paraId="58DA065A">
      <w:pPr>
        <w:spacing w:before="294" w:line="220" w:lineRule="auto"/>
        <w:ind w:left="1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5FF75339">
      <w:pPr>
        <w:spacing w:line="146" w:lineRule="exact"/>
        <w:rPr>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0D5F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9292" w:type="dxa"/>
            <w:vAlign w:val="top"/>
          </w:tcPr>
          <w:p w14:paraId="54FB5237">
            <w:pPr>
              <w:spacing w:line="383" w:lineRule="auto"/>
              <w:rPr>
                <w:rFonts w:ascii="Arial"/>
                <w:color w:val="auto"/>
                <w:sz w:val="21"/>
                <w:highlight w:val="none"/>
              </w:rPr>
            </w:pPr>
          </w:p>
          <w:p w14:paraId="784BD5DC">
            <w:pPr>
              <w:pStyle w:val="23"/>
              <w:spacing w:before="65" w:line="227" w:lineRule="auto"/>
              <w:ind w:left="4072"/>
              <w:rPr>
                <w:color w:val="auto"/>
                <w:highlight w:val="none"/>
              </w:rPr>
            </w:pPr>
            <w:r>
              <w:rPr>
                <w:b/>
                <w:bCs/>
                <w:color w:val="auto"/>
                <w:spacing w:val="-2"/>
                <w:highlight w:val="none"/>
              </w:rPr>
              <w:t>信</w:t>
            </w:r>
            <w:r>
              <w:rPr>
                <w:color w:val="auto"/>
                <w:spacing w:val="13"/>
                <w:highlight w:val="none"/>
              </w:rPr>
              <w:t xml:space="preserve"> </w:t>
            </w:r>
            <w:r>
              <w:rPr>
                <w:b/>
                <w:bCs/>
                <w:color w:val="auto"/>
                <w:spacing w:val="-2"/>
                <w:highlight w:val="none"/>
              </w:rPr>
              <w:t>誉</w:t>
            </w:r>
            <w:r>
              <w:rPr>
                <w:color w:val="auto"/>
                <w:spacing w:val="17"/>
                <w:highlight w:val="none"/>
              </w:rPr>
              <w:t xml:space="preserve"> </w:t>
            </w:r>
            <w:r>
              <w:rPr>
                <w:b/>
                <w:bCs/>
                <w:color w:val="auto"/>
                <w:spacing w:val="-2"/>
                <w:highlight w:val="none"/>
              </w:rPr>
              <w:t>要</w:t>
            </w:r>
            <w:r>
              <w:rPr>
                <w:color w:val="auto"/>
                <w:spacing w:val="18"/>
                <w:highlight w:val="none"/>
              </w:rPr>
              <w:t xml:space="preserve"> </w:t>
            </w:r>
            <w:r>
              <w:rPr>
                <w:b/>
                <w:bCs/>
                <w:color w:val="auto"/>
                <w:spacing w:val="-2"/>
                <w:highlight w:val="none"/>
              </w:rPr>
              <w:t>求</w:t>
            </w:r>
          </w:p>
        </w:tc>
      </w:tr>
      <w:tr w14:paraId="7B43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7" w:hRule="atLeast"/>
        </w:trPr>
        <w:tc>
          <w:tcPr>
            <w:tcW w:w="9292" w:type="dxa"/>
            <w:vAlign w:val="top"/>
          </w:tcPr>
          <w:p w14:paraId="2F84D993">
            <w:pPr>
              <w:spacing w:line="245" w:lineRule="auto"/>
              <w:rPr>
                <w:rFonts w:ascii="Arial"/>
                <w:color w:val="auto"/>
                <w:sz w:val="21"/>
                <w:highlight w:val="none"/>
              </w:rPr>
            </w:pPr>
          </w:p>
          <w:p w14:paraId="37B25D26">
            <w:pPr>
              <w:spacing w:line="246" w:lineRule="auto"/>
              <w:rPr>
                <w:rFonts w:ascii="Arial"/>
                <w:color w:val="auto"/>
                <w:sz w:val="21"/>
                <w:highlight w:val="none"/>
              </w:rPr>
            </w:pPr>
          </w:p>
          <w:p w14:paraId="545504A9">
            <w:pPr>
              <w:pStyle w:val="23"/>
              <w:spacing w:before="66" w:line="370" w:lineRule="auto"/>
              <w:ind w:left="117" w:right="108" w:firstLine="420"/>
              <w:jc w:val="both"/>
              <w:rPr>
                <w:color w:val="auto"/>
                <w:highlight w:val="none"/>
              </w:rPr>
            </w:pPr>
            <w:r>
              <w:rPr>
                <w:color w:val="auto"/>
                <w:spacing w:val="11"/>
                <w:highlight w:val="none"/>
              </w:rPr>
              <w:t>最新年度（含无广东省最新年度信用等级而上一年度有广东省</w:t>
            </w:r>
            <w:r>
              <w:rPr>
                <w:color w:val="auto"/>
                <w:spacing w:val="10"/>
                <w:highlight w:val="none"/>
              </w:rPr>
              <w:t>信用等级的）在广东省公路工程</w:t>
            </w:r>
            <w:r>
              <w:rPr>
                <w:color w:val="auto"/>
                <w:spacing w:val="9"/>
                <w:highlight w:val="none"/>
              </w:rPr>
              <w:t>从业单位信用评价（监理单位）</w:t>
            </w:r>
            <w:r>
              <w:rPr>
                <w:color w:val="auto"/>
                <w:spacing w:val="-52"/>
                <w:highlight w:val="none"/>
              </w:rPr>
              <w:t xml:space="preserve"> </w:t>
            </w:r>
            <w:r>
              <w:rPr>
                <w:color w:val="auto"/>
                <w:spacing w:val="9"/>
                <w:highlight w:val="none"/>
              </w:rPr>
              <w:t>中，信用等级未被评为</w:t>
            </w:r>
            <w:r>
              <w:rPr>
                <w:color w:val="auto"/>
                <w:spacing w:val="-41"/>
                <w:highlight w:val="none"/>
              </w:rPr>
              <w:t xml:space="preserve"> </w:t>
            </w:r>
            <w:r>
              <w:rPr>
                <w:color w:val="auto"/>
                <w:spacing w:val="9"/>
                <w:highlight w:val="none"/>
              </w:rPr>
              <w:t>D</w:t>
            </w:r>
            <w:r>
              <w:rPr>
                <w:color w:val="auto"/>
                <w:spacing w:val="-34"/>
                <w:highlight w:val="none"/>
              </w:rPr>
              <w:t xml:space="preserve"> </w:t>
            </w:r>
            <w:r>
              <w:rPr>
                <w:color w:val="auto"/>
                <w:spacing w:val="9"/>
                <w:highlight w:val="none"/>
              </w:rPr>
              <w:t>级；初次进入广东省的投标人，在最新全</w:t>
            </w:r>
            <w:r>
              <w:rPr>
                <w:color w:val="auto"/>
                <w:spacing w:val="8"/>
                <w:highlight w:val="none"/>
              </w:rPr>
              <w:t>国公路从业单位（监理单位）信用评价结果中未被评为</w:t>
            </w:r>
            <w:r>
              <w:rPr>
                <w:color w:val="auto"/>
                <w:spacing w:val="-33"/>
                <w:highlight w:val="none"/>
              </w:rPr>
              <w:t xml:space="preserve"> </w:t>
            </w:r>
            <w:r>
              <w:rPr>
                <w:color w:val="auto"/>
                <w:spacing w:val="8"/>
                <w:highlight w:val="none"/>
              </w:rPr>
              <w:t>D</w:t>
            </w:r>
            <w:r>
              <w:rPr>
                <w:color w:val="auto"/>
                <w:spacing w:val="-35"/>
                <w:highlight w:val="none"/>
              </w:rPr>
              <w:t xml:space="preserve"> </w:t>
            </w:r>
            <w:r>
              <w:rPr>
                <w:color w:val="auto"/>
                <w:spacing w:val="8"/>
                <w:highlight w:val="none"/>
              </w:rPr>
              <w:t>级。</w:t>
            </w:r>
          </w:p>
        </w:tc>
      </w:tr>
    </w:tbl>
    <w:p w14:paraId="56BFB59B">
      <w:pPr>
        <w:spacing w:line="264" w:lineRule="auto"/>
        <w:rPr>
          <w:rFonts w:ascii="Arial"/>
          <w:color w:val="auto"/>
          <w:sz w:val="21"/>
          <w:highlight w:val="none"/>
        </w:rPr>
      </w:pPr>
    </w:p>
    <w:p w14:paraId="651436A7">
      <w:pPr>
        <w:spacing w:before="65" w:line="227" w:lineRule="auto"/>
        <w:ind w:left="1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注：信用等级的确定原则遵循投标人须知前附表第</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10.2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款的规定。</w:t>
      </w:r>
    </w:p>
    <w:p w14:paraId="4646D70E">
      <w:pPr>
        <w:spacing w:line="251" w:lineRule="auto"/>
        <w:rPr>
          <w:rFonts w:ascii="Arial"/>
          <w:color w:val="auto"/>
          <w:sz w:val="21"/>
          <w:highlight w:val="none"/>
        </w:rPr>
      </w:pPr>
    </w:p>
    <w:p w14:paraId="219C00DD">
      <w:pPr>
        <w:spacing w:line="251" w:lineRule="auto"/>
        <w:rPr>
          <w:rFonts w:ascii="Arial"/>
          <w:color w:val="auto"/>
          <w:sz w:val="21"/>
          <w:highlight w:val="none"/>
        </w:rPr>
      </w:pPr>
    </w:p>
    <w:p w14:paraId="0FC0FC00">
      <w:pPr>
        <w:spacing w:line="251" w:lineRule="auto"/>
        <w:rPr>
          <w:rFonts w:ascii="Arial"/>
          <w:color w:val="auto"/>
          <w:sz w:val="21"/>
          <w:highlight w:val="none"/>
        </w:rPr>
      </w:pPr>
    </w:p>
    <w:p w14:paraId="39A02C78">
      <w:pPr>
        <w:spacing w:line="251" w:lineRule="auto"/>
        <w:rPr>
          <w:rFonts w:ascii="Arial"/>
          <w:color w:val="auto"/>
          <w:sz w:val="21"/>
          <w:highlight w:val="none"/>
        </w:rPr>
      </w:pPr>
    </w:p>
    <w:p w14:paraId="564772DF">
      <w:pPr>
        <w:spacing w:line="251" w:lineRule="auto"/>
        <w:rPr>
          <w:rFonts w:ascii="Arial"/>
          <w:color w:val="auto"/>
          <w:sz w:val="21"/>
          <w:highlight w:val="none"/>
        </w:rPr>
      </w:pPr>
    </w:p>
    <w:p w14:paraId="2C96DB79">
      <w:pPr>
        <w:spacing w:line="251" w:lineRule="auto"/>
        <w:rPr>
          <w:rFonts w:ascii="Arial"/>
          <w:color w:val="auto"/>
          <w:sz w:val="21"/>
          <w:highlight w:val="none"/>
        </w:rPr>
      </w:pPr>
    </w:p>
    <w:p w14:paraId="23C1BB6E">
      <w:pPr>
        <w:spacing w:line="251" w:lineRule="auto"/>
        <w:rPr>
          <w:rFonts w:ascii="Arial"/>
          <w:color w:val="auto"/>
          <w:sz w:val="21"/>
          <w:highlight w:val="none"/>
        </w:rPr>
      </w:pPr>
    </w:p>
    <w:p w14:paraId="6BCD2B76">
      <w:pPr>
        <w:spacing w:line="251" w:lineRule="auto"/>
        <w:rPr>
          <w:rFonts w:ascii="Arial"/>
          <w:color w:val="auto"/>
          <w:sz w:val="21"/>
          <w:highlight w:val="none"/>
        </w:rPr>
      </w:pPr>
    </w:p>
    <w:p w14:paraId="3AE05CC0">
      <w:pPr>
        <w:spacing w:line="229" w:lineRule="auto"/>
        <w:rPr>
          <w:rFonts w:ascii="宋体" w:hAnsi="宋体" w:eastAsia="宋体" w:cs="宋体"/>
          <w:color w:val="auto"/>
          <w:sz w:val="18"/>
          <w:szCs w:val="18"/>
          <w:highlight w:val="none"/>
        </w:rPr>
        <w:sectPr>
          <w:footerReference r:id="rId15" w:type="default"/>
          <w:pgSz w:w="11906" w:h="16839"/>
          <w:pgMar w:top="1431" w:right="1304" w:bottom="1297" w:left="1304" w:header="0" w:footer="1067" w:gutter="0"/>
          <w:pgNumType w:fmt="decimal"/>
          <w:cols w:space="720" w:num="1"/>
        </w:sectPr>
      </w:pPr>
    </w:p>
    <w:p w14:paraId="0964B9EE">
      <w:pPr>
        <w:spacing w:before="128" w:line="219" w:lineRule="auto"/>
        <w:ind w:left="2186"/>
        <w:outlineLvl w:val="1"/>
        <w:rPr>
          <w:rFonts w:ascii="宋体" w:hAnsi="宋体" w:eastAsia="宋体" w:cs="宋体"/>
          <w:b/>
          <w:bCs/>
          <w:color w:val="auto"/>
          <w:spacing w:val="-6"/>
          <w:sz w:val="28"/>
          <w:szCs w:val="28"/>
          <w:highlight w:val="none"/>
        </w:rPr>
      </w:pPr>
      <w:bookmarkStart w:id="53" w:name="_Toc15525"/>
      <w:bookmarkStart w:id="54" w:name="_Toc12354"/>
      <w:bookmarkStart w:id="55" w:name="_Toc32700"/>
      <w:bookmarkStart w:id="56" w:name="_Toc29842"/>
      <w:r>
        <w:rPr>
          <w:rFonts w:ascii="宋体" w:hAnsi="宋体" w:eastAsia="宋体" w:cs="宋体"/>
          <w:b/>
          <w:bCs/>
          <w:color w:val="auto"/>
          <w:spacing w:val="-6"/>
          <w:sz w:val="28"/>
          <w:szCs w:val="28"/>
          <w:highlight w:val="none"/>
        </w:rPr>
        <w:t>附录4  资格审查条件（总监理工程师最低要求）</w:t>
      </w:r>
      <w:bookmarkEnd w:id="53"/>
      <w:bookmarkEnd w:id="54"/>
      <w:bookmarkEnd w:id="55"/>
      <w:bookmarkEnd w:id="56"/>
    </w:p>
    <w:p w14:paraId="5BBC0072">
      <w:pPr>
        <w:spacing w:before="294" w:line="220"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033D580A">
      <w:pPr>
        <w:spacing w:line="146" w:lineRule="exact"/>
        <w:rPr>
          <w:color w:val="auto"/>
          <w:highlight w:val="none"/>
        </w:rPr>
      </w:pPr>
    </w:p>
    <w:tbl>
      <w:tblPr>
        <w:tblStyle w:val="22"/>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1452"/>
        <w:gridCol w:w="848"/>
        <w:gridCol w:w="3903"/>
        <w:gridCol w:w="1629"/>
      </w:tblGrid>
      <w:tr w14:paraId="5FD7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0" w:hRule="atLeast"/>
        </w:trPr>
        <w:tc>
          <w:tcPr>
            <w:tcW w:w="1456" w:type="dxa"/>
            <w:tcBorders>
              <w:bottom w:val="single" w:color="auto" w:sz="4" w:space="0"/>
            </w:tcBorders>
            <w:vAlign w:val="top"/>
          </w:tcPr>
          <w:p w14:paraId="64CE071B">
            <w:pPr>
              <w:pStyle w:val="23"/>
              <w:spacing w:before="128" w:line="228" w:lineRule="auto"/>
              <w:ind w:left="315"/>
              <w:rPr>
                <w:color w:val="auto"/>
                <w:highlight w:val="none"/>
              </w:rPr>
            </w:pPr>
            <w:r>
              <w:rPr>
                <w:color w:val="auto"/>
                <w:spacing w:val="7"/>
                <w:highlight w:val="none"/>
              </w:rPr>
              <w:t>标段类别</w:t>
            </w:r>
          </w:p>
        </w:tc>
        <w:tc>
          <w:tcPr>
            <w:tcW w:w="1452" w:type="dxa"/>
            <w:tcBorders>
              <w:bottom w:val="single" w:color="auto" w:sz="4" w:space="0"/>
            </w:tcBorders>
            <w:vAlign w:val="top"/>
          </w:tcPr>
          <w:p w14:paraId="74BC07D4">
            <w:pPr>
              <w:pStyle w:val="23"/>
              <w:spacing w:before="129" w:line="229" w:lineRule="auto"/>
              <w:ind w:left="521"/>
              <w:rPr>
                <w:color w:val="auto"/>
                <w:highlight w:val="none"/>
              </w:rPr>
            </w:pPr>
            <w:r>
              <w:rPr>
                <w:color w:val="auto"/>
                <w:spacing w:val="3"/>
                <w:highlight w:val="none"/>
              </w:rPr>
              <w:t>人员</w:t>
            </w:r>
          </w:p>
        </w:tc>
        <w:tc>
          <w:tcPr>
            <w:tcW w:w="848" w:type="dxa"/>
            <w:tcBorders>
              <w:bottom w:val="single" w:color="auto" w:sz="4" w:space="0"/>
            </w:tcBorders>
            <w:vAlign w:val="top"/>
          </w:tcPr>
          <w:p w14:paraId="2233F83D">
            <w:pPr>
              <w:pStyle w:val="23"/>
              <w:spacing w:before="128" w:line="228" w:lineRule="auto"/>
              <w:ind w:left="221"/>
              <w:rPr>
                <w:color w:val="auto"/>
                <w:highlight w:val="none"/>
              </w:rPr>
            </w:pPr>
            <w:r>
              <w:rPr>
                <w:color w:val="auto"/>
                <w:spacing w:val="3"/>
                <w:highlight w:val="none"/>
              </w:rPr>
              <w:t>数量</w:t>
            </w:r>
          </w:p>
        </w:tc>
        <w:tc>
          <w:tcPr>
            <w:tcW w:w="3903" w:type="dxa"/>
            <w:tcBorders>
              <w:bottom w:val="single" w:color="auto" w:sz="4" w:space="0"/>
            </w:tcBorders>
            <w:vAlign w:val="top"/>
          </w:tcPr>
          <w:p w14:paraId="2461934D">
            <w:pPr>
              <w:pStyle w:val="23"/>
              <w:spacing w:before="128" w:line="228" w:lineRule="auto"/>
              <w:ind w:left="1389"/>
              <w:rPr>
                <w:color w:val="auto"/>
                <w:highlight w:val="none"/>
              </w:rPr>
            </w:pPr>
            <w:r>
              <w:rPr>
                <w:color w:val="auto"/>
                <w:spacing w:val="-2"/>
                <w:highlight w:val="none"/>
              </w:rPr>
              <w:t>资</w:t>
            </w:r>
            <w:r>
              <w:rPr>
                <w:color w:val="auto"/>
                <w:spacing w:val="15"/>
                <w:highlight w:val="none"/>
              </w:rPr>
              <w:t xml:space="preserve"> </w:t>
            </w:r>
            <w:r>
              <w:rPr>
                <w:color w:val="auto"/>
                <w:spacing w:val="-2"/>
                <w:highlight w:val="none"/>
              </w:rPr>
              <w:t>格</w:t>
            </w:r>
            <w:r>
              <w:rPr>
                <w:color w:val="auto"/>
                <w:spacing w:val="15"/>
                <w:highlight w:val="none"/>
              </w:rPr>
              <w:t xml:space="preserve"> </w:t>
            </w:r>
            <w:r>
              <w:rPr>
                <w:color w:val="auto"/>
                <w:spacing w:val="-2"/>
                <w:highlight w:val="none"/>
              </w:rPr>
              <w:t>要</w:t>
            </w:r>
            <w:r>
              <w:rPr>
                <w:color w:val="auto"/>
                <w:spacing w:val="15"/>
                <w:highlight w:val="none"/>
              </w:rPr>
              <w:t xml:space="preserve"> </w:t>
            </w:r>
            <w:r>
              <w:rPr>
                <w:color w:val="auto"/>
                <w:spacing w:val="-2"/>
                <w:highlight w:val="none"/>
              </w:rPr>
              <w:t>求</w:t>
            </w:r>
          </w:p>
        </w:tc>
        <w:tc>
          <w:tcPr>
            <w:tcW w:w="1629" w:type="dxa"/>
            <w:tcBorders>
              <w:bottom w:val="single" w:color="auto" w:sz="4" w:space="0"/>
            </w:tcBorders>
            <w:vAlign w:val="top"/>
          </w:tcPr>
          <w:p w14:paraId="4A5E2007">
            <w:pPr>
              <w:pStyle w:val="23"/>
              <w:spacing w:before="129" w:line="228" w:lineRule="auto"/>
              <w:ind w:left="399"/>
              <w:rPr>
                <w:color w:val="auto"/>
                <w:highlight w:val="none"/>
              </w:rPr>
            </w:pPr>
            <w:r>
              <w:rPr>
                <w:color w:val="auto"/>
                <w:spacing w:val="7"/>
                <w:highlight w:val="none"/>
              </w:rPr>
              <w:t>在岗要求</w:t>
            </w:r>
          </w:p>
        </w:tc>
      </w:tr>
      <w:tr w14:paraId="67D0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1456" w:type="dxa"/>
            <w:vMerge w:val="restart"/>
            <w:tcBorders>
              <w:top w:val="single" w:color="auto" w:sz="4" w:space="0"/>
              <w:left w:val="single" w:color="auto" w:sz="4" w:space="0"/>
            </w:tcBorders>
            <w:vAlign w:val="center"/>
          </w:tcPr>
          <w:p w14:paraId="135D3033">
            <w:pPr>
              <w:pStyle w:val="23"/>
              <w:spacing w:before="132" w:line="228" w:lineRule="auto"/>
              <w:ind w:left="139"/>
              <w:jc w:val="center"/>
              <w:rPr>
                <w:color w:val="auto"/>
                <w:highlight w:val="none"/>
              </w:rPr>
            </w:pPr>
            <w:r>
              <w:rPr>
                <w:color w:val="auto"/>
                <w:spacing w:val="4"/>
                <w:highlight w:val="none"/>
              </w:rPr>
              <w:t>土</w:t>
            </w:r>
            <w:r>
              <w:rPr>
                <w:color w:val="auto"/>
                <w:spacing w:val="7"/>
                <w:highlight w:val="none"/>
              </w:rPr>
              <w:t>建监理含中</w:t>
            </w:r>
            <w:r>
              <w:rPr>
                <w:color w:val="auto"/>
                <w:spacing w:val="5"/>
                <w:highlight w:val="none"/>
              </w:rPr>
              <w:t>心试验室</w:t>
            </w:r>
            <w:r>
              <w:rPr>
                <w:color w:val="auto"/>
                <w:spacing w:val="-2"/>
                <w:highlight w:val="none"/>
              </w:rPr>
              <w:t>（D</w:t>
            </w:r>
            <w:r>
              <w:rPr>
                <w:color w:val="auto"/>
                <w:spacing w:val="-38"/>
                <w:highlight w:val="none"/>
              </w:rPr>
              <w:t xml:space="preserve"> </w:t>
            </w:r>
            <w:r>
              <w:rPr>
                <w:color w:val="auto"/>
                <w:spacing w:val="-2"/>
                <w:highlight w:val="none"/>
              </w:rPr>
              <w:t>类）</w:t>
            </w:r>
          </w:p>
        </w:tc>
        <w:tc>
          <w:tcPr>
            <w:tcW w:w="1452" w:type="dxa"/>
            <w:tcBorders>
              <w:top w:val="single" w:color="auto" w:sz="4" w:space="0"/>
              <w:bottom w:val="single" w:color="auto" w:sz="4" w:space="0"/>
              <w:right w:val="single" w:color="auto" w:sz="4" w:space="0"/>
            </w:tcBorders>
            <w:vAlign w:val="center"/>
          </w:tcPr>
          <w:p w14:paraId="4AD0A106">
            <w:pPr>
              <w:pStyle w:val="23"/>
              <w:spacing w:before="132" w:line="228" w:lineRule="auto"/>
              <w:ind w:left="139"/>
              <w:jc w:val="center"/>
              <w:rPr>
                <w:rFonts w:ascii="宋体" w:hAnsi="宋体" w:eastAsia="宋体" w:cs="宋体"/>
                <w:color w:val="auto"/>
                <w:spacing w:val="7"/>
                <w:highlight w:val="none"/>
              </w:rPr>
            </w:pPr>
            <w:r>
              <w:rPr>
                <w:rFonts w:ascii="宋体" w:hAnsi="宋体" w:eastAsia="宋体" w:cs="宋体"/>
                <w:color w:val="auto"/>
                <w:spacing w:val="7"/>
                <w:highlight w:val="none"/>
              </w:rPr>
              <w:t>总监理工程师</w:t>
            </w:r>
          </w:p>
        </w:tc>
        <w:tc>
          <w:tcPr>
            <w:tcW w:w="848" w:type="dxa"/>
            <w:tcBorders>
              <w:top w:val="single" w:color="auto" w:sz="4" w:space="0"/>
              <w:left w:val="single" w:color="auto" w:sz="4" w:space="0"/>
              <w:bottom w:val="single" w:color="auto" w:sz="4" w:space="0"/>
            </w:tcBorders>
            <w:vAlign w:val="center"/>
          </w:tcPr>
          <w:p w14:paraId="20718B1B">
            <w:pPr>
              <w:pStyle w:val="23"/>
              <w:spacing w:before="132" w:line="228" w:lineRule="auto"/>
              <w:ind w:left="139"/>
              <w:jc w:val="center"/>
              <w:rPr>
                <w:rFonts w:ascii="宋体" w:hAnsi="宋体" w:eastAsia="宋体" w:cs="宋体"/>
                <w:color w:val="auto"/>
                <w:spacing w:val="7"/>
                <w:highlight w:val="none"/>
              </w:rPr>
            </w:pPr>
            <w:r>
              <w:rPr>
                <w:rFonts w:ascii="宋体" w:hAnsi="宋体" w:eastAsia="宋体" w:cs="宋体"/>
                <w:color w:val="auto"/>
                <w:spacing w:val="7"/>
                <w:highlight w:val="none"/>
              </w:rPr>
              <w:t>1</w:t>
            </w:r>
          </w:p>
        </w:tc>
        <w:tc>
          <w:tcPr>
            <w:tcW w:w="3903" w:type="dxa"/>
            <w:vMerge w:val="restart"/>
            <w:tcBorders>
              <w:top w:val="single" w:color="auto" w:sz="4" w:space="0"/>
            </w:tcBorders>
            <w:vAlign w:val="top"/>
          </w:tcPr>
          <w:p w14:paraId="154E8961">
            <w:pPr>
              <w:pStyle w:val="23"/>
              <w:spacing w:before="120" w:line="336" w:lineRule="auto"/>
              <w:ind w:left="112" w:right="104" w:firstLine="2"/>
              <w:jc w:val="both"/>
              <w:rPr>
                <w:color w:val="auto"/>
                <w:highlight w:val="none"/>
              </w:rPr>
            </w:pPr>
            <w:r>
              <w:rPr>
                <w:color w:val="auto"/>
                <w:spacing w:val="16"/>
                <w:highlight w:val="none"/>
                <w:u w:val="single" w:color="auto"/>
              </w:rPr>
              <w:t>路桥</w:t>
            </w:r>
            <w:r>
              <w:rPr>
                <w:color w:val="auto"/>
                <w:spacing w:val="16"/>
                <w:highlight w:val="none"/>
              </w:rPr>
              <w:t>相关专业</w:t>
            </w:r>
            <w:r>
              <w:rPr>
                <w:color w:val="auto"/>
                <w:spacing w:val="16"/>
                <w:highlight w:val="none"/>
                <w:u w:val="single" w:color="auto"/>
              </w:rPr>
              <w:t>高级</w:t>
            </w:r>
            <w:r>
              <w:rPr>
                <w:color w:val="auto"/>
                <w:spacing w:val="16"/>
                <w:highlight w:val="none"/>
              </w:rPr>
              <w:t>工程师，至少担任过</w:t>
            </w:r>
            <w:r>
              <w:rPr>
                <w:rFonts w:hint="eastAsia"/>
                <w:color w:val="auto"/>
                <w:spacing w:val="16"/>
                <w:highlight w:val="none"/>
                <w:u w:val="single"/>
                <w:lang w:val="en-US" w:eastAsia="zh-CN"/>
              </w:rPr>
              <w:t>1</w:t>
            </w:r>
            <w:r>
              <w:rPr>
                <w:color w:val="auto"/>
                <w:spacing w:val="16"/>
                <w:highlight w:val="none"/>
              </w:rPr>
              <w:t>项类似工程</w:t>
            </w:r>
            <w:r>
              <w:rPr>
                <w:color w:val="auto"/>
                <w:spacing w:val="16"/>
                <w:highlight w:val="none"/>
                <w:u w:val="single" w:color="auto"/>
              </w:rPr>
              <w:t>土建</w:t>
            </w:r>
            <w:r>
              <w:rPr>
                <w:color w:val="auto"/>
                <w:spacing w:val="16"/>
                <w:highlight w:val="none"/>
              </w:rPr>
              <w:t>工程施工监理的监理负责人，持有交通运输部与人力资源和社会保障部用印的交通运输工程（公路工程）专业监理工程师职业资格证书（或电子证书）或具有交通运输部核发的公</w:t>
            </w:r>
            <w:r>
              <w:rPr>
                <w:color w:val="auto"/>
                <w:spacing w:val="5"/>
                <w:highlight w:val="none"/>
              </w:rPr>
              <w:t>路工程监理工程师资格证书</w:t>
            </w:r>
            <w:r>
              <w:rPr>
                <w:color w:val="auto"/>
                <w:spacing w:val="-24"/>
                <w:position w:val="10"/>
                <w:sz w:val="10"/>
                <w:szCs w:val="10"/>
                <w:highlight w:val="none"/>
              </w:rPr>
              <w:t xml:space="preserve"> </w:t>
            </w:r>
            <w:r>
              <w:rPr>
                <w:color w:val="auto"/>
                <w:spacing w:val="5"/>
                <w:highlight w:val="none"/>
              </w:rPr>
              <w:t>,</w:t>
            </w:r>
            <w:r>
              <w:rPr>
                <w:color w:val="auto"/>
                <w:spacing w:val="62"/>
                <w:highlight w:val="none"/>
              </w:rPr>
              <w:t xml:space="preserve"> </w:t>
            </w:r>
            <w:r>
              <w:rPr>
                <w:color w:val="auto"/>
                <w:spacing w:val="5"/>
                <w:highlight w:val="none"/>
              </w:rPr>
              <w:t>且已在投</w:t>
            </w:r>
            <w:r>
              <w:rPr>
                <w:color w:val="auto"/>
                <w:spacing w:val="8"/>
                <w:highlight w:val="none"/>
              </w:rPr>
              <w:t>标人处进行注册（或从业登记）。</w:t>
            </w:r>
          </w:p>
        </w:tc>
        <w:tc>
          <w:tcPr>
            <w:tcW w:w="1629" w:type="dxa"/>
            <w:vMerge w:val="restart"/>
            <w:tcBorders>
              <w:top w:val="single" w:color="auto" w:sz="4" w:space="0"/>
              <w:right w:val="single" w:color="auto" w:sz="4" w:space="0"/>
            </w:tcBorders>
            <w:vAlign w:val="top"/>
          </w:tcPr>
          <w:p w14:paraId="776A0C46">
            <w:pPr>
              <w:pStyle w:val="23"/>
              <w:spacing w:before="123" w:line="228" w:lineRule="auto"/>
              <w:ind w:left="116"/>
              <w:rPr>
                <w:color w:val="auto"/>
                <w:highlight w:val="none"/>
              </w:rPr>
            </w:pPr>
            <w:r>
              <w:rPr>
                <w:color w:val="auto"/>
                <w:spacing w:val="-4"/>
                <w:highlight w:val="none"/>
              </w:rPr>
              <w:t>无 在</w:t>
            </w:r>
            <w:r>
              <w:rPr>
                <w:color w:val="auto"/>
                <w:spacing w:val="26"/>
                <w:highlight w:val="none"/>
              </w:rPr>
              <w:t xml:space="preserve"> </w:t>
            </w:r>
            <w:r>
              <w:rPr>
                <w:color w:val="auto"/>
                <w:spacing w:val="-4"/>
                <w:highlight w:val="none"/>
              </w:rPr>
              <w:t>岗 项</w:t>
            </w:r>
            <w:r>
              <w:rPr>
                <w:color w:val="auto"/>
                <w:spacing w:val="39"/>
                <w:highlight w:val="none"/>
              </w:rPr>
              <w:t xml:space="preserve"> </w:t>
            </w:r>
            <w:r>
              <w:rPr>
                <w:color w:val="auto"/>
                <w:spacing w:val="-4"/>
                <w:highlight w:val="none"/>
              </w:rPr>
              <w:t>目</w:t>
            </w:r>
          </w:p>
          <w:p w14:paraId="08AD664F">
            <w:pPr>
              <w:pStyle w:val="23"/>
              <w:spacing w:before="132" w:line="228" w:lineRule="auto"/>
              <w:ind w:left="124"/>
              <w:rPr>
                <w:color w:val="auto"/>
                <w:highlight w:val="none"/>
              </w:rPr>
            </w:pPr>
            <w:r>
              <w:rPr>
                <w:color w:val="auto"/>
                <w:spacing w:val="4"/>
                <w:highlight w:val="none"/>
              </w:rPr>
              <w:t>（指</w:t>
            </w:r>
            <w:r>
              <w:rPr>
                <w:color w:val="auto"/>
                <w:spacing w:val="-20"/>
                <w:highlight w:val="none"/>
              </w:rPr>
              <w:t xml:space="preserve"> </w:t>
            </w:r>
            <w:r>
              <w:rPr>
                <w:color w:val="auto"/>
                <w:spacing w:val="4"/>
                <w:highlight w:val="none"/>
              </w:rPr>
              <w:t>目</w:t>
            </w:r>
            <w:r>
              <w:rPr>
                <w:color w:val="auto"/>
                <w:spacing w:val="-57"/>
                <w:highlight w:val="none"/>
              </w:rPr>
              <w:t xml:space="preserve"> </w:t>
            </w:r>
            <w:r>
              <w:rPr>
                <w:color w:val="auto"/>
                <w:spacing w:val="4"/>
                <w:highlight w:val="none"/>
              </w:rPr>
              <w:t>前</w:t>
            </w:r>
            <w:r>
              <w:rPr>
                <w:color w:val="auto"/>
                <w:spacing w:val="-58"/>
                <w:highlight w:val="none"/>
              </w:rPr>
              <w:t xml:space="preserve"> </w:t>
            </w:r>
            <w:r>
              <w:rPr>
                <w:color w:val="auto"/>
                <w:spacing w:val="4"/>
                <w:highlight w:val="none"/>
              </w:rPr>
              <w:t>未在</w:t>
            </w:r>
          </w:p>
          <w:p w14:paraId="7364EC43">
            <w:pPr>
              <w:pStyle w:val="23"/>
              <w:spacing w:before="133" w:line="228" w:lineRule="auto"/>
              <w:ind w:left="115"/>
              <w:rPr>
                <w:color w:val="auto"/>
                <w:highlight w:val="none"/>
              </w:rPr>
            </w:pPr>
            <w:r>
              <w:rPr>
                <w:color w:val="auto"/>
                <w:spacing w:val="6"/>
                <w:highlight w:val="none"/>
              </w:rPr>
              <w:t>其他</w:t>
            </w:r>
            <w:r>
              <w:rPr>
                <w:color w:val="auto"/>
                <w:spacing w:val="-57"/>
                <w:highlight w:val="none"/>
              </w:rPr>
              <w:t xml:space="preserve"> </w:t>
            </w:r>
            <w:r>
              <w:rPr>
                <w:color w:val="auto"/>
                <w:spacing w:val="6"/>
                <w:highlight w:val="none"/>
              </w:rPr>
              <w:t>项</w:t>
            </w:r>
            <w:r>
              <w:rPr>
                <w:color w:val="auto"/>
                <w:spacing w:val="-21"/>
                <w:highlight w:val="none"/>
              </w:rPr>
              <w:t xml:space="preserve"> </w:t>
            </w:r>
            <w:r>
              <w:rPr>
                <w:color w:val="auto"/>
                <w:spacing w:val="6"/>
                <w:highlight w:val="none"/>
              </w:rPr>
              <w:t>目</w:t>
            </w:r>
            <w:r>
              <w:rPr>
                <w:color w:val="auto"/>
                <w:spacing w:val="-59"/>
                <w:highlight w:val="none"/>
              </w:rPr>
              <w:t xml:space="preserve"> </w:t>
            </w:r>
            <w:r>
              <w:rPr>
                <w:color w:val="auto"/>
                <w:spacing w:val="6"/>
                <w:highlight w:val="none"/>
              </w:rPr>
              <w:t>上任</w:t>
            </w:r>
          </w:p>
          <w:p w14:paraId="719FE86D">
            <w:pPr>
              <w:pStyle w:val="23"/>
              <w:spacing w:before="132" w:line="229" w:lineRule="auto"/>
              <w:ind w:left="115"/>
              <w:rPr>
                <w:color w:val="auto"/>
                <w:highlight w:val="none"/>
              </w:rPr>
            </w:pPr>
            <w:r>
              <w:rPr>
                <w:color w:val="auto"/>
                <w:spacing w:val="15"/>
                <w:highlight w:val="none"/>
              </w:rPr>
              <w:t>职</w:t>
            </w:r>
            <w:r>
              <w:rPr>
                <w:color w:val="auto"/>
                <w:spacing w:val="-40"/>
                <w:highlight w:val="none"/>
              </w:rPr>
              <w:t xml:space="preserve"> </w:t>
            </w:r>
            <w:r>
              <w:rPr>
                <w:color w:val="auto"/>
                <w:spacing w:val="15"/>
                <w:highlight w:val="none"/>
              </w:rPr>
              <w:t>，</w:t>
            </w:r>
            <w:r>
              <w:rPr>
                <w:color w:val="auto"/>
                <w:spacing w:val="-51"/>
                <w:highlight w:val="none"/>
              </w:rPr>
              <w:t xml:space="preserve"> </w:t>
            </w:r>
            <w:r>
              <w:rPr>
                <w:color w:val="auto"/>
                <w:spacing w:val="15"/>
                <w:highlight w:val="none"/>
              </w:rPr>
              <w:t>或虽在其</w:t>
            </w:r>
          </w:p>
          <w:p w14:paraId="593D3890">
            <w:pPr>
              <w:pStyle w:val="23"/>
              <w:spacing w:before="130" w:line="228" w:lineRule="auto"/>
              <w:ind w:left="114"/>
              <w:rPr>
                <w:color w:val="auto"/>
                <w:highlight w:val="none"/>
              </w:rPr>
            </w:pPr>
            <w:r>
              <w:rPr>
                <w:color w:val="auto"/>
                <w:spacing w:val="6"/>
                <w:highlight w:val="none"/>
              </w:rPr>
              <w:t>他</w:t>
            </w:r>
            <w:r>
              <w:rPr>
                <w:color w:val="auto"/>
                <w:spacing w:val="-57"/>
                <w:highlight w:val="none"/>
              </w:rPr>
              <w:t xml:space="preserve"> </w:t>
            </w:r>
            <w:r>
              <w:rPr>
                <w:color w:val="auto"/>
                <w:spacing w:val="6"/>
                <w:highlight w:val="none"/>
              </w:rPr>
              <w:t>项</w:t>
            </w:r>
            <w:r>
              <w:rPr>
                <w:color w:val="auto"/>
                <w:spacing w:val="-20"/>
                <w:highlight w:val="none"/>
              </w:rPr>
              <w:t xml:space="preserve"> </w:t>
            </w:r>
            <w:r>
              <w:rPr>
                <w:color w:val="auto"/>
                <w:spacing w:val="6"/>
                <w:highlight w:val="none"/>
              </w:rPr>
              <w:t>目</w:t>
            </w:r>
            <w:r>
              <w:rPr>
                <w:color w:val="auto"/>
                <w:spacing w:val="-60"/>
                <w:highlight w:val="none"/>
              </w:rPr>
              <w:t xml:space="preserve"> </w:t>
            </w:r>
            <w:r>
              <w:rPr>
                <w:color w:val="auto"/>
                <w:spacing w:val="6"/>
                <w:highlight w:val="none"/>
              </w:rPr>
              <w:t>上任职</w:t>
            </w:r>
          </w:p>
          <w:p w14:paraId="77752B32">
            <w:pPr>
              <w:pStyle w:val="23"/>
              <w:spacing w:before="135" w:line="227" w:lineRule="auto"/>
              <w:ind w:left="113"/>
              <w:rPr>
                <w:color w:val="auto"/>
                <w:highlight w:val="none"/>
              </w:rPr>
            </w:pPr>
            <w:r>
              <w:rPr>
                <w:color w:val="auto"/>
                <w:spacing w:val="33"/>
                <w:highlight w:val="none"/>
              </w:rPr>
              <w:t>但本项目中标</w:t>
            </w:r>
          </w:p>
          <w:p w14:paraId="1FF8A89C">
            <w:pPr>
              <w:pStyle w:val="23"/>
              <w:spacing w:before="134" w:line="228" w:lineRule="auto"/>
              <w:ind w:left="116"/>
              <w:rPr>
                <w:color w:val="auto"/>
                <w:highlight w:val="none"/>
              </w:rPr>
            </w:pPr>
            <w:r>
              <w:rPr>
                <w:color w:val="auto"/>
                <w:spacing w:val="33"/>
                <w:highlight w:val="none"/>
              </w:rPr>
              <w:t>后能够从该项</w:t>
            </w:r>
          </w:p>
          <w:p w14:paraId="0D04972F">
            <w:pPr>
              <w:pStyle w:val="23"/>
              <w:spacing w:before="132" w:line="228" w:lineRule="auto"/>
              <w:ind w:left="154"/>
              <w:rPr>
                <w:color w:val="auto"/>
                <w:highlight w:val="none"/>
              </w:rPr>
            </w:pPr>
            <w:r>
              <w:rPr>
                <w:color w:val="auto"/>
                <w:spacing w:val="-5"/>
                <w:highlight w:val="none"/>
              </w:rPr>
              <w:t>目撤离）</w:t>
            </w:r>
          </w:p>
        </w:tc>
      </w:tr>
      <w:tr w14:paraId="79FC8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456" w:type="dxa"/>
            <w:vMerge w:val="continue"/>
            <w:tcBorders>
              <w:left w:val="single" w:color="auto" w:sz="4" w:space="0"/>
              <w:bottom w:val="single" w:color="auto" w:sz="4" w:space="0"/>
            </w:tcBorders>
            <w:vAlign w:val="center"/>
          </w:tcPr>
          <w:p w14:paraId="072A789A">
            <w:pPr>
              <w:pStyle w:val="23"/>
              <w:spacing w:before="132" w:line="228" w:lineRule="auto"/>
              <w:ind w:left="139"/>
              <w:jc w:val="center"/>
              <w:rPr>
                <w:color w:val="auto"/>
                <w:spacing w:val="4"/>
                <w:highlight w:val="none"/>
              </w:rPr>
            </w:pPr>
          </w:p>
        </w:tc>
        <w:tc>
          <w:tcPr>
            <w:tcW w:w="1452" w:type="dxa"/>
            <w:tcBorders>
              <w:top w:val="single" w:color="auto" w:sz="4" w:space="0"/>
              <w:bottom w:val="single" w:color="auto" w:sz="4" w:space="0"/>
              <w:right w:val="single" w:color="auto" w:sz="4" w:space="0"/>
            </w:tcBorders>
            <w:shd w:val="clear" w:color="auto" w:fill="auto"/>
            <w:vAlign w:val="center"/>
          </w:tcPr>
          <w:p w14:paraId="5D893FC9">
            <w:pPr>
              <w:pStyle w:val="23"/>
              <w:spacing w:before="132" w:line="228" w:lineRule="auto"/>
              <w:ind w:left="139"/>
              <w:jc w:val="center"/>
              <w:rPr>
                <w:rFonts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eastAsia="zh-CN"/>
              </w:rPr>
              <w:t>总监理工程师（备选）</w:t>
            </w:r>
          </w:p>
        </w:tc>
        <w:tc>
          <w:tcPr>
            <w:tcW w:w="848" w:type="dxa"/>
            <w:tcBorders>
              <w:top w:val="single" w:color="auto" w:sz="4" w:space="0"/>
              <w:left w:val="single" w:color="auto" w:sz="4" w:space="0"/>
              <w:bottom w:val="single" w:color="auto" w:sz="4" w:space="0"/>
            </w:tcBorders>
            <w:shd w:val="clear" w:color="auto" w:fill="auto"/>
            <w:vAlign w:val="center"/>
          </w:tcPr>
          <w:p w14:paraId="18182E43">
            <w:pPr>
              <w:pStyle w:val="23"/>
              <w:spacing w:before="132" w:line="228" w:lineRule="auto"/>
              <w:ind w:left="139"/>
              <w:jc w:val="center"/>
              <w:rPr>
                <w:rFonts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eastAsia="zh-CN"/>
              </w:rPr>
              <w:t>1</w:t>
            </w:r>
          </w:p>
        </w:tc>
        <w:tc>
          <w:tcPr>
            <w:tcW w:w="3903" w:type="dxa"/>
            <w:vMerge w:val="continue"/>
            <w:tcBorders>
              <w:bottom w:val="single" w:color="auto" w:sz="4" w:space="0"/>
            </w:tcBorders>
            <w:vAlign w:val="top"/>
          </w:tcPr>
          <w:p w14:paraId="49E9C7F8">
            <w:pPr>
              <w:pStyle w:val="23"/>
              <w:spacing w:before="120" w:line="336" w:lineRule="auto"/>
              <w:ind w:left="112" w:right="104" w:firstLine="2"/>
              <w:jc w:val="both"/>
              <w:rPr>
                <w:color w:val="auto"/>
                <w:spacing w:val="16"/>
                <w:highlight w:val="none"/>
                <w:u w:val="single" w:color="auto"/>
              </w:rPr>
            </w:pPr>
          </w:p>
        </w:tc>
        <w:tc>
          <w:tcPr>
            <w:tcW w:w="1629" w:type="dxa"/>
            <w:vMerge w:val="continue"/>
            <w:tcBorders>
              <w:bottom w:val="single" w:color="auto" w:sz="4" w:space="0"/>
              <w:right w:val="single" w:color="auto" w:sz="4" w:space="0"/>
            </w:tcBorders>
            <w:vAlign w:val="top"/>
          </w:tcPr>
          <w:p w14:paraId="414F2F96">
            <w:pPr>
              <w:pStyle w:val="23"/>
              <w:spacing w:before="132" w:line="228" w:lineRule="auto"/>
              <w:ind w:left="154"/>
              <w:rPr>
                <w:color w:val="auto"/>
                <w:spacing w:val="-5"/>
                <w:highlight w:val="none"/>
              </w:rPr>
            </w:pPr>
          </w:p>
        </w:tc>
      </w:tr>
    </w:tbl>
    <w:p w14:paraId="7AA63F11">
      <w:pPr>
        <w:spacing w:before="29" w:line="315" w:lineRule="auto"/>
        <w:ind w:left="119" w:right="111" w:hanging="2"/>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注：1、“担任过类似工程监理负责人 ”监理负责人可为总监理工程师或副总监理工程师或驻地监</w:t>
      </w:r>
      <w:bookmarkStart w:id="57" w:name="bookmark91"/>
      <w:bookmarkEnd w:id="57"/>
      <w:r>
        <w:rPr>
          <w:rFonts w:ascii="宋体" w:hAnsi="宋体" w:eastAsia="宋体" w:cs="宋体"/>
          <w:color w:val="auto"/>
          <w:spacing w:val="12"/>
          <w:sz w:val="20"/>
          <w:szCs w:val="20"/>
          <w:highlight w:val="none"/>
        </w:rPr>
        <w:t>理工程师。</w:t>
      </w:r>
    </w:p>
    <w:p w14:paraId="61E13064">
      <w:pPr>
        <w:spacing w:before="29" w:line="315" w:lineRule="auto"/>
        <w:ind w:left="119" w:right="111" w:hanging="2"/>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2、联合体投标的，总监理工程师（含备选）需为联合体牵头人正式职员。</w:t>
      </w:r>
    </w:p>
    <w:p w14:paraId="4DA5A32A">
      <w:pPr>
        <w:spacing w:line="229" w:lineRule="auto"/>
        <w:rPr>
          <w:rFonts w:ascii="宋体" w:hAnsi="宋体" w:eastAsia="宋体" w:cs="宋体"/>
          <w:color w:val="auto"/>
          <w:sz w:val="18"/>
          <w:szCs w:val="18"/>
          <w:highlight w:val="none"/>
        </w:rPr>
        <w:sectPr>
          <w:footerReference r:id="rId16" w:type="default"/>
          <w:pgSz w:w="11906" w:h="16839"/>
          <w:pgMar w:top="1431" w:right="1306" w:bottom="1297" w:left="1306" w:header="0" w:footer="1067" w:gutter="0"/>
          <w:pgNumType w:fmt="decimal"/>
          <w:cols w:space="720" w:num="1"/>
        </w:sectPr>
      </w:pPr>
    </w:p>
    <w:p w14:paraId="2893A87B">
      <w:pPr>
        <w:spacing w:before="128" w:line="219" w:lineRule="auto"/>
        <w:ind w:left="2186"/>
        <w:outlineLvl w:val="1"/>
        <w:rPr>
          <w:rFonts w:ascii="宋体" w:hAnsi="宋体" w:eastAsia="宋体" w:cs="宋体"/>
          <w:b/>
          <w:bCs/>
          <w:color w:val="auto"/>
          <w:spacing w:val="-6"/>
          <w:sz w:val="28"/>
          <w:szCs w:val="28"/>
          <w:highlight w:val="none"/>
        </w:rPr>
      </w:pPr>
      <w:bookmarkStart w:id="58" w:name="_Toc17922"/>
      <w:bookmarkStart w:id="59" w:name="_Toc7110"/>
      <w:bookmarkStart w:id="60" w:name="_Toc1646"/>
      <w:bookmarkStart w:id="61" w:name="_Toc20268"/>
      <w:r>
        <w:rPr>
          <w:rFonts w:ascii="宋体" w:hAnsi="宋体" w:eastAsia="宋体" w:cs="宋体"/>
          <w:b/>
          <w:bCs/>
          <w:color w:val="auto"/>
          <w:spacing w:val="-6"/>
          <w:sz w:val="28"/>
          <w:szCs w:val="28"/>
          <w:highlight w:val="none"/>
        </w:rPr>
        <w:t>附录 5  资格审查条件（其他主要监理人员最低要求）</w:t>
      </w:r>
      <w:bookmarkEnd w:id="58"/>
      <w:bookmarkEnd w:id="59"/>
      <w:bookmarkEnd w:id="60"/>
      <w:bookmarkEnd w:id="61"/>
    </w:p>
    <w:p w14:paraId="4FD59E5F">
      <w:pPr>
        <w:spacing w:before="292" w:line="221" w:lineRule="auto"/>
        <w:ind w:left="26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tbl>
      <w:tblPr>
        <w:tblStyle w:val="22"/>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46"/>
        <w:gridCol w:w="738"/>
        <w:gridCol w:w="7059"/>
      </w:tblGrid>
      <w:tr w14:paraId="2C965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gridSpan w:val="2"/>
            <w:vAlign w:val="top"/>
          </w:tcPr>
          <w:p w14:paraId="4848526F">
            <w:pPr>
              <w:pStyle w:val="23"/>
              <w:spacing w:before="201" w:line="229" w:lineRule="auto"/>
              <w:ind w:left="689"/>
              <w:rPr>
                <w:color w:val="auto"/>
                <w:highlight w:val="none"/>
              </w:rPr>
            </w:pPr>
            <w:r>
              <w:rPr>
                <w:color w:val="auto"/>
                <w:spacing w:val="3"/>
                <w:highlight w:val="none"/>
              </w:rPr>
              <w:t>人员</w:t>
            </w:r>
          </w:p>
        </w:tc>
        <w:tc>
          <w:tcPr>
            <w:tcW w:w="738" w:type="dxa"/>
            <w:vAlign w:val="top"/>
          </w:tcPr>
          <w:p w14:paraId="1C2039CA">
            <w:pPr>
              <w:pStyle w:val="23"/>
              <w:spacing w:before="201" w:line="228" w:lineRule="auto"/>
              <w:ind w:left="165"/>
              <w:rPr>
                <w:color w:val="auto"/>
                <w:highlight w:val="none"/>
              </w:rPr>
            </w:pPr>
            <w:r>
              <w:rPr>
                <w:color w:val="auto"/>
                <w:spacing w:val="3"/>
                <w:highlight w:val="none"/>
              </w:rPr>
              <w:t>数量</w:t>
            </w:r>
          </w:p>
        </w:tc>
        <w:tc>
          <w:tcPr>
            <w:tcW w:w="7059" w:type="dxa"/>
            <w:vAlign w:val="top"/>
          </w:tcPr>
          <w:p w14:paraId="080D3EA2">
            <w:pPr>
              <w:pStyle w:val="23"/>
              <w:spacing w:before="201" w:line="228" w:lineRule="auto"/>
              <w:ind w:left="3123"/>
              <w:rPr>
                <w:color w:val="auto"/>
                <w:highlight w:val="none"/>
              </w:rPr>
            </w:pPr>
            <w:r>
              <w:rPr>
                <w:color w:val="auto"/>
                <w:spacing w:val="5"/>
                <w:highlight w:val="none"/>
              </w:rPr>
              <w:t>资格要求</w:t>
            </w:r>
          </w:p>
        </w:tc>
      </w:tr>
      <w:tr w14:paraId="1FC8D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635" w:type="dxa"/>
            <w:vMerge w:val="restart"/>
            <w:textDirection w:val="tbRlV"/>
            <w:vAlign w:val="top"/>
          </w:tcPr>
          <w:p w14:paraId="5D0DCBAA">
            <w:pPr>
              <w:pStyle w:val="23"/>
              <w:spacing w:before="212" w:line="216" w:lineRule="auto"/>
              <w:ind w:left="3570"/>
              <w:rPr>
                <w:color w:val="auto"/>
                <w:highlight w:val="none"/>
              </w:rPr>
            </w:pPr>
            <w:r>
              <w:rPr>
                <w:color w:val="auto"/>
                <w:spacing w:val="8"/>
                <w:highlight w:val="none"/>
              </w:rPr>
              <w:t>专</w:t>
            </w:r>
            <w:r>
              <w:rPr>
                <w:color w:val="auto"/>
                <w:spacing w:val="55"/>
                <w:highlight w:val="none"/>
              </w:rPr>
              <w:t xml:space="preserve"> </w:t>
            </w:r>
            <w:r>
              <w:rPr>
                <w:color w:val="auto"/>
                <w:spacing w:val="8"/>
                <w:highlight w:val="none"/>
              </w:rPr>
              <w:t>业</w:t>
            </w:r>
            <w:r>
              <w:rPr>
                <w:color w:val="auto"/>
                <w:spacing w:val="51"/>
                <w:highlight w:val="none"/>
              </w:rPr>
              <w:t xml:space="preserve"> </w:t>
            </w:r>
            <w:r>
              <w:rPr>
                <w:color w:val="auto"/>
                <w:spacing w:val="8"/>
                <w:highlight w:val="none"/>
              </w:rPr>
              <w:t>监</w:t>
            </w:r>
            <w:r>
              <w:rPr>
                <w:color w:val="auto"/>
                <w:spacing w:val="52"/>
                <w:highlight w:val="none"/>
              </w:rPr>
              <w:t xml:space="preserve"> </w:t>
            </w:r>
            <w:r>
              <w:rPr>
                <w:color w:val="auto"/>
                <w:spacing w:val="8"/>
                <w:highlight w:val="none"/>
              </w:rPr>
              <w:t>理</w:t>
            </w:r>
            <w:r>
              <w:rPr>
                <w:color w:val="auto"/>
                <w:spacing w:val="51"/>
                <w:highlight w:val="none"/>
              </w:rPr>
              <w:t xml:space="preserve"> </w:t>
            </w:r>
            <w:r>
              <w:rPr>
                <w:color w:val="auto"/>
                <w:spacing w:val="8"/>
                <w:highlight w:val="none"/>
              </w:rPr>
              <w:t>工</w:t>
            </w:r>
            <w:r>
              <w:rPr>
                <w:color w:val="auto"/>
                <w:spacing w:val="51"/>
                <w:highlight w:val="none"/>
              </w:rPr>
              <w:t xml:space="preserve"> </w:t>
            </w:r>
            <w:r>
              <w:rPr>
                <w:color w:val="auto"/>
                <w:spacing w:val="8"/>
                <w:highlight w:val="none"/>
              </w:rPr>
              <w:t>程</w:t>
            </w:r>
            <w:r>
              <w:rPr>
                <w:color w:val="auto"/>
                <w:spacing w:val="51"/>
                <w:highlight w:val="none"/>
              </w:rPr>
              <w:t xml:space="preserve"> </w:t>
            </w:r>
            <w:r>
              <w:rPr>
                <w:color w:val="auto"/>
                <w:spacing w:val="8"/>
                <w:highlight w:val="none"/>
              </w:rPr>
              <w:t>师</w:t>
            </w:r>
          </w:p>
        </w:tc>
        <w:tc>
          <w:tcPr>
            <w:tcW w:w="1146" w:type="dxa"/>
            <w:vAlign w:val="top"/>
          </w:tcPr>
          <w:p w14:paraId="03557C30">
            <w:pPr>
              <w:spacing w:line="295" w:lineRule="auto"/>
              <w:rPr>
                <w:rFonts w:ascii="Arial"/>
                <w:color w:val="auto"/>
                <w:sz w:val="21"/>
                <w:highlight w:val="none"/>
              </w:rPr>
            </w:pPr>
          </w:p>
          <w:p w14:paraId="1DF28BF2">
            <w:pPr>
              <w:spacing w:line="295" w:lineRule="auto"/>
              <w:rPr>
                <w:rFonts w:ascii="Arial"/>
                <w:color w:val="auto"/>
                <w:sz w:val="21"/>
                <w:highlight w:val="none"/>
              </w:rPr>
            </w:pPr>
          </w:p>
          <w:p w14:paraId="200C31A2">
            <w:pPr>
              <w:pStyle w:val="23"/>
              <w:spacing w:before="65" w:line="228" w:lineRule="auto"/>
              <w:ind w:left="157"/>
              <w:rPr>
                <w:color w:val="auto"/>
                <w:highlight w:val="none"/>
              </w:rPr>
            </w:pPr>
            <w:r>
              <w:rPr>
                <w:color w:val="auto"/>
                <w:spacing w:val="6"/>
                <w:highlight w:val="none"/>
              </w:rPr>
              <w:t>路基工程</w:t>
            </w:r>
          </w:p>
        </w:tc>
        <w:tc>
          <w:tcPr>
            <w:tcW w:w="738" w:type="dxa"/>
            <w:vAlign w:val="center"/>
          </w:tcPr>
          <w:p w14:paraId="10805E68">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2BE6513C">
            <w:pPr>
              <w:pStyle w:val="23"/>
              <w:spacing w:before="120" w:line="300" w:lineRule="auto"/>
              <w:ind w:left="111" w:right="109" w:firstLine="5"/>
              <w:jc w:val="both"/>
              <w:rPr>
                <w:color w:val="auto"/>
                <w:highlight w:val="none"/>
              </w:rPr>
            </w:pPr>
            <w:r>
              <w:rPr>
                <w:color w:val="auto"/>
                <w:highlight w:val="none"/>
              </w:rPr>
              <w:pict>
                <v:shape id="_x0000_s1059" o:spid="_x0000_s1059" o:spt="202" type="#_x0000_t202" style="position:absolute;left:0pt;margin-left:4.15pt;margin-top:59.2pt;height:14.1pt;width:12.6pt;z-index:251663360;mso-width-relative:page;mso-height-relative:page;" filled="f" stroked="f" coordsize="21600,21600">
                  <v:path/>
                  <v:fill on="f" focussize="0,0"/>
                  <v:stroke on="f"/>
                  <v:imagedata o:title=""/>
                  <o:lock v:ext="edit" aspectratio="f"/>
                  <v:textbox inset="0mm,0mm,0mm,0mm">
                    <w:txbxContent>
                      <w:p w14:paraId="0145D8D0">
                        <w:pPr>
                          <w:tabs>
                            <w:tab w:val="left" w:pos="231"/>
                          </w:tabs>
                          <w:spacing w:before="20"/>
                          <w:ind w:left="20"/>
                          <w:rPr>
                            <w:rFonts w:ascii="Arial"/>
                            <w:sz w:val="21"/>
                          </w:rPr>
                        </w:pPr>
                        <w:r>
                          <w:rPr>
                            <w:rFonts w:ascii="Arial" w:hAnsi="Arial" w:eastAsia="Arial" w:cs="Arial"/>
                            <w:sz w:val="21"/>
                            <w:szCs w:val="21"/>
                            <w:u w:val="single" w:color="auto"/>
                          </w:rPr>
                          <w:tab/>
                        </w:r>
                      </w:p>
                    </w:txbxContent>
                  </v:textbox>
                </v:shape>
              </w:pict>
            </w: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rPr>
              <w:t>上技术职称；从事公路路基工程监理工作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0096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635" w:type="dxa"/>
            <w:vMerge w:val="continue"/>
            <w:textDirection w:val="tbRlV"/>
            <w:vAlign w:val="top"/>
          </w:tcPr>
          <w:p w14:paraId="0AD28894">
            <w:pPr>
              <w:rPr>
                <w:rFonts w:ascii="Arial"/>
                <w:color w:val="auto"/>
                <w:sz w:val="21"/>
                <w:highlight w:val="none"/>
              </w:rPr>
            </w:pPr>
          </w:p>
        </w:tc>
        <w:tc>
          <w:tcPr>
            <w:tcW w:w="1146" w:type="dxa"/>
            <w:vAlign w:val="top"/>
          </w:tcPr>
          <w:p w14:paraId="1F0D4894">
            <w:pPr>
              <w:spacing w:line="302" w:lineRule="auto"/>
              <w:rPr>
                <w:rFonts w:ascii="Arial"/>
                <w:color w:val="auto"/>
                <w:sz w:val="21"/>
                <w:highlight w:val="none"/>
              </w:rPr>
            </w:pPr>
          </w:p>
          <w:p w14:paraId="1B96AD97">
            <w:pPr>
              <w:spacing w:line="302" w:lineRule="auto"/>
              <w:rPr>
                <w:rFonts w:ascii="Arial"/>
                <w:color w:val="auto"/>
                <w:sz w:val="21"/>
                <w:highlight w:val="none"/>
              </w:rPr>
            </w:pPr>
          </w:p>
          <w:p w14:paraId="7CD86214">
            <w:pPr>
              <w:pStyle w:val="23"/>
              <w:spacing w:before="65" w:line="228" w:lineRule="auto"/>
              <w:ind w:left="157"/>
              <w:rPr>
                <w:color w:val="auto"/>
                <w:highlight w:val="none"/>
              </w:rPr>
            </w:pPr>
            <w:r>
              <w:rPr>
                <w:color w:val="auto"/>
                <w:spacing w:val="6"/>
                <w:highlight w:val="none"/>
              </w:rPr>
              <w:t>路面工程</w:t>
            </w:r>
          </w:p>
        </w:tc>
        <w:tc>
          <w:tcPr>
            <w:tcW w:w="738" w:type="dxa"/>
            <w:vAlign w:val="center"/>
          </w:tcPr>
          <w:p w14:paraId="0F6C4BF5">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B575185">
            <w:pPr>
              <w:pStyle w:val="23"/>
              <w:spacing w:before="135" w:line="300"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技术职称；从事公路路面工程监理工作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1F54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35" w:type="dxa"/>
            <w:vMerge w:val="continue"/>
            <w:textDirection w:val="tbRlV"/>
            <w:vAlign w:val="top"/>
          </w:tcPr>
          <w:p w14:paraId="6C7C2F80">
            <w:pPr>
              <w:rPr>
                <w:rFonts w:ascii="Arial"/>
                <w:color w:val="auto"/>
                <w:sz w:val="21"/>
                <w:highlight w:val="none"/>
              </w:rPr>
            </w:pPr>
          </w:p>
        </w:tc>
        <w:tc>
          <w:tcPr>
            <w:tcW w:w="1146" w:type="dxa"/>
            <w:vAlign w:val="top"/>
          </w:tcPr>
          <w:p w14:paraId="6CE91B68">
            <w:pPr>
              <w:spacing w:line="251" w:lineRule="auto"/>
              <w:rPr>
                <w:rFonts w:ascii="Arial"/>
                <w:color w:val="auto"/>
                <w:sz w:val="21"/>
                <w:highlight w:val="none"/>
              </w:rPr>
            </w:pPr>
          </w:p>
          <w:p w14:paraId="229208BD">
            <w:pPr>
              <w:pStyle w:val="23"/>
              <w:spacing w:before="65" w:line="221" w:lineRule="auto"/>
              <w:ind w:left="156"/>
              <w:rPr>
                <w:color w:val="auto"/>
                <w:highlight w:val="none"/>
              </w:rPr>
            </w:pPr>
            <w:r>
              <w:rPr>
                <w:color w:val="auto"/>
                <w:spacing w:val="7"/>
                <w:highlight w:val="none"/>
              </w:rPr>
              <w:t>合同管理</w:t>
            </w:r>
          </w:p>
          <w:p w14:paraId="3DCCAA78">
            <w:pPr>
              <w:pStyle w:val="23"/>
              <w:spacing w:before="103" w:line="228" w:lineRule="auto"/>
              <w:ind w:left="520"/>
              <w:rPr>
                <w:color w:val="auto"/>
                <w:sz w:val="10"/>
                <w:szCs w:val="10"/>
                <w:highlight w:val="none"/>
              </w:rPr>
            </w:pPr>
          </w:p>
        </w:tc>
        <w:tc>
          <w:tcPr>
            <w:tcW w:w="738" w:type="dxa"/>
            <w:vAlign w:val="center"/>
          </w:tcPr>
          <w:p w14:paraId="27644FF0">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7603C1E2">
            <w:pPr>
              <w:pStyle w:val="23"/>
              <w:spacing w:before="138" w:line="288" w:lineRule="auto"/>
              <w:ind w:left="111" w:right="107" w:firstLine="5"/>
              <w:jc w:val="both"/>
              <w:rPr>
                <w:color w:val="auto"/>
                <w:highlight w:val="none"/>
              </w:rPr>
            </w:pPr>
            <w:r>
              <w:rPr>
                <w:color w:val="auto"/>
                <w:spacing w:val="12"/>
                <w:highlight w:val="none"/>
              </w:rPr>
              <w:t>具有</w:t>
            </w:r>
            <w:r>
              <w:rPr>
                <w:color w:val="auto"/>
                <w:spacing w:val="-80"/>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一</w:t>
            </w:r>
            <w:r>
              <w:rPr>
                <w:color w:val="auto"/>
                <w:spacing w:val="8"/>
                <w:highlight w:val="none"/>
                <w:u w:val="single" w:color="auto"/>
              </w:rPr>
              <w:t xml:space="preserve">  </w:t>
            </w:r>
            <w:r>
              <w:rPr>
                <w:color w:val="auto"/>
                <w:spacing w:val="-86"/>
                <w:highlight w:val="none"/>
              </w:rPr>
              <w:t xml:space="preserve"> </w:t>
            </w:r>
            <w:r>
              <w:rPr>
                <w:color w:val="auto"/>
                <w:spacing w:val="12"/>
                <w:highlight w:val="none"/>
              </w:rPr>
              <w:t>级造价工程师注册证（交通运输工程专业，类别为公路）或交通</w:t>
            </w:r>
            <w:r>
              <w:rPr>
                <w:color w:val="auto"/>
                <w:spacing w:val="17"/>
                <w:highlight w:val="none"/>
              </w:rPr>
              <w:t>运输主管部门颁发的</w:t>
            </w:r>
            <w:r>
              <w:rPr>
                <w:color w:val="auto"/>
                <w:spacing w:val="-76"/>
                <w:highlight w:val="none"/>
              </w:rPr>
              <w:t xml:space="preserve"> </w:t>
            </w:r>
            <w:r>
              <w:rPr>
                <w:color w:val="auto"/>
                <w:spacing w:val="15"/>
                <w:highlight w:val="none"/>
                <w:u w:val="single" w:color="auto"/>
              </w:rPr>
              <w:t xml:space="preserve">  </w:t>
            </w:r>
            <w:r>
              <w:rPr>
                <w:rFonts w:hint="eastAsia"/>
                <w:color w:val="auto"/>
                <w:spacing w:val="15"/>
                <w:highlight w:val="none"/>
                <w:u w:val="single" w:color="auto"/>
                <w:lang w:eastAsia="zh-CN"/>
              </w:rPr>
              <w:t>甲</w:t>
            </w:r>
            <w:r>
              <w:rPr>
                <w:color w:val="auto"/>
                <w:spacing w:val="15"/>
                <w:highlight w:val="none"/>
                <w:u w:val="single" w:color="auto"/>
              </w:rPr>
              <w:t xml:space="preserve"> </w:t>
            </w:r>
            <w:r>
              <w:rPr>
                <w:color w:val="auto"/>
                <w:spacing w:val="-88"/>
                <w:highlight w:val="none"/>
              </w:rPr>
              <w:t xml:space="preserve"> </w:t>
            </w:r>
            <w:r>
              <w:rPr>
                <w:color w:val="auto"/>
                <w:spacing w:val="17"/>
                <w:highlight w:val="none"/>
              </w:rPr>
              <w:t>级公路造价人员证书；</w:t>
            </w:r>
            <w:r>
              <w:rPr>
                <w:color w:val="auto"/>
                <w:spacing w:val="-55"/>
                <w:highlight w:val="none"/>
              </w:rPr>
              <w:t xml:space="preserve"> </w:t>
            </w:r>
            <w:r>
              <w:rPr>
                <w:color w:val="auto"/>
                <w:spacing w:val="17"/>
                <w:highlight w:val="none"/>
              </w:rPr>
              <w:t>具有</w:t>
            </w:r>
            <w:r>
              <w:rPr>
                <w:color w:val="auto"/>
                <w:spacing w:val="17"/>
                <w:highlight w:val="none"/>
                <w:u w:val="single" w:color="auto"/>
              </w:rPr>
              <w:t>中级及以上</w:t>
            </w:r>
            <w:r>
              <w:rPr>
                <w:color w:val="auto"/>
                <w:spacing w:val="17"/>
                <w:highlight w:val="none"/>
              </w:rPr>
              <w:t>技术职</w:t>
            </w:r>
            <w:r>
              <w:rPr>
                <w:color w:val="auto"/>
                <w:spacing w:val="5"/>
                <w:highlight w:val="none"/>
              </w:rPr>
              <w:t>称，至少</w:t>
            </w:r>
            <w:r>
              <w:rPr>
                <w:color w:val="auto"/>
                <w:spacing w:val="-27"/>
                <w:highlight w:val="none"/>
              </w:rPr>
              <w:t xml:space="preserve"> </w:t>
            </w:r>
            <w:r>
              <w:rPr>
                <w:color w:val="auto"/>
                <w:spacing w:val="5"/>
                <w:highlight w:val="none"/>
              </w:rPr>
              <w:t>5</w:t>
            </w:r>
            <w:r>
              <w:rPr>
                <w:color w:val="auto"/>
                <w:spacing w:val="-37"/>
                <w:highlight w:val="none"/>
              </w:rPr>
              <w:t xml:space="preserve"> </w:t>
            </w:r>
            <w:r>
              <w:rPr>
                <w:color w:val="auto"/>
                <w:spacing w:val="5"/>
                <w:highlight w:val="none"/>
              </w:rPr>
              <w:t>年工作经验。</w:t>
            </w:r>
          </w:p>
        </w:tc>
      </w:tr>
      <w:tr w14:paraId="01F4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extDirection w:val="tbRlV"/>
            <w:vAlign w:val="top"/>
          </w:tcPr>
          <w:p w14:paraId="1AABEF9C">
            <w:pPr>
              <w:rPr>
                <w:rFonts w:ascii="Arial"/>
                <w:color w:val="auto"/>
                <w:sz w:val="21"/>
                <w:highlight w:val="none"/>
              </w:rPr>
            </w:pPr>
          </w:p>
        </w:tc>
        <w:tc>
          <w:tcPr>
            <w:tcW w:w="1146" w:type="dxa"/>
            <w:vAlign w:val="top"/>
          </w:tcPr>
          <w:p w14:paraId="1058D596">
            <w:pPr>
              <w:spacing w:line="304" w:lineRule="auto"/>
              <w:rPr>
                <w:rFonts w:ascii="Arial"/>
                <w:color w:val="auto"/>
                <w:sz w:val="21"/>
                <w:highlight w:val="none"/>
              </w:rPr>
            </w:pPr>
          </w:p>
          <w:p w14:paraId="238B1E2D">
            <w:pPr>
              <w:spacing w:line="305" w:lineRule="auto"/>
              <w:rPr>
                <w:rFonts w:ascii="Arial"/>
                <w:color w:val="auto"/>
                <w:sz w:val="21"/>
                <w:highlight w:val="none"/>
              </w:rPr>
            </w:pPr>
          </w:p>
          <w:p w14:paraId="0DD6FB1D">
            <w:pPr>
              <w:pStyle w:val="23"/>
              <w:spacing w:before="65" w:line="228" w:lineRule="auto"/>
              <w:ind w:left="156"/>
              <w:rPr>
                <w:color w:val="auto"/>
                <w:highlight w:val="none"/>
              </w:rPr>
            </w:pPr>
            <w:r>
              <w:rPr>
                <w:color w:val="auto"/>
                <w:spacing w:val="7"/>
                <w:highlight w:val="none"/>
              </w:rPr>
              <w:t>测量工程</w:t>
            </w:r>
          </w:p>
        </w:tc>
        <w:tc>
          <w:tcPr>
            <w:tcW w:w="738" w:type="dxa"/>
            <w:vAlign w:val="center"/>
          </w:tcPr>
          <w:p w14:paraId="3F18820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2721488D">
            <w:pPr>
              <w:pStyle w:val="23"/>
              <w:spacing w:before="138" w:line="299"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或具有交通运输部核发的公路工程专业监理工程师资格证书；具有路桥或测量相关专业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技术职称；从事监理工作</w:t>
            </w:r>
            <w:r>
              <w:rPr>
                <w:color w:val="auto"/>
                <w:spacing w:val="-29"/>
                <w:highlight w:val="none"/>
              </w:rPr>
              <w:t xml:space="preserve"> </w:t>
            </w:r>
            <w:r>
              <w:rPr>
                <w:color w:val="auto"/>
                <w:spacing w:val="7"/>
                <w:highlight w:val="none"/>
              </w:rPr>
              <w:t>5</w:t>
            </w:r>
            <w:r>
              <w:rPr>
                <w:color w:val="auto"/>
                <w:spacing w:val="-37"/>
                <w:highlight w:val="none"/>
              </w:rPr>
              <w:t xml:space="preserve"> </w:t>
            </w:r>
            <w:r>
              <w:rPr>
                <w:color w:val="auto"/>
                <w:spacing w:val="7"/>
                <w:highlight w:val="none"/>
              </w:rPr>
              <w:t>年以上。</w:t>
            </w:r>
          </w:p>
        </w:tc>
      </w:tr>
      <w:tr w14:paraId="0F53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35" w:type="dxa"/>
            <w:vMerge w:val="continue"/>
            <w:vAlign w:val="top"/>
          </w:tcPr>
          <w:p w14:paraId="38C1377C">
            <w:pPr>
              <w:rPr>
                <w:rFonts w:ascii="Arial"/>
                <w:color w:val="auto"/>
                <w:sz w:val="21"/>
                <w:highlight w:val="none"/>
              </w:rPr>
            </w:pPr>
            <w:bookmarkStart w:id="62" w:name="bookmark95"/>
            <w:bookmarkEnd w:id="62"/>
          </w:p>
        </w:tc>
        <w:tc>
          <w:tcPr>
            <w:tcW w:w="1146" w:type="dxa"/>
            <w:vAlign w:val="top"/>
          </w:tcPr>
          <w:p w14:paraId="4880FF1C">
            <w:pPr>
              <w:spacing w:line="256" w:lineRule="auto"/>
              <w:rPr>
                <w:rFonts w:ascii="Arial"/>
                <w:color w:val="auto"/>
                <w:sz w:val="21"/>
                <w:highlight w:val="none"/>
              </w:rPr>
            </w:pPr>
          </w:p>
          <w:p w14:paraId="08C1673C">
            <w:pPr>
              <w:spacing w:line="256" w:lineRule="auto"/>
              <w:rPr>
                <w:rFonts w:ascii="Arial"/>
                <w:color w:val="auto"/>
                <w:sz w:val="21"/>
                <w:highlight w:val="none"/>
              </w:rPr>
            </w:pPr>
          </w:p>
          <w:p w14:paraId="540B4C6B">
            <w:pPr>
              <w:spacing w:line="257" w:lineRule="auto"/>
              <w:rPr>
                <w:rFonts w:ascii="Arial"/>
                <w:color w:val="auto"/>
                <w:sz w:val="21"/>
                <w:highlight w:val="none"/>
              </w:rPr>
            </w:pPr>
          </w:p>
          <w:p w14:paraId="5C396A7F">
            <w:pPr>
              <w:pStyle w:val="23"/>
              <w:spacing w:before="65" w:line="228" w:lineRule="auto"/>
              <w:ind w:left="159"/>
              <w:rPr>
                <w:color w:val="auto"/>
                <w:highlight w:val="none"/>
              </w:rPr>
            </w:pPr>
            <w:r>
              <w:rPr>
                <w:color w:val="auto"/>
                <w:spacing w:val="6"/>
                <w:highlight w:val="none"/>
              </w:rPr>
              <w:t>安全环保</w:t>
            </w:r>
          </w:p>
        </w:tc>
        <w:tc>
          <w:tcPr>
            <w:tcW w:w="738" w:type="dxa"/>
            <w:vAlign w:val="center"/>
          </w:tcPr>
          <w:p w14:paraId="093F27FE">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C5C0385">
            <w:pPr>
              <w:pStyle w:val="23"/>
              <w:spacing w:before="120" w:line="309" w:lineRule="auto"/>
              <w:ind w:left="111" w:right="107"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或具有交通运输部核发的公路工程专业监理工程师资格证书；相关专业</w:t>
            </w:r>
            <w:r>
              <w:rPr>
                <w:color w:val="auto"/>
                <w:spacing w:val="13"/>
                <w:highlight w:val="none"/>
                <w:u w:val="single" w:color="auto"/>
              </w:rPr>
              <w:t>中级及以上</w:t>
            </w:r>
            <w:r>
              <w:rPr>
                <w:color w:val="auto"/>
                <w:spacing w:val="13"/>
                <w:highlight w:val="none"/>
              </w:rPr>
              <w:t>技术职称或应急管理部（原国家安全生产监督管理总局）核发的中级及以上注册安全</w:t>
            </w:r>
            <w:r>
              <w:rPr>
                <w:color w:val="auto"/>
                <w:spacing w:val="7"/>
                <w:highlight w:val="none"/>
              </w:rPr>
              <w:t>工程师证书；从事监理工作</w:t>
            </w:r>
            <w:r>
              <w:rPr>
                <w:color w:val="auto"/>
                <w:spacing w:val="-31"/>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644D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35" w:type="dxa"/>
            <w:vMerge w:val="continue"/>
            <w:vAlign w:val="top"/>
          </w:tcPr>
          <w:p w14:paraId="6AC003D9">
            <w:pPr>
              <w:pStyle w:val="23"/>
              <w:spacing w:before="96" w:line="273" w:lineRule="auto"/>
              <w:ind w:right="156"/>
              <w:rPr>
                <w:color w:val="auto"/>
                <w:sz w:val="10"/>
                <w:szCs w:val="10"/>
                <w:highlight w:val="none"/>
              </w:rPr>
            </w:pPr>
          </w:p>
        </w:tc>
        <w:tc>
          <w:tcPr>
            <w:tcW w:w="1146" w:type="dxa"/>
            <w:vAlign w:val="center"/>
          </w:tcPr>
          <w:p w14:paraId="2ACC81A3">
            <w:pPr>
              <w:pStyle w:val="23"/>
              <w:spacing w:before="65" w:line="334" w:lineRule="auto"/>
              <w:ind w:right="153" w:rightChars="0"/>
              <w:jc w:val="center"/>
              <w:rPr>
                <w:color w:val="auto"/>
                <w:highlight w:val="none"/>
              </w:rPr>
            </w:pPr>
            <w:r>
              <w:rPr>
                <w:color w:val="auto"/>
                <w:spacing w:val="6"/>
                <w:highlight w:val="none"/>
              </w:rPr>
              <w:t>专业工</w:t>
            </w:r>
            <w:r>
              <w:rPr>
                <w:color w:val="auto"/>
                <w:spacing w:val="5"/>
                <w:highlight w:val="none"/>
              </w:rPr>
              <w:t>程师</w:t>
            </w:r>
          </w:p>
        </w:tc>
        <w:tc>
          <w:tcPr>
            <w:tcW w:w="738" w:type="dxa"/>
            <w:vAlign w:val="center"/>
          </w:tcPr>
          <w:p w14:paraId="4B68D16D">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center"/>
          </w:tcPr>
          <w:p w14:paraId="22EAE1BF">
            <w:pPr>
              <w:pStyle w:val="23"/>
              <w:spacing w:before="65" w:line="334" w:lineRule="auto"/>
              <w:ind w:left="111" w:leftChars="0" w:right="109" w:rightChars="0" w:firstLine="5" w:firstLineChars="0"/>
              <w:jc w:val="center"/>
              <w:rPr>
                <w:color w:val="auto"/>
                <w:highlight w:val="none"/>
              </w:rPr>
            </w:pPr>
            <w:r>
              <w:rPr>
                <w:color w:val="auto"/>
                <w:spacing w:val="14"/>
                <w:highlight w:val="none"/>
              </w:rPr>
              <w:t>具有工程类注册执业资格或具有</w:t>
            </w:r>
            <w:r>
              <w:rPr>
                <w:color w:val="auto"/>
                <w:spacing w:val="14"/>
                <w:highlight w:val="none"/>
                <w:u w:val="single" w:color="auto"/>
              </w:rPr>
              <w:t>中级及以上</w:t>
            </w:r>
            <w:r>
              <w:rPr>
                <w:color w:val="auto"/>
                <w:spacing w:val="14"/>
                <w:highlight w:val="none"/>
              </w:rPr>
              <w:t>专业技术职称；</w:t>
            </w:r>
            <w:r>
              <w:rPr>
                <w:color w:val="auto"/>
                <w:spacing w:val="14"/>
                <w:highlight w:val="none"/>
                <w:u w:val="single" w:color="auto"/>
              </w:rPr>
              <w:t>3</w:t>
            </w:r>
            <w:r>
              <w:rPr>
                <w:color w:val="auto"/>
                <w:spacing w:val="-22"/>
                <w:highlight w:val="none"/>
                <w:u w:val="single" w:color="auto"/>
              </w:rPr>
              <w:t xml:space="preserve"> </w:t>
            </w:r>
            <w:r>
              <w:rPr>
                <w:color w:val="auto"/>
                <w:spacing w:val="14"/>
                <w:highlight w:val="none"/>
              </w:rPr>
              <w:t>年及以上工</w:t>
            </w:r>
            <w:r>
              <w:rPr>
                <w:color w:val="auto"/>
                <w:spacing w:val="9"/>
                <w:highlight w:val="none"/>
              </w:rPr>
              <w:t>程实践经验；经过监理业务培训并经建设单位考核合格的监理人员。</w:t>
            </w:r>
          </w:p>
        </w:tc>
      </w:tr>
      <w:tr w14:paraId="225C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81" w:type="dxa"/>
            <w:gridSpan w:val="2"/>
            <w:vAlign w:val="top"/>
          </w:tcPr>
          <w:p w14:paraId="2343FC93">
            <w:pPr>
              <w:pStyle w:val="23"/>
              <w:spacing w:before="123" w:line="273" w:lineRule="auto"/>
              <w:ind w:left="589" w:right="153" w:hanging="427"/>
              <w:rPr>
                <w:color w:val="auto"/>
                <w:highlight w:val="none"/>
              </w:rPr>
            </w:pPr>
            <w:r>
              <w:rPr>
                <w:color w:val="auto"/>
                <w:spacing w:val="8"/>
                <w:highlight w:val="none"/>
              </w:rPr>
              <w:t>档案及竣工资料</w:t>
            </w:r>
            <w:r>
              <w:rPr>
                <w:color w:val="auto"/>
                <w:spacing w:val="4"/>
                <w:highlight w:val="none"/>
              </w:rPr>
              <w:t>负责人</w:t>
            </w:r>
          </w:p>
        </w:tc>
        <w:tc>
          <w:tcPr>
            <w:tcW w:w="738" w:type="dxa"/>
            <w:vAlign w:val="center"/>
          </w:tcPr>
          <w:p w14:paraId="39389691">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7625B9CD">
            <w:pPr>
              <w:pStyle w:val="23"/>
              <w:spacing w:before="123" w:line="273" w:lineRule="auto"/>
              <w:ind w:left="111" w:right="109" w:firstLine="5"/>
              <w:rPr>
                <w:color w:val="auto"/>
                <w:highlight w:val="none"/>
              </w:rPr>
            </w:pPr>
            <w:r>
              <w:rPr>
                <w:color w:val="auto"/>
                <w:spacing w:val="13"/>
                <w:highlight w:val="none"/>
              </w:rPr>
              <w:t>具有路桥或土建相关专业</w:t>
            </w:r>
            <w:r>
              <w:rPr>
                <w:color w:val="auto"/>
                <w:spacing w:val="13"/>
                <w:highlight w:val="none"/>
                <w:u w:val="single" w:color="auto"/>
              </w:rPr>
              <w:t>初级及以上</w:t>
            </w:r>
            <w:r>
              <w:rPr>
                <w:color w:val="auto"/>
                <w:spacing w:val="13"/>
                <w:highlight w:val="none"/>
              </w:rPr>
              <w:t>技术职称，至少具有一个高速公路工</w:t>
            </w:r>
            <w:r>
              <w:rPr>
                <w:color w:val="auto"/>
                <w:spacing w:val="9"/>
                <w:highlight w:val="none"/>
              </w:rPr>
              <w:t>程项目竣工档案全过程编制和管理工作经验,熟悉计算机办公软件操作。</w:t>
            </w:r>
          </w:p>
        </w:tc>
      </w:tr>
      <w:tr w14:paraId="0264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gridSpan w:val="2"/>
            <w:vAlign w:val="top"/>
          </w:tcPr>
          <w:p w14:paraId="3897E799">
            <w:pPr>
              <w:pStyle w:val="23"/>
              <w:spacing w:before="303" w:line="229" w:lineRule="auto"/>
              <w:ind w:left="477"/>
              <w:rPr>
                <w:color w:val="auto"/>
                <w:highlight w:val="none"/>
              </w:rPr>
            </w:pPr>
            <w:r>
              <w:rPr>
                <w:color w:val="auto"/>
                <w:spacing w:val="-1"/>
                <w:highlight w:val="none"/>
              </w:rPr>
              <w:t>监</w:t>
            </w:r>
            <w:r>
              <w:rPr>
                <w:color w:val="auto"/>
                <w:spacing w:val="16"/>
                <w:highlight w:val="none"/>
              </w:rPr>
              <w:t xml:space="preserve"> </w:t>
            </w:r>
            <w:r>
              <w:rPr>
                <w:color w:val="auto"/>
                <w:spacing w:val="-1"/>
                <w:highlight w:val="none"/>
              </w:rPr>
              <w:t>理</w:t>
            </w:r>
            <w:r>
              <w:rPr>
                <w:color w:val="auto"/>
                <w:spacing w:val="24"/>
                <w:highlight w:val="none"/>
              </w:rPr>
              <w:t xml:space="preserve"> </w:t>
            </w:r>
            <w:r>
              <w:rPr>
                <w:color w:val="auto"/>
                <w:spacing w:val="-1"/>
                <w:highlight w:val="none"/>
              </w:rPr>
              <w:t>员</w:t>
            </w:r>
          </w:p>
        </w:tc>
        <w:tc>
          <w:tcPr>
            <w:tcW w:w="738" w:type="dxa"/>
            <w:vAlign w:val="center"/>
          </w:tcPr>
          <w:p w14:paraId="19081E68">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75762D63">
            <w:pPr>
              <w:pStyle w:val="23"/>
              <w:spacing w:before="123" w:line="275" w:lineRule="auto"/>
              <w:ind w:left="113" w:right="109" w:firstLine="3"/>
              <w:rPr>
                <w:color w:val="auto"/>
                <w:highlight w:val="none"/>
              </w:rPr>
            </w:pPr>
            <w:r>
              <w:rPr>
                <w:color w:val="auto"/>
                <w:spacing w:val="13"/>
                <w:highlight w:val="none"/>
              </w:rPr>
              <w:t>具有监理人员培训证书，路桥相关专业</w:t>
            </w:r>
            <w:r>
              <w:rPr>
                <w:color w:val="auto"/>
                <w:spacing w:val="13"/>
                <w:highlight w:val="none"/>
                <w:u w:val="single" w:color="auto"/>
              </w:rPr>
              <w:t>初级及以上</w:t>
            </w:r>
            <w:r>
              <w:rPr>
                <w:color w:val="auto"/>
                <w:spacing w:val="13"/>
                <w:highlight w:val="none"/>
              </w:rPr>
              <w:t>技术职称，从事监理工</w:t>
            </w:r>
            <w:r>
              <w:rPr>
                <w:color w:val="auto"/>
                <w:spacing w:val="2"/>
                <w:highlight w:val="none"/>
              </w:rPr>
              <w:t>作</w:t>
            </w:r>
            <w:r>
              <w:rPr>
                <w:color w:val="auto"/>
                <w:spacing w:val="16"/>
                <w:highlight w:val="none"/>
              </w:rPr>
              <w:t xml:space="preserve"> </w:t>
            </w:r>
            <w:r>
              <w:rPr>
                <w:color w:val="auto"/>
                <w:spacing w:val="2"/>
                <w:highlight w:val="none"/>
                <w:u w:val="single" w:color="auto"/>
              </w:rPr>
              <w:t>2</w:t>
            </w:r>
            <w:r>
              <w:rPr>
                <w:color w:val="auto"/>
                <w:spacing w:val="-37"/>
                <w:highlight w:val="none"/>
                <w:u w:val="single" w:color="auto"/>
              </w:rPr>
              <w:t xml:space="preserve"> </w:t>
            </w:r>
            <w:r>
              <w:rPr>
                <w:color w:val="auto"/>
                <w:spacing w:val="2"/>
                <w:highlight w:val="none"/>
              </w:rPr>
              <w:t>年以上。</w:t>
            </w:r>
          </w:p>
        </w:tc>
      </w:tr>
    </w:tbl>
    <w:p w14:paraId="23348933">
      <w:pPr>
        <w:spacing w:before="31" w:line="455" w:lineRule="auto"/>
        <w:ind w:left="263" w:right="300" w:hanging="1"/>
        <w:rPr>
          <w:rFonts w:ascii="宋体" w:hAnsi="宋体" w:eastAsia="宋体" w:cs="宋体"/>
          <w:color w:val="auto"/>
          <w:spacing w:val="9"/>
          <w:sz w:val="20"/>
          <w:szCs w:val="20"/>
          <w:highlight w:val="none"/>
        </w:rPr>
      </w:pPr>
    </w:p>
    <w:p w14:paraId="3D0DB418">
      <w:pPr>
        <w:spacing w:before="31" w:line="455" w:lineRule="auto"/>
        <w:ind w:left="263" w:right="300" w:hanging="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注：附录</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所要求人员须按投标文件投标函的格式承诺，中标人在进场前向招标人提交实际投入的</w:t>
      </w:r>
      <w:bookmarkStart w:id="63" w:name="bookmark97"/>
      <w:bookmarkEnd w:id="63"/>
      <w:r>
        <w:rPr>
          <w:rFonts w:ascii="宋体" w:hAnsi="宋体" w:eastAsia="宋体" w:cs="宋体"/>
          <w:color w:val="auto"/>
          <w:spacing w:val="4"/>
          <w:position w:val="-1"/>
          <w:sz w:val="20"/>
          <w:szCs w:val="20"/>
          <w:highlight w:val="none"/>
        </w:rPr>
        <w:t>人员。</w:t>
      </w:r>
    </w:p>
    <w:p w14:paraId="25893406">
      <w:pPr>
        <w:spacing w:line="220" w:lineRule="auto"/>
        <w:rPr>
          <w:rFonts w:ascii="宋体" w:hAnsi="宋体" w:eastAsia="宋体" w:cs="宋体"/>
          <w:color w:val="auto"/>
          <w:sz w:val="18"/>
          <w:szCs w:val="18"/>
          <w:highlight w:val="none"/>
        </w:rPr>
        <w:sectPr>
          <w:footerReference r:id="rId17" w:type="default"/>
          <w:pgSz w:w="11906" w:h="16839"/>
          <w:pgMar w:top="1416" w:right="1161" w:bottom="1297" w:left="1161" w:header="0" w:footer="1067" w:gutter="0"/>
          <w:pgNumType w:fmt="decimal"/>
          <w:cols w:space="720" w:num="1"/>
        </w:sectPr>
      </w:pPr>
    </w:p>
    <w:p w14:paraId="6F1D50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baseline"/>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第二章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投标人须知正文及附件</w:t>
      </w:r>
    </w:p>
    <w:p w14:paraId="0EF4C7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2" w:firstLineChars="200"/>
        <w:jc w:val="both"/>
        <w:textAlignment w:val="baseline"/>
        <w:outlineLvl w:val="0"/>
        <w:rPr>
          <w:rFonts w:ascii="宋体" w:hAnsi="宋体" w:eastAsia="宋体" w:cs="宋体"/>
          <w:b/>
          <w:bCs/>
          <w:color w:val="auto"/>
          <w:spacing w:val="-15"/>
          <w:sz w:val="28"/>
          <w:szCs w:val="28"/>
          <w:highlight w:val="none"/>
        </w:rPr>
      </w:pPr>
      <w:bookmarkStart w:id="64" w:name="_Toc9831"/>
    </w:p>
    <w:p w14:paraId="21EAE1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outlineLvl w:val="0"/>
        <w:rPr>
          <w:rFonts w:ascii="宋体" w:hAnsi="宋体" w:eastAsia="宋体" w:cs="宋体"/>
          <w:color w:val="auto"/>
          <w:sz w:val="28"/>
          <w:szCs w:val="28"/>
          <w:highlight w:val="none"/>
        </w:rPr>
      </w:pPr>
      <w:bookmarkStart w:id="65" w:name="_Toc1771"/>
      <w:r>
        <w:rPr>
          <w:rFonts w:ascii="宋体" w:hAnsi="宋体" w:eastAsia="宋体" w:cs="宋体"/>
          <w:b/>
          <w:bCs/>
          <w:color w:val="auto"/>
          <w:spacing w:val="-15"/>
          <w:sz w:val="28"/>
          <w:szCs w:val="28"/>
          <w:highlight w:val="none"/>
        </w:rPr>
        <w:t>1.</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15"/>
          <w:sz w:val="28"/>
          <w:szCs w:val="28"/>
          <w:highlight w:val="none"/>
        </w:rPr>
        <w:t>总则</w:t>
      </w:r>
      <w:bookmarkEnd w:id="64"/>
      <w:bookmarkEnd w:id="65"/>
    </w:p>
    <w:p w14:paraId="51AEB8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outlineLvl w:val="1"/>
        <w:rPr>
          <w:rFonts w:ascii="宋体" w:hAnsi="宋体" w:eastAsia="宋体" w:cs="宋体"/>
          <w:color w:val="auto"/>
          <w:sz w:val="24"/>
          <w:szCs w:val="24"/>
          <w:highlight w:val="none"/>
        </w:rPr>
      </w:pPr>
      <w:bookmarkStart w:id="66" w:name="_Toc4767"/>
      <w:bookmarkStart w:id="67" w:name="_Toc16739"/>
      <w:bookmarkStart w:id="68" w:name="_Toc20207"/>
      <w:bookmarkStart w:id="69" w:name="_Toc16255"/>
      <w:r>
        <w:rPr>
          <w:rFonts w:ascii="宋体" w:hAnsi="宋体" w:eastAsia="宋体" w:cs="宋体"/>
          <w:b/>
          <w:bCs/>
          <w:color w:val="auto"/>
          <w:spacing w:val="-8"/>
          <w:sz w:val="24"/>
          <w:szCs w:val="24"/>
          <w:highlight w:val="none"/>
        </w:rPr>
        <w:t>1.1</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项目概况</w:t>
      </w:r>
      <w:bookmarkEnd w:id="66"/>
      <w:bookmarkEnd w:id="67"/>
      <w:bookmarkEnd w:id="68"/>
      <w:bookmarkEnd w:id="69"/>
    </w:p>
    <w:p w14:paraId="38E32F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1.1.1 根据《中华人民共和国招标投标法》《中华人民共和国招标投标法实施条</w:t>
      </w:r>
      <w:r>
        <w:rPr>
          <w:rFonts w:ascii="宋体" w:hAnsi="宋体" w:eastAsia="宋体" w:cs="宋体"/>
          <w:color w:val="auto"/>
          <w:spacing w:val="5"/>
          <w:sz w:val="24"/>
          <w:szCs w:val="24"/>
          <w:highlight w:val="none"/>
        </w:rPr>
        <w:t>例》《广东省实施&lt;中华人民共和国招标投标法&gt;办法》《公路工</w:t>
      </w:r>
      <w:r>
        <w:rPr>
          <w:rFonts w:ascii="宋体" w:hAnsi="宋体" w:eastAsia="宋体" w:cs="宋体"/>
          <w:color w:val="auto"/>
          <w:spacing w:val="4"/>
          <w:sz w:val="24"/>
          <w:szCs w:val="24"/>
          <w:highlight w:val="none"/>
        </w:rPr>
        <w:t>程建设项目招标投标</w:t>
      </w:r>
      <w:r>
        <w:rPr>
          <w:rFonts w:ascii="宋体" w:hAnsi="宋体" w:eastAsia="宋体" w:cs="宋体"/>
          <w:color w:val="auto"/>
          <w:spacing w:val="5"/>
          <w:sz w:val="24"/>
          <w:szCs w:val="24"/>
          <w:highlight w:val="none"/>
        </w:rPr>
        <w:t>管理办法》等有关法律、法规和规章的规定，本招标项目已具备招标条件，</w:t>
      </w:r>
      <w:r>
        <w:rPr>
          <w:rFonts w:ascii="宋体" w:hAnsi="宋体" w:eastAsia="宋体" w:cs="宋体"/>
          <w:color w:val="auto"/>
          <w:spacing w:val="4"/>
          <w:sz w:val="24"/>
          <w:szCs w:val="24"/>
          <w:highlight w:val="none"/>
        </w:rPr>
        <w:t>现对本标</w:t>
      </w:r>
      <w:r>
        <w:rPr>
          <w:rFonts w:ascii="宋体" w:hAnsi="宋体" w:eastAsia="宋体" w:cs="宋体"/>
          <w:color w:val="auto"/>
          <w:spacing w:val="-1"/>
          <w:sz w:val="24"/>
          <w:szCs w:val="24"/>
          <w:highlight w:val="none"/>
        </w:rPr>
        <w:t>段施工监理进行招标。</w:t>
      </w:r>
    </w:p>
    <w:p w14:paraId="5F6F08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 本招标项目招标人：见投标人须知</w:t>
      </w:r>
      <w:r>
        <w:rPr>
          <w:rFonts w:ascii="宋体" w:hAnsi="宋体" w:eastAsia="宋体" w:cs="宋体"/>
          <w:color w:val="auto"/>
          <w:spacing w:val="-2"/>
          <w:sz w:val="24"/>
          <w:szCs w:val="24"/>
          <w:highlight w:val="none"/>
        </w:rPr>
        <w:t>前附表。</w:t>
      </w:r>
    </w:p>
    <w:p w14:paraId="039285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本标段招标代理机构：见投标人须知前</w:t>
      </w:r>
      <w:r>
        <w:rPr>
          <w:rFonts w:ascii="宋体" w:hAnsi="宋体" w:eastAsia="宋体" w:cs="宋体"/>
          <w:color w:val="auto"/>
          <w:spacing w:val="-2"/>
          <w:sz w:val="24"/>
          <w:szCs w:val="24"/>
          <w:highlight w:val="none"/>
        </w:rPr>
        <w:t>附表。</w:t>
      </w:r>
    </w:p>
    <w:p w14:paraId="7B2DF1B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1.1.4 本招标项目名称：见投标人须</w:t>
      </w:r>
      <w:r>
        <w:rPr>
          <w:rFonts w:ascii="宋体" w:hAnsi="宋体" w:eastAsia="宋体" w:cs="宋体"/>
          <w:color w:val="auto"/>
          <w:spacing w:val="-2"/>
          <w:sz w:val="24"/>
          <w:szCs w:val="24"/>
          <w:highlight w:val="none"/>
        </w:rPr>
        <w:t>知前附表。</w:t>
      </w:r>
    </w:p>
    <w:p w14:paraId="092C53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1.1.5 本标段建设地点：见投标人须</w:t>
      </w:r>
      <w:r>
        <w:rPr>
          <w:rFonts w:ascii="宋体" w:hAnsi="宋体" w:eastAsia="宋体" w:cs="宋体"/>
          <w:color w:val="auto"/>
          <w:spacing w:val="-2"/>
          <w:sz w:val="24"/>
          <w:szCs w:val="24"/>
          <w:highlight w:val="none"/>
        </w:rPr>
        <w:t>知前附表。</w:t>
      </w:r>
    </w:p>
    <w:p w14:paraId="0D94B6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1.1.6 本标段建设规模：见投标人须</w:t>
      </w:r>
      <w:r>
        <w:rPr>
          <w:rFonts w:ascii="宋体" w:hAnsi="宋体" w:eastAsia="宋体" w:cs="宋体"/>
          <w:color w:val="auto"/>
          <w:spacing w:val="-2"/>
          <w:sz w:val="24"/>
          <w:szCs w:val="24"/>
          <w:highlight w:val="none"/>
        </w:rPr>
        <w:t>知前附表。</w:t>
      </w:r>
    </w:p>
    <w:p w14:paraId="4A297F1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1.1.7 招标项目施工预计开工日期和建设周期：见投标人须知前附表。</w:t>
      </w:r>
    </w:p>
    <w:p w14:paraId="441CAA8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1.1.8 建筑安装工程费/工程概算投资额：见投标人须知前附表。</w:t>
      </w:r>
    </w:p>
    <w:p w14:paraId="719754C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outlineLvl w:val="1"/>
        <w:rPr>
          <w:rFonts w:ascii="宋体" w:hAnsi="宋体" w:eastAsia="宋体" w:cs="宋体"/>
          <w:color w:val="auto"/>
          <w:sz w:val="24"/>
          <w:szCs w:val="24"/>
          <w:highlight w:val="none"/>
        </w:rPr>
      </w:pPr>
      <w:bookmarkStart w:id="70" w:name="_Toc6194"/>
      <w:bookmarkStart w:id="71" w:name="_Toc12596"/>
      <w:bookmarkStart w:id="72" w:name="_Toc7385"/>
      <w:bookmarkStart w:id="73" w:name="_Toc23969"/>
      <w:r>
        <w:rPr>
          <w:rFonts w:ascii="宋体" w:hAnsi="宋体" w:eastAsia="宋体" w:cs="宋体"/>
          <w:b/>
          <w:bCs/>
          <w:color w:val="auto"/>
          <w:spacing w:val="-3"/>
          <w:sz w:val="24"/>
          <w:szCs w:val="24"/>
          <w:highlight w:val="none"/>
        </w:rPr>
        <w:t>1.2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招标项目的资金来源和落实情况</w:t>
      </w:r>
      <w:bookmarkEnd w:id="70"/>
      <w:bookmarkEnd w:id="71"/>
      <w:bookmarkEnd w:id="72"/>
      <w:bookmarkEnd w:id="73"/>
    </w:p>
    <w:p w14:paraId="54EEAD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1.2.1 资金来源及比例：见投标人须</w:t>
      </w:r>
      <w:r>
        <w:rPr>
          <w:rFonts w:ascii="宋体" w:hAnsi="宋体" w:eastAsia="宋体" w:cs="宋体"/>
          <w:color w:val="auto"/>
          <w:spacing w:val="-2"/>
          <w:sz w:val="24"/>
          <w:szCs w:val="24"/>
          <w:highlight w:val="none"/>
        </w:rPr>
        <w:t>知前附表。</w:t>
      </w:r>
    </w:p>
    <w:p w14:paraId="239BC38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 资金落实情况：见投标人须知前附表。</w:t>
      </w:r>
    </w:p>
    <w:p w14:paraId="2B016AD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74" w:name="_Toc2887"/>
      <w:bookmarkStart w:id="75" w:name="_Toc31228"/>
      <w:bookmarkStart w:id="76" w:name="_Toc15947"/>
      <w:bookmarkStart w:id="77" w:name="_Toc2298"/>
      <w:r>
        <w:rPr>
          <w:rFonts w:ascii="宋体" w:hAnsi="宋体" w:eastAsia="宋体" w:cs="宋体"/>
          <w:b/>
          <w:bCs/>
          <w:color w:val="auto"/>
          <w:spacing w:val="-3"/>
          <w:sz w:val="24"/>
          <w:szCs w:val="24"/>
          <w:highlight w:val="none"/>
        </w:rPr>
        <w:t>1.3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招标范围、监理服务期限、质量要求和安全目标</w:t>
      </w:r>
      <w:bookmarkEnd w:id="74"/>
      <w:bookmarkEnd w:id="75"/>
      <w:bookmarkEnd w:id="76"/>
      <w:bookmarkEnd w:id="77"/>
    </w:p>
    <w:p w14:paraId="017FAE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1.3.1 招标范围：见投标人须知前附表。</w:t>
      </w:r>
    </w:p>
    <w:p w14:paraId="290F4E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1.3.2 本标段的监理服务期限：见投标人须知前附</w:t>
      </w:r>
      <w:r>
        <w:rPr>
          <w:rFonts w:ascii="宋体" w:hAnsi="宋体" w:eastAsia="宋体" w:cs="宋体"/>
          <w:color w:val="auto"/>
          <w:spacing w:val="-2"/>
          <w:sz w:val="24"/>
          <w:szCs w:val="24"/>
          <w:highlight w:val="none"/>
        </w:rPr>
        <w:t>表。</w:t>
      </w:r>
    </w:p>
    <w:p w14:paraId="31CE91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1.3.3 本标段的质量要求：见投标人须知</w:t>
      </w:r>
      <w:r>
        <w:rPr>
          <w:rFonts w:ascii="宋体" w:hAnsi="宋体" w:eastAsia="宋体" w:cs="宋体"/>
          <w:color w:val="auto"/>
          <w:spacing w:val="-2"/>
          <w:sz w:val="24"/>
          <w:szCs w:val="24"/>
          <w:highlight w:val="none"/>
        </w:rPr>
        <w:t>前附表。</w:t>
      </w:r>
    </w:p>
    <w:p w14:paraId="4F7E07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1.3.4 本标段的安全目标：见投标人须知</w:t>
      </w:r>
      <w:r>
        <w:rPr>
          <w:rFonts w:ascii="宋体" w:hAnsi="宋体" w:eastAsia="宋体" w:cs="宋体"/>
          <w:color w:val="auto"/>
          <w:spacing w:val="-2"/>
          <w:sz w:val="24"/>
          <w:szCs w:val="24"/>
          <w:highlight w:val="none"/>
        </w:rPr>
        <w:t>前附表。</w:t>
      </w:r>
    </w:p>
    <w:p w14:paraId="2087921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78" w:name="_Toc20877"/>
      <w:bookmarkStart w:id="79" w:name="_Toc10983"/>
      <w:bookmarkStart w:id="80" w:name="_Toc9036"/>
      <w:bookmarkStart w:id="81" w:name="_Toc32351"/>
      <w:r>
        <w:rPr>
          <w:rFonts w:ascii="宋体" w:hAnsi="宋体" w:eastAsia="宋体" w:cs="宋体"/>
          <w:b/>
          <w:bCs/>
          <w:color w:val="auto"/>
          <w:spacing w:val="-4"/>
          <w:sz w:val="24"/>
          <w:szCs w:val="24"/>
          <w:highlight w:val="none"/>
        </w:rPr>
        <w:t>1.4</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投标人资格要求</w:t>
      </w:r>
      <w:bookmarkEnd w:id="78"/>
      <w:bookmarkEnd w:id="79"/>
      <w:bookmarkEnd w:id="80"/>
      <w:bookmarkEnd w:id="81"/>
    </w:p>
    <w:p w14:paraId="3FCE6BA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1.4.1 投标人应具备承担本标段施工监理的资质条件、能力和信誉。</w:t>
      </w:r>
    </w:p>
    <w:p w14:paraId="4F9846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（1）资质要求：见投标人须知前附表；</w:t>
      </w:r>
    </w:p>
    <w:p w14:paraId="308964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（2）业绩要求：见投标人须知前附表；</w:t>
      </w:r>
    </w:p>
    <w:p w14:paraId="2ADB69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（3）信誉要求：见投标人须知前附表；</w:t>
      </w:r>
    </w:p>
    <w:p w14:paraId="45D308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（4）总监理工程师或驻地监理工程师资格：见投标人须知前附表；</w:t>
      </w:r>
    </w:p>
    <w:p w14:paraId="479031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（5）其他要求：见投标人须知前附表。</w:t>
      </w:r>
    </w:p>
    <w:p w14:paraId="4F9EA04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需要提交的相关证明材料见本章第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3.5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w:t>
      </w:r>
      <w:r>
        <w:rPr>
          <w:rFonts w:ascii="宋体" w:hAnsi="宋体" w:eastAsia="宋体" w:cs="宋体"/>
          <w:color w:val="auto"/>
          <w:spacing w:val="-3"/>
          <w:sz w:val="24"/>
          <w:szCs w:val="24"/>
          <w:highlight w:val="none"/>
        </w:rPr>
        <w:t>规定。</w:t>
      </w:r>
    </w:p>
    <w:p w14:paraId="03D7535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1.4.2 投标人须知前附表规定接受联合体投标的，联合体除</w:t>
      </w:r>
      <w:r>
        <w:rPr>
          <w:rFonts w:ascii="宋体" w:hAnsi="宋体" w:eastAsia="宋体" w:cs="宋体"/>
          <w:color w:val="auto"/>
          <w:spacing w:val="4"/>
          <w:sz w:val="24"/>
          <w:szCs w:val="24"/>
          <w:highlight w:val="none"/>
        </w:rPr>
        <w:t>应符合本章第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4"/>
          <w:sz w:val="24"/>
          <w:szCs w:val="24"/>
          <w:highlight w:val="none"/>
        </w:rPr>
        <w:t>1.4.1</w:t>
      </w:r>
      <w:r>
        <w:rPr>
          <w:rFonts w:ascii="宋体" w:hAnsi="宋体" w:eastAsia="宋体" w:cs="宋体"/>
          <w:color w:val="auto"/>
          <w:spacing w:val="-1"/>
          <w:sz w:val="24"/>
          <w:szCs w:val="24"/>
          <w:highlight w:val="none"/>
        </w:rPr>
        <w:t>项和投标人须知前附表的要求外，还应遵守以下规定：</w:t>
      </w:r>
    </w:p>
    <w:p w14:paraId="433F874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（1）联合体各方应按招标文件提供的格式签订联合体协议书，明确联合体牵头人</w:t>
      </w:r>
      <w:r>
        <w:rPr>
          <w:rFonts w:ascii="宋体" w:hAnsi="宋体" w:eastAsia="宋体" w:cs="宋体"/>
          <w:color w:val="auto"/>
          <w:spacing w:val="-1"/>
          <w:sz w:val="24"/>
          <w:szCs w:val="24"/>
          <w:highlight w:val="none"/>
        </w:rPr>
        <w:t>和各方权利义务，并承诺就中标项目向招标人承担连带责任；</w:t>
      </w:r>
    </w:p>
    <w:p w14:paraId="190EAC2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（2）由同一专业的单位组成的联合体，按照资质等级较低的单位确定资质等级；</w:t>
      </w:r>
    </w:p>
    <w:p w14:paraId="58EC3E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（3）联合体各方不得再以自己名义单独或参加其他联合体在同一标段中投标；</w:t>
      </w:r>
    </w:p>
    <w:p w14:paraId="169BFE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（4）联合体各方应分别按照本招标文件的要求，填写投标文件中的相应表格，并</w:t>
      </w:r>
      <w:r>
        <w:rPr>
          <w:rFonts w:ascii="宋体" w:hAnsi="宋体" w:eastAsia="宋体" w:cs="宋体"/>
          <w:color w:val="auto"/>
          <w:spacing w:val="5"/>
          <w:sz w:val="24"/>
          <w:szCs w:val="24"/>
          <w:highlight w:val="none"/>
        </w:rPr>
        <w:t>由联合体牵头人负责对联合体各成员的资料进行统一汇总后一并提交给招标</w:t>
      </w:r>
      <w:r>
        <w:rPr>
          <w:rFonts w:ascii="宋体" w:hAnsi="宋体" w:eastAsia="宋体" w:cs="宋体"/>
          <w:color w:val="auto"/>
          <w:spacing w:val="4"/>
          <w:sz w:val="24"/>
          <w:szCs w:val="24"/>
          <w:highlight w:val="none"/>
        </w:rPr>
        <w:t>人；联合</w:t>
      </w:r>
      <w:r>
        <w:rPr>
          <w:rFonts w:ascii="宋体" w:hAnsi="宋体" w:eastAsia="宋体" w:cs="宋体"/>
          <w:color w:val="auto"/>
          <w:sz w:val="24"/>
          <w:szCs w:val="24"/>
          <w:highlight w:val="none"/>
        </w:rPr>
        <w:t>体牵头人所提交的投标文件应认为已代表了联</w:t>
      </w:r>
      <w:r>
        <w:rPr>
          <w:rFonts w:ascii="宋体" w:hAnsi="宋体" w:eastAsia="宋体" w:cs="宋体"/>
          <w:color w:val="auto"/>
          <w:spacing w:val="-1"/>
          <w:sz w:val="24"/>
          <w:szCs w:val="24"/>
          <w:highlight w:val="none"/>
        </w:rPr>
        <w:t>合体各成员的真实情况；</w:t>
      </w:r>
    </w:p>
    <w:p w14:paraId="4E7ED32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（5）尽管委任了联合体牵头人，但联合体各成员在投标、签订合同与履行合同过</w:t>
      </w:r>
      <w:r>
        <w:rPr>
          <w:rFonts w:ascii="宋体" w:hAnsi="宋体" w:eastAsia="宋体" w:cs="宋体"/>
          <w:color w:val="auto"/>
          <w:spacing w:val="-1"/>
          <w:sz w:val="24"/>
          <w:szCs w:val="24"/>
          <w:highlight w:val="none"/>
        </w:rPr>
        <w:t>程中，仍负有连带的和各自的法律责任。</w:t>
      </w:r>
    </w:p>
    <w:p w14:paraId="714AF6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1.4.3 投标人（包括联合体各成员）不得与本标段相关单位存在下列关联关系：</w:t>
      </w:r>
    </w:p>
    <w:p w14:paraId="79F93C8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（1）为招标人不具有独立法人资格的附属机构（单位</w:t>
      </w:r>
      <w:r>
        <w:rPr>
          <w:rFonts w:ascii="宋体" w:hAnsi="宋体" w:eastAsia="宋体" w:cs="宋体"/>
          <w:color w:val="auto"/>
          <w:spacing w:val="1"/>
          <w:sz w:val="24"/>
          <w:szCs w:val="24"/>
          <w:highlight w:val="none"/>
        </w:rPr>
        <w:t>）；</w:t>
      </w:r>
    </w:p>
    <w:p w14:paraId="252C1D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（2）与招标人存在利害关系且可能影响招标公正性；</w:t>
      </w:r>
    </w:p>
    <w:p w14:paraId="0EF536D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（3）与本标段的其他投标人同为一个单位负责人；</w:t>
      </w:r>
    </w:p>
    <w:p w14:paraId="0817EA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（4）与本标段的其他投标人存在控股、管理关系；</w:t>
      </w:r>
    </w:p>
    <w:p w14:paraId="05FDB3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（5）为本标段的代建人；</w:t>
      </w:r>
    </w:p>
    <w:p w14:paraId="57C0BE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（6）为本标段的招标代理机构；</w:t>
      </w:r>
    </w:p>
    <w:p w14:paraId="3CA7699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（7）与本标段的代建人或招标代理机构同为一个法定代表人；</w:t>
      </w:r>
    </w:p>
    <w:p w14:paraId="1F5220E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（8）与本标段的代建人或招标代理机构存在控股或参股关系；</w:t>
      </w:r>
    </w:p>
    <w:p w14:paraId="7A8C87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（9）与本标段对应工程的施工承包人以及建筑材料、建筑构配件和设备供应商有</w:t>
      </w:r>
      <w:r>
        <w:rPr>
          <w:rFonts w:ascii="宋体" w:hAnsi="宋体" w:eastAsia="宋体" w:cs="宋体"/>
          <w:color w:val="auto"/>
          <w:spacing w:val="-2"/>
          <w:sz w:val="24"/>
          <w:szCs w:val="24"/>
          <w:highlight w:val="none"/>
        </w:rPr>
        <w:t>隶属关系或其他利害关系；</w:t>
      </w:r>
    </w:p>
    <w:p w14:paraId="5B6B765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（10）法律法规或投标人须知前附表规定的其他情形。</w:t>
      </w:r>
    </w:p>
    <w:p w14:paraId="59AA13E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1.4.4 投标人（包括联合体各成员）不得存在下列不良状况或不良信用记录：</w:t>
      </w:r>
    </w:p>
    <w:p w14:paraId="57276E5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（1）被省级及以上交通运输主管部门取消招标项目所在地的投标资格且处于有效</w:t>
      </w:r>
      <w:r>
        <w:rPr>
          <w:rFonts w:ascii="宋体" w:hAnsi="宋体" w:eastAsia="宋体" w:cs="宋体"/>
          <w:color w:val="auto"/>
          <w:spacing w:val="-5"/>
          <w:sz w:val="24"/>
          <w:szCs w:val="24"/>
          <w:highlight w:val="none"/>
        </w:rPr>
        <w:t>期内；</w:t>
      </w:r>
    </w:p>
    <w:p w14:paraId="68883F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（2）被责令停业，暂扣或吊销执照，或吊销资质证书；</w:t>
      </w:r>
    </w:p>
    <w:p w14:paraId="238754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（3）进入清算程序，或被宣告破产，或其他丧失履约能力的情形；</w:t>
      </w:r>
    </w:p>
    <w:p w14:paraId="6383112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（4）在国家企业信用信息公示系统中被列入严重违法失信企业名单；</w:t>
      </w:r>
    </w:p>
    <w:p w14:paraId="018D7C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（5）在“信用中国</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”网站中被列入失信被执行</w:t>
      </w:r>
      <w:r>
        <w:rPr>
          <w:rFonts w:ascii="宋体" w:hAnsi="宋体" w:eastAsia="宋体" w:cs="宋体"/>
          <w:color w:val="auto"/>
          <w:spacing w:val="-3"/>
          <w:sz w:val="24"/>
          <w:szCs w:val="24"/>
          <w:highlight w:val="none"/>
        </w:rPr>
        <w:t>人名单；</w:t>
      </w:r>
    </w:p>
    <w:p w14:paraId="61A127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8"/>
          <w:szCs w:val="28"/>
          <w:highlight w:val="none"/>
        </w:rPr>
      </w:pPr>
      <w:r>
        <w:rPr>
          <w:rFonts w:ascii="宋体" w:hAnsi="宋体" w:eastAsia="宋体" w:cs="宋体"/>
          <w:color w:val="auto"/>
          <w:spacing w:val="5"/>
          <w:sz w:val="24"/>
          <w:szCs w:val="24"/>
          <w:highlight w:val="none"/>
        </w:rPr>
        <w:t>（6）投标人及其法定代表人、拟委任的总监理工程师（含备选</w:t>
      </w:r>
      <w:r>
        <w:rPr>
          <w:rFonts w:ascii="宋体" w:hAnsi="宋体" w:eastAsia="宋体" w:cs="宋体"/>
          <w:color w:val="auto"/>
          <w:spacing w:val="4"/>
          <w:sz w:val="24"/>
          <w:szCs w:val="24"/>
          <w:highlight w:val="none"/>
        </w:rPr>
        <w:t>，如有）或驻地</w:t>
      </w:r>
      <w:r>
        <w:rPr>
          <w:rFonts w:ascii="宋体" w:hAnsi="宋体" w:eastAsia="宋体" w:cs="宋体"/>
          <w:color w:val="auto"/>
          <w:spacing w:val="-1"/>
          <w:sz w:val="24"/>
          <w:szCs w:val="24"/>
          <w:highlight w:val="none"/>
        </w:rPr>
        <w:t>监理工程师（含备选，如有）在近三年内有行贿犯罪行为</w:t>
      </w:r>
      <w:r>
        <w:rPr>
          <w:rFonts w:ascii="宋体" w:hAnsi="宋体" w:eastAsia="宋体" w:cs="宋体"/>
          <w:color w:val="auto"/>
          <w:spacing w:val="-1"/>
          <w:sz w:val="28"/>
          <w:szCs w:val="28"/>
          <w:highlight w:val="none"/>
        </w:rPr>
        <w:t>；</w:t>
      </w:r>
    </w:p>
    <w:p w14:paraId="6E51A58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（7）法律法规或投标人须知前附表规定的其他情形。</w:t>
      </w:r>
    </w:p>
    <w:p w14:paraId="35AFAF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1.4.5 投标人（包括联合体各成员）应进入交通运输部“全国公路建设市场监督管理系统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””中的公路工程施工监理资质企业名录，且投标人</w:t>
      </w:r>
      <w:r>
        <w:rPr>
          <w:rFonts w:ascii="宋体" w:hAnsi="宋体" w:eastAsia="宋体" w:cs="宋体"/>
          <w:color w:val="auto"/>
          <w:spacing w:val="3"/>
          <w:sz w:val="24"/>
          <w:szCs w:val="24"/>
          <w:highlight w:val="none"/>
        </w:rPr>
        <w:t>名称和资质与该名录中</w:t>
      </w:r>
      <w:r>
        <w:rPr>
          <w:rFonts w:ascii="宋体" w:hAnsi="宋体" w:eastAsia="宋体" w:cs="宋体"/>
          <w:color w:val="auto"/>
          <w:sz w:val="24"/>
          <w:szCs w:val="24"/>
          <w:highlight w:val="none"/>
        </w:rPr>
        <w:t>的相应企业名称和资质完全一致。投标人不满足</w:t>
      </w:r>
      <w:r>
        <w:rPr>
          <w:rFonts w:ascii="宋体" w:hAnsi="宋体" w:eastAsia="宋体" w:cs="宋体"/>
          <w:color w:val="auto"/>
          <w:spacing w:val="-1"/>
          <w:sz w:val="24"/>
          <w:szCs w:val="24"/>
          <w:highlight w:val="none"/>
        </w:rPr>
        <w:t>本项规定条件的，将被否决投标。</w:t>
      </w:r>
    </w:p>
    <w:p w14:paraId="3281F0F3">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82" w:name="_Toc2238"/>
      <w:bookmarkStart w:id="83" w:name="_Toc30396"/>
      <w:bookmarkStart w:id="84" w:name="_Toc3201"/>
      <w:bookmarkStart w:id="85" w:name="_Toc814"/>
      <w:r>
        <w:rPr>
          <w:rFonts w:ascii="宋体" w:hAnsi="宋体" w:eastAsia="宋体" w:cs="宋体"/>
          <w:b/>
          <w:bCs/>
          <w:color w:val="auto"/>
          <w:spacing w:val="-9"/>
          <w:sz w:val="24"/>
          <w:szCs w:val="24"/>
          <w:highlight w:val="none"/>
        </w:rPr>
        <w:t>1.5</w:t>
      </w:r>
      <w:r>
        <w:rPr>
          <w:rFonts w:ascii="宋体" w:hAnsi="宋体" w:eastAsia="宋体" w:cs="宋体"/>
          <w:color w:val="auto"/>
          <w:spacing w:val="24"/>
          <w:sz w:val="24"/>
          <w:szCs w:val="24"/>
          <w:highlight w:val="none"/>
        </w:rPr>
        <w:t xml:space="preserve"> </w:t>
      </w:r>
      <w:r>
        <w:rPr>
          <w:rFonts w:ascii="宋体" w:hAnsi="宋体" w:eastAsia="宋体" w:cs="宋体"/>
          <w:b/>
          <w:bCs/>
          <w:color w:val="auto"/>
          <w:spacing w:val="-9"/>
          <w:sz w:val="24"/>
          <w:szCs w:val="24"/>
          <w:highlight w:val="none"/>
        </w:rPr>
        <w:t>费用承担</w:t>
      </w:r>
      <w:bookmarkEnd w:id="82"/>
      <w:bookmarkEnd w:id="83"/>
      <w:bookmarkEnd w:id="84"/>
      <w:bookmarkEnd w:id="85"/>
    </w:p>
    <w:p w14:paraId="378934D2">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投标人准备和参加投标活动发生的费用自理。</w:t>
      </w:r>
    </w:p>
    <w:p w14:paraId="74F43412">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86" w:name="_Toc19292"/>
      <w:bookmarkStart w:id="87" w:name="_Toc21204"/>
      <w:bookmarkStart w:id="88" w:name="_Toc28355"/>
      <w:bookmarkStart w:id="89" w:name="_Toc1064"/>
      <w:r>
        <w:rPr>
          <w:rFonts w:ascii="宋体" w:hAnsi="宋体" w:eastAsia="宋体" w:cs="宋体"/>
          <w:b/>
          <w:bCs/>
          <w:color w:val="auto"/>
          <w:spacing w:val="-10"/>
          <w:sz w:val="24"/>
          <w:szCs w:val="24"/>
          <w:highlight w:val="none"/>
        </w:rPr>
        <w:t>1.6</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0"/>
          <w:sz w:val="24"/>
          <w:szCs w:val="24"/>
          <w:highlight w:val="none"/>
        </w:rPr>
        <w:t>保密</w:t>
      </w:r>
      <w:bookmarkEnd w:id="86"/>
      <w:bookmarkEnd w:id="87"/>
      <w:bookmarkEnd w:id="88"/>
      <w:bookmarkEnd w:id="89"/>
    </w:p>
    <w:p w14:paraId="4773E0E5">
      <w:pPr>
        <w:keepNext w:val="0"/>
        <w:keepLines w:val="0"/>
        <w:pageBreakBefore w:val="0"/>
        <w:wordWrap/>
        <w:overflowPunct/>
        <w:topLinePunct w:val="0"/>
        <w:bidi w:val="0"/>
        <w:spacing w:line="500" w:lineRule="exact"/>
        <w:ind w:left="0" w:right="0" w:firstLine="492"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参与招标投标活动的各方应对招标文件和投标文件中的商业和技术等秘密保密，</w:t>
      </w:r>
      <w:r>
        <w:rPr>
          <w:rFonts w:ascii="宋体" w:hAnsi="宋体" w:eastAsia="宋体" w:cs="宋体"/>
          <w:color w:val="auto"/>
          <w:spacing w:val="-2"/>
          <w:sz w:val="24"/>
          <w:szCs w:val="24"/>
          <w:highlight w:val="none"/>
        </w:rPr>
        <w:t>否则应承担相应的法律责任。</w:t>
      </w:r>
    </w:p>
    <w:p w14:paraId="454E5309">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90" w:name="_Toc8352"/>
      <w:bookmarkStart w:id="91" w:name="_Toc6978"/>
      <w:bookmarkStart w:id="92" w:name="_Toc663"/>
      <w:bookmarkStart w:id="93" w:name="_Toc14877"/>
      <w:r>
        <w:rPr>
          <w:rFonts w:ascii="宋体" w:hAnsi="宋体" w:eastAsia="宋体" w:cs="宋体"/>
          <w:b/>
          <w:bCs/>
          <w:color w:val="auto"/>
          <w:spacing w:val="-8"/>
          <w:sz w:val="24"/>
          <w:szCs w:val="24"/>
          <w:highlight w:val="none"/>
        </w:rPr>
        <w:t>1.7</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语言文字</w:t>
      </w:r>
      <w:bookmarkEnd w:id="90"/>
      <w:bookmarkEnd w:id="91"/>
      <w:bookmarkEnd w:id="92"/>
      <w:bookmarkEnd w:id="93"/>
    </w:p>
    <w:p w14:paraId="0627969B">
      <w:pPr>
        <w:keepNext w:val="0"/>
        <w:keepLines w:val="0"/>
        <w:pageBreakBefore w:val="0"/>
        <w:wordWrap/>
        <w:overflowPunct/>
        <w:topLinePunct w:val="0"/>
        <w:bidi w:val="0"/>
        <w:spacing w:line="50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招标投标文件使用的语言文字为中文。专用术语使用</w:t>
      </w:r>
      <w:r>
        <w:rPr>
          <w:rFonts w:ascii="宋体" w:hAnsi="宋体" w:eastAsia="宋体" w:cs="宋体"/>
          <w:color w:val="auto"/>
          <w:spacing w:val="-1"/>
          <w:sz w:val="24"/>
          <w:szCs w:val="24"/>
          <w:highlight w:val="none"/>
        </w:rPr>
        <w:t>外文的，应附有中文注释。</w:t>
      </w:r>
    </w:p>
    <w:p w14:paraId="0E76743C">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94" w:name="_Toc15485"/>
      <w:bookmarkStart w:id="95" w:name="_Toc6804"/>
      <w:bookmarkStart w:id="96" w:name="_Toc28472"/>
      <w:bookmarkStart w:id="97" w:name="_Toc28277"/>
      <w:r>
        <w:rPr>
          <w:rFonts w:ascii="宋体" w:hAnsi="宋体" w:eastAsia="宋体" w:cs="宋体"/>
          <w:b/>
          <w:bCs/>
          <w:color w:val="auto"/>
          <w:spacing w:val="-8"/>
          <w:sz w:val="24"/>
          <w:szCs w:val="24"/>
          <w:highlight w:val="none"/>
        </w:rPr>
        <w:t>1.8</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计量单位</w:t>
      </w:r>
      <w:bookmarkEnd w:id="94"/>
      <w:bookmarkEnd w:id="95"/>
      <w:bookmarkEnd w:id="96"/>
      <w:bookmarkEnd w:id="97"/>
    </w:p>
    <w:p w14:paraId="67357186">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所有计量均采用中华人民共和国法定计量单位。</w:t>
      </w:r>
    </w:p>
    <w:p w14:paraId="7A7E8B6A">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98" w:name="_Toc11572"/>
      <w:bookmarkStart w:id="99" w:name="_Toc17060"/>
      <w:bookmarkStart w:id="100" w:name="_Toc12836"/>
      <w:bookmarkStart w:id="101" w:name="_Toc22263"/>
      <w:r>
        <w:rPr>
          <w:rFonts w:ascii="宋体" w:hAnsi="宋体" w:eastAsia="宋体" w:cs="宋体"/>
          <w:b/>
          <w:bCs/>
          <w:color w:val="auto"/>
          <w:spacing w:val="-8"/>
          <w:sz w:val="24"/>
          <w:szCs w:val="24"/>
          <w:highlight w:val="none"/>
        </w:rPr>
        <w:t>1.9</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踏勘现场</w:t>
      </w:r>
      <w:bookmarkEnd w:id="98"/>
      <w:bookmarkEnd w:id="99"/>
      <w:bookmarkEnd w:id="100"/>
      <w:bookmarkEnd w:id="101"/>
    </w:p>
    <w:p w14:paraId="286DED80">
      <w:pPr>
        <w:keepNext w:val="0"/>
        <w:keepLines w:val="0"/>
        <w:pageBreakBefore w:val="0"/>
        <w:wordWrap/>
        <w:overflowPunct/>
        <w:topLinePunct w:val="0"/>
        <w:bidi w:val="0"/>
        <w:spacing w:line="500" w:lineRule="exact"/>
        <w:ind w:left="0" w:right="0" w:firstLine="488"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1.9.1 第一章“招标公告</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”或“投标邀请书</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”规定组织踏勘现场的，招标人按规</w:t>
      </w:r>
      <w:r>
        <w:rPr>
          <w:rFonts w:ascii="宋体" w:hAnsi="宋体" w:eastAsia="宋体" w:cs="宋体"/>
          <w:color w:val="auto"/>
          <w:spacing w:val="5"/>
          <w:sz w:val="24"/>
          <w:szCs w:val="24"/>
          <w:highlight w:val="none"/>
        </w:rPr>
        <w:t>定的时间、地点组织投标人踏勘项目现场。部分投标人未按时</w:t>
      </w:r>
      <w:r>
        <w:rPr>
          <w:rFonts w:ascii="宋体" w:hAnsi="宋体" w:eastAsia="宋体" w:cs="宋体"/>
          <w:color w:val="auto"/>
          <w:spacing w:val="4"/>
          <w:sz w:val="24"/>
          <w:szCs w:val="24"/>
          <w:highlight w:val="none"/>
        </w:rPr>
        <w:t>参加踏勘现场的，不影</w:t>
      </w:r>
      <w:r>
        <w:rPr>
          <w:rFonts w:ascii="宋体" w:hAnsi="宋体" w:eastAsia="宋体" w:cs="宋体"/>
          <w:color w:val="auto"/>
          <w:spacing w:val="-1"/>
          <w:sz w:val="24"/>
          <w:szCs w:val="24"/>
          <w:highlight w:val="none"/>
        </w:rPr>
        <w:t>响踏勘现场的正常进行。招标人不得组织单个或部分投标人踏勘项目现场。</w:t>
      </w:r>
    </w:p>
    <w:p w14:paraId="5415C89D">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1.9.2 投标人踏勘现场发生的费用自理。</w:t>
      </w:r>
    </w:p>
    <w:p w14:paraId="057C15E5">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1.9.3 除招标人的原因外，投标人自行负责在踏勘现场中所发生的人员伤亡和财</w:t>
      </w:r>
      <w:r>
        <w:rPr>
          <w:rFonts w:ascii="宋体" w:hAnsi="宋体" w:eastAsia="宋体" w:cs="宋体"/>
          <w:color w:val="auto"/>
          <w:spacing w:val="-3"/>
          <w:sz w:val="24"/>
          <w:szCs w:val="24"/>
          <w:highlight w:val="none"/>
        </w:rPr>
        <w:t>产损失。</w:t>
      </w:r>
    </w:p>
    <w:p w14:paraId="39E7BA56">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1.9.4 招标人在踏勘现场中介绍的工程场地和相关的周边环境情况，供投标人在</w:t>
      </w:r>
      <w:r>
        <w:rPr>
          <w:rFonts w:ascii="宋体" w:hAnsi="宋体" w:eastAsia="宋体" w:cs="宋体"/>
          <w:color w:val="auto"/>
          <w:spacing w:val="-1"/>
          <w:sz w:val="24"/>
          <w:szCs w:val="24"/>
          <w:highlight w:val="none"/>
        </w:rPr>
        <w:t>编制投标文件时参考，招标人不对投标人据此作出的判断和决策负责。</w:t>
      </w:r>
    </w:p>
    <w:p w14:paraId="6E425FB7">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02" w:name="bookmark99"/>
      <w:bookmarkEnd w:id="102"/>
      <w:bookmarkStart w:id="103" w:name="bookmark101"/>
      <w:bookmarkEnd w:id="103"/>
      <w:bookmarkStart w:id="104" w:name="bookmark100"/>
      <w:bookmarkEnd w:id="104"/>
      <w:bookmarkStart w:id="105" w:name="_Toc31500"/>
      <w:bookmarkStart w:id="106" w:name="_Toc24774"/>
      <w:bookmarkStart w:id="107" w:name="_Toc29845"/>
      <w:bookmarkStart w:id="108" w:name="_Toc93"/>
      <w:r>
        <w:rPr>
          <w:rFonts w:ascii="宋体" w:hAnsi="宋体" w:eastAsia="宋体" w:cs="宋体"/>
          <w:b/>
          <w:bCs/>
          <w:color w:val="auto"/>
          <w:spacing w:val="-5"/>
          <w:sz w:val="24"/>
          <w:szCs w:val="24"/>
          <w:highlight w:val="none"/>
        </w:rPr>
        <w:t>1.10</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投标预备会</w:t>
      </w:r>
      <w:bookmarkEnd w:id="105"/>
      <w:bookmarkEnd w:id="106"/>
      <w:bookmarkEnd w:id="107"/>
      <w:bookmarkEnd w:id="108"/>
    </w:p>
    <w:p w14:paraId="74D06EA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1.10.1 第一章“招标公告</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”或“投标邀请书</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”规定召开投标预备会的，招标人按规定的时间和地点召开投标预备会，澄清投标人提出的问题。</w:t>
      </w:r>
    </w:p>
    <w:p w14:paraId="17202F46">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1.10.2 投标人应按投标人须知前附表规定的时间和形式将提出的问</w:t>
      </w:r>
      <w:r>
        <w:rPr>
          <w:rFonts w:ascii="宋体" w:hAnsi="宋体" w:eastAsia="宋体" w:cs="宋体"/>
          <w:color w:val="auto"/>
          <w:spacing w:val="-3"/>
          <w:sz w:val="24"/>
          <w:szCs w:val="24"/>
          <w:highlight w:val="none"/>
        </w:rPr>
        <w:t>题送达招标人，以便招标人在会议期间澄清。</w:t>
      </w:r>
    </w:p>
    <w:p w14:paraId="058F7B0C">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1.10.3 投标预备会后，招标人将对投标人所提问题的澄清，以投标人须知前附表</w:t>
      </w:r>
      <w:r>
        <w:rPr>
          <w:rFonts w:ascii="宋体" w:hAnsi="宋体" w:eastAsia="宋体" w:cs="宋体"/>
          <w:color w:val="auto"/>
          <w:spacing w:val="-1"/>
          <w:sz w:val="24"/>
          <w:szCs w:val="24"/>
          <w:highlight w:val="none"/>
        </w:rPr>
        <w:t>规定的形式通知投标人。该澄清内容为招标文件的组成部分。</w:t>
      </w:r>
    </w:p>
    <w:p w14:paraId="1B3199B3">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09" w:name="_Toc21582"/>
      <w:bookmarkStart w:id="110" w:name="_Toc32254"/>
      <w:bookmarkStart w:id="111" w:name="_Toc19880"/>
      <w:bookmarkStart w:id="112" w:name="_Toc4248"/>
      <w:r>
        <w:rPr>
          <w:rFonts w:ascii="宋体" w:hAnsi="宋体" w:eastAsia="宋体" w:cs="宋体"/>
          <w:b/>
          <w:bCs/>
          <w:color w:val="auto"/>
          <w:spacing w:val="-9"/>
          <w:sz w:val="24"/>
          <w:szCs w:val="24"/>
          <w:highlight w:val="none"/>
        </w:rPr>
        <w:t>1.11</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9"/>
          <w:sz w:val="24"/>
          <w:szCs w:val="24"/>
          <w:highlight w:val="none"/>
        </w:rPr>
        <w:t>分包</w:t>
      </w:r>
      <w:bookmarkEnd w:id="109"/>
      <w:bookmarkEnd w:id="110"/>
      <w:bookmarkEnd w:id="111"/>
      <w:bookmarkEnd w:id="112"/>
    </w:p>
    <w:p w14:paraId="7F089ED5">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本项目严禁分包。</w:t>
      </w:r>
    </w:p>
    <w:p w14:paraId="6EF43FCC">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13" w:name="_Toc23354"/>
      <w:bookmarkStart w:id="114" w:name="_Toc23311"/>
      <w:bookmarkStart w:id="115" w:name="_Toc30421"/>
      <w:bookmarkStart w:id="116" w:name="_Toc12508"/>
      <w:r>
        <w:rPr>
          <w:rFonts w:ascii="宋体" w:hAnsi="宋体" w:eastAsia="宋体" w:cs="宋体"/>
          <w:b/>
          <w:bCs/>
          <w:color w:val="auto"/>
          <w:spacing w:val="-7"/>
          <w:sz w:val="24"/>
          <w:szCs w:val="24"/>
          <w:highlight w:val="none"/>
        </w:rPr>
        <w:t>1.12</w:t>
      </w:r>
      <w:r>
        <w:rPr>
          <w:rFonts w:ascii="宋体" w:hAnsi="宋体" w:eastAsia="宋体" w:cs="宋体"/>
          <w:color w:val="auto"/>
          <w:spacing w:val="21"/>
          <w:sz w:val="24"/>
          <w:szCs w:val="24"/>
          <w:highlight w:val="none"/>
        </w:rPr>
        <w:t xml:space="preserve"> </w:t>
      </w:r>
      <w:r>
        <w:rPr>
          <w:rFonts w:ascii="宋体" w:hAnsi="宋体" w:eastAsia="宋体" w:cs="宋体"/>
          <w:b/>
          <w:bCs/>
          <w:color w:val="auto"/>
          <w:spacing w:val="-7"/>
          <w:sz w:val="24"/>
          <w:szCs w:val="24"/>
          <w:highlight w:val="none"/>
        </w:rPr>
        <w:t>响应和偏差</w:t>
      </w:r>
      <w:bookmarkEnd w:id="113"/>
      <w:bookmarkEnd w:id="114"/>
      <w:bookmarkEnd w:id="115"/>
      <w:bookmarkEnd w:id="116"/>
    </w:p>
    <w:p w14:paraId="58C6C7B5">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1.12.1 投标文件偏离招标文件某些要求，视为投标文件存在偏差。偏差包括重大</w:t>
      </w:r>
      <w:r>
        <w:rPr>
          <w:rFonts w:ascii="宋体" w:hAnsi="宋体" w:eastAsia="宋体" w:cs="宋体"/>
          <w:color w:val="auto"/>
          <w:spacing w:val="-2"/>
          <w:sz w:val="24"/>
          <w:szCs w:val="24"/>
          <w:highlight w:val="none"/>
        </w:rPr>
        <w:t>偏差和细微偏差。</w:t>
      </w:r>
    </w:p>
    <w:p w14:paraId="475B2A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1.12.2 投标文件应对招标文件的实质性要求和条件作出满足性或更有利于招标人</w:t>
      </w:r>
      <w:r>
        <w:rPr>
          <w:rFonts w:ascii="宋体" w:hAnsi="宋体" w:eastAsia="宋体" w:cs="宋体"/>
          <w:color w:val="auto"/>
          <w:spacing w:val="-1"/>
          <w:sz w:val="24"/>
          <w:szCs w:val="24"/>
          <w:highlight w:val="none"/>
        </w:rPr>
        <w:t>的响应，否则，视为投标文件存在重大偏差，投标人的投标将被否决。</w:t>
      </w:r>
    </w:p>
    <w:p w14:paraId="02F589E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投标文件存在第三章“评标办法</w:t>
      </w:r>
      <w:r>
        <w:rPr>
          <w:rFonts w:ascii="宋体" w:hAnsi="宋体" w:eastAsia="宋体" w:cs="宋体"/>
          <w:color w:val="auto"/>
          <w:spacing w:val="-82"/>
          <w:sz w:val="24"/>
          <w:szCs w:val="24"/>
          <w:highlight w:val="none"/>
        </w:rPr>
        <w:t xml:space="preserve"> </w:t>
      </w:r>
      <w:r>
        <w:rPr>
          <w:rFonts w:ascii="宋体" w:hAnsi="宋体" w:eastAsia="宋体" w:cs="宋体"/>
          <w:color w:val="auto"/>
          <w:spacing w:val="4"/>
          <w:sz w:val="24"/>
          <w:szCs w:val="24"/>
          <w:highlight w:val="none"/>
        </w:rPr>
        <w:t>”中所列任一否决投标情形的，均属于存在重大</w:t>
      </w:r>
      <w:r>
        <w:rPr>
          <w:rFonts w:ascii="宋体" w:hAnsi="宋体" w:eastAsia="宋体" w:cs="宋体"/>
          <w:color w:val="auto"/>
          <w:spacing w:val="-4"/>
          <w:sz w:val="24"/>
          <w:szCs w:val="24"/>
          <w:highlight w:val="none"/>
        </w:rPr>
        <w:t>偏差。</w:t>
      </w:r>
    </w:p>
    <w:p w14:paraId="1B3975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1.12.3 投标文件中的下列偏差为细微偏差：</w:t>
      </w:r>
    </w:p>
    <w:p w14:paraId="06612216">
      <w:pPr>
        <w:keepNext w:val="0"/>
        <w:keepLines w:val="0"/>
        <w:pageBreakBefore w:val="0"/>
        <w:wordWrap/>
        <w:overflowPunct/>
        <w:topLinePunct w:val="0"/>
        <w:bidi w:val="0"/>
        <w:spacing w:line="50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（1）在按照第三章“评标办法</w:t>
      </w:r>
      <w:r>
        <w:rPr>
          <w:rFonts w:ascii="宋体" w:hAnsi="宋体" w:eastAsia="宋体" w:cs="宋体"/>
          <w:color w:val="auto"/>
          <w:spacing w:val="-71"/>
          <w:sz w:val="24"/>
          <w:szCs w:val="24"/>
          <w:highlight w:val="none"/>
        </w:rPr>
        <w:t xml:space="preserve"> </w:t>
      </w:r>
      <w:r>
        <w:rPr>
          <w:rFonts w:ascii="宋体" w:hAnsi="宋体" w:eastAsia="宋体" w:cs="宋体"/>
          <w:color w:val="auto"/>
          <w:sz w:val="24"/>
          <w:szCs w:val="24"/>
          <w:highlight w:val="none"/>
        </w:rPr>
        <w:t>”的规定对投标价进行算术性错误修正后，最终投</w:t>
      </w:r>
      <w:r>
        <w:rPr>
          <w:rFonts w:ascii="宋体" w:hAnsi="宋体" w:eastAsia="宋体" w:cs="宋体"/>
          <w:color w:val="auto"/>
          <w:spacing w:val="4"/>
          <w:sz w:val="24"/>
          <w:szCs w:val="24"/>
          <w:highlight w:val="none"/>
        </w:rPr>
        <w:t>标报价未超过最高投标限价（如有）的情况下，出现第三章“评标办法</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规定的算术</w:t>
      </w:r>
      <w:r>
        <w:rPr>
          <w:rFonts w:ascii="宋体" w:hAnsi="宋体" w:eastAsia="宋体" w:cs="宋体"/>
          <w:color w:val="auto"/>
          <w:spacing w:val="-3"/>
          <w:sz w:val="24"/>
          <w:szCs w:val="24"/>
          <w:highlight w:val="none"/>
        </w:rPr>
        <w:t>性错误；</w:t>
      </w:r>
    </w:p>
    <w:p w14:paraId="5F4A08E7">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（2）技术建议书不够完善；</w:t>
      </w:r>
    </w:p>
    <w:p w14:paraId="0B27A081">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（3）投标文件页码不连续、个别文字有遗漏错误等不影响投标文件实质性内容的</w:t>
      </w:r>
      <w:r>
        <w:rPr>
          <w:rFonts w:ascii="宋体" w:hAnsi="宋体" w:eastAsia="宋体" w:cs="宋体"/>
          <w:color w:val="auto"/>
          <w:spacing w:val="-4"/>
          <w:sz w:val="24"/>
          <w:szCs w:val="24"/>
          <w:highlight w:val="none"/>
        </w:rPr>
        <w:t>偏差。</w:t>
      </w:r>
    </w:p>
    <w:p w14:paraId="4CE55CAF">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1.12.4 评标委员会对投标文件中的细微偏差按如下规定处理：</w:t>
      </w:r>
    </w:p>
    <w:p w14:paraId="670DEE94">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（1）对于本章第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1.12.3</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项（1）</w:t>
      </w:r>
      <w:r>
        <w:rPr>
          <w:rFonts w:ascii="宋体" w:hAnsi="宋体" w:eastAsia="宋体" w:cs="宋体"/>
          <w:color w:val="auto"/>
          <w:spacing w:val="-60"/>
          <w:sz w:val="24"/>
          <w:szCs w:val="24"/>
          <w:highlight w:val="none"/>
        </w:rPr>
        <w:t xml:space="preserve"> </w:t>
      </w:r>
      <w:r>
        <w:rPr>
          <w:rFonts w:ascii="宋体" w:hAnsi="宋体" w:eastAsia="宋体" w:cs="宋体"/>
          <w:color w:val="auto"/>
          <w:spacing w:val="-2"/>
          <w:sz w:val="24"/>
          <w:szCs w:val="24"/>
          <w:highlight w:val="none"/>
        </w:rPr>
        <w:t>目所述的细微偏差，按照第三章</w:t>
      </w:r>
      <w:r>
        <w:rPr>
          <w:rFonts w:ascii="宋体" w:hAnsi="宋体" w:eastAsia="宋体" w:cs="宋体"/>
          <w:color w:val="auto"/>
          <w:spacing w:val="-3"/>
          <w:sz w:val="24"/>
          <w:szCs w:val="24"/>
          <w:highlight w:val="none"/>
        </w:rPr>
        <w:t>“评标办法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”的</w:t>
      </w:r>
      <w:r>
        <w:rPr>
          <w:rFonts w:ascii="宋体" w:hAnsi="宋体" w:eastAsia="宋体" w:cs="宋体"/>
          <w:color w:val="auto"/>
          <w:spacing w:val="-1"/>
          <w:sz w:val="24"/>
          <w:szCs w:val="24"/>
          <w:highlight w:val="none"/>
        </w:rPr>
        <w:t>规定予以修正并要求投标人进行澄清；</w:t>
      </w:r>
    </w:p>
    <w:p w14:paraId="417003DD">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（2）对于本章第</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1.12.3</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项（2）、（3）</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目所述的细微偏差，可在相关评分因素</w:t>
      </w:r>
      <w:r>
        <w:rPr>
          <w:rFonts w:ascii="宋体" w:hAnsi="宋体" w:eastAsia="宋体" w:cs="宋体"/>
          <w:color w:val="auto"/>
          <w:spacing w:val="-4"/>
          <w:sz w:val="24"/>
          <w:szCs w:val="24"/>
          <w:highlight w:val="none"/>
        </w:rPr>
        <w:t>的评分中酌情扣分。</w:t>
      </w:r>
    </w:p>
    <w:p w14:paraId="5A81FA38">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pacing w:val="-5"/>
          <w:sz w:val="24"/>
          <w:szCs w:val="24"/>
          <w:highlight w:val="none"/>
        </w:rPr>
      </w:pPr>
      <w:r>
        <w:rPr>
          <w:rFonts w:ascii="宋体" w:hAnsi="宋体" w:eastAsia="宋体" w:cs="宋体"/>
          <w:color w:val="auto"/>
          <w:spacing w:val="1"/>
          <w:sz w:val="24"/>
          <w:szCs w:val="24"/>
          <w:highlight w:val="none"/>
        </w:rPr>
        <w:t>1.12.5 投标人应根据招标文件的要求提供技术建议书等内容以对招标文件作出响</w:t>
      </w:r>
      <w:r>
        <w:rPr>
          <w:rFonts w:ascii="宋体" w:hAnsi="宋体" w:eastAsia="宋体" w:cs="宋体"/>
          <w:color w:val="auto"/>
          <w:spacing w:val="-5"/>
          <w:sz w:val="24"/>
          <w:szCs w:val="24"/>
          <w:highlight w:val="none"/>
        </w:rPr>
        <w:t>应。</w:t>
      </w:r>
      <w:bookmarkStart w:id="117" w:name="_Toc5492"/>
    </w:p>
    <w:p w14:paraId="1B095DB5">
      <w:pPr>
        <w:keepNext w:val="0"/>
        <w:keepLines w:val="0"/>
        <w:pageBreakBefore w:val="0"/>
        <w:wordWrap/>
        <w:overflowPunct/>
        <w:topLinePunct w:val="0"/>
        <w:bidi w:val="0"/>
        <w:spacing w:line="500" w:lineRule="exact"/>
        <w:ind w:right="0"/>
        <w:jc w:val="both"/>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2.</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7"/>
          <w:sz w:val="28"/>
          <w:szCs w:val="28"/>
          <w:highlight w:val="none"/>
        </w:rPr>
        <w:t>招标文件</w:t>
      </w:r>
      <w:bookmarkEnd w:id="117"/>
    </w:p>
    <w:p w14:paraId="34881457">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18" w:name="_Toc26850"/>
      <w:bookmarkStart w:id="119" w:name="_Toc22993"/>
      <w:bookmarkStart w:id="120" w:name="_Toc14715"/>
      <w:bookmarkStart w:id="121" w:name="_Toc31508"/>
      <w:r>
        <w:rPr>
          <w:rFonts w:ascii="宋体" w:hAnsi="宋体" w:eastAsia="宋体" w:cs="宋体"/>
          <w:b/>
          <w:bCs/>
          <w:color w:val="auto"/>
          <w:spacing w:val="-3"/>
          <w:sz w:val="24"/>
          <w:szCs w:val="24"/>
          <w:highlight w:val="none"/>
        </w:rPr>
        <w:t>2.1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招标文件的组成</w:t>
      </w:r>
      <w:bookmarkEnd w:id="118"/>
      <w:bookmarkEnd w:id="119"/>
      <w:bookmarkEnd w:id="120"/>
      <w:bookmarkEnd w:id="121"/>
    </w:p>
    <w:p w14:paraId="4F30150C">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本招标文件包括：</w:t>
      </w:r>
    </w:p>
    <w:p w14:paraId="345EB30A">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（1）招标公告（或投标邀请书</w:t>
      </w:r>
      <w:r>
        <w:rPr>
          <w:rFonts w:ascii="宋体" w:hAnsi="宋体" w:eastAsia="宋体" w:cs="宋体"/>
          <w:color w:val="auto"/>
          <w:spacing w:val="3"/>
          <w:sz w:val="24"/>
          <w:szCs w:val="24"/>
          <w:highlight w:val="none"/>
        </w:rPr>
        <w:t>）；</w:t>
      </w:r>
    </w:p>
    <w:p w14:paraId="575A6059">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（2）投标人须知；</w:t>
      </w:r>
    </w:p>
    <w:p w14:paraId="5E734AD6">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（3）评标办法；</w:t>
      </w:r>
    </w:p>
    <w:p w14:paraId="7BF042DC">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（4）合同条款及格式；</w:t>
      </w:r>
    </w:p>
    <w:p w14:paraId="162CA384">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（5）委托人要求；</w:t>
      </w:r>
    </w:p>
    <w:p w14:paraId="2413D0C3">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（6）图纸和资料；</w:t>
      </w:r>
    </w:p>
    <w:p w14:paraId="54057E3C">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（7）投标文件格式；</w:t>
      </w:r>
    </w:p>
    <w:p w14:paraId="7AB14FF5">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（8）投标人须知前附表规定的其他资料。</w:t>
      </w:r>
    </w:p>
    <w:p w14:paraId="4D734064">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根据本章第</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1.10</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款、第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2.2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款和第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2.3</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款对招标文件所作的澄清、修改，构成招</w:t>
      </w:r>
      <w:r>
        <w:rPr>
          <w:rFonts w:ascii="宋体" w:hAnsi="宋体" w:eastAsia="宋体" w:cs="宋体"/>
          <w:color w:val="auto"/>
          <w:spacing w:val="-2"/>
          <w:sz w:val="24"/>
          <w:szCs w:val="24"/>
          <w:highlight w:val="none"/>
        </w:rPr>
        <w:t>标文件的组成部分。</w:t>
      </w:r>
    </w:p>
    <w:p w14:paraId="06736F6D">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当招标文件、招标文件的澄清或修改等在同一内容的表述上</w:t>
      </w:r>
      <w:r>
        <w:rPr>
          <w:rFonts w:ascii="宋体" w:hAnsi="宋体" w:eastAsia="宋体" w:cs="宋体"/>
          <w:color w:val="auto"/>
          <w:spacing w:val="4"/>
          <w:sz w:val="24"/>
          <w:szCs w:val="24"/>
          <w:highlight w:val="none"/>
        </w:rPr>
        <w:t>不一致时，以最后发</w:t>
      </w:r>
      <w:r>
        <w:rPr>
          <w:rFonts w:ascii="宋体" w:hAnsi="宋体" w:eastAsia="宋体" w:cs="宋体"/>
          <w:color w:val="auto"/>
          <w:spacing w:val="-4"/>
          <w:sz w:val="24"/>
          <w:szCs w:val="24"/>
          <w:highlight w:val="none"/>
        </w:rPr>
        <w:t>出的书面文件为准。</w:t>
      </w:r>
    </w:p>
    <w:p w14:paraId="31852C2D">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22" w:name="_Toc2261"/>
      <w:bookmarkStart w:id="123" w:name="_Toc7089"/>
      <w:bookmarkStart w:id="124" w:name="_Toc24935"/>
      <w:bookmarkStart w:id="125" w:name="_Toc21371"/>
      <w:r>
        <w:rPr>
          <w:rFonts w:ascii="宋体" w:hAnsi="宋体" w:eastAsia="宋体" w:cs="宋体"/>
          <w:b/>
          <w:bCs/>
          <w:color w:val="auto"/>
          <w:spacing w:val="-3"/>
          <w:sz w:val="24"/>
          <w:szCs w:val="24"/>
          <w:highlight w:val="none"/>
        </w:rPr>
        <w:t>2.2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招标文件的澄清</w:t>
      </w:r>
      <w:bookmarkEnd w:id="122"/>
      <w:bookmarkEnd w:id="123"/>
      <w:bookmarkEnd w:id="124"/>
      <w:bookmarkEnd w:id="125"/>
    </w:p>
    <w:p w14:paraId="12F361E5">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2.2.1 投标人应仔细阅读和检查招标文件的全部内容</w:t>
      </w:r>
      <w:r>
        <w:rPr>
          <w:rFonts w:ascii="宋体" w:hAnsi="宋体" w:eastAsia="宋体" w:cs="宋体"/>
          <w:color w:val="auto"/>
          <w:spacing w:val="4"/>
          <w:sz w:val="24"/>
          <w:szCs w:val="24"/>
          <w:highlight w:val="none"/>
        </w:rPr>
        <w:t>。如发现缺页或附件不全，</w:t>
      </w:r>
      <w:r>
        <w:rPr>
          <w:rFonts w:ascii="宋体" w:hAnsi="宋体" w:eastAsia="宋体" w:cs="宋体"/>
          <w:color w:val="auto"/>
          <w:spacing w:val="5"/>
          <w:sz w:val="24"/>
          <w:szCs w:val="24"/>
          <w:highlight w:val="none"/>
        </w:rPr>
        <w:t>应及时向招标人提出，以便补齐。如有疑问，应按投标人须知前附表规定的</w:t>
      </w:r>
      <w:r>
        <w:rPr>
          <w:rFonts w:ascii="宋体" w:hAnsi="宋体" w:eastAsia="宋体" w:cs="宋体"/>
          <w:color w:val="auto"/>
          <w:spacing w:val="4"/>
          <w:sz w:val="24"/>
          <w:szCs w:val="24"/>
          <w:highlight w:val="none"/>
        </w:rPr>
        <w:t>时间和形</w:t>
      </w:r>
      <w:r>
        <w:rPr>
          <w:rFonts w:ascii="宋体" w:hAnsi="宋体" w:eastAsia="宋体" w:cs="宋体"/>
          <w:color w:val="auto"/>
          <w:spacing w:val="-1"/>
          <w:sz w:val="24"/>
          <w:szCs w:val="24"/>
          <w:highlight w:val="none"/>
        </w:rPr>
        <w:t>式将提出的问题送达招标人，要求招标人对招标文件予以澄清。</w:t>
      </w:r>
    </w:p>
    <w:p w14:paraId="3C4BF95F">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2.2.2 招标文件的澄清以投标人须知前附表规定的形式发给</w:t>
      </w:r>
      <w:r>
        <w:rPr>
          <w:rFonts w:ascii="宋体" w:hAnsi="宋体" w:eastAsia="宋体" w:cs="宋体"/>
          <w:color w:val="auto"/>
          <w:spacing w:val="4"/>
          <w:sz w:val="24"/>
          <w:szCs w:val="24"/>
          <w:highlight w:val="none"/>
        </w:rPr>
        <w:t>所有登记的投标人，但不指明澄清问题的来源。澄清发出的时间距本章第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项规定的投标截</w:t>
      </w:r>
      <w:r>
        <w:rPr>
          <w:rFonts w:ascii="宋体" w:hAnsi="宋体" w:eastAsia="宋体" w:cs="宋体"/>
          <w:color w:val="auto"/>
          <w:spacing w:val="3"/>
          <w:sz w:val="24"/>
          <w:szCs w:val="24"/>
          <w:highlight w:val="none"/>
        </w:rPr>
        <w:t>止时间不</w:t>
      </w:r>
      <w:r>
        <w:rPr>
          <w:rFonts w:ascii="宋体" w:hAnsi="宋体" w:eastAsia="宋体" w:cs="宋体"/>
          <w:color w:val="auto"/>
          <w:spacing w:val="-3"/>
          <w:sz w:val="24"/>
          <w:szCs w:val="24"/>
          <w:highlight w:val="none"/>
        </w:rPr>
        <w:t>足</w:t>
      </w:r>
      <w:r>
        <w:rPr>
          <w:rFonts w:ascii="宋体" w:hAnsi="宋体" w:eastAsia="宋体" w:cs="宋体"/>
          <w:color w:val="auto"/>
          <w:spacing w:val="-24"/>
          <w:sz w:val="24"/>
          <w:szCs w:val="24"/>
          <w:highlight w:val="none"/>
        </w:rPr>
        <w:t xml:space="preserve"> </w:t>
      </w:r>
      <w:r>
        <w:rPr>
          <w:rFonts w:ascii="宋体" w:hAnsi="宋体" w:eastAsia="宋体" w:cs="宋体"/>
          <w:color w:val="auto"/>
          <w:spacing w:val="-3"/>
          <w:sz w:val="24"/>
          <w:szCs w:val="24"/>
          <w:highlight w:val="none"/>
        </w:rPr>
        <w:t>15 日，且澄清内容可能影响投标文件编制的，将相应延长投标截止时间。</w:t>
      </w:r>
    </w:p>
    <w:p w14:paraId="68AA5912">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2.2.3 投标人应注意及时浏览网上发出的澄清，因投</w:t>
      </w:r>
      <w:r>
        <w:rPr>
          <w:rFonts w:ascii="宋体" w:hAnsi="宋体" w:eastAsia="宋体" w:cs="宋体"/>
          <w:color w:val="auto"/>
          <w:spacing w:val="4"/>
          <w:sz w:val="24"/>
          <w:szCs w:val="24"/>
          <w:highlight w:val="none"/>
        </w:rPr>
        <w:t>标人自身原因未及时获知澄</w:t>
      </w:r>
      <w:r>
        <w:rPr>
          <w:rFonts w:ascii="宋体" w:hAnsi="宋体" w:eastAsia="宋体" w:cs="宋体"/>
          <w:color w:val="auto"/>
          <w:spacing w:val="-1"/>
          <w:sz w:val="24"/>
          <w:szCs w:val="24"/>
          <w:highlight w:val="none"/>
        </w:rPr>
        <w:t>清内容而导致的任何后果将由投标人自行承担。</w:t>
      </w:r>
    </w:p>
    <w:p w14:paraId="51E94ECB">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2.2.4 除非招标人认为确有必要答复，否则，招标人</w:t>
      </w:r>
      <w:r>
        <w:rPr>
          <w:rFonts w:ascii="宋体" w:hAnsi="宋体" w:eastAsia="宋体" w:cs="宋体"/>
          <w:color w:val="auto"/>
          <w:spacing w:val="4"/>
          <w:sz w:val="24"/>
          <w:szCs w:val="24"/>
          <w:highlight w:val="none"/>
        </w:rPr>
        <w:t>有权拒绝回复投标人在本章</w:t>
      </w:r>
      <w:r>
        <w:rPr>
          <w:rFonts w:ascii="宋体" w:hAnsi="宋体" w:eastAsia="宋体" w:cs="宋体"/>
          <w:color w:val="auto"/>
          <w:spacing w:val="-2"/>
          <w:sz w:val="24"/>
          <w:szCs w:val="24"/>
          <w:highlight w:val="none"/>
        </w:rPr>
        <w:t>第</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2.2.1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项规定的时间后的任何澄清要求。</w:t>
      </w:r>
    </w:p>
    <w:p w14:paraId="1BC86078">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26" w:name="_Toc30502"/>
      <w:bookmarkStart w:id="127" w:name="_Toc31407"/>
      <w:bookmarkStart w:id="128" w:name="_Toc11404"/>
      <w:bookmarkStart w:id="129" w:name="_Toc17055"/>
      <w:r>
        <w:rPr>
          <w:rFonts w:ascii="宋体" w:hAnsi="宋体" w:eastAsia="宋体" w:cs="宋体"/>
          <w:b/>
          <w:bCs/>
          <w:color w:val="auto"/>
          <w:spacing w:val="-3"/>
          <w:sz w:val="24"/>
          <w:szCs w:val="24"/>
          <w:highlight w:val="none"/>
        </w:rPr>
        <w:t>2.3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招标文件的修改</w:t>
      </w:r>
      <w:bookmarkEnd w:id="126"/>
      <w:bookmarkEnd w:id="127"/>
      <w:bookmarkEnd w:id="128"/>
      <w:bookmarkEnd w:id="129"/>
    </w:p>
    <w:p w14:paraId="1C2EE27E">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5"/>
          <w:sz w:val="24"/>
          <w:szCs w:val="24"/>
          <w:highlight w:val="none"/>
        </w:rPr>
        <w:t>2.3.1 招标人以投标人须知前附表规定的形式修改招</w:t>
      </w:r>
      <w:r>
        <w:rPr>
          <w:rFonts w:ascii="宋体" w:hAnsi="宋体" w:eastAsia="宋体" w:cs="宋体"/>
          <w:color w:val="auto"/>
          <w:spacing w:val="4"/>
          <w:sz w:val="24"/>
          <w:szCs w:val="24"/>
          <w:highlight w:val="none"/>
        </w:rPr>
        <w:t>标文件，并通知所有已登记</w:t>
      </w:r>
      <w:r>
        <w:rPr>
          <w:rFonts w:ascii="宋体" w:hAnsi="宋体" w:eastAsia="宋体" w:cs="宋体"/>
          <w:color w:val="auto"/>
          <w:sz w:val="24"/>
          <w:szCs w:val="24"/>
          <w:highlight w:val="none"/>
        </w:rPr>
        <w:t>的投标人。修改招标文件的时间距本章第4.2.1</w:t>
      </w:r>
      <w:r>
        <w:rPr>
          <w:rFonts w:ascii="宋体" w:hAnsi="宋体" w:eastAsia="宋体" w:cs="宋体"/>
          <w:color w:val="auto"/>
          <w:spacing w:val="-26"/>
          <w:sz w:val="24"/>
          <w:szCs w:val="24"/>
          <w:highlight w:val="none"/>
        </w:rPr>
        <w:t xml:space="preserve"> </w:t>
      </w:r>
      <w:r>
        <w:rPr>
          <w:rFonts w:ascii="宋体" w:hAnsi="宋体" w:eastAsia="宋体" w:cs="宋体"/>
          <w:color w:val="auto"/>
          <w:sz w:val="24"/>
          <w:szCs w:val="24"/>
          <w:highlight w:val="none"/>
        </w:rPr>
        <w:t>项规定的投标截止时间不足</w:t>
      </w:r>
      <w:r>
        <w:rPr>
          <w:rFonts w:ascii="宋体" w:hAnsi="宋体" w:eastAsia="宋体" w:cs="宋体"/>
          <w:color w:val="auto"/>
          <w:spacing w:val="-33"/>
          <w:sz w:val="24"/>
          <w:szCs w:val="24"/>
          <w:highlight w:val="none"/>
        </w:rPr>
        <w:t xml:space="preserve"> </w:t>
      </w:r>
      <w:r>
        <w:rPr>
          <w:rFonts w:ascii="宋体" w:hAnsi="宋体" w:eastAsia="宋体" w:cs="宋体"/>
          <w:color w:val="auto"/>
          <w:sz w:val="24"/>
          <w:szCs w:val="24"/>
          <w:highlight w:val="none"/>
        </w:rPr>
        <w:t>15 日，且</w:t>
      </w:r>
      <w:r>
        <w:rPr>
          <w:rFonts w:ascii="宋体" w:hAnsi="宋体" w:eastAsia="宋体" w:cs="宋体"/>
          <w:color w:val="auto"/>
          <w:spacing w:val="-1"/>
          <w:sz w:val="24"/>
          <w:szCs w:val="24"/>
          <w:highlight w:val="none"/>
        </w:rPr>
        <w:t>修改内容可能影响投标文件编制的，将相应延长投标截止时间。</w:t>
      </w:r>
    </w:p>
    <w:p w14:paraId="5D6F54E8">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2.3.2 投标人应注意及时浏览网上发出的修改，因投</w:t>
      </w:r>
      <w:r>
        <w:rPr>
          <w:rFonts w:ascii="宋体" w:hAnsi="宋体" w:eastAsia="宋体" w:cs="宋体"/>
          <w:color w:val="auto"/>
          <w:spacing w:val="4"/>
          <w:sz w:val="24"/>
          <w:szCs w:val="24"/>
          <w:highlight w:val="none"/>
        </w:rPr>
        <w:t>标人自身原因未及时获知修</w:t>
      </w:r>
      <w:r>
        <w:rPr>
          <w:rFonts w:ascii="宋体" w:hAnsi="宋体" w:eastAsia="宋体" w:cs="宋体"/>
          <w:color w:val="auto"/>
          <w:spacing w:val="-1"/>
          <w:sz w:val="24"/>
          <w:szCs w:val="24"/>
          <w:highlight w:val="none"/>
        </w:rPr>
        <w:t>改内容而导致的任何后果将由投标人自行承担。</w:t>
      </w:r>
    </w:p>
    <w:p w14:paraId="18158C6C">
      <w:pPr>
        <w:keepNext w:val="0"/>
        <w:keepLines w:val="0"/>
        <w:pageBreakBefore w:val="0"/>
        <w:wordWrap/>
        <w:overflowPunct/>
        <w:topLinePunct w:val="0"/>
        <w:bidi w:val="0"/>
        <w:spacing w:line="500" w:lineRule="exact"/>
        <w:ind w:right="0"/>
        <w:jc w:val="both"/>
        <w:outlineLvl w:val="1"/>
        <w:rPr>
          <w:rFonts w:ascii="宋体" w:hAnsi="宋体" w:eastAsia="宋体" w:cs="宋体"/>
          <w:b/>
          <w:bCs/>
          <w:color w:val="auto"/>
          <w:spacing w:val="-3"/>
          <w:sz w:val="24"/>
          <w:szCs w:val="24"/>
          <w:highlight w:val="none"/>
        </w:rPr>
      </w:pPr>
      <w:bookmarkStart w:id="130" w:name="_Toc21301"/>
      <w:bookmarkStart w:id="131" w:name="_Toc20267"/>
      <w:bookmarkStart w:id="132" w:name="_Toc30602"/>
      <w:bookmarkStart w:id="133" w:name="_Toc5237"/>
      <w:r>
        <w:rPr>
          <w:rFonts w:ascii="宋体" w:hAnsi="宋体" w:eastAsia="宋体" w:cs="宋体"/>
          <w:b/>
          <w:bCs/>
          <w:color w:val="auto"/>
          <w:spacing w:val="-3"/>
          <w:sz w:val="24"/>
          <w:szCs w:val="24"/>
          <w:highlight w:val="none"/>
        </w:rPr>
        <w:t>2.4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招标文件的异议</w:t>
      </w:r>
      <w:bookmarkEnd w:id="130"/>
      <w:bookmarkEnd w:id="131"/>
      <w:bookmarkEnd w:id="132"/>
      <w:bookmarkEnd w:id="133"/>
    </w:p>
    <w:p w14:paraId="5AE18B13">
      <w:pPr>
        <w:keepNext w:val="0"/>
        <w:keepLines w:val="0"/>
        <w:pageBreakBefore w:val="0"/>
        <w:wordWrap/>
        <w:overflowPunct/>
        <w:topLinePunct w:val="0"/>
        <w:bidi w:val="0"/>
        <w:spacing w:line="500" w:lineRule="exact"/>
        <w:ind w:left="0" w:right="0" w:firstLine="476" w:firstLineChars="200"/>
        <w:jc w:val="both"/>
        <w:outlineLvl w:val="1"/>
        <w:rPr>
          <w:rFonts w:ascii="宋体" w:hAnsi="宋体" w:eastAsia="宋体" w:cs="宋体"/>
          <w:color w:val="auto"/>
          <w:sz w:val="24"/>
          <w:szCs w:val="24"/>
          <w:highlight w:val="none"/>
        </w:rPr>
      </w:pPr>
      <w:bookmarkStart w:id="134" w:name="_Toc1791"/>
      <w:r>
        <w:rPr>
          <w:rFonts w:ascii="宋体" w:hAnsi="宋体" w:eastAsia="宋体" w:cs="宋体"/>
          <w:color w:val="auto"/>
          <w:spacing w:val="-1"/>
          <w:sz w:val="24"/>
          <w:szCs w:val="24"/>
          <w:highlight w:val="none"/>
        </w:rPr>
        <w:t>投标人或其他利害关系人对招标文件有异议的，应当在投标截止时间</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10 日前以书</w:t>
      </w:r>
      <w:r>
        <w:rPr>
          <w:rFonts w:ascii="宋体" w:hAnsi="宋体" w:eastAsia="宋体" w:cs="宋体"/>
          <w:color w:val="auto"/>
          <w:spacing w:val="3"/>
          <w:sz w:val="24"/>
          <w:szCs w:val="24"/>
          <w:highlight w:val="none"/>
        </w:rPr>
        <w:t>面形式提出。招标人将在收到异议之日起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3 日内作出答</w:t>
      </w:r>
      <w:r>
        <w:rPr>
          <w:rFonts w:ascii="宋体" w:hAnsi="宋体" w:eastAsia="宋体" w:cs="宋体"/>
          <w:color w:val="auto"/>
          <w:spacing w:val="2"/>
          <w:sz w:val="24"/>
          <w:szCs w:val="24"/>
          <w:highlight w:val="none"/>
        </w:rPr>
        <w:t>复；作出答复前，将暂停招标</w:t>
      </w:r>
      <w:r>
        <w:rPr>
          <w:rFonts w:ascii="宋体" w:hAnsi="宋体" w:eastAsia="宋体" w:cs="宋体"/>
          <w:color w:val="auto"/>
          <w:spacing w:val="-3"/>
          <w:sz w:val="24"/>
          <w:szCs w:val="24"/>
          <w:highlight w:val="none"/>
        </w:rPr>
        <w:t>投标活动。</w:t>
      </w:r>
      <w:bookmarkEnd w:id="134"/>
    </w:p>
    <w:p w14:paraId="08395AB7">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135" w:name="_Toc8026"/>
      <w:bookmarkStart w:id="136" w:name="_Toc6639"/>
      <w:r>
        <w:rPr>
          <w:rFonts w:ascii="宋体" w:hAnsi="宋体" w:eastAsia="宋体" w:cs="宋体"/>
          <w:b/>
          <w:bCs/>
          <w:color w:val="auto"/>
          <w:spacing w:val="-8"/>
          <w:sz w:val="28"/>
          <w:szCs w:val="28"/>
          <w:highlight w:val="none"/>
        </w:rPr>
        <w:t>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8"/>
          <w:sz w:val="28"/>
          <w:szCs w:val="28"/>
          <w:highlight w:val="none"/>
        </w:rPr>
        <w:t>投标文件</w:t>
      </w:r>
      <w:bookmarkEnd w:id="135"/>
      <w:bookmarkEnd w:id="136"/>
    </w:p>
    <w:p w14:paraId="15971C23">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37" w:name="_Toc26778"/>
      <w:bookmarkStart w:id="138" w:name="_Toc11914"/>
      <w:bookmarkStart w:id="139" w:name="_Toc538"/>
      <w:bookmarkStart w:id="140" w:name="_Toc31074"/>
      <w:r>
        <w:rPr>
          <w:rFonts w:ascii="宋体" w:hAnsi="宋体" w:eastAsia="宋体" w:cs="宋体"/>
          <w:b/>
          <w:bCs/>
          <w:color w:val="auto"/>
          <w:spacing w:val="-3"/>
          <w:sz w:val="24"/>
          <w:szCs w:val="24"/>
          <w:highlight w:val="none"/>
        </w:rPr>
        <w:t>3.1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投标文件的组成</w:t>
      </w:r>
      <w:bookmarkEnd w:id="137"/>
      <w:bookmarkEnd w:id="138"/>
      <w:bookmarkEnd w:id="139"/>
      <w:bookmarkEnd w:id="140"/>
    </w:p>
    <w:p w14:paraId="484FD8AC">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3.1.1 投标文件应采用双信封形式，包括下列内容：</w:t>
      </w:r>
    </w:p>
    <w:p w14:paraId="0E9A830A">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第一个信封（商务及技术文件</w:t>
      </w:r>
      <w:r>
        <w:rPr>
          <w:rFonts w:ascii="宋体" w:hAnsi="宋体" w:eastAsia="宋体" w:cs="宋体"/>
          <w:color w:val="auto"/>
          <w:spacing w:val="1"/>
          <w:sz w:val="24"/>
          <w:szCs w:val="24"/>
          <w:highlight w:val="none"/>
        </w:rPr>
        <w:t>）：</w:t>
      </w:r>
    </w:p>
    <w:p w14:paraId="3AC1F86F">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（1）投标函；</w:t>
      </w:r>
    </w:p>
    <w:p w14:paraId="394752D4">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（2）授权委托书或法定代表人身份证明；</w:t>
      </w:r>
    </w:p>
    <w:p w14:paraId="3391D33B">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（3）联合体协议书；</w:t>
      </w:r>
    </w:p>
    <w:p w14:paraId="6C2E9845">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（4）投标保证金；</w:t>
      </w:r>
    </w:p>
    <w:p w14:paraId="6D781BF7">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（5）资格审查资料；</w:t>
      </w:r>
    </w:p>
    <w:p w14:paraId="1B3691A9">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（6）投标人须知前附表规定的其他资料；</w:t>
      </w:r>
    </w:p>
    <w:p w14:paraId="191933AD">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（7）技术建议书。</w:t>
      </w:r>
    </w:p>
    <w:p w14:paraId="00254931">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第二个信封（报价文件</w:t>
      </w:r>
      <w:r>
        <w:rPr>
          <w:rFonts w:ascii="宋体" w:hAnsi="宋体" w:eastAsia="宋体" w:cs="宋体"/>
          <w:color w:val="auto"/>
          <w:sz w:val="24"/>
          <w:szCs w:val="24"/>
          <w:highlight w:val="none"/>
        </w:rPr>
        <w:t>）：</w:t>
      </w:r>
    </w:p>
    <w:p w14:paraId="3A768C47">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（1）投标函；</w:t>
      </w:r>
    </w:p>
    <w:p w14:paraId="7D84A734">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（2）监理服务费用清单。</w:t>
      </w:r>
    </w:p>
    <w:p w14:paraId="7FC02218">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投标人在评标过程中作出的符合法律法规和招标文件规定的澄清确认，构成投标</w:t>
      </w:r>
      <w:r>
        <w:rPr>
          <w:rFonts w:ascii="宋体" w:hAnsi="宋体" w:eastAsia="宋体" w:cs="宋体"/>
          <w:color w:val="auto"/>
          <w:spacing w:val="-2"/>
          <w:sz w:val="24"/>
          <w:szCs w:val="24"/>
          <w:highlight w:val="none"/>
        </w:rPr>
        <w:t>文件的组成部分。</w:t>
      </w:r>
    </w:p>
    <w:p w14:paraId="577174B5">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3.1.2 投标人须知前附表规定不接受联合体投标的，或投标人没有组成联合体的，</w:t>
      </w:r>
      <w:r>
        <w:rPr>
          <w:rFonts w:ascii="宋体" w:hAnsi="宋体" w:eastAsia="宋体" w:cs="宋体"/>
          <w:color w:val="auto"/>
          <w:spacing w:val="-3"/>
          <w:sz w:val="24"/>
          <w:szCs w:val="24"/>
          <w:highlight w:val="none"/>
        </w:rPr>
        <w:t>投标文件不包括本章第</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3.1.1（3）</w:t>
      </w:r>
      <w:r>
        <w:rPr>
          <w:rFonts w:ascii="宋体" w:hAnsi="宋体" w:eastAsia="宋体" w:cs="宋体"/>
          <w:color w:val="auto"/>
          <w:spacing w:val="-65"/>
          <w:sz w:val="24"/>
          <w:szCs w:val="24"/>
          <w:highlight w:val="none"/>
        </w:rPr>
        <w:t xml:space="preserve"> </w:t>
      </w:r>
      <w:r>
        <w:rPr>
          <w:rFonts w:ascii="宋体" w:hAnsi="宋体" w:eastAsia="宋体" w:cs="宋体"/>
          <w:color w:val="auto"/>
          <w:spacing w:val="-3"/>
          <w:sz w:val="24"/>
          <w:szCs w:val="24"/>
          <w:highlight w:val="none"/>
        </w:rPr>
        <w:t>目所指的联合体协议书。</w:t>
      </w:r>
    </w:p>
    <w:p w14:paraId="1410D6F7">
      <w:pPr>
        <w:keepNext w:val="0"/>
        <w:keepLines w:val="0"/>
        <w:pageBreakBefore w:val="0"/>
        <w:wordWrap/>
        <w:overflowPunct/>
        <w:topLinePunct w:val="0"/>
        <w:bidi w:val="0"/>
        <w:spacing w:line="50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3.1.3 投标人须知前附表未要求提交投标保证</w:t>
      </w:r>
      <w:r>
        <w:rPr>
          <w:rFonts w:ascii="宋体" w:hAnsi="宋体" w:eastAsia="宋体" w:cs="宋体"/>
          <w:color w:val="auto"/>
          <w:spacing w:val="-1"/>
          <w:sz w:val="24"/>
          <w:szCs w:val="24"/>
          <w:highlight w:val="none"/>
        </w:rPr>
        <w:t>金的，投标文件不包括本章第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3.1.1</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（4）</w:t>
      </w:r>
      <w:r>
        <w:rPr>
          <w:rFonts w:ascii="宋体" w:hAnsi="宋体" w:eastAsia="宋体" w:cs="宋体"/>
          <w:color w:val="auto"/>
          <w:spacing w:val="-64"/>
          <w:sz w:val="24"/>
          <w:szCs w:val="24"/>
          <w:highlight w:val="none"/>
        </w:rPr>
        <w:t xml:space="preserve"> </w:t>
      </w:r>
      <w:r>
        <w:rPr>
          <w:rFonts w:ascii="宋体" w:hAnsi="宋体" w:eastAsia="宋体" w:cs="宋体"/>
          <w:color w:val="auto"/>
          <w:spacing w:val="-6"/>
          <w:sz w:val="24"/>
          <w:szCs w:val="24"/>
          <w:highlight w:val="none"/>
        </w:rPr>
        <w:t>目所指的投标保证金。</w:t>
      </w:r>
    </w:p>
    <w:p w14:paraId="3AAD02B2">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41" w:name="_Toc27494"/>
      <w:bookmarkStart w:id="142" w:name="_Toc26802"/>
      <w:bookmarkStart w:id="143" w:name="_Toc26791"/>
      <w:bookmarkStart w:id="144" w:name="_Toc17991"/>
      <w:r>
        <w:rPr>
          <w:rFonts w:ascii="宋体" w:hAnsi="宋体" w:eastAsia="宋体" w:cs="宋体"/>
          <w:b/>
          <w:bCs/>
          <w:color w:val="auto"/>
          <w:spacing w:val="-6"/>
          <w:sz w:val="24"/>
          <w:szCs w:val="24"/>
          <w:highlight w:val="none"/>
        </w:rPr>
        <w:t>3.2</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投标报价</w:t>
      </w:r>
      <w:bookmarkEnd w:id="141"/>
      <w:bookmarkEnd w:id="142"/>
      <w:bookmarkEnd w:id="143"/>
      <w:bookmarkEnd w:id="144"/>
    </w:p>
    <w:p w14:paraId="1ECD353D">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2"/>
          <w:sz w:val="24"/>
          <w:szCs w:val="24"/>
          <w:highlight w:val="none"/>
        </w:rPr>
        <w:t>3.2.1 投标报价应包括国家规定的增值税税金，除投标人须知前附表另有规定外，</w:t>
      </w:r>
      <w:r>
        <w:rPr>
          <w:rFonts w:ascii="宋体" w:hAnsi="宋体" w:eastAsia="宋体" w:cs="宋体"/>
          <w:color w:val="auto"/>
          <w:spacing w:val="4"/>
          <w:sz w:val="24"/>
          <w:szCs w:val="24"/>
          <w:highlight w:val="none"/>
        </w:rPr>
        <w:t>增值税税金按一般计税方法计算。投标人应按第七章“投标文件格式</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”的</w:t>
      </w:r>
      <w:r>
        <w:rPr>
          <w:rFonts w:ascii="宋体" w:hAnsi="宋体" w:eastAsia="宋体" w:cs="宋体"/>
          <w:color w:val="auto"/>
          <w:spacing w:val="3"/>
          <w:sz w:val="24"/>
          <w:szCs w:val="24"/>
          <w:highlight w:val="none"/>
        </w:rPr>
        <w:t>要求在投标</w:t>
      </w:r>
      <w:r>
        <w:rPr>
          <w:rFonts w:ascii="宋体" w:hAnsi="宋体" w:eastAsia="宋体" w:cs="宋体"/>
          <w:color w:val="auto"/>
          <w:spacing w:val="-1"/>
          <w:sz w:val="24"/>
          <w:szCs w:val="24"/>
          <w:highlight w:val="none"/>
        </w:rPr>
        <w:t>函中进行报价并填写监理服务费用清单相应表格。</w:t>
      </w:r>
    </w:p>
    <w:p w14:paraId="633913B5">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3.2.2 投标人应充分了解本项目的总体情况以及</w:t>
      </w:r>
      <w:r>
        <w:rPr>
          <w:rFonts w:ascii="宋体" w:hAnsi="宋体" w:eastAsia="宋体" w:cs="宋体"/>
          <w:color w:val="auto"/>
          <w:spacing w:val="4"/>
          <w:sz w:val="24"/>
          <w:szCs w:val="24"/>
          <w:highlight w:val="none"/>
        </w:rPr>
        <w:t>影响投标报价的其他要素，按照</w:t>
      </w:r>
      <w:r>
        <w:rPr>
          <w:rFonts w:ascii="宋体" w:hAnsi="宋体" w:eastAsia="宋体" w:cs="宋体"/>
          <w:color w:val="auto"/>
          <w:spacing w:val="3"/>
          <w:sz w:val="24"/>
          <w:szCs w:val="24"/>
          <w:highlight w:val="none"/>
        </w:rPr>
        <w:t>招标文件规定的施工监理工作内容和计划工作量，</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自行测算监理服务费用。投标报价</w:t>
      </w:r>
      <w:r>
        <w:rPr>
          <w:rFonts w:ascii="宋体" w:hAnsi="宋体" w:eastAsia="宋体" w:cs="宋体"/>
          <w:color w:val="auto"/>
          <w:spacing w:val="5"/>
          <w:sz w:val="24"/>
          <w:szCs w:val="24"/>
          <w:highlight w:val="none"/>
        </w:rPr>
        <w:t>应涵盖投标人完成施工准备阶段、施工阶段、验收与缺陷责任期阶段监理工</w:t>
      </w:r>
      <w:r>
        <w:rPr>
          <w:rFonts w:ascii="宋体" w:hAnsi="宋体" w:eastAsia="宋体" w:cs="宋体"/>
          <w:color w:val="auto"/>
          <w:spacing w:val="4"/>
          <w:sz w:val="24"/>
          <w:szCs w:val="24"/>
          <w:highlight w:val="none"/>
        </w:rPr>
        <w:t>作所需的</w:t>
      </w:r>
      <w:r>
        <w:rPr>
          <w:rFonts w:ascii="宋体" w:hAnsi="宋体" w:eastAsia="宋体" w:cs="宋体"/>
          <w:color w:val="auto"/>
          <w:spacing w:val="-2"/>
          <w:sz w:val="24"/>
          <w:szCs w:val="24"/>
          <w:highlight w:val="none"/>
        </w:rPr>
        <w:t>全部费用。</w:t>
      </w:r>
    </w:p>
    <w:p w14:paraId="71EE0E01">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投标人应按照“投标文件格式</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”中“监理服务费用清单</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”的要</w:t>
      </w:r>
      <w:r>
        <w:rPr>
          <w:rFonts w:ascii="宋体" w:hAnsi="宋体" w:eastAsia="宋体" w:cs="宋体"/>
          <w:color w:val="auto"/>
          <w:spacing w:val="-4"/>
          <w:sz w:val="24"/>
          <w:szCs w:val="24"/>
          <w:highlight w:val="none"/>
        </w:rPr>
        <w:t>求填报监理服务费。</w:t>
      </w:r>
      <w:r>
        <w:rPr>
          <w:rFonts w:ascii="宋体" w:hAnsi="宋体" w:eastAsia="宋体" w:cs="宋体"/>
          <w:color w:val="auto"/>
          <w:spacing w:val="5"/>
          <w:sz w:val="24"/>
          <w:szCs w:val="24"/>
          <w:highlight w:val="none"/>
        </w:rPr>
        <w:t>投标人未填报的部分，在工程实施时委托人将不予支付，并认为该部分费用已包</w:t>
      </w:r>
      <w:r>
        <w:rPr>
          <w:rFonts w:ascii="宋体" w:hAnsi="宋体" w:eastAsia="宋体" w:cs="宋体"/>
          <w:color w:val="auto"/>
          <w:spacing w:val="4"/>
          <w:sz w:val="24"/>
          <w:szCs w:val="24"/>
          <w:highlight w:val="none"/>
        </w:rPr>
        <w:t>含在</w:t>
      </w:r>
      <w:r>
        <w:rPr>
          <w:rFonts w:ascii="宋体" w:hAnsi="宋体" w:eastAsia="宋体" w:cs="宋体"/>
          <w:color w:val="auto"/>
          <w:spacing w:val="-2"/>
          <w:sz w:val="24"/>
          <w:szCs w:val="24"/>
          <w:highlight w:val="none"/>
        </w:rPr>
        <w:t>报价中。</w:t>
      </w:r>
    </w:p>
    <w:p w14:paraId="07CC0DE6">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3.2.3 本项目的报价方式见投标人须知前附表。</w:t>
      </w:r>
      <w:r>
        <w:rPr>
          <w:rFonts w:ascii="宋体" w:hAnsi="宋体" w:eastAsia="宋体" w:cs="宋体"/>
          <w:color w:val="auto"/>
          <w:spacing w:val="4"/>
          <w:sz w:val="24"/>
          <w:szCs w:val="24"/>
          <w:highlight w:val="none"/>
        </w:rPr>
        <w:t>投标人在投标截止时间前修改投标函中的投标报价总额，应同时修改投标文件“监理服务费用清单</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”中的</w:t>
      </w:r>
      <w:r>
        <w:rPr>
          <w:rFonts w:ascii="宋体" w:hAnsi="宋体" w:eastAsia="宋体" w:cs="宋体"/>
          <w:color w:val="auto"/>
          <w:spacing w:val="3"/>
          <w:sz w:val="24"/>
          <w:szCs w:val="24"/>
          <w:highlight w:val="none"/>
        </w:rPr>
        <w:t>相应报价。</w:t>
      </w:r>
      <w:r>
        <w:rPr>
          <w:rFonts w:ascii="宋体" w:hAnsi="宋体" w:eastAsia="宋体" w:cs="宋体"/>
          <w:color w:val="auto"/>
          <w:spacing w:val="2"/>
          <w:sz w:val="24"/>
          <w:szCs w:val="24"/>
          <w:highlight w:val="none"/>
        </w:rPr>
        <w:t>此修改须符合本章第4.3</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款的有关要求。</w:t>
      </w:r>
    </w:p>
    <w:p w14:paraId="7B5D2CDD">
      <w:pPr>
        <w:keepNext w:val="0"/>
        <w:keepLines w:val="0"/>
        <w:pageBreakBefore w:val="0"/>
        <w:wordWrap/>
        <w:overflowPunct/>
        <w:topLinePunct w:val="0"/>
        <w:bidi w:val="0"/>
        <w:spacing w:line="500" w:lineRule="exact"/>
        <w:ind w:left="0" w:right="0" w:firstLine="492"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3.2.4 招标人设有最高投标限价的，投标人的投标报价不得超过最高投标限价，</w:t>
      </w:r>
      <w:r>
        <w:rPr>
          <w:rFonts w:ascii="宋体" w:hAnsi="宋体" w:eastAsia="宋体" w:cs="宋体"/>
          <w:color w:val="auto"/>
          <w:spacing w:val="-1"/>
          <w:sz w:val="24"/>
          <w:szCs w:val="24"/>
          <w:highlight w:val="none"/>
        </w:rPr>
        <w:t>最高投标限价在投标人须知前附表中载明。</w:t>
      </w:r>
    </w:p>
    <w:p w14:paraId="511D7EE3">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3.2.5 投标报价的其他要求见投标人须知前附表。</w:t>
      </w:r>
    </w:p>
    <w:p w14:paraId="7180623C">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45" w:name="_Toc6285"/>
      <w:bookmarkStart w:id="146" w:name="_Toc11900"/>
      <w:bookmarkStart w:id="147" w:name="_Toc18498"/>
      <w:bookmarkStart w:id="148" w:name="_Toc25506"/>
      <w:r>
        <w:rPr>
          <w:rFonts w:ascii="宋体" w:hAnsi="宋体" w:eastAsia="宋体" w:cs="宋体"/>
          <w:b/>
          <w:bCs/>
          <w:color w:val="auto"/>
          <w:spacing w:val="-5"/>
          <w:sz w:val="24"/>
          <w:szCs w:val="24"/>
          <w:highlight w:val="none"/>
        </w:rPr>
        <w:t>3.3</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5"/>
          <w:sz w:val="24"/>
          <w:szCs w:val="24"/>
          <w:highlight w:val="none"/>
        </w:rPr>
        <w:t>投标有效期</w:t>
      </w:r>
      <w:bookmarkEnd w:id="145"/>
      <w:bookmarkEnd w:id="146"/>
      <w:bookmarkEnd w:id="147"/>
      <w:bookmarkEnd w:id="148"/>
    </w:p>
    <w:p w14:paraId="203FA6FE">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3.3.1 除投标人须知前附表另有规定外，投标有效期为90</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天。</w:t>
      </w:r>
    </w:p>
    <w:p w14:paraId="0DB10F96">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3.3.2 在投标有效期内，投标人撤销投标文件的</w:t>
      </w:r>
      <w:r>
        <w:rPr>
          <w:rFonts w:ascii="宋体" w:hAnsi="宋体" w:eastAsia="宋体" w:cs="宋体"/>
          <w:color w:val="auto"/>
          <w:spacing w:val="4"/>
          <w:sz w:val="24"/>
          <w:szCs w:val="24"/>
          <w:highlight w:val="none"/>
        </w:rPr>
        <w:t>，应承担招标文件和法律规定的</w:t>
      </w:r>
      <w:r>
        <w:rPr>
          <w:rFonts w:ascii="宋体" w:hAnsi="宋体" w:eastAsia="宋体" w:cs="宋体"/>
          <w:color w:val="auto"/>
          <w:spacing w:val="-6"/>
          <w:sz w:val="24"/>
          <w:szCs w:val="24"/>
          <w:highlight w:val="none"/>
        </w:rPr>
        <w:t>责任。</w:t>
      </w:r>
    </w:p>
    <w:p w14:paraId="398D2954">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3.3.3</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出现特殊情况需要延长投标有效期的，招标人以书面</w:t>
      </w:r>
      <w:r>
        <w:rPr>
          <w:rFonts w:ascii="宋体" w:hAnsi="宋体" w:eastAsia="宋体" w:cs="宋体"/>
          <w:color w:val="auto"/>
          <w:spacing w:val="3"/>
          <w:sz w:val="24"/>
          <w:szCs w:val="24"/>
          <w:highlight w:val="none"/>
        </w:rPr>
        <w:t>形式通知所有投标人</w:t>
      </w:r>
      <w:r>
        <w:rPr>
          <w:rFonts w:ascii="宋体" w:hAnsi="宋体" w:eastAsia="宋体" w:cs="宋体"/>
          <w:color w:val="auto"/>
          <w:spacing w:val="5"/>
          <w:sz w:val="24"/>
          <w:szCs w:val="24"/>
          <w:highlight w:val="none"/>
        </w:rPr>
        <w:t>延长投标有效期。投标人应予以书面答复，同意延长的，应相应延长其投</w:t>
      </w:r>
      <w:r>
        <w:rPr>
          <w:rFonts w:ascii="宋体" w:hAnsi="宋体" w:eastAsia="宋体" w:cs="宋体"/>
          <w:color w:val="auto"/>
          <w:spacing w:val="4"/>
          <w:sz w:val="24"/>
          <w:szCs w:val="24"/>
          <w:highlight w:val="none"/>
        </w:rPr>
        <w:t>标保证金的</w:t>
      </w:r>
      <w:r>
        <w:rPr>
          <w:rFonts w:ascii="宋体" w:hAnsi="宋体" w:eastAsia="宋体" w:cs="宋体"/>
          <w:color w:val="auto"/>
          <w:spacing w:val="5"/>
          <w:sz w:val="24"/>
          <w:szCs w:val="24"/>
          <w:highlight w:val="none"/>
        </w:rPr>
        <w:t>有效期，但不得要求或被允许修改其投标文件；投标人拒绝延长的，其投</w:t>
      </w:r>
      <w:r>
        <w:rPr>
          <w:rFonts w:ascii="宋体" w:hAnsi="宋体" w:eastAsia="宋体" w:cs="宋体"/>
          <w:color w:val="auto"/>
          <w:spacing w:val="4"/>
          <w:sz w:val="24"/>
          <w:szCs w:val="24"/>
          <w:highlight w:val="none"/>
        </w:rPr>
        <w:t>标失效，但</w:t>
      </w:r>
      <w:r>
        <w:rPr>
          <w:rFonts w:ascii="宋体" w:hAnsi="宋体" w:eastAsia="宋体" w:cs="宋体"/>
          <w:color w:val="auto"/>
          <w:spacing w:val="5"/>
          <w:sz w:val="24"/>
          <w:szCs w:val="24"/>
          <w:highlight w:val="none"/>
        </w:rPr>
        <w:t>投标人有权收回其投标保证金及以现金或支票形式递交的投标保证金的银</w:t>
      </w:r>
      <w:r>
        <w:rPr>
          <w:rFonts w:ascii="宋体" w:hAnsi="宋体" w:eastAsia="宋体" w:cs="宋体"/>
          <w:color w:val="auto"/>
          <w:spacing w:val="4"/>
          <w:sz w:val="24"/>
          <w:szCs w:val="24"/>
          <w:highlight w:val="none"/>
        </w:rPr>
        <w:t>行同期存款</w:t>
      </w:r>
      <w:r>
        <w:rPr>
          <w:rFonts w:ascii="宋体" w:hAnsi="宋体" w:eastAsia="宋体" w:cs="宋体"/>
          <w:color w:val="auto"/>
          <w:spacing w:val="-4"/>
          <w:sz w:val="24"/>
          <w:szCs w:val="24"/>
          <w:highlight w:val="none"/>
        </w:rPr>
        <w:t>利息。</w:t>
      </w:r>
    </w:p>
    <w:p w14:paraId="2BABB55F">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49" w:name="_Toc2595"/>
      <w:bookmarkStart w:id="150" w:name="_Toc5003"/>
      <w:bookmarkStart w:id="151" w:name="_Toc11232"/>
      <w:bookmarkStart w:id="152" w:name="_Toc15584"/>
      <w:r>
        <w:rPr>
          <w:rFonts w:ascii="宋体" w:hAnsi="宋体" w:eastAsia="宋体" w:cs="宋体"/>
          <w:b/>
          <w:bCs/>
          <w:color w:val="auto"/>
          <w:spacing w:val="-5"/>
          <w:sz w:val="24"/>
          <w:szCs w:val="24"/>
          <w:highlight w:val="none"/>
        </w:rPr>
        <w:t>3.4</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5"/>
          <w:sz w:val="24"/>
          <w:szCs w:val="24"/>
          <w:highlight w:val="none"/>
        </w:rPr>
        <w:t>投标保证金</w:t>
      </w:r>
      <w:bookmarkEnd w:id="149"/>
      <w:bookmarkEnd w:id="150"/>
      <w:bookmarkEnd w:id="151"/>
      <w:bookmarkEnd w:id="152"/>
    </w:p>
    <w:p w14:paraId="516EB0A2">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3.4.1 投标人在递交投标文件的同时，应按投标</w:t>
      </w:r>
      <w:r>
        <w:rPr>
          <w:rFonts w:ascii="宋体" w:hAnsi="宋体" w:eastAsia="宋体" w:cs="宋体"/>
          <w:color w:val="auto"/>
          <w:spacing w:val="4"/>
          <w:sz w:val="24"/>
          <w:szCs w:val="24"/>
          <w:highlight w:val="none"/>
        </w:rPr>
        <w:t>人须知前附表规定的金额和第七章“投标文件格式</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”规定的投标保证金格式递交投标保证金，并作为其投</w:t>
      </w:r>
      <w:r>
        <w:rPr>
          <w:rFonts w:ascii="宋体" w:hAnsi="宋体" w:eastAsia="宋体" w:cs="宋体"/>
          <w:color w:val="auto"/>
          <w:spacing w:val="3"/>
          <w:sz w:val="24"/>
          <w:szCs w:val="24"/>
          <w:highlight w:val="none"/>
        </w:rPr>
        <w:t>标文件的组</w:t>
      </w:r>
      <w:r>
        <w:rPr>
          <w:rFonts w:ascii="宋体" w:hAnsi="宋体" w:eastAsia="宋体" w:cs="宋体"/>
          <w:color w:val="auto"/>
          <w:spacing w:val="5"/>
          <w:sz w:val="24"/>
          <w:szCs w:val="24"/>
          <w:highlight w:val="none"/>
        </w:rPr>
        <w:t>成部分。联合体投标的，其投标保证金由牵头人递交，并应符合投标人须</w:t>
      </w:r>
      <w:r>
        <w:rPr>
          <w:rFonts w:ascii="宋体" w:hAnsi="宋体" w:eastAsia="宋体" w:cs="宋体"/>
          <w:color w:val="auto"/>
          <w:spacing w:val="4"/>
          <w:sz w:val="24"/>
          <w:szCs w:val="24"/>
          <w:highlight w:val="none"/>
        </w:rPr>
        <w:t>知前附表的</w:t>
      </w:r>
      <w:r>
        <w:rPr>
          <w:rFonts w:ascii="宋体" w:hAnsi="宋体" w:eastAsia="宋体" w:cs="宋体"/>
          <w:color w:val="auto"/>
          <w:spacing w:val="-4"/>
          <w:sz w:val="24"/>
          <w:szCs w:val="24"/>
          <w:highlight w:val="none"/>
        </w:rPr>
        <w:t>规定。</w:t>
      </w:r>
    </w:p>
    <w:p w14:paraId="0588CEF8">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投标保证金应采用现金、支票、银行保函或招标人在投标人须知前附表规定的其</w:t>
      </w:r>
      <w:r>
        <w:rPr>
          <w:rFonts w:ascii="宋体" w:hAnsi="宋体" w:eastAsia="宋体" w:cs="宋体"/>
          <w:color w:val="auto"/>
          <w:spacing w:val="-3"/>
          <w:sz w:val="24"/>
          <w:szCs w:val="24"/>
          <w:highlight w:val="none"/>
        </w:rPr>
        <w:t>他形式。</w:t>
      </w:r>
    </w:p>
    <w:p w14:paraId="4D9204F4">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（1）若采用现金或支票，投标人应在递交投标文件截止时间之前，将投标保证金</w:t>
      </w:r>
      <w:r>
        <w:rPr>
          <w:rFonts w:ascii="宋体" w:hAnsi="宋体" w:eastAsia="宋体" w:cs="宋体"/>
          <w:color w:val="auto"/>
          <w:spacing w:val="4"/>
          <w:sz w:val="24"/>
          <w:szCs w:val="24"/>
          <w:highlight w:val="none"/>
        </w:rPr>
        <w:t>由投标人的基本账户转入招标人指定账户，否则视为投标保证金无效。招标人指定的</w:t>
      </w:r>
      <w:r>
        <w:rPr>
          <w:rFonts w:ascii="宋体" w:hAnsi="宋体" w:eastAsia="宋体" w:cs="宋体"/>
          <w:color w:val="auto"/>
          <w:spacing w:val="-1"/>
          <w:sz w:val="24"/>
          <w:szCs w:val="24"/>
          <w:highlight w:val="none"/>
        </w:rPr>
        <w:t>开户银行及账号见投标人须知前附表。</w:t>
      </w:r>
    </w:p>
    <w:p w14:paraId="76D9546C">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（2）若采用银行保函，则应由符合投标人须知前附表规定级别的银行开具，并采</w:t>
      </w:r>
      <w:r>
        <w:rPr>
          <w:rFonts w:ascii="宋体" w:hAnsi="宋体" w:eastAsia="宋体" w:cs="宋体"/>
          <w:color w:val="auto"/>
          <w:spacing w:val="-1"/>
          <w:sz w:val="24"/>
          <w:szCs w:val="24"/>
          <w:highlight w:val="none"/>
        </w:rPr>
        <w:t>用招标文件提供的格式。银行保函扫描件装订在投标文件内。</w:t>
      </w:r>
    </w:p>
    <w:p w14:paraId="7E861661">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无论采取何种形式的投标保证金，投标保证金有效期均应与投标有效期一致。招</w:t>
      </w:r>
      <w:r>
        <w:rPr>
          <w:rFonts w:ascii="宋体" w:hAnsi="宋体" w:eastAsia="宋体" w:cs="宋体"/>
          <w:color w:val="auto"/>
          <w:spacing w:val="4"/>
          <w:sz w:val="24"/>
          <w:szCs w:val="24"/>
          <w:highlight w:val="none"/>
        </w:rPr>
        <w:t>标人如果按本章第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3.3.3</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项的规定延长了投标有效</w:t>
      </w:r>
      <w:r>
        <w:rPr>
          <w:rFonts w:ascii="宋体" w:hAnsi="宋体" w:eastAsia="宋体" w:cs="宋体"/>
          <w:color w:val="auto"/>
          <w:spacing w:val="3"/>
          <w:sz w:val="24"/>
          <w:szCs w:val="24"/>
          <w:highlight w:val="none"/>
        </w:rPr>
        <w:t>期，则投标保证金的有效期也相应</w:t>
      </w:r>
      <w:r>
        <w:rPr>
          <w:rFonts w:ascii="宋体" w:hAnsi="宋体" w:eastAsia="宋体" w:cs="宋体"/>
          <w:color w:val="auto"/>
          <w:spacing w:val="-4"/>
          <w:sz w:val="24"/>
          <w:szCs w:val="24"/>
          <w:highlight w:val="none"/>
        </w:rPr>
        <w:t>延长。</w:t>
      </w:r>
    </w:p>
    <w:p w14:paraId="4DCC4655">
      <w:pPr>
        <w:keepNext w:val="0"/>
        <w:keepLines w:val="0"/>
        <w:pageBreakBefore w:val="0"/>
        <w:wordWrap/>
        <w:overflowPunct/>
        <w:topLinePunct w:val="0"/>
        <w:bidi w:val="0"/>
        <w:spacing w:line="500" w:lineRule="exact"/>
        <w:ind w:left="0" w:right="0" w:firstLine="492"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3.4.2 投标人不按本章第</w:t>
      </w:r>
      <w:r>
        <w:rPr>
          <w:rFonts w:ascii="宋体" w:hAnsi="宋体" w:eastAsia="宋体" w:cs="宋体"/>
          <w:color w:val="auto"/>
          <w:spacing w:val="-24"/>
          <w:sz w:val="24"/>
          <w:szCs w:val="24"/>
          <w:highlight w:val="none"/>
        </w:rPr>
        <w:t xml:space="preserve"> </w:t>
      </w:r>
      <w:r>
        <w:rPr>
          <w:rFonts w:ascii="宋体" w:hAnsi="宋体" w:eastAsia="宋体" w:cs="宋体"/>
          <w:color w:val="auto"/>
          <w:spacing w:val="3"/>
          <w:sz w:val="24"/>
          <w:szCs w:val="24"/>
          <w:highlight w:val="none"/>
        </w:rPr>
        <w:t>3.4.1</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项要求提交投标保证金的，评标委员会将否决其</w:t>
      </w:r>
      <w:r>
        <w:rPr>
          <w:rFonts w:ascii="宋体" w:hAnsi="宋体" w:eastAsia="宋体" w:cs="宋体"/>
          <w:color w:val="auto"/>
          <w:spacing w:val="-5"/>
          <w:sz w:val="24"/>
          <w:szCs w:val="24"/>
          <w:highlight w:val="none"/>
        </w:rPr>
        <w:t>投标。</w:t>
      </w:r>
    </w:p>
    <w:p w14:paraId="546E5A21">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3.4.3 根据《广东省实施&lt;中华人民共和国招标投标法&gt;办</w:t>
      </w:r>
      <w:r>
        <w:rPr>
          <w:rFonts w:ascii="宋体" w:hAnsi="宋体" w:eastAsia="宋体" w:cs="宋体"/>
          <w:color w:val="auto"/>
          <w:spacing w:val="4"/>
          <w:sz w:val="24"/>
          <w:szCs w:val="24"/>
          <w:highlight w:val="none"/>
        </w:rPr>
        <w:t>法》第二十五条规定，</w:t>
      </w:r>
      <w:r>
        <w:rPr>
          <w:rFonts w:ascii="宋体" w:hAnsi="宋体" w:eastAsia="宋体" w:cs="宋体"/>
          <w:color w:val="auto"/>
          <w:spacing w:val="5"/>
          <w:sz w:val="24"/>
          <w:szCs w:val="24"/>
          <w:highlight w:val="none"/>
        </w:rPr>
        <w:t>招标人应当在中标通知书发出之日起五日内将投标保证金退回中标候选人</w:t>
      </w:r>
      <w:r>
        <w:rPr>
          <w:rFonts w:ascii="宋体" w:hAnsi="宋体" w:eastAsia="宋体" w:cs="宋体"/>
          <w:color w:val="auto"/>
          <w:spacing w:val="4"/>
          <w:sz w:val="24"/>
          <w:szCs w:val="24"/>
          <w:highlight w:val="none"/>
        </w:rPr>
        <w:t>以外的投标</w:t>
      </w:r>
      <w:r>
        <w:rPr>
          <w:rFonts w:ascii="宋体" w:hAnsi="宋体" w:eastAsia="宋体" w:cs="宋体"/>
          <w:color w:val="auto"/>
          <w:spacing w:val="-1"/>
          <w:sz w:val="24"/>
          <w:szCs w:val="24"/>
          <w:highlight w:val="none"/>
        </w:rPr>
        <w:t>人，在书面合同订立之日起五日内将投标保证金退回中</w:t>
      </w:r>
      <w:r>
        <w:rPr>
          <w:rFonts w:ascii="宋体" w:hAnsi="宋体" w:eastAsia="宋体" w:cs="宋体"/>
          <w:color w:val="auto"/>
          <w:spacing w:val="-2"/>
          <w:sz w:val="24"/>
          <w:szCs w:val="24"/>
          <w:highlight w:val="none"/>
        </w:rPr>
        <w:t>标人和其他中标候选人。法律、</w:t>
      </w:r>
      <w:r>
        <w:rPr>
          <w:rFonts w:ascii="宋体" w:hAnsi="宋体" w:eastAsia="宋体" w:cs="宋体"/>
          <w:color w:val="auto"/>
          <w:spacing w:val="5"/>
          <w:sz w:val="24"/>
          <w:szCs w:val="24"/>
          <w:highlight w:val="none"/>
        </w:rPr>
        <w:t>行政法规规定不予退还或者可以不退还投标保证金的，从其规定。投标保</w:t>
      </w:r>
      <w:r>
        <w:rPr>
          <w:rFonts w:ascii="宋体" w:hAnsi="宋体" w:eastAsia="宋体" w:cs="宋体"/>
          <w:color w:val="auto"/>
          <w:spacing w:val="4"/>
          <w:sz w:val="24"/>
          <w:szCs w:val="24"/>
          <w:highlight w:val="none"/>
        </w:rPr>
        <w:t>证金以现金</w:t>
      </w:r>
      <w:r>
        <w:rPr>
          <w:rFonts w:ascii="宋体" w:hAnsi="宋体" w:eastAsia="宋体" w:cs="宋体"/>
          <w:color w:val="auto"/>
          <w:spacing w:val="5"/>
          <w:sz w:val="24"/>
          <w:szCs w:val="24"/>
          <w:highlight w:val="none"/>
        </w:rPr>
        <w:t>或支票形式递交的，招标人应同时退还投标保证金的银行同期活期存款利</w:t>
      </w:r>
      <w:r>
        <w:rPr>
          <w:rFonts w:ascii="宋体" w:hAnsi="宋体" w:eastAsia="宋体" w:cs="宋体"/>
          <w:color w:val="auto"/>
          <w:spacing w:val="4"/>
          <w:sz w:val="24"/>
          <w:szCs w:val="24"/>
          <w:highlight w:val="none"/>
        </w:rPr>
        <w:t>息，且退还</w:t>
      </w:r>
      <w:r>
        <w:rPr>
          <w:rFonts w:ascii="宋体" w:hAnsi="宋体" w:eastAsia="宋体" w:cs="宋体"/>
          <w:color w:val="auto"/>
          <w:spacing w:val="-2"/>
          <w:sz w:val="24"/>
          <w:szCs w:val="24"/>
          <w:highlight w:val="none"/>
        </w:rPr>
        <w:t>至投标人的基本账户。</w:t>
      </w:r>
    </w:p>
    <w:p w14:paraId="6F1D0E77">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利息计算原则见投标人须知前附表。</w:t>
      </w:r>
    </w:p>
    <w:p w14:paraId="4CBD30B3">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3.4.4 有下列情形之一的，投标保证金将不予退还：</w:t>
      </w:r>
    </w:p>
    <w:p w14:paraId="38812B74">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（1）投标人在投标有效期内撤销投标文件；</w:t>
      </w:r>
    </w:p>
    <w:p w14:paraId="534F49EA">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（2）中标人在收到中标通知书后，无正当理由不与招标人订立合同，在签订合同</w:t>
      </w:r>
      <w:r>
        <w:rPr>
          <w:rFonts w:ascii="宋体" w:hAnsi="宋体" w:eastAsia="宋体" w:cs="宋体"/>
          <w:color w:val="auto"/>
          <w:spacing w:val="-1"/>
          <w:sz w:val="24"/>
          <w:szCs w:val="24"/>
          <w:highlight w:val="none"/>
        </w:rPr>
        <w:t>时向招标人提出附加条件，或不按照招标文件要求提交履约保证金；</w:t>
      </w:r>
    </w:p>
    <w:p w14:paraId="3BA013A1">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（3）发生投标人须知前附表规定的其他可以不予退还投标保证金的情形。</w:t>
      </w:r>
    </w:p>
    <w:p w14:paraId="1CC7D158">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53" w:name="_Toc2768"/>
      <w:bookmarkStart w:id="154" w:name="_Toc22461"/>
      <w:bookmarkStart w:id="155" w:name="_Toc27036"/>
      <w:bookmarkStart w:id="156" w:name="_Toc25241"/>
      <w:r>
        <w:rPr>
          <w:rFonts w:ascii="宋体" w:hAnsi="宋体" w:eastAsia="宋体" w:cs="宋体"/>
          <w:b/>
          <w:bCs/>
          <w:color w:val="auto"/>
          <w:spacing w:val="-6"/>
          <w:sz w:val="24"/>
          <w:szCs w:val="24"/>
          <w:highlight w:val="none"/>
        </w:rPr>
        <w:t>3.5</w:t>
      </w:r>
      <w:r>
        <w:rPr>
          <w:rFonts w:ascii="宋体" w:hAnsi="宋体" w:eastAsia="宋体" w:cs="宋体"/>
          <w:color w:val="auto"/>
          <w:spacing w:val="25"/>
          <w:sz w:val="24"/>
          <w:szCs w:val="24"/>
          <w:highlight w:val="none"/>
        </w:rPr>
        <w:t xml:space="preserve"> </w:t>
      </w:r>
      <w:r>
        <w:rPr>
          <w:rFonts w:ascii="宋体" w:hAnsi="宋体" w:eastAsia="宋体" w:cs="宋体"/>
          <w:b/>
          <w:bCs/>
          <w:color w:val="auto"/>
          <w:spacing w:val="-6"/>
          <w:sz w:val="24"/>
          <w:szCs w:val="24"/>
          <w:highlight w:val="none"/>
        </w:rPr>
        <w:t>资格审查资料</w:t>
      </w:r>
      <w:bookmarkEnd w:id="153"/>
      <w:bookmarkEnd w:id="154"/>
      <w:bookmarkEnd w:id="155"/>
      <w:bookmarkEnd w:id="156"/>
    </w:p>
    <w:p w14:paraId="75100B8A">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除投标人须知前附表另有规定外，投标人应按下列规定提供资</w:t>
      </w:r>
      <w:r>
        <w:rPr>
          <w:rFonts w:ascii="宋体" w:hAnsi="宋体" w:eastAsia="宋体" w:cs="宋体"/>
          <w:color w:val="auto"/>
          <w:spacing w:val="4"/>
          <w:sz w:val="24"/>
          <w:szCs w:val="24"/>
          <w:highlight w:val="none"/>
        </w:rPr>
        <w:t>格审查资料，以证</w:t>
      </w:r>
      <w:r>
        <w:rPr>
          <w:rFonts w:ascii="宋体" w:hAnsi="宋体" w:eastAsia="宋体" w:cs="宋体"/>
          <w:color w:val="auto"/>
          <w:spacing w:val="-3"/>
          <w:sz w:val="24"/>
          <w:szCs w:val="24"/>
          <w:highlight w:val="none"/>
        </w:rPr>
        <w:t>明其满足本章第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3"/>
          <w:sz w:val="24"/>
          <w:szCs w:val="24"/>
          <w:highlight w:val="none"/>
        </w:rPr>
        <w:t>1.4</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款规定的资质、业绩、信誉等要求。</w:t>
      </w:r>
    </w:p>
    <w:p w14:paraId="41D46B86">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3.5.1 “投标人基本情况表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”应附企业法人营</w:t>
      </w:r>
      <w:r>
        <w:rPr>
          <w:rFonts w:ascii="宋体" w:hAnsi="宋体" w:eastAsia="宋体" w:cs="宋体"/>
          <w:color w:val="auto"/>
          <w:spacing w:val="3"/>
          <w:sz w:val="24"/>
          <w:szCs w:val="24"/>
          <w:highlight w:val="none"/>
        </w:rPr>
        <w:t>业执照副本、监理资质证书副本、</w:t>
      </w:r>
      <w:r>
        <w:rPr>
          <w:rFonts w:ascii="宋体" w:hAnsi="宋体" w:eastAsia="宋体" w:cs="宋体"/>
          <w:color w:val="auto"/>
          <w:spacing w:val="5"/>
          <w:sz w:val="24"/>
          <w:szCs w:val="24"/>
          <w:highlight w:val="none"/>
        </w:rPr>
        <w:t>基本账户开户许可证（如企业所在地已取消企业银行账户许可而无法提供开</w:t>
      </w:r>
      <w:r>
        <w:rPr>
          <w:rFonts w:ascii="宋体" w:hAnsi="宋体" w:eastAsia="宋体" w:cs="宋体"/>
          <w:color w:val="auto"/>
          <w:spacing w:val="4"/>
          <w:sz w:val="24"/>
          <w:szCs w:val="24"/>
          <w:highlight w:val="none"/>
        </w:rPr>
        <w:t>户许可证的，则需附上开户银行出具的“基本存款账户信息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”或“人民银行账户管理</w:t>
      </w:r>
      <w:r>
        <w:rPr>
          <w:rFonts w:ascii="宋体" w:hAnsi="宋体" w:eastAsia="宋体" w:cs="宋体"/>
          <w:color w:val="auto"/>
          <w:spacing w:val="3"/>
          <w:sz w:val="24"/>
          <w:szCs w:val="24"/>
          <w:highlight w:val="none"/>
        </w:rPr>
        <w:t>系统查询</w:t>
      </w:r>
      <w:bookmarkStart w:id="157" w:name="bookmark102"/>
      <w:bookmarkEnd w:id="157"/>
      <w:r>
        <w:rPr>
          <w:rFonts w:ascii="宋体" w:hAnsi="宋体" w:eastAsia="宋体" w:cs="宋体"/>
          <w:color w:val="auto"/>
          <w:spacing w:val="-2"/>
          <w:sz w:val="24"/>
          <w:szCs w:val="24"/>
          <w:highlight w:val="none"/>
        </w:rPr>
        <w:t>的基本账户信息截图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”）的扫描件</w:t>
      </w:r>
      <w:r>
        <w:rPr>
          <w:rFonts w:ascii="宋体" w:hAnsi="宋体" w:eastAsia="宋体" w:cs="宋体"/>
          <w:color w:val="auto"/>
          <w:spacing w:val="-28"/>
          <w:position w:val="12"/>
          <w:sz w:val="12"/>
          <w:szCs w:val="12"/>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68"/>
          <w:sz w:val="24"/>
          <w:szCs w:val="24"/>
          <w:highlight w:val="none"/>
        </w:rPr>
        <w:t xml:space="preserve"> </w:t>
      </w:r>
      <w:r>
        <w:rPr>
          <w:rFonts w:ascii="宋体" w:hAnsi="宋体" w:eastAsia="宋体" w:cs="宋体"/>
          <w:color w:val="auto"/>
          <w:spacing w:val="-2"/>
          <w:sz w:val="24"/>
          <w:szCs w:val="24"/>
          <w:highlight w:val="none"/>
        </w:rPr>
        <w:t>投标人在交通运输部“全国公路建设市场监督管</w:t>
      </w:r>
      <w:r>
        <w:rPr>
          <w:rFonts w:ascii="宋体" w:hAnsi="宋体" w:eastAsia="宋体" w:cs="宋体"/>
          <w:color w:val="auto"/>
          <w:spacing w:val="-3"/>
          <w:sz w:val="24"/>
          <w:szCs w:val="24"/>
          <w:highlight w:val="none"/>
        </w:rPr>
        <w:t>理系统</w:t>
      </w:r>
      <w:r>
        <w:rPr>
          <w:rFonts w:ascii="宋体" w:hAnsi="宋体" w:eastAsia="宋体" w:cs="宋体"/>
          <w:color w:val="auto"/>
          <w:spacing w:val="-72"/>
          <w:sz w:val="24"/>
          <w:szCs w:val="24"/>
          <w:highlight w:val="none"/>
        </w:rPr>
        <w:t xml:space="preserve"> </w:t>
      </w:r>
      <w:r>
        <w:rPr>
          <w:rFonts w:ascii="宋体" w:hAnsi="宋体" w:eastAsia="宋体" w:cs="宋体"/>
          <w:color w:val="auto"/>
          <w:spacing w:val="-3"/>
          <w:sz w:val="24"/>
          <w:szCs w:val="24"/>
          <w:highlight w:val="none"/>
        </w:rPr>
        <w:t>”公路工程施工监理资质企业名录中的网页截图扫描件</w:t>
      </w:r>
      <w:r>
        <w:rPr>
          <w:rFonts w:ascii="宋体" w:hAnsi="宋体" w:eastAsia="宋体" w:cs="宋体"/>
          <w:color w:val="auto"/>
          <w:spacing w:val="-28"/>
          <w:position w:val="12"/>
          <w:sz w:val="12"/>
          <w:szCs w:val="12"/>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92"/>
          <w:sz w:val="24"/>
          <w:szCs w:val="24"/>
          <w:highlight w:val="none"/>
        </w:rPr>
        <w:t xml:space="preserve"> </w:t>
      </w:r>
      <w:r>
        <w:rPr>
          <w:rFonts w:ascii="宋体" w:hAnsi="宋体" w:eastAsia="宋体" w:cs="宋体"/>
          <w:color w:val="auto"/>
          <w:spacing w:val="-3"/>
          <w:sz w:val="24"/>
          <w:szCs w:val="24"/>
          <w:highlight w:val="none"/>
        </w:rPr>
        <w:t>以及投标人在国家企</w:t>
      </w:r>
      <w:r>
        <w:rPr>
          <w:rFonts w:ascii="宋体" w:hAnsi="宋体" w:eastAsia="宋体" w:cs="宋体"/>
          <w:color w:val="auto"/>
          <w:sz w:val="24"/>
          <w:szCs w:val="24"/>
          <w:highlight w:val="none"/>
        </w:rPr>
        <w:t>业信用信息公示系统中基础信息（体现股东及出资详</w:t>
      </w:r>
      <w:r>
        <w:rPr>
          <w:rFonts w:ascii="宋体" w:hAnsi="宋体" w:eastAsia="宋体" w:cs="宋体"/>
          <w:color w:val="auto"/>
          <w:spacing w:val="-1"/>
          <w:sz w:val="24"/>
          <w:szCs w:val="24"/>
          <w:highlight w:val="none"/>
        </w:rPr>
        <w:t>细信息）的网页截图。</w:t>
      </w:r>
    </w:p>
    <w:p w14:paraId="45BDE5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企业法人营业执照副本、监理资质证书副本、基本账户开户许可证（如企业所在地已取消企业银行账户许可而无法提供开户许可证的，则需附上开户银行出</w:t>
      </w:r>
      <w:r>
        <w:rPr>
          <w:rFonts w:ascii="宋体" w:hAnsi="宋体" w:eastAsia="宋体" w:cs="宋体"/>
          <w:color w:val="auto"/>
          <w:spacing w:val="4"/>
          <w:sz w:val="24"/>
          <w:szCs w:val="24"/>
          <w:highlight w:val="none"/>
        </w:rPr>
        <w:t>具的“基</w:t>
      </w:r>
      <w:r>
        <w:rPr>
          <w:rFonts w:ascii="宋体" w:hAnsi="宋体" w:eastAsia="宋体" w:cs="宋体"/>
          <w:color w:val="auto"/>
          <w:spacing w:val="3"/>
          <w:sz w:val="24"/>
          <w:szCs w:val="24"/>
          <w:highlight w:val="none"/>
        </w:rPr>
        <w:t>本存款账户信息</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”或“人民银行账户管理系统查询的基本账户信息</w:t>
      </w:r>
      <w:r>
        <w:rPr>
          <w:rFonts w:ascii="宋体" w:hAnsi="宋体" w:eastAsia="宋体" w:cs="宋体"/>
          <w:color w:val="auto"/>
          <w:spacing w:val="2"/>
          <w:sz w:val="24"/>
          <w:szCs w:val="24"/>
          <w:highlight w:val="none"/>
        </w:rPr>
        <w:t>截图</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”）的扫描件</w:t>
      </w:r>
      <w:r>
        <w:rPr>
          <w:rFonts w:ascii="宋体" w:hAnsi="宋体" w:eastAsia="宋体" w:cs="宋体"/>
          <w:color w:val="auto"/>
          <w:spacing w:val="4"/>
          <w:sz w:val="24"/>
          <w:szCs w:val="24"/>
          <w:highlight w:val="none"/>
        </w:rPr>
        <w:t>应提供全本（证书封面、封底、空白页除外</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应包括投标人名称、投标人其他相关</w:t>
      </w:r>
      <w:r>
        <w:rPr>
          <w:rFonts w:ascii="宋体" w:hAnsi="宋体" w:eastAsia="宋体" w:cs="宋体"/>
          <w:color w:val="auto"/>
          <w:spacing w:val="-1"/>
          <w:sz w:val="24"/>
          <w:szCs w:val="24"/>
          <w:highlight w:val="none"/>
        </w:rPr>
        <w:t>信息、颁发机构名称、投标人信息变更情况等关键页在内。</w:t>
      </w:r>
    </w:p>
    <w:p w14:paraId="1C61F88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3.5.2(A)“近年完成的类似项目</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”应是</w:t>
      </w:r>
      <w:r>
        <w:rPr>
          <w:rFonts w:ascii="宋体" w:hAnsi="宋体" w:eastAsia="宋体" w:cs="宋体"/>
          <w:color w:val="auto"/>
          <w:sz w:val="24"/>
          <w:szCs w:val="24"/>
          <w:highlight w:val="none"/>
        </w:rPr>
        <w:t>已列入交通运输部“全国公路建设市场监</w:t>
      </w:r>
      <w:r>
        <w:rPr>
          <w:rFonts w:ascii="宋体" w:hAnsi="宋体" w:eastAsia="宋体" w:cs="宋体"/>
          <w:color w:val="auto"/>
          <w:spacing w:val="-2"/>
          <w:sz w:val="24"/>
          <w:szCs w:val="24"/>
          <w:highlight w:val="none"/>
        </w:rPr>
        <w:t>督管理系统</w:t>
      </w:r>
      <w:r>
        <w:rPr>
          <w:rFonts w:ascii="宋体" w:hAnsi="宋体" w:eastAsia="宋体" w:cs="宋体"/>
          <w:color w:val="auto"/>
          <w:spacing w:val="-74"/>
          <w:sz w:val="24"/>
          <w:szCs w:val="24"/>
          <w:highlight w:val="none"/>
        </w:rPr>
        <w:t xml:space="preserve"> </w:t>
      </w:r>
      <w:r>
        <w:rPr>
          <w:rFonts w:ascii="宋体" w:hAnsi="宋体" w:eastAsia="宋体" w:cs="宋体"/>
          <w:color w:val="auto"/>
          <w:spacing w:val="-2"/>
          <w:sz w:val="24"/>
          <w:szCs w:val="24"/>
          <w:highlight w:val="none"/>
        </w:rPr>
        <w:t>”并公开的已建业绩，具体时间要求见投标人须知前附表。</w:t>
      </w:r>
    </w:p>
    <w:p w14:paraId="2E9FC1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“近年完成的类似项目情况表</w:t>
      </w:r>
      <w:r>
        <w:rPr>
          <w:rFonts w:ascii="宋体" w:hAnsi="宋体" w:eastAsia="宋体" w:cs="宋体"/>
          <w:color w:val="auto"/>
          <w:spacing w:val="-67"/>
          <w:sz w:val="24"/>
          <w:szCs w:val="24"/>
          <w:highlight w:val="none"/>
        </w:rPr>
        <w:t xml:space="preserve"> </w:t>
      </w:r>
      <w:r>
        <w:rPr>
          <w:rFonts w:ascii="宋体" w:hAnsi="宋体" w:eastAsia="宋体" w:cs="宋体"/>
          <w:color w:val="auto"/>
          <w:spacing w:val="4"/>
          <w:sz w:val="24"/>
          <w:szCs w:val="24"/>
          <w:highlight w:val="none"/>
        </w:rPr>
        <w:t>”应附在交通运输部“全国公路建设市场监督管理</w:t>
      </w:r>
      <w:r>
        <w:rPr>
          <w:rFonts w:ascii="宋体" w:hAnsi="宋体" w:eastAsia="宋体" w:cs="宋体"/>
          <w:color w:val="auto"/>
          <w:spacing w:val="2"/>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”中查询到的企业“业绩信息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”相关项目网页截图扫描</w:t>
      </w:r>
      <w:r>
        <w:rPr>
          <w:rFonts w:ascii="宋体" w:hAnsi="宋体" w:eastAsia="宋体" w:cs="宋体"/>
          <w:color w:val="auto"/>
          <w:spacing w:val="1"/>
          <w:sz w:val="24"/>
          <w:szCs w:val="24"/>
          <w:highlight w:val="none"/>
        </w:rPr>
        <w:t>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1"/>
          <w:sz w:val="24"/>
          <w:szCs w:val="24"/>
          <w:highlight w:val="none"/>
        </w:rPr>
        <w:t>即包括“项目名称</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”、“标段类型</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”、“合同价</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”、“主要工程量</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”等栏目在内</w:t>
      </w:r>
      <w:r>
        <w:rPr>
          <w:rFonts w:ascii="宋体" w:hAnsi="宋体" w:eastAsia="宋体" w:cs="宋体"/>
          <w:color w:val="auto"/>
          <w:sz w:val="24"/>
          <w:szCs w:val="24"/>
          <w:highlight w:val="none"/>
        </w:rPr>
        <w:t>的项目</w:t>
      </w:r>
      <w:r>
        <w:rPr>
          <w:rFonts w:ascii="宋体" w:hAnsi="宋体" w:eastAsia="宋体" w:cs="宋体"/>
          <w:color w:val="auto"/>
          <w:spacing w:val="-1"/>
          <w:sz w:val="24"/>
          <w:szCs w:val="24"/>
          <w:highlight w:val="none"/>
        </w:rPr>
        <w:t>详细信息网页截图扫描件（或网页打印件）。</w:t>
      </w:r>
      <w:r>
        <w:rPr>
          <w:rFonts w:ascii="宋体" w:hAnsi="宋体" w:eastAsia="宋体" w:cs="宋体"/>
          <w:color w:val="auto"/>
          <w:spacing w:val="-2"/>
          <w:sz w:val="24"/>
          <w:szCs w:val="24"/>
          <w:highlight w:val="none"/>
        </w:rPr>
        <w:t>除网页截图扫描件（或网页打印件）外，</w:t>
      </w:r>
      <w:r>
        <w:rPr>
          <w:rFonts w:ascii="宋体" w:hAnsi="宋体" w:eastAsia="宋体" w:cs="宋体"/>
          <w:color w:val="auto"/>
          <w:spacing w:val="-1"/>
          <w:sz w:val="24"/>
          <w:szCs w:val="24"/>
          <w:highlight w:val="none"/>
        </w:rPr>
        <w:t>投标人无需再提供任何业绩证明材料。</w:t>
      </w:r>
    </w:p>
    <w:p w14:paraId="553774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如投标人未提供相关项目网页截图扫描件或相关项目网页截图中的信息无法证实投标人满足招标文件规定的资格审查条件（业绩最低要求）或评标办法评</w:t>
      </w:r>
      <w:r>
        <w:rPr>
          <w:rFonts w:ascii="宋体" w:hAnsi="宋体" w:eastAsia="宋体" w:cs="宋体"/>
          <w:color w:val="auto"/>
          <w:spacing w:val="4"/>
          <w:sz w:val="24"/>
          <w:szCs w:val="24"/>
          <w:highlight w:val="none"/>
        </w:rPr>
        <w:t>分标准（如</w:t>
      </w:r>
      <w:r>
        <w:rPr>
          <w:rFonts w:ascii="宋体" w:hAnsi="宋体" w:eastAsia="宋体" w:cs="宋体"/>
          <w:color w:val="auto"/>
          <w:spacing w:val="-3"/>
          <w:sz w:val="24"/>
          <w:szCs w:val="24"/>
          <w:highlight w:val="none"/>
        </w:rPr>
        <w:t>有</w:t>
      </w:r>
      <w:r>
        <w:rPr>
          <w:rFonts w:ascii="宋体" w:hAnsi="宋体" w:eastAsia="宋体" w:cs="宋体"/>
          <w:color w:val="auto"/>
          <w:spacing w:val="12"/>
          <w:sz w:val="24"/>
          <w:szCs w:val="24"/>
          <w:highlight w:val="none"/>
        </w:rPr>
        <w:t>），</w:t>
      </w:r>
      <w:r>
        <w:rPr>
          <w:rFonts w:ascii="宋体" w:hAnsi="宋体" w:eastAsia="宋体" w:cs="宋体"/>
          <w:color w:val="auto"/>
          <w:spacing w:val="-3"/>
          <w:sz w:val="24"/>
          <w:szCs w:val="24"/>
          <w:highlight w:val="none"/>
        </w:rPr>
        <w:t>则该项目业绩不予认定。</w:t>
      </w:r>
    </w:p>
    <w:p w14:paraId="5244CE2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7642D27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3.5.2</w:t>
      </w:r>
      <w:r>
        <w:rPr>
          <w:rFonts w:ascii="宋体" w:hAnsi="宋体" w:eastAsia="宋体" w:cs="宋体"/>
          <w:color w:val="auto"/>
          <w:spacing w:val="3"/>
          <w:sz w:val="20"/>
          <w:szCs w:val="20"/>
          <w:highlight w:val="none"/>
        </w:rPr>
        <w:t>(B)</w:t>
      </w:r>
      <w:r>
        <w:rPr>
          <w:rFonts w:ascii="宋体" w:hAnsi="宋体" w:eastAsia="宋体" w:cs="宋体"/>
          <w:color w:val="auto"/>
          <w:spacing w:val="3"/>
          <w:sz w:val="24"/>
          <w:szCs w:val="24"/>
          <w:highlight w:val="none"/>
        </w:rPr>
        <w:t>“近年完成的类似项目</w:t>
      </w:r>
      <w:r>
        <w:rPr>
          <w:rFonts w:ascii="宋体" w:hAnsi="宋体" w:eastAsia="宋体" w:cs="宋体"/>
          <w:color w:val="auto"/>
          <w:spacing w:val="-84"/>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应是已列入交通运输主管部门“公路建设市场</w:t>
      </w:r>
      <w:r>
        <w:rPr>
          <w:rFonts w:ascii="宋体" w:hAnsi="宋体" w:eastAsia="宋体" w:cs="宋体"/>
          <w:color w:val="auto"/>
          <w:spacing w:val="-2"/>
          <w:sz w:val="24"/>
          <w:szCs w:val="24"/>
          <w:highlight w:val="none"/>
        </w:rPr>
        <w:t>监督管理系统</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”并公开的业绩，具体时间要求见投标人须知前附表。</w:t>
      </w:r>
    </w:p>
    <w:p w14:paraId="59CD986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“近年完成的类似项目情况表</w:t>
      </w:r>
      <w:r>
        <w:rPr>
          <w:rFonts w:ascii="宋体" w:hAnsi="宋体" w:eastAsia="宋体" w:cs="宋体"/>
          <w:color w:val="auto"/>
          <w:spacing w:val="-67"/>
          <w:sz w:val="24"/>
          <w:szCs w:val="24"/>
          <w:highlight w:val="none"/>
        </w:rPr>
        <w:t xml:space="preserve"> </w:t>
      </w:r>
      <w:r>
        <w:rPr>
          <w:rFonts w:ascii="宋体" w:hAnsi="宋体" w:eastAsia="宋体" w:cs="宋体"/>
          <w:color w:val="auto"/>
          <w:spacing w:val="4"/>
          <w:sz w:val="24"/>
          <w:szCs w:val="24"/>
          <w:highlight w:val="none"/>
        </w:rPr>
        <w:t>”应附在交通运输部“全国公路建设市场监督管理</w:t>
      </w:r>
      <w:r>
        <w:rPr>
          <w:rFonts w:ascii="宋体" w:hAnsi="宋体" w:eastAsia="宋体" w:cs="宋体"/>
          <w:color w:val="auto"/>
          <w:spacing w:val="3"/>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”中查询到的企业“业绩信息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”相关项目网页截图扫描件（或网页</w:t>
      </w:r>
      <w:r>
        <w:rPr>
          <w:rFonts w:ascii="宋体" w:hAnsi="宋体" w:eastAsia="宋体" w:cs="宋体"/>
          <w:color w:val="auto"/>
          <w:spacing w:val="2"/>
          <w:sz w:val="24"/>
          <w:szCs w:val="24"/>
          <w:highlight w:val="none"/>
        </w:rPr>
        <w:t>打印件）。即</w:t>
      </w:r>
      <w:r>
        <w:rPr>
          <w:rFonts w:ascii="宋体" w:hAnsi="宋体" w:eastAsia="宋体" w:cs="宋体"/>
          <w:color w:val="auto"/>
          <w:spacing w:val="1"/>
          <w:sz w:val="24"/>
          <w:szCs w:val="24"/>
          <w:highlight w:val="none"/>
        </w:rPr>
        <w:t>包括“项目名称</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”、“标段类型</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”、“合同价</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”、“主要工程量</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”等栏目在内</w:t>
      </w:r>
      <w:r>
        <w:rPr>
          <w:rFonts w:ascii="宋体" w:hAnsi="宋体" w:eastAsia="宋体" w:cs="宋体"/>
          <w:color w:val="auto"/>
          <w:sz w:val="24"/>
          <w:szCs w:val="24"/>
          <w:highlight w:val="none"/>
        </w:rPr>
        <w:t>的项目</w:t>
      </w:r>
      <w:r>
        <w:rPr>
          <w:rFonts w:ascii="宋体" w:hAnsi="宋体" w:eastAsia="宋体" w:cs="宋体"/>
          <w:color w:val="auto"/>
          <w:spacing w:val="5"/>
          <w:sz w:val="24"/>
          <w:szCs w:val="24"/>
          <w:highlight w:val="none"/>
        </w:rPr>
        <w:t>详细信息网页截图扫描件（或网页打印件）。在交通运输部“全国公路建设</w:t>
      </w:r>
      <w:r>
        <w:rPr>
          <w:rFonts w:ascii="宋体" w:hAnsi="宋体" w:eastAsia="宋体" w:cs="宋体"/>
          <w:color w:val="auto"/>
          <w:spacing w:val="4"/>
          <w:sz w:val="24"/>
          <w:szCs w:val="24"/>
          <w:highlight w:val="none"/>
        </w:rPr>
        <w:t>市场监督</w:t>
      </w:r>
      <w:r>
        <w:rPr>
          <w:rFonts w:ascii="宋体" w:hAnsi="宋体" w:eastAsia="宋体" w:cs="宋体"/>
          <w:color w:val="auto"/>
          <w:spacing w:val="1"/>
          <w:sz w:val="24"/>
          <w:szCs w:val="24"/>
          <w:highlight w:val="none"/>
        </w:rPr>
        <w:t>管理系统</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”中无法查询，但可在省级交通运输主管部门“公路建设市场监督管理系统</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bookmarkStart w:id="158" w:name="bookmark105"/>
      <w:bookmarkEnd w:id="158"/>
      <w:bookmarkStart w:id="159" w:name="bookmark104"/>
      <w:bookmarkEnd w:id="159"/>
      <w:bookmarkStart w:id="160" w:name="bookmark103"/>
      <w:bookmarkEnd w:id="160"/>
      <w:r>
        <w:rPr>
          <w:rFonts w:ascii="宋体" w:hAnsi="宋体" w:eastAsia="宋体" w:cs="宋体"/>
          <w:color w:val="auto"/>
          <w:spacing w:val="4"/>
          <w:sz w:val="24"/>
          <w:szCs w:val="24"/>
          <w:highlight w:val="none"/>
        </w:rPr>
        <w:t>中查询的，应附省级交通运输主管部门“公路建设市场监督管理系统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”中查</w:t>
      </w:r>
      <w:r>
        <w:rPr>
          <w:rFonts w:ascii="宋体" w:hAnsi="宋体" w:eastAsia="宋体" w:cs="宋体"/>
          <w:color w:val="auto"/>
          <w:spacing w:val="3"/>
          <w:sz w:val="24"/>
          <w:szCs w:val="24"/>
          <w:highlight w:val="none"/>
        </w:rPr>
        <w:t>询到以上</w:t>
      </w:r>
      <w:r>
        <w:rPr>
          <w:rFonts w:ascii="宋体" w:hAnsi="宋体" w:eastAsia="宋体" w:cs="宋体"/>
          <w:color w:val="auto"/>
          <w:spacing w:val="5"/>
          <w:sz w:val="24"/>
          <w:szCs w:val="24"/>
          <w:highlight w:val="none"/>
        </w:rPr>
        <w:t>信息的网页截图扫描件（或网页打印件）并注明查询路径。除网页截图扫描</w:t>
      </w:r>
      <w:r>
        <w:rPr>
          <w:rFonts w:ascii="宋体" w:hAnsi="宋体" w:eastAsia="宋体" w:cs="宋体"/>
          <w:color w:val="auto"/>
          <w:spacing w:val="4"/>
          <w:sz w:val="24"/>
          <w:szCs w:val="24"/>
          <w:highlight w:val="none"/>
        </w:rPr>
        <w:t>件（或网</w:t>
      </w:r>
      <w:r>
        <w:rPr>
          <w:rFonts w:ascii="宋体" w:hAnsi="宋体" w:eastAsia="宋体" w:cs="宋体"/>
          <w:color w:val="auto"/>
          <w:spacing w:val="-1"/>
          <w:sz w:val="24"/>
          <w:szCs w:val="24"/>
          <w:highlight w:val="none"/>
        </w:rPr>
        <w:t>页打印件）外，投标人无须再提供任何业绩证明材料。</w:t>
      </w:r>
    </w:p>
    <w:p w14:paraId="39A703C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如投标人未提供相关项目网页截图扫描件（或网页打印件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4"/>
          <w:sz w:val="24"/>
          <w:szCs w:val="24"/>
          <w:highlight w:val="none"/>
        </w:rPr>
        <w:t>或网页截图扫描件</w:t>
      </w:r>
      <w:r>
        <w:rPr>
          <w:rFonts w:ascii="宋体" w:hAnsi="宋体" w:eastAsia="宋体" w:cs="宋体"/>
          <w:color w:val="auto"/>
          <w:spacing w:val="5"/>
          <w:sz w:val="24"/>
          <w:szCs w:val="24"/>
          <w:highlight w:val="none"/>
        </w:rPr>
        <w:t>（或网页打印件）中的信息无法证实投标人满足招标文件规定的资格</w:t>
      </w:r>
      <w:r>
        <w:rPr>
          <w:rFonts w:ascii="宋体" w:hAnsi="宋体" w:eastAsia="宋体" w:cs="宋体"/>
          <w:color w:val="auto"/>
          <w:spacing w:val="4"/>
          <w:sz w:val="24"/>
          <w:szCs w:val="24"/>
          <w:highlight w:val="none"/>
        </w:rPr>
        <w:t>审查条件（业绩</w:t>
      </w:r>
      <w:r>
        <w:rPr>
          <w:rFonts w:ascii="宋体" w:hAnsi="宋体" w:eastAsia="宋体" w:cs="宋体"/>
          <w:color w:val="auto"/>
          <w:spacing w:val="-1"/>
          <w:sz w:val="24"/>
          <w:szCs w:val="24"/>
          <w:highlight w:val="none"/>
        </w:rPr>
        <w:t>最低要求）或评标办法评分标准（如有</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则该项目业绩不予认定。</w:t>
      </w:r>
    </w:p>
    <w:p w14:paraId="107D5D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3EBBABB9">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3.5.2(C)“近年完成的类似项目</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”具体时间要求见投标人</w:t>
      </w:r>
      <w:r>
        <w:rPr>
          <w:rFonts w:ascii="宋体" w:hAnsi="宋体" w:eastAsia="宋体" w:cs="宋体"/>
          <w:color w:val="auto"/>
          <w:spacing w:val="-2"/>
          <w:sz w:val="24"/>
          <w:szCs w:val="24"/>
          <w:highlight w:val="none"/>
        </w:rPr>
        <w:t>须知前附表。</w:t>
      </w:r>
    </w:p>
    <w:p w14:paraId="54544E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“近年完成的类似项目情况表 ”应同时附合同协议书、项目已交（竣）工证明文件（交工验收证书或竣工验收备案表或竣工验收证明材料或建设单位出具的完工证明或完工验收鉴定书等）扫描件；如果投标人提供的上述证明材料均无法体现投标人满足招标文件规定的资格审查条件（业绩最低要求）或评标办法评分标准（如有），则投标人还应提供项目业主（或其上级单位）或行业主管部门出具的证明材料的扫描件</w:t>
      </w:r>
      <w:r>
        <w:rPr>
          <w:rFonts w:ascii="宋体" w:hAnsi="宋体" w:eastAsia="宋体" w:cs="宋体"/>
          <w:color w:val="auto"/>
          <w:spacing w:val="-5"/>
          <w:sz w:val="24"/>
          <w:szCs w:val="24"/>
          <w:highlight w:val="none"/>
        </w:rPr>
        <w:t>。</w:t>
      </w:r>
    </w:p>
    <w:p w14:paraId="66333ADE">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如投标人未提供证明材料或证明材料无法证实投标人满足招标文件规定的资格审</w:t>
      </w:r>
      <w:r>
        <w:rPr>
          <w:rFonts w:ascii="宋体" w:hAnsi="宋体" w:eastAsia="宋体" w:cs="宋体"/>
          <w:color w:val="auto"/>
          <w:spacing w:val="-1"/>
          <w:sz w:val="24"/>
          <w:szCs w:val="24"/>
          <w:highlight w:val="none"/>
        </w:rPr>
        <w:t>查条件（业绩最低要求）或评标办法评分标准（如有</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则该项目业绩不予认定。</w:t>
      </w:r>
    </w:p>
    <w:p w14:paraId="78B7236C">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382CA46F">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3.5.3 “投标人的信誉情况</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”应附投标人在国</w:t>
      </w:r>
      <w:r>
        <w:rPr>
          <w:rFonts w:ascii="宋体" w:hAnsi="宋体" w:eastAsia="宋体" w:cs="宋体"/>
          <w:color w:val="auto"/>
          <w:spacing w:val="3"/>
          <w:sz w:val="24"/>
          <w:szCs w:val="24"/>
          <w:highlight w:val="none"/>
        </w:rPr>
        <w:t>家企业信用信息公示系统中未被列</w:t>
      </w:r>
      <w:r>
        <w:rPr>
          <w:rFonts w:ascii="宋体" w:hAnsi="宋体" w:eastAsia="宋体" w:cs="宋体"/>
          <w:color w:val="auto"/>
          <w:spacing w:val="2"/>
          <w:sz w:val="24"/>
          <w:szCs w:val="24"/>
          <w:highlight w:val="none"/>
        </w:rPr>
        <w:t>入严重违法失信企业名单、在“信用中国</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”或“</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rPr>
        <w:t>中国执行信息公开网站</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”网站中</w:t>
      </w:r>
      <w:r>
        <w:rPr>
          <w:rFonts w:ascii="宋体" w:hAnsi="宋体" w:eastAsia="宋体" w:cs="宋体"/>
          <w:color w:val="auto"/>
          <w:spacing w:val="1"/>
          <w:sz w:val="24"/>
          <w:szCs w:val="24"/>
          <w:highlight w:val="none"/>
        </w:rPr>
        <w:t>未被</w:t>
      </w:r>
      <w:r>
        <w:rPr>
          <w:rFonts w:ascii="宋体" w:hAnsi="宋体" w:eastAsia="宋体" w:cs="宋体"/>
          <w:color w:val="auto"/>
          <w:spacing w:val="-1"/>
          <w:sz w:val="24"/>
          <w:szCs w:val="24"/>
          <w:highlight w:val="none"/>
        </w:rPr>
        <w:t>列入失信被执行人名单的网页截图扫描件。</w:t>
      </w:r>
    </w:p>
    <w:p w14:paraId="3F95E802">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3.5.4(A)“拟委任的总监理工程师或驻</w:t>
      </w:r>
      <w:r>
        <w:rPr>
          <w:rFonts w:ascii="宋体" w:hAnsi="宋体" w:eastAsia="宋体" w:cs="宋体"/>
          <w:color w:val="auto"/>
          <w:sz w:val="24"/>
          <w:szCs w:val="24"/>
          <w:highlight w:val="none"/>
        </w:rPr>
        <w:t>地监理工程师资历表</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”应同时附：①交通</w:t>
      </w:r>
      <w:r>
        <w:rPr>
          <w:rFonts w:ascii="宋体" w:hAnsi="宋体" w:eastAsia="宋体" w:cs="宋体"/>
          <w:color w:val="auto"/>
          <w:spacing w:val="4"/>
          <w:sz w:val="24"/>
          <w:szCs w:val="24"/>
          <w:highlight w:val="none"/>
        </w:rPr>
        <w:t>运输部“全国公路建设市场监督管理系统</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”中查询到的企业人员信息相关网页截图扫</w:t>
      </w:r>
      <w:r>
        <w:rPr>
          <w:rFonts w:ascii="宋体" w:hAnsi="宋体" w:eastAsia="宋体" w:cs="宋体"/>
          <w:color w:val="auto"/>
          <w:spacing w:val="1"/>
          <w:sz w:val="24"/>
          <w:szCs w:val="24"/>
          <w:highlight w:val="none"/>
        </w:rPr>
        <w:t>描件（网页打印件</w:t>
      </w:r>
      <w:r>
        <w:rPr>
          <w:rFonts w:ascii="宋体" w:hAnsi="宋体" w:eastAsia="宋体" w:cs="宋体"/>
          <w:color w:val="auto"/>
          <w:spacing w:val="25"/>
          <w:sz w:val="24"/>
          <w:szCs w:val="24"/>
          <w:highlight w:val="none"/>
        </w:rPr>
        <w:t>），</w:t>
      </w:r>
      <w:r>
        <w:rPr>
          <w:rFonts w:ascii="宋体" w:hAnsi="宋体" w:eastAsia="宋体" w:cs="宋体"/>
          <w:color w:val="auto"/>
          <w:spacing w:val="1"/>
          <w:sz w:val="24"/>
          <w:szCs w:val="24"/>
          <w:highlight w:val="none"/>
        </w:rPr>
        <w:t>即包括人员的“基本信息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”、“职称信息</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”、“执业资格</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“个人业绩</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”等栏目在内）的网页截图扫描件（或网页打印件）。②交通运输工程监</w:t>
      </w:r>
      <w:r>
        <w:rPr>
          <w:rFonts w:ascii="宋体" w:hAnsi="宋体" w:eastAsia="宋体" w:cs="宋体"/>
          <w:color w:val="auto"/>
          <w:sz w:val="24"/>
          <w:szCs w:val="24"/>
          <w:highlight w:val="none"/>
        </w:rPr>
        <w:t>理工程师注册服务系统截图。</w:t>
      </w:r>
    </w:p>
    <w:p w14:paraId="31BE39BC">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如投标人未提供相关网页截图扫描件（或网页打印件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4"/>
          <w:sz w:val="24"/>
          <w:szCs w:val="24"/>
          <w:highlight w:val="none"/>
        </w:rPr>
        <w:t>或相关网页截图扫描件</w:t>
      </w:r>
      <w:bookmarkStart w:id="161" w:name="bookmark106"/>
      <w:bookmarkEnd w:id="161"/>
      <w:bookmarkStart w:id="162" w:name="bookmark107"/>
      <w:bookmarkEnd w:id="162"/>
      <w:r>
        <w:rPr>
          <w:rFonts w:ascii="宋体" w:hAnsi="宋体" w:eastAsia="宋体" w:cs="宋体"/>
          <w:color w:val="auto"/>
          <w:spacing w:val="5"/>
          <w:sz w:val="24"/>
          <w:szCs w:val="24"/>
          <w:highlight w:val="none"/>
        </w:rPr>
        <w:t>（或网页打印件）中的信息无法证实投标人满足</w:t>
      </w:r>
      <w:r>
        <w:rPr>
          <w:rFonts w:ascii="宋体" w:hAnsi="宋体" w:eastAsia="宋体" w:cs="宋体"/>
          <w:color w:val="auto"/>
          <w:spacing w:val="4"/>
          <w:sz w:val="24"/>
          <w:szCs w:val="24"/>
          <w:highlight w:val="none"/>
        </w:rPr>
        <w:t>招标文件规定的资格审查条件（人员</w:t>
      </w:r>
      <w:r>
        <w:rPr>
          <w:rFonts w:ascii="宋体" w:hAnsi="宋体" w:eastAsia="宋体" w:cs="宋体"/>
          <w:color w:val="auto"/>
          <w:spacing w:val="-1"/>
          <w:sz w:val="24"/>
          <w:szCs w:val="24"/>
          <w:highlight w:val="none"/>
        </w:rPr>
        <w:t>最低要求）或评标办法评分标准（如有</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则该人员相应信息不予认定。</w:t>
      </w:r>
    </w:p>
    <w:p w14:paraId="6E0575DF">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③投标人所属社保机构出具的拟委任的总监理工程师（以及备选人，如有）或驻地监理工程师（以及备选人，如有）的社保缴费证明或其他有效社保证明材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（社保时段为投标文件递交截止日前半年时间内连续不少于三个月，总公司</w:t>
      </w:r>
      <w:r>
        <w:rPr>
          <w:rFonts w:ascii="宋体" w:hAnsi="宋体" w:eastAsia="宋体" w:cs="宋体"/>
          <w:color w:val="auto"/>
          <w:spacing w:val="4"/>
          <w:sz w:val="24"/>
          <w:szCs w:val="24"/>
          <w:highlight w:val="none"/>
        </w:rPr>
        <w:t>参与投标</w:t>
      </w:r>
      <w:r>
        <w:rPr>
          <w:rFonts w:ascii="宋体" w:hAnsi="宋体" w:eastAsia="宋体" w:cs="宋体"/>
          <w:color w:val="auto"/>
          <w:spacing w:val="-1"/>
          <w:sz w:val="24"/>
          <w:szCs w:val="24"/>
          <w:highlight w:val="none"/>
        </w:rPr>
        <w:t>的，提供的分公司人员的社保也视为有效）。</w:t>
      </w:r>
    </w:p>
    <w:p w14:paraId="02B538EB">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除上述资料外，投标人无需再提供任何证明</w:t>
      </w:r>
      <w:r>
        <w:rPr>
          <w:rFonts w:ascii="宋体" w:hAnsi="宋体" w:eastAsia="宋体" w:cs="宋体"/>
          <w:color w:val="auto"/>
          <w:spacing w:val="-2"/>
          <w:sz w:val="24"/>
          <w:szCs w:val="24"/>
          <w:highlight w:val="none"/>
        </w:rPr>
        <w:t>材料。</w:t>
      </w:r>
    </w:p>
    <w:p w14:paraId="36758AB7">
      <w:pPr>
        <w:keepNext w:val="0"/>
        <w:keepLines w:val="0"/>
        <w:pageBreakBefore w:val="0"/>
        <w:wordWrap/>
        <w:overflowPunct/>
        <w:topLinePunct w:val="0"/>
        <w:bidi w:val="0"/>
        <w:spacing w:line="500" w:lineRule="exact"/>
        <w:ind w:left="0" w:right="0"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如总监理工程师（以及备选人，如有）或驻地监理工程师（以及备选人，如有）目前仍在其他项目上任职，则投标人应按投标函的格式承诺上述人员能够从该项目撤离）</w:t>
      </w:r>
      <w:r>
        <w:rPr>
          <w:rFonts w:ascii="宋体" w:hAnsi="宋体" w:eastAsia="宋体" w:cs="宋体"/>
          <w:color w:val="auto"/>
          <w:spacing w:val="-5"/>
          <w:sz w:val="24"/>
          <w:szCs w:val="24"/>
          <w:highlight w:val="none"/>
        </w:rPr>
        <w:t>。</w:t>
      </w:r>
    </w:p>
    <w:p w14:paraId="3ABB7F66">
      <w:pPr>
        <w:keepNext w:val="0"/>
        <w:keepLines w:val="0"/>
        <w:pageBreakBefore w:val="0"/>
        <w:wordWrap/>
        <w:overflowPunct/>
        <w:topLinePunct w:val="0"/>
        <w:bidi w:val="0"/>
        <w:spacing w:line="500" w:lineRule="exact"/>
        <w:ind w:left="0" w:right="0" w:firstLine="496"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3.5.4(B) “拟委任的总监理工程师或驻地监理工程师资历表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”应同时附</w:t>
      </w:r>
      <w:r>
        <w:rPr>
          <w:rFonts w:ascii="宋体" w:hAnsi="宋体" w:eastAsia="宋体" w:cs="宋体"/>
          <w:color w:val="auto"/>
          <w:spacing w:val="3"/>
          <w:sz w:val="24"/>
          <w:szCs w:val="24"/>
          <w:highlight w:val="none"/>
        </w:rPr>
        <w:t>：①总</w:t>
      </w:r>
      <w:r>
        <w:rPr>
          <w:rFonts w:ascii="宋体" w:hAnsi="宋体" w:eastAsia="宋体" w:cs="宋体"/>
          <w:color w:val="auto"/>
          <w:spacing w:val="-1"/>
          <w:sz w:val="24"/>
          <w:szCs w:val="24"/>
          <w:highlight w:val="none"/>
        </w:rPr>
        <w:t>监理工程师（以及备选人，如有）或驻地监理工程师（以</w:t>
      </w:r>
      <w:r>
        <w:rPr>
          <w:rFonts w:ascii="宋体" w:hAnsi="宋体" w:eastAsia="宋体" w:cs="宋体"/>
          <w:color w:val="auto"/>
          <w:spacing w:val="-2"/>
          <w:sz w:val="24"/>
          <w:szCs w:val="24"/>
          <w:highlight w:val="none"/>
        </w:rPr>
        <w:t>及备选人，如有）的身份证、</w:t>
      </w:r>
      <w:r>
        <w:rPr>
          <w:rFonts w:ascii="宋体" w:hAnsi="宋体" w:eastAsia="宋体" w:cs="宋体"/>
          <w:color w:val="auto"/>
          <w:spacing w:val="10"/>
          <w:sz w:val="24"/>
          <w:szCs w:val="24"/>
          <w:highlight w:val="none"/>
        </w:rPr>
        <w:t>职称资格证书（如职称证书不能体现专业类型的，还应提供最高学历证书）</w:t>
      </w:r>
      <w:r>
        <w:rPr>
          <w:rFonts w:ascii="宋体" w:hAnsi="宋体" w:eastAsia="宋体" w:cs="宋体"/>
          <w:color w:val="auto"/>
          <w:spacing w:val="-59"/>
          <w:sz w:val="24"/>
          <w:szCs w:val="24"/>
          <w:highlight w:val="none"/>
        </w:rPr>
        <w:t xml:space="preserve"> </w:t>
      </w:r>
      <w:r>
        <w:rPr>
          <w:rFonts w:ascii="宋体" w:hAnsi="宋体" w:eastAsia="宋体" w:cs="宋体"/>
          <w:color w:val="auto"/>
          <w:spacing w:val="10"/>
          <w:sz w:val="24"/>
          <w:szCs w:val="24"/>
          <w:highlight w:val="none"/>
        </w:rPr>
        <w:t>、注册</w:t>
      </w:r>
      <w:r>
        <w:rPr>
          <w:rFonts w:ascii="宋体" w:hAnsi="宋体" w:eastAsia="宋体" w:cs="宋体"/>
          <w:color w:val="auto"/>
          <w:spacing w:val="5"/>
          <w:sz w:val="24"/>
          <w:szCs w:val="24"/>
          <w:highlight w:val="none"/>
        </w:rPr>
        <w:t>（或从业登记）截图和资格审查条件所要求的其他相关证书（如公路工程监</w:t>
      </w:r>
      <w:r>
        <w:rPr>
          <w:rFonts w:ascii="宋体" w:hAnsi="宋体" w:eastAsia="宋体" w:cs="宋体"/>
          <w:color w:val="auto"/>
          <w:spacing w:val="4"/>
          <w:sz w:val="24"/>
          <w:szCs w:val="24"/>
          <w:highlight w:val="none"/>
        </w:rPr>
        <w:t>理工程师</w:t>
      </w:r>
      <w:r>
        <w:rPr>
          <w:rFonts w:ascii="宋体" w:hAnsi="宋体" w:eastAsia="宋体" w:cs="宋体"/>
          <w:color w:val="auto"/>
          <w:spacing w:val="-2"/>
          <w:sz w:val="24"/>
          <w:szCs w:val="24"/>
          <w:highlight w:val="none"/>
        </w:rPr>
        <w:t>证书）扫描件。</w:t>
      </w:r>
    </w:p>
    <w:p w14:paraId="4DFA4C8A">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或扫描件（社保时段为投标文件递交截止日前半年时间内连续不少于三个月</w:t>
      </w:r>
      <w:r>
        <w:rPr>
          <w:rFonts w:ascii="宋体" w:hAnsi="宋体" w:eastAsia="宋体" w:cs="宋体"/>
          <w:color w:val="auto"/>
          <w:spacing w:val="4"/>
          <w:sz w:val="24"/>
          <w:szCs w:val="24"/>
          <w:highlight w:val="none"/>
        </w:rPr>
        <w:t>，总公司</w:t>
      </w:r>
      <w:r>
        <w:rPr>
          <w:rFonts w:ascii="宋体" w:hAnsi="宋体" w:eastAsia="宋体" w:cs="宋体"/>
          <w:color w:val="auto"/>
          <w:spacing w:val="-1"/>
          <w:sz w:val="24"/>
          <w:szCs w:val="24"/>
          <w:highlight w:val="none"/>
        </w:rPr>
        <w:t>参与投标的，提供的分公司人员的社保也视为有效）。</w:t>
      </w:r>
    </w:p>
    <w:p w14:paraId="4D3A7E2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③交通运输部“全国公路建设市场监督管理系统 ”中载明的、能够证明总监理工程师或驻地监理工程师具有相关业绩的网页截图。在交通运输部“全国公路建设市场监督管理系统 ”中无法查询的，但可在省级交通运输主管部门“公路建设市场监督管理系统 ”中查询的，应附省级交通运输主管部门“公路建设市场监督管理系统 ”中查询到的网页截图。除网页截图外，投标人无需再提供任何业绩证明材料。如投标人未提供相关业绩网页截图或相关业绩网页截图中的信息无法证实投标人满足招标文件规定的资格审查条件（总监理工程师或驻地监理工程师最低要求），则该业绩不予认</w:t>
      </w:r>
      <w:r>
        <w:rPr>
          <w:rFonts w:ascii="宋体" w:hAnsi="宋体" w:eastAsia="宋体" w:cs="宋体"/>
          <w:color w:val="auto"/>
          <w:spacing w:val="-2"/>
          <w:sz w:val="24"/>
          <w:szCs w:val="24"/>
          <w:highlight w:val="none"/>
        </w:rPr>
        <w:t>定。</w:t>
      </w:r>
    </w:p>
    <w:p w14:paraId="281C63D1">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除上述资料外，投标人无需再提供任何证明</w:t>
      </w:r>
      <w:r>
        <w:rPr>
          <w:rFonts w:ascii="宋体" w:hAnsi="宋体" w:eastAsia="宋体" w:cs="宋体"/>
          <w:color w:val="auto"/>
          <w:spacing w:val="-2"/>
          <w:sz w:val="24"/>
          <w:szCs w:val="24"/>
          <w:highlight w:val="none"/>
        </w:rPr>
        <w:t>材料。</w:t>
      </w:r>
    </w:p>
    <w:p w14:paraId="3433681B">
      <w:pPr>
        <w:keepNext w:val="0"/>
        <w:keepLines w:val="0"/>
        <w:pageBreakBefore w:val="0"/>
        <w:wordWrap/>
        <w:overflowPunct/>
        <w:topLinePunct w:val="0"/>
        <w:bidi w:val="0"/>
        <w:spacing w:line="500" w:lineRule="exact"/>
        <w:ind w:left="0" w:right="0"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如总监理工程师（以及备选人，如有）或驻地监理工程师（以及备选人，如有）目前仍在其他项目上任职，则投标人应按投标函的格式承诺上述人员能够从该项目撤</w:t>
      </w:r>
      <w:bookmarkStart w:id="163" w:name="bookmark108"/>
      <w:bookmarkEnd w:id="163"/>
      <w:r>
        <w:rPr>
          <w:rFonts w:ascii="宋体" w:hAnsi="宋体" w:eastAsia="宋体" w:cs="宋体"/>
          <w:color w:val="auto"/>
          <w:spacing w:val="-6"/>
          <w:sz w:val="24"/>
          <w:szCs w:val="24"/>
          <w:highlight w:val="none"/>
        </w:rPr>
        <w:t>离）</w:t>
      </w:r>
      <w:r>
        <w:rPr>
          <w:rFonts w:ascii="宋体" w:hAnsi="宋体" w:eastAsia="宋体" w:cs="宋体"/>
          <w:color w:val="auto"/>
          <w:spacing w:val="-5"/>
          <w:sz w:val="24"/>
          <w:szCs w:val="24"/>
          <w:highlight w:val="none"/>
        </w:rPr>
        <w:t>。</w:t>
      </w:r>
    </w:p>
    <w:p w14:paraId="7A8CA90D">
      <w:pPr>
        <w:keepNext w:val="0"/>
        <w:keepLines w:val="0"/>
        <w:pageBreakBefore w:val="0"/>
        <w:wordWrap/>
        <w:overflowPunct/>
        <w:topLinePunct w:val="0"/>
        <w:bidi w:val="0"/>
        <w:spacing w:line="500" w:lineRule="exact"/>
        <w:ind w:left="0" w:right="0" w:firstLine="488"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3.5.4(C)</w:t>
      </w:r>
      <w:r>
        <w:rPr>
          <w:rFonts w:ascii="宋体" w:hAnsi="宋体" w:eastAsia="宋体" w:cs="宋体"/>
          <w:color w:val="auto"/>
          <w:spacing w:val="2"/>
          <w:sz w:val="20"/>
          <w:szCs w:val="20"/>
          <w:highlight w:val="none"/>
        </w:rPr>
        <w:t>“</w:t>
      </w:r>
      <w:r>
        <w:rPr>
          <w:rFonts w:ascii="宋体" w:hAnsi="宋体" w:eastAsia="宋体" w:cs="宋体"/>
          <w:color w:val="auto"/>
          <w:spacing w:val="2"/>
          <w:sz w:val="24"/>
          <w:szCs w:val="24"/>
          <w:highlight w:val="none"/>
        </w:rPr>
        <w:t>拟委任的总监理工程师或驻地监理工程师资历表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”应同时附：①总监</w:t>
      </w:r>
      <w:r>
        <w:rPr>
          <w:rFonts w:ascii="宋体" w:hAnsi="宋体" w:eastAsia="宋体" w:cs="宋体"/>
          <w:color w:val="auto"/>
          <w:spacing w:val="5"/>
          <w:sz w:val="24"/>
          <w:szCs w:val="24"/>
          <w:highlight w:val="none"/>
        </w:rPr>
        <w:t>理工程师（以及备选人，如有）或驻地监理工程师（以及备选人，如有）的身份证、</w:t>
      </w:r>
      <w:r>
        <w:rPr>
          <w:rFonts w:ascii="宋体" w:hAnsi="宋体" w:eastAsia="宋体" w:cs="宋体"/>
          <w:color w:val="auto"/>
          <w:spacing w:val="10"/>
          <w:sz w:val="24"/>
          <w:szCs w:val="24"/>
          <w:highlight w:val="none"/>
        </w:rPr>
        <w:t>职称资格证书（如职称证书不能体现专业类型的，还应提供最高学历证书）</w:t>
      </w:r>
      <w:r>
        <w:rPr>
          <w:rFonts w:ascii="宋体" w:hAnsi="宋体" w:eastAsia="宋体" w:cs="宋体"/>
          <w:color w:val="auto"/>
          <w:spacing w:val="-59"/>
          <w:sz w:val="24"/>
          <w:szCs w:val="24"/>
          <w:highlight w:val="none"/>
        </w:rPr>
        <w:t xml:space="preserve"> </w:t>
      </w:r>
      <w:r>
        <w:rPr>
          <w:rFonts w:ascii="宋体" w:hAnsi="宋体" w:eastAsia="宋体" w:cs="宋体"/>
          <w:color w:val="auto"/>
          <w:spacing w:val="10"/>
          <w:sz w:val="24"/>
          <w:szCs w:val="24"/>
          <w:highlight w:val="none"/>
        </w:rPr>
        <w:t>、注册</w:t>
      </w:r>
      <w:r>
        <w:rPr>
          <w:rFonts w:ascii="宋体" w:hAnsi="宋体" w:eastAsia="宋体" w:cs="宋体"/>
          <w:color w:val="auto"/>
          <w:spacing w:val="5"/>
          <w:sz w:val="24"/>
          <w:szCs w:val="24"/>
          <w:highlight w:val="none"/>
        </w:rPr>
        <w:t>（或从业登记）截图和资格审查条件所要求的其他相关证书（如公路工程监</w:t>
      </w:r>
      <w:r>
        <w:rPr>
          <w:rFonts w:ascii="宋体" w:hAnsi="宋体" w:eastAsia="宋体" w:cs="宋体"/>
          <w:color w:val="auto"/>
          <w:spacing w:val="4"/>
          <w:sz w:val="24"/>
          <w:szCs w:val="24"/>
          <w:highlight w:val="none"/>
        </w:rPr>
        <w:t>理工程师</w:t>
      </w:r>
      <w:r>
        <w:rPr>
          <w:rFonts w:ascii="宋体" w:hAnsi="宋体" w:eastAsia="宋体" w:cs="宋体"/>
          <w:color w:val="auto"/>
          <w:spacing w:val="-2"/>
          <w:sz w:val="24"/>
          <w:szCs w:val="24"/>
          <w:highlight w:val="none"/>
        </w:rPr>
        <w:t>证书）扫描件；</w:t>
      </w:r>
    </w:p>
    <w:p w14:paraId="32641BD7">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（社保时段为投标文件递交截止日前半年时间内连续不少于三个月，总公司</w:t>
      </w:r>
      <w:r>
        <w:rPr>
          <w:rFonts w:ascii="宋体" w:hAnsi="宋体" w:eastAsia="宋体" w:cs="宋体"/>
          <w:color w:val="auto"/>
          <w:spacing w:val="4"/>
          <w:sz w:val="24"/>
          <w:szCs w:val="24"/>
          <w:highlight w:val="none"/>
        </w:rPr>
        <w:t>参与投标</w:t>
      </w:r>
      <w:r>
        <w:rPr>
          <w:rFonts w:ascii="宋体" w:hAnsi="宋体" w:eastAsia="宋体" w:cs="宋体"/>
          <w:color w:val="auto"/>
          <w:spacing w:val="-1"/>
          <w:sz w:val="24"/>
          <w:szCs w:val="24"/>
          <w:highlight w:val="none"/>
        </w:rPr>
        <w:t>的，提供的分公司人员的社保也视为有效）。</w:t>
      </w:r>
    </w:p>
    <w:p w14:paraId="4EC539E1">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5"/>
          <w:sz w:val="24"/>
          <w:szCs w:val="24"/>
          <w:highlight w:val="none"/>
        </w:rPr>
        <w:t>③相关业绩证明材料（业绩证明材料应是合同协议书、项目已交（竣）工证明文件（交工验收证书或竣工验收备案表或竣工验收证明材料或建设单位出具的完</w:t>
      </w:r>
      <w:r>
        <w:rPr>
          <w:rFonts w:ascii="宋体" w:hAnsi="宋体" w:eastAsia="宋体" w:cs="宋体"/>
          <w:color w:val="auto"/>
          <w:spacing w:val="4"/>
          <w:sz w:val="24"/>
          <w:szCs w:val="24"/>
          <w:highlight w:val="none"/>
        </w:rPr>
        <w:t>工证明</w:t>
      </w:r>
      <w:r>
        <w:rPr>
          <w:rFonts w:ascii="宋体" w:hAnsi="宋体" w:eastAsia="宋体" w:cs="宋体"/>
          <w:color w:val="auto"/>
          <w:spacing w:val="-1"/>
          <w:sz w:val="24"/>
          <w:szCs w:val="24"/>
          <w:highlight w:val="none"/>
        </w:rPr>
        <w:t>或完工验收鉴定书等）扫描件）。</w:t>
      </w:r>
    </w:p>
    <w:p w14:paraId="08BA07A4">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如投标人提供的上述资料无法证实投标人满足招标文件规定的资格审查条件（总</w:t>
      </w:r>
      <w:r>
        <w:rPr>
          <w:rFonts w:ascii="宋体" w:hAnsi="宋体" w:eastAsia="宋体" w:cs="宋体"/>
          <w:color w:val="auto"/>
          <w:spacing w:val="-1"/>
          <w:sz w:val="24"/>
          <w:szCs w:val="24"/>
          <w:highlight w:val="none"/>
        </w:rPr>
        <w:t>监理工程师或驻地监理工程师最低要求</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则该业绩不予认定。</w:t>
      </w:r>
    </w:p>
    <w:p w14:paraId="759CE042">
      <w:pPr>
        <w:keepNext w:val="0"/>
        <w:keepLines w:val="0"/>
        <w:pageBreakBefore w:val="0"/>
        <w:wordWrap/>
        <w:overflowPunct/>
        <w:topLinePunct w:val="0"/>
        <w:bidi w:val="0"/>
        <w:spacing w:line="500" w:lineRule="exact"/>
        <w:ind w:left="0" w:right="0"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如总监理工程师（以及备选人，如有）或驻地监理工程师（以及备选人，如有）目前仍在其他项目上任职，则投标人应按投标函的格式承诺上述人员能够从该项目撤离）</w:t>
      </w:r>
      <w:r>
        <w:rPr>
          <w:rFonts w:ascii="宋体" w:hAnsi="宋体" w:eastAsia="宋体" w:cs="宋体"/>
          <w:color w:val="auto"/>
          <w:spacing w:val="-5"/>
          <w:sz w:val="24"/>
          <w:szCs w:val="24"/>
          <w:highlight w:val="none"/>
        </w:rPr>
        <w:t>。</w:t>
      </w:r>
    </w:p>
    <w:p w14:paraId="4998294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3.5.5 “拟委任的其他主要监理人员汇总表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（如有）应填报满足投标人须知前</w:t>
      </w:r>
      <w:r>
        <w:rPr>
          <w:rFonts w:ascii="宋体" w:hAnsi="宋体" w:eastAsia="宋体" w:cs="宋体"/>
          <w:color w:val="auto"/>
          <w:spacing w:val="4"/>
          <w:sz w:val="24"/>
          <w:szCs w:val="24"/>
          <w:highlight w:val="none"/>
        </w:rPr>
        <w:t>附表附录</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5</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规定的其他主要监理人员的相关信息。“拟委任的其他主要监理人员资历表</w:t>
      </w:r>
      <w:r>
        <w:rPr>
          <w:rFonts w:ascii="宋体" w:hAnsi="宋体" w:eastAsia="宋体" w:cs="宋体"/>
          <w:color w:val="auto"/>
          <w:spacing w:val="-84"/>
          <w:sz w:val="24"/>
          <w:szCs w:val="24"/>
          <w:highlight w:val="none"/>
        </w:rPr>
        <w:t xml:space="preserve"> </w:t>
      </w:r>
      <w:r>
        <w:rPr>
          <w:rFonts w:ascii="宋体" w:hAnsi="宋体" w:eastAsia="宋体" w:cs="宋体"/>
          <w:color w:val="auto"/>
          <w:spacing w:val="4"/>
          <w:sz w:val="24"/>
          <w:szCs w:val="24"/>
          <w:highlight w:val="none"/>
        </w:rPr>
        <w:t>”（如有）中相关人员应附身份证、职称资格证书和资格审查条件所要求的其他相</w:t>
      </w:r>
      <w:r>
        <w:rPr>
          <w:rFonts w:ascii="宋体" w:hAnsi="宋体" w:eastAsia="宋体" w:cs="宋体"/>
          <w:color w:val="auto"/>
          <w:spacing w:val="5"/>
          <w:sz w:val="24"/>
          <w:szCs w:val="24"/>
          <w:highlight w:val="none"/>
        </w:rPr>
        <w:t>关证书（如公路工程监理工程师证书等）的扫描件，相关业绩证明材料扫描件</w:t>
      </w:r>
      <w:r>
        <w:rPr>
          <w:rFonts w:ascii="宋体" w:hAnsi="宋体" w:eastAsia="宋体" w:cs="宋体"/>
          <w:color w:val="auto"/>
          <w:spacing w:val="4"/>
          <w:sz w:val="24"/>
          <w:szCs w:val="24"/>
          <w:highlight w:val="none"/>
        </w:rPr>
        <w:t>，以及</w:t>
      </w:r>
      <w:r>
        <w:rPr>
          <w:rFonts w:ascii="宋体" w:hAnsi="宋体" w:eastAsia="宋体" w:cs="宋体"/>
          <w:color w:val="auto"/>
          <w:spacing w:val="5"/>
          <w:sz w:val="24"/>
          <w:szCs w:val="24"/>
          <w:highlight w:val="none"/>
        </w:rPr>
        <w:t>投标人所属社保机构出具的社保缴费证明或其他能够证明其参加社保的有效证</w:t>
      </w:r>
      <w:r>
        <w:rPr>
          <w:rFonts w:ascii="宋体" w:hAnsi="宋体" w:eastAsia="宋体" w:cs="宋体"/>
          <w:color w:val="auto"/>
          <w:spacing w:val="4"/>
          <w:sz w:val="24"/>
          <w:szCs w:val="24"/>
          <w:highlight w:val="none"/>
        </w:rPr>
        <w:t>明材料</w:t>
      </w:r>
      <w:r>
        <w:rPr>
          <w:rFonts w:ascii="宋体" w:hAnsi="宋体" w:eastAsia="宋体" w:cs="宋体"/>
          <w:color w:val="auto"/>
          <w:spacing w:val="-3"/>
          <w:sz w:val="24"/>
          <w:szCs w:val="24"/>
          <w:highlight w:val="none"/>
        </w:rPr>
        <w:t>扫描件。</w:t>
      </w:r>
    </w:p>
    <w:p w14:paraId="4B2753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3.5.6 投标人须知前附表规定接受联合体投标的，本章第</w:t>
      </w:r>
      <w:r>
        <w:rPr>
          <w:rFonts w:ascii="宋体" w:hAnsi="宋体" w:eastAsia="宋体" w:cs="宋体"/>
          <w:color w:val="auto"/>
          <w:spacing w:val="-27"/>
          <w:sz w:val="24"/>
          <w:szCs w:val="24"/>
          <w:highlight w:val="none"/>
        </w:rPr>
        <w:t xml:space="preserve"> </w:t>
      </w:r>
      <w:r>
        <w:rPr>
          <w:rFonts w:ascii="宋体" w:hAnsi="宋体" w:eastAsia="宋体" w:cs="宋体"/>
          <w:color w:val="auto"/>
          <w:spacing w:val="2"/>
          <w:sz w:val="24"/>
          <w:szCs w:val="24"/>
          <w:highlight w:val="none"/>
        </w:rPr>
        <w:t>3.5.1</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项至第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3.5.5</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w:t>
      </w:r>
      <w:r>
        <w:rPr>
          <w:rFonts w:ascii="宋体" w:hAnsi="宋体" w:eastAsia="宋体" w:cs="宋体"/>
          <w:color w:val="auto"/>
          <w:spacing w:val="-1"/>
          <w:sz w:val="24"/>
          <w:szCs w:val="24"/>
          <w:highlight w:val="none"/>
        </w:rPr>
        <w:t>规定的表格和资料应包括联合体各方相关情况。</w:t>
      </w:r>
    </w:p>
    <w:p w14:paraId="7377A57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3.5.7 除合同条款约定的特殊情形外，投标人在</w:t>
      </w:r>
      <w:r>
        <w:rPr>
          <w:rFonts w:ascii="宋体" w:hAnsi="宋体" w:eastAsia="宋体" w:cs="宋体"/>
          <w:color w:val="auto"/>
          <w:spacing w:val="4"/>
          <w:sz w:val="24"/>
          <w:szCs w:val="24"/>
          <w:highlight w:val="none"/>
        </w:rPr>
        <w:t>投标文件中填报的总监理工程师</w:t>
      </w:r>
      <w:r>
        <w:rPr>
          <w:rFonts w:ascii="宋体" w:hAnsi="宋体" w:eastAsia="宋体" w:cs="宋体"/>
          <w:color w:val="auto"/>
          <w:spacing w:val="-1"/>
          <w:sz w:val="24"/>
          <w:szCs w:val="24"/>
          <w:highlight w:val="none"/>
        </w:rPr>
        <w:t>或驻地监理工程师不允许更换。</w:t>
      </w:r>
    </w:p>
    <w:p w14:paraId="3EDB45C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3.5.8 投标人在投标文件中填报的资质、业绩、</w:t>
      </w:r>
      <w:r>
        <w:rPr>
          <w:rFonts w:ascii="宋体" w:hAnsi="宋体" w:eastAsia="宋体" w:cs="宋体"/>
          <w:color w:val="auto"/>
          <w:spacing w:val="4"/>
          <w:sz w:val="24"/>
          <w:szCs w:val="24"/>
          <w:highlight w:val="none"/>
        </w:rPr>
        <w:t>主要人员资历和目前在岗情况、</w:t>
      </w:r>
      <w:bookmarkStart w:id="164" w:name="bookmark109"/>
      <w:bookmarkEnd w:id="164"/>
      <w:r>
        <w:rPr>
          <w:rFonts w:ascii="宋体" w:hAnsi="宋体" w:eastAsia="宋体" w:cs="宋体"/>
          <w:color w:val="auto"/>
          <w:spacing w:val="4"/>
          <w:sz w:val="24"/>
          <w:szCs w:val="24"/>
          <w:highlight w:val="none"/>
        </w:rPr>
        <w:t>信用等级等信息，应与其在交通运输主管部门“公路建设市场监督管理</w:t>
      </w:r>
      <w:r>
        <w:rPr>
          <w:rFonts w:ascii="宋体" w:hAnsi="宋体" w:eastAsia="宋体" w:cs="宋体"/>
          <w:color w:val="auto"/>
          <w:spacing w:val="3"/>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”上填报</w:t>
      </w:r>
      <w:r>
        <w:rPr>
          <w:rFonts w:ascii="宋体" w:hAnsi="宋体" w:eastAsia="宋体" w:cs="宋体"/>
          <w:color w:val="auto"/>
          <w:spacing w:val="1"/>
          <w:sz w:val="24"/>
          <w:szCs w:val="24"/>
          <w:highlight w:val="none"/>
        </w:rPr>
        <w:t>并发布的相关信息一致。投标人应根据本单</w:t>
      </w:r>
      <w:r>
        <w:rPr>
          <w:rFonts w:ascii="宋体" w:hAnsi="宋体" w:eastAsia="宋体" w:cs="宋体"/>
          <w:color w:val="auto"/>
          <w:sz w:val="24"/>
          <w:szCs w:val="24"/>
          <w:highlight w:val="none"/>
        </w:rPr>
        <w:t>位实际情况及时完成相关信息的申报、录</w:t>
      </w:r>
      <w:r>
        <w:rPr>
          <w:rFonts w:ascii="宋体" w:hAnsi="宋体" w:eastAsia="宋体" w:cs="宋体"/>
          <w:color w:val="auto"/>
          <w:spacing w:val="-1"/>
          <w:sz w:val="24"/>
          <w:szCs w:val="24"/>
          <w:highlight w:val="none"/>
        </w:rPr>
        <w:t>入和动态更新，并对相关信息的真实性、完整性和准确性负责。</w:t>
      </w:r>
    </w:p>
    <w:p w14:paraId="7715890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3.5.9 招标人有权核查投标人在资格预审申请文</w:t>
      </w:r>
      <w:r>
        <w:rPr>
          <w:rFonts w:ascii="宋体" w:hAnsi="宋体" w:eastAsia="宋体" w:cs="宋体"/>
          <w:color w:val="auto"/>
          <w:spacing w:val="4"/>
          <w:sz w:val="24"/>
          <w:szCs w:val="24"/>
          <w:highlight w:val="none"/>
        </w:rPr>
        <w:t>件和投标文件中提供的资料，若</w:t>
      </w:r>
      <w:r>
        <w:rPr>
          <w:rFonts w:ascii="宋体" w:hAnsi="宋体" w:eastAsia="宋体" w:cs="宋体"/>
          <w:color w:val="auto"/>
          <w:spacing w:val="5"/>
          <w:sz w:val="24"/>
          <w:szCs w:val="24"/>
          <w:highlight w:val="none"/>
        </w:rPr>
        <w:t>在评标期间发现投标人提供了虚假资料，其投标将被否决；若在签订合同前发</w:t>
      </w:r>
      <w:r>
        <w:rPr>
          <w:rFonts w:ascii="宋体" w:hAnsi="宋体" w:eastAsia="宋体" w:cs="宋体"/>
          <w:color w:val="auto"/>
          <w:spacing w:val="4"/>
          <w:sz w:val="24"/>
          <w:szCs w:val="24"/>
          <w:highlight w:val="none"/>
        </w:rPr>
        <w:t>现作为</w:t>
      </w:r>
      <w:r>
        <w:rPr>
          <w:rFonts w:ascii="宋体" w:hAnsi="宋体" w:eastAsia="宋体" w:cs="宋体"/>
          <w:color w:val="auto"/>
          <w:spacing w:val="5"/>
          <w:sz w:val="24"/>
          <w:szCs w:val="24"/>
          <w:highlight w:val="none"/>
        </w:rPr>
        <w:t>中标候选人的投标人提供了虚假资料，招标人有权取消其中标资格；若在合同</w:t>
      </w:r>
      <w:r>
        <w:rPr>
          <w:rFonts w:ascii="宋体" w:hAnsi="宋体" w:eastAsia="宋体" w:cs="宋体"/>
          <w:color w:val="auto"/>
          <w:spacing w:val="4"/>
          <w:sz w:val="24"/>
          <w:szCs w:val="24"/>
          <w:highlight w:val="none"/>
        </w:rPr>
        <w:t>实施期</w:t>
      </w:r>
      <w:r>
        <w:rPr>
          <w:rFonts w:ascii="宋体" w:hAnsi="宋体" w:eastAsia="宋体" w:cs="宋体"/>
          <w:color w:val="auto"/>
          <w:spacing w:val="2"/>
          <w:sz w:val="24"/>
          <w:szCs w:val="24"/>
          <w:highlight w:val="none"/>
        </w:rPr>
        <w:t>间发现投标人提供了虚假资料，招标人有权从合同价款或履约保证金中扣除不超过</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5"/>
          <w:sz w:val="24"/>
          <w:szCs w:val="24"/>
          <w:highlight w:val="none"/>
        </w:rPr>
        <w:t>签约合同价的金额作为违约金。同时招标人将投标人上述弄虚作假行为上报省</w:t>
      </w:r>
      <w:r>
        <w:rPr>
          <w:rFonts w:ascii="宋体" w:hAnsi="宋体" w:eastAsia="宋体" w:cs="宋体"/>
          <w:color w:val="auto"/>
          <w:spacing w:val="4"/>
          <w:sz w:val="24"/>
          <w:szCs w:val="24"/>
          <w:highlight w:val="none"/>
        </w:rPr>
        <w:t>级交通</w:t>
      </w:r>
      <w:r>
        <w:rPr>
          <w:rFonts w:ascii="宋体" w:hAnsi="宋体" w:eastAsia="宋体" w:cs="宋体"/>
          <w:color w:val="auto"/>
          <w:spacing w:val="-1"/>
          <w:sz w:val="24"/>
          <w:szCs w:val="24"/>
          <w:highlight w:val="none"/>
        </w:rPr>
        <w:t>运输主管部门，作为不良记录纳入公路建设市场监督管理系统。</w:t>
      </w:r>
    </w:p>
    <w:p w14:paraId="448E7C95">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165" w:name="_Toc26656"/>
      <w:bookmarkStart w:id="166" w:name="_Toc3609"/>
      <w:bookmarkStart w:id="167" w:name="_Toc32348"/>
      <w:bookmarkStart w:id="168" w:name="_Toc29492"/>
      <w:r>
        <w:rPr>
          <w:rFonts w:ascii="宋体" w:hAnsi="宋体" w:eastAsia="宋体" w:cs="宋体"/>
          <w:b/>
          <w:bCs/>
          <w:color w:val="auto"/>
          <w:spacing w:val="-3"/>
          <w:sz w:val="24"/>
          <w:szCs w:val="24"/>
          <w:highlight w:val="none"/>
        </w:rPr>
        <w:t>3.6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备选投标方案</w:t>
      </w:r>
      <w:bookmarkEnd w:id="165"/>
      <w:bookmarkEnd w:id="166"/>
      <w:bookmarkEnd w:id="167"/>
      <w:bookmarkEnd w:id="168"/>
    </w:p>
    <w:p w14:paraId="1E84618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3.6.1 除投标人须知前附表规定允许外，投标人</w:t>
      </w:r>
      <w:r>
        <w:rPr>
          <w:rFonts w:ascii="宋体" w:hAnsi="宋体" w:eastAsia="宋体" w:cs="宋体"/>
          <w:color w:val="auto"/>
          <w:spacing w:val="4"/>
          <w:sz w:val="24"/>
          <w:szCs w:val="24"/>
          <w:highlight w:val="none"/>
        </w:rPr>
        <w:t>不得递交备选投标方案，否则其</w:t>
      </w:r>
      <w:r>
        <w:rPr>
          <w:rFonts w:ascii="宋体" w:hAnsi="宋体" w:eastAsia="宋体" w:cs="宋体"/>
          <w:color w:val="auto"/>
          <w:spacing w:val="-2"/>
          <w:sz w:val="24"/>
          <w:szCs w:val="24"/>
          <w:highlight w:val="none"/>
        </w:rPr>
        <w:t>投标将被否决。</w:t>
      </w:r>
    </w:p>
    <w:p w14:paraId="4A86AD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3.6.2 允许投标人递交备选投标方案的，只有中</w:t>
      </w:r>
      <w:r>
        <w:rPr>
          <w:rFonts w:ascii="宋体" w:hAnsi="宋体" w:eastAsia="宋体" w:cs="宋体"/>
          <w:color w:val="auto"/>
          <w:spacing w:val="4"/>
          <w:sz w:val="24"/>
          <w:szCs w:val="24"/>
          <w:highlight w:val="none"/>
        </w:rPr>
        <w:t>标人所递交的备选投标方案方可</w:t>
      </w:r>
      <w:r>
        <w:rPr>
          <w:rFonts w:ascii="宋体" w:hAnsi="宋体" w:eastAsia="宋体" w:cs="宋体"/>
          <w:color w:val="auto"/>
          <w:spacing w:val="5"/>
          <w:sz w:val="24"/>
          <w:szCs w:val="24"/>
          <w:highlight w:val="none"/>
        </w:rPr>
        <w:t>予以考虑。评标委员会认为中标人的备选投标方案优于其按照招标文件要</w:t>
      </w:r>
      <w:r>
        <w:rPr>
          <w:rFonts w:ascii="宋体" w:hAnsi="宋体" w:eastAsia="宋体" w:cs="宋体"/>
          <w:color w:val="auto"/>
          <w:spacing w:val="4"/>
          <w:sz w:val="24"/>
          <w:szCs w:val="24"/>
          <w:highlight w:val="none"/>
        </w:rPr>
        <w:t>求编制的投</w:t>
      </w:r>
      <w:r>
        <w:rPr>
          <w:rFonts w:ascii="宋体" w:hAnsi="宋体" w:eastAsia="宋体" w:cs="宋体"/>
          <w:color w:val="auto"/>
          <w:spacing w:val="-1"/>
          <w:sz w:val="24"/>
          <w:szCs w:val="24"/>
          <w:highlight w:val="none"/>
        </w:rPr>
        <w:t>标方案的，招标人可以接受该备选投标方案。</w:t>
      </w:r>
    </w:p>
    <w:p w14:paraId="3AF6452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3.6.3 投标人提供两个或两个以上投标报价，或</w:t>
      </w:r>
      <w:r>
        <w:rPr>
          <w:rFonts w:ascii="宋体" w:hAnsi="宋体" w:eastAsia="宋体" w:cs="宋体"/>
          <w:color w:val="auto"/>
          <w:spacing w:val="4"/>
          <w:sz w:val="24"/>
          <w:szCs w:val="24"/>
          <w:highlight w:val="none"/>
        </w:rPr>
        <w:t>在投标文件中提供一个报价，但</w:t>
      </w:r>
      <w:r>
        <w:rPr>
          <w:rFonts w:ascii="宋体" w:hAnsi="宋体" w:eastAsia="宋体" w:cs="宋体"/>
          <w:color w:val="auto"/>
          <w:spacing w:val="-2"/>
          <w:sz w:val="24"/>
          <w:szCs w:val="24"/>
          <w:highlight w:val="none"/>
        </w:rPr>
        <w:t>同时提供两个或两个以上监理方案的，视为提供备选方案。</w:t>
      </w:r>
    </w:p>
    <w:p w14:paraId="34B9D7D7">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69" w:name="_Toc31001"/>
      <w:bookmarkStart w:id="170" w:name="_Toc15072"/>
      <w:bookmarkStart w:id="171" w:name="_Toc26079"/>
      <w:bookmarkStart w:id="172" w:name="_Toc32084"/>
      <w:r>
        <w:rPr>
          <w:rFonts w:ascii="宋体" w:hAnsi="宋体" w:eastAsia="宋体" w:cs="宋体"/>
          <w:b/>
          <w:bCs/>
          <w:color w:val="auto"/>
          <w:spacing w:val="-3"/>
          <w:sz w:val="24"/>
          <w:szCs w:val="24"/>
          <w:highlight w:val="none"/>
        </w:rPr>
        <w:t>3.7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投标文件的编制</w:t>
      </w:r>
      <w:bookmarkEnd w:id="169"/>
      <w:bookmarkEnd w:id="170"/>
      <w:bookmarkEnd w:id="171"/>
      <w:bookmarkEnd w:id="172"/>
    </w:p>
    <w:p w14:paraId="6066EAA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3.7.1 投标文件应按第七章“投标文件格式</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进行编写，如有必要，可以增加附</w:t>
      </w:r>
      <w:r>
        <w:rPr>
          <w:rFonts w:ascii="宋体" w:hAnsi="宋体" w:eastAsia="宋体" w:cs="宋体"/>
          <w:color w:val="auto"/>
          <w:spacing w:val="-2"/>
          <w:sz w:val="24"/>
          <w:szCs w:val="24"/>
          <w:highlight w:val="none"/>
        </w:rPr>
        <w:t>页，作为投标文件的组成部分。</w:t>
      </w:r>
    </w:p>
    <w:p w14:paraId="453268B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3.7.2 投标文件应对招标文件有关监理服务期限</w:t>
      </w:r>
      <w:r>
        <w:rPr>
          <w:rFonts w:ascii="宋体" w:hAnsi="宋体" w:eastAsia="宋体" w:cs="宋体"/>
          <w:color w:val="auto"/>
          <w:spacing w:val="4"/>
          <w:sz w:val="24"/>
          <w:szCs w:val="24"/>
          <w:highlight w:val="none"/>
        </w:rPr>
        <w:t>、投标有效期、质量要求、安全</w:t>
      </w:r>
      <w:r>
        <w:rPr>
          <w:rFonts w:ascii="宋体" w:hAnsi="宋体" w:eastAsia="宋体" w:cs="宋体"/>
          <w:color w:val="auto"/>
          <w:spacing w:val="-3"/>
          <w:sz w:val="24"/>
          <w:szCs w:val="24"/>
          <w:highlight w:val="none"/>
        </w:rPr>
        <w:t>目标、委托人要求、招标范围等实质性内容作出响应。</w:t>
      </w:r>
    </w:p>
    <w:p w14:paraId="3A04232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3.7.3  投标文件的制作应满足以下规定：</w:t>
      </w:r>
    </w:p>
    <w:p w14:paraId="7E1D33F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（1）投标文件由投标人使用“</w:t>
      </w:r>
      <w:r>
        <w:rPr>
          <w:rFonts w:ascii="宋体" w:hAnsi="宋体" w:eastAsia="宋体" w:cs="宋体"/>
          <w:color w:val="auto"/>
          <w:spacing w:val="-65"/>
          <w:sz w:val="24"/>
          <w:szCs w:val="24"/>
          <w:highlight w:val="none"/>
        </w:rPr>
        <w:t xml:space="preserve"> </w:t>
      </w:r>
      <w:r>
        <w:rPr>
          <w:rFonts w:ascii="宋体" w:hAnsi="宋体" w:eastAsia="宋体" w:cs="宋体"/>
          <w:color w:val="auto"/>
          <w:spacing w:val="-2"/>
          <w:sz w:val="24"/>
          <w:szCs w:val="24"/>
          <w:highlight w:val="none"/>
        </w:rPr>
        <w:t>电子交易平台</w:t>
      </w:r>
      <w:r>
        <w:rPr>
          <w:rFonts w:ascii="宋体" w:hAnsi="宋体" w:eastAsia="宋体" w:cs="宋体"/>
          <w:color w:val="auto"/>
          <w:spacing w:val="-85"/>
          <w:sz w:val="24"/>
          <w:szCs w:val="24"/>
          <w:highlight w:val="none"/>
        </w:rPr>
        <w:t xml:space="preserve"> </w:t>
      </w:r>
      <w:r>
        <w:rPr>
          <w:rFonts w:ascii="宋体" w:hAnsi="宋体" w:eastAsia="宋体" w:cs="宋体"/>
          <w:color w:val="auto"/>
          <w:spacing w:val="-2"/>
          <w:sz w:val="24"/>
          <w:szCs w:val="24"/>
          <w:highlight w:val="none"/>
        </w:rPr>
        <w:t>”自带的“投标文件制作工具</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”制作</w:t>
      </w:r>
      <w:r>
        <w:rPr>
          <w:rFonts w:ascii="宋体" w:hAnsi="宋体" w:eastAsia="宋体" w:cs="宋体"/>
          <w:color w:val="auto"/>
          <w:spacing w:val="-4"/>
          <w:sz w:val="24"/>
          <w:szCs w:val="24"/>
          <w:highlight w:val="none"/>
        </w:rPr>
        <w:t>生成。</w:t>
      </w:r>
    </w:p>
    <w:p w14:paraId="20B3CE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（2）投标人在编制投标文件时应建立分级目录，并按照标签提示导入相关内容。</w:t>
      </w:r>
    </w:p>
    <w:p w14:paraId="7803A0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（3）投标文件中的已标价报价清单数据文件应与招标人提供的报价清单数据文件</w:t>
      </w:r>
      <w:r>
        <w:rPr>
          <w:rFonts w:ascii="宋体" w:hAnsi="宋体" w:eastAsia="宋体" w:cs="宋体"/>
          <w:color w:val="auto"/>
          <w:spacing w:val="-2"/>
          <w:sz w:val="24"/>
          <w:szCs w:val="24"/>
          <w:highlight w:val="none"/>
        </w:rPr>
        <w:t>格式一致。</w:t>
      </w:r>
    </w:p>
    <w:p w14:paraId="19B215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（4）投标文件中需签名(签字)的，投标人应按要求使用个人电子签名章进行签名。</w:t>
      </w:r>
      <w:bookmarkStart w:id="173" w:name="bookmark110"/>
      <w:bookmarkEnd w:id="173"/>
      <w:r>
        <w:rPr>
          <w:rFonts w:ascii="宋体" w:hAnsi="宋体" w:eastAsia="宋体" w:cs="宋体"/>
          <w:color w:val="auto"/>
          <w:spacing w:val="5"/>
          <w:sz w:val="24"/>
          <w:szCs w:val="24"/>
          <w:highlight w:val="none"/>
        </w:rPr>
        <w:t>如投标人法定代表人或其委托代理人或总监理工程师（含备选，如</w:t>
      </w:r>
      <w:r>
        <w:rPr>
          <w:rFonts w:ascii="宋体" w:hAnsi="宋体" w:eastAsia="宋体" w:cs="宋体"/>
          <w:color w:val="auto"/>
          <w:spacing w:val="4"/>
          <w:sz w:val="24"/>
          <w:szCs w:val="24"/>
          <w:highlight w:val="none"/>
        </w:rPr>
        <w:t>有）或驻地监理工</w:t>
      </w:r>
      <w:r>
        <w:rPr>
          <w:rFonts w:ascii="宋体" w:hAnsi="宋体" w:eastAsia="宋体" w:cs="宋体"/>
          <w:color w:val="auto"/>
          <w:spacing w:val="-2"/>
          <w:sz w:val="24"/>
          <w:szCs w:val="24"/>
          <w:highlight w:val="none"/>
        </w:rPr>
        <w:t>程师（含备选，如有）未办理个人电子签名章的，投标人应打印需要签名的相关页面，</w:t>
      </w:r>
      <w:r>
        <w:rPr>
          <w:rFonts w:ascii="宋体" w:hAnsi="宋体" w:eastAsia="宋体" w:cs="宋体"/>
          <w:color w:val="auto"/>
          <w:spacing w:val="-1"/>
          <w:sz w:val="24"/>
          <w:szCs w:val="24"/>
          <w:highlight w:val="none"/>
        </w:rPr>
        <w:t>本人亲笔签名后扫描上传至投标文件相应位置中。</w:t>
      </w:r>
    </w:p>
    <w:p w14:paraId="105EB9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（5）投标文件制作完成后，投标人应使用</w:t>
      </w:r>
      <w:r>
        <w:rPr>
          <w:rFonts w:ascii="宋体" w:hAnsi="宋体" w:eastAsia="宋体" w:cs="宋体"/>
          <w:color w:val="auto"/>
          <w:spacing w:val="-53"/>
          <w:sz w:val="24"/>
          <w:szCs w:val="24"/>
          <w:highlight w:val="none"/>
        </w:rPr>
        <w:t xml:space="preserve"> </w:t>
      </w:r>
      <w:r>
        <w:rPr>
          <w:rFonts w:ascii="宋体" w:hAnsi="宋体" w:eastAsia="宋体" w:cs="宋体"/>
          <w:color w:val="auto"/>
          <w:spacing w:val="-2"/>
          <w:sz w:val="24"/>
          <w:szCs w:val="24"/>
          <w:highlight w:val="none"/>
        </w:rPr>
        <w:t>CA 数字证书</w:t>
      </w:r>
      <w:r>
        <w:rPr>
          <w:rFonts w:ascii="宋体" w:hAnsi="宋体" w:eastAsia="宋体" w:cs="宋体"/>
          <w:color w:val="auto"/>
          <w:spacing w:val="-3"/>
          <w:sz w:val="24"/>
          <w:szCs w:val="24"/>
          <w:highlight w:val="none"/>
        </w:rPr>
        <w:t>对投标文件进行文件加密，</w:t>
      </w:r>
      <w:r>
        <w:rPr>
          <w:rFonts w:ascii="宋体" w:hAnsi="宋体" w:eastAsia="宋体" w:cs="宋体"/>
          <w:color w:val="auto"/>
          <w:spacing w:val="-2"/>
          <w:sz w:val="24"/>
          <w:szCs w:val="24"/>
          <w:highlight w:val="none"/>
        </w:rPr>
        <w:t>形成加密的投标文件。</w:t>
      </w:r>
    </w:p>
    <w:p w14:paraId="4012E5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3.7.4</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因投标人自身原因而导致投标文件</w:t>
      </w:r>
      <w:r>
        <w:rPr>
          <w:rFonts w:ascii="宋体" w:hAnsi="宋体" w:eastAsia="宋体" w:cs="宋体"/>
          <w:color w:val="auto"/>
          <w:spacing w:val="1"/>
          <w:sz w:val="24"/>
          <w:szCs w:val="24"/>
          <w:highlight w:val="none"/>
        </w:rPr>
        <w:t>无法导入“</w:t>
      </w:r>
      <w:r>
        <w:rPr>
          <w:rFonts w:ascii="宋体" w:hAnsi="宋体" w:eastAsia="宋体" w:cs="宋体"/>
          <w:color w:val="auto"/>
          <w:spacing w:val="-75"/>
          <w:sz w:val="24"/>
          <w:szCs w:val="24"/>
          <w:highlight w:val="none"/>
        </w:rPr>
        <w:t xml:space="preserve"> </w:t>
      </w:r>
      <w:r>
        <w:rPr>
          <w:rFonts w:ascii="宋体" w:hAnsi="宋体" w:eastAsia="宋体" w:cs="宋体"/>
          <w:color w:val="auto"/>
          <w:spacing w:val="1"/>
          <w:sz w:val="24"/>
          <w:szCs w:val="24"/>
          <w:highlight w:val="none"/>
        </w:rPr>
        <w:t>电子交易平台</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”电子开标、</w:t>
      </w:r>
      <w:r>
        <w:rPr>
          <w:rFonts w:ascii="宋体" w:hAnsi="宋体" w:eastAsia="宋体" w:cs="宋体"/>
          <w:color w:val="auto"/>
          <w:spacing w:val="5"/>
          <w:sz w:val="24"/>
          <w:szCs w:val="24"/>
          <w:highlight w:val="none"/>
        </w:rPr>
        <w:t>评标系统，该投标视为无效投标，投标人自行承担由此导致的全部责任。投标</w:t>
      </w:r>
      <w:r>
        <w:rPr>
          <w:rFonts w:ascii="宋体" w:hAnsi="宋体" w:eastAsia="宋体" w:cs="宋体"/>
          <w:color w:val="auto"/>
          <w:spacing w:val="4"/>
          <w:sz w:val="24"/>
          <w:szCs w:val="24"/>
          <w:highlight w:val="none"/>
        </w:rPr>
        <w:t>文件其</w:t>
      </w:r>
      <w:r>
        <w:rPr>
          <w:rFonts w:ascii="宋体" w:hAnsi="宋体" w:eastAsia="宋体" w:cs="宋体"/>
          <w:color w:val="auto"/>
          <w:spacing w:val="-1"/>
          <w:sz w:val="24"/>
          <w:szCs w:val="24"/>
          <w:highlight w:val="none"/>
        </w:rPr>
        <w:t>他要求见投标人须知前附表。</w:t>
      </w:r>
    </w:p>
    <w:p w14:paraId="56A1BD66">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174" w:name="_Toc22249"/>
      <w:bookmarkStart w:id="175" w:name="_Toc17810"/>
      <w:r>
        <w:rPr>
          <w:rFonts w:ascii="宋体" w:hAnsi="宋体" w:eastAsia="宋体" w:cs="宋体"/>
          <w:b/>
          <w:bCs/>
          <w:color w:val="auto"/>
          <w:spacing w:val="-9"/>
          <w:sz w:val="28"/>
          <w:szCs w:val="28"/>
          <w:highlight w:val="none"/>
        </w:rPr>
        <w:t>4.</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投标</w:t>
      </w:r>
      <w:bookmarkEnd w:id="174"/>
      <w:bookmarkEnd w:id="175"/>
    </w:p>
    <w:p w14:paraId="0B340D2F">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76" w:name="_Toc9702"/>
      <w:bookmarkStart w:id="177" w:name="_Toc12674"/>
      <w:bookmarkStart w:id="178" w:name="_Toc13103"/>
      <w:bookmarkStart w:id="179" w:name="_Toc508"/>
      <w:r>
        <w:rPr>
          <w:rFonts w:ascii="宋体" w:hAnsi="宋体" w:eastAsia="宋体" w:cs="宋体"/>
          <w:b/>
          <w:bCs/>
          <w:color w:val="auto"/>
          <w:spacing w:val="-3"/>
          <w:sz w:val="24"/>
          <w:szCs w:val="24"/>
          <w:highlight w:val="none"/>
        </w:rPr>
        <w:t>4.1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投标文件的加密</w:t>
      </w:r>
      <w:bookmarkEnd w:id="176"/>
      <w:bookmarkEnd w:id="177"/>
      <w:bookmarkEnd w:id="178"/>
      <w:bookmarkEnd w:id="179"/>
    </w:p>
    <w:p w14:paraId="4646268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投标文件应按照本章第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4"/>
          <w:sz w:val="24"/>
          <w:szCs w:val="24"/>
          <w:highlight w:val="none"/>
        </w:rPr>
        <w:t>3.7.3</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项要求制作并加密，未</w:t>
      </w:r>
      <w:r>
        <w:rPr>
          <w:rFonts w:ascii="宋体" w:hAnsi="宋体" w:eastAsia="宋体" w:cs="宋体"/>
          <w:color w:val="auto"/>
          <w:spacing w:val="3"/>
          <w:sz w:val="24"/>
          <w:szCs w:val="24"/>
          <w:highlight w:val="none"/>
        </w:rPr>
        <w:t>按要求加密的投标文件，招</w:t>
      </w:r>
      <w:r>
        <w:rPr>
          <w:rFonts w:ascii="宋体" w:hAnsi="宋体" w:eastAsia="宋体" w:cs="宋体"/>
          <w:color w:val="auto"/>
          <w:spacing w:val="-6"/>
          <w:sz w:val="24"/>
          <w:szCs w:val="24"/>
          <w:highlight w:val="none"/>
        </w:rPr>
        <w:t>标人（</w:t>
      </w:r>
      <w:r>
        <w:rPr>
          <w:rFonts w:ascii="宋体" w:hAnsi="宋体" w:eastAsia="宋体" w:cs="宋体"/>
          <w:color w:val="auto"/>
          <w:spacing w:val="-75"/>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pacing w:val="-6"/>
          <w:sz w:val="24"/>
          <w:szCs w:val="24"/>
          <w:highlight w:val="none"/>
        </w:rPr>
        <w:t>电子交易平台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6"/>
          <w:sz w:val="24"/>
          <w:szCs w:val="24"/>
          <w:highlight w:val="none"/>
        </w:rPr>
        <w:t>”）将拒绝接收并提示。</w:t>
      </w:r>
    </w:p>
    <w:p w14:paraId="01D7C6AD">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180" w:name="_Toc28945"/>
      <w:bookmarkStart w:id="181" w:name="_Toc22522"/>
      <w:bookmarkStart w:id="182" w:name="_Toc13592"/>
      <w:bookmarkStart w:id="183" w:name="_Toc15790"/>
      <w:r>
        <w:rPr>
          <w:rFonts w:ascii="宋体" w:hAnsi="宋体" w:eastAsia="宋体" w:cs="宋体"/>
          <w:b/>
          <w:bCs/>
          <w:color w:val="auto"/>
          <w:spacing w:val="-4"/>
          <w:sz w:val="24"/>
          <w:szCs w:val="24"/>
          <w:highlight w:val="none"/>
        </w:rPr>
        <w:t>4.2</w:t>
      </w:r>
      <w:r>
        <w:rPr>
          <w:rFonts w:ascii="宋体" w:hAnsi="宋体" w:eastAsia="宋体" w:cs="宋体"/>
          <w:color w:val="auto"/>
          <w:spacing w:val="70"/>
          <w:sz w:val="24"/>
          <w:szCs w:val="24"/>
          <w:highlight w:val="none"/>
        </w:rPr>
        <w:t xml:space="preserve"> </w:t>
      </w:r>
      <w:r>
        <w:rPr>
          <w:rFonts w:ascii="宋体" w:hAnsi="宋体" w:eastAsia="宋体" w:cs="宋体"/>
          <w:b/>
          <w:bCs/>
          <w:color w:val="auto"/>
          <w:spacing w:val="-4"/>
          <w:sz w:val="24"/>
          <w:szCs w:val="24"/>
          <w:highlight w:val="none"/>
        </w:rPr>
        <w:t>投标文件的递交</w:t>
      </w:r>
      <w:bookmarkEnd w:id="180"/>
      <w:bookmarkEnd w:id="181"/>
      <w:bookmarkEnd w:id="182"/>
      <w:bookmarkEnd w:id="183"/>
    </w:p>
    <w:p w14:paraId="1E23496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4.2.1 投标人应在第一章“招标公告 ”规定的投标截止时间前，通过互联网使用CA 数字证书登录“ 电子交易平台 ”，将加密的投标文件上传，并保存上传成功后系统自动生成的电子签收凭证，递交时间即为电子签收凭证时间。</w:t>
      </w:r>
    </w:p>
    <w:p w14:paraId="393F84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4.2.2 投标人应充分考虑上传文件时的不可预见因素，未在投标截止时间前完成电子投标文件上传的，视为逾期送达，招标人（ “ 电子交易平台 ”）将拒绝接收。</w:t>
      </w:r>
    </w:p>
    <w:p w14:paraId="3CDB05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4.2.3 投标人所递交的电子投标文件不予退还。</w:t>
      </w:r>
    </w:p>
    <w:p w14:paraId="4D730E8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4.2.4 逾期到达或者未到达的投标文件视为放弃本次投标。</w:t>
      </w:r>
    </w:p>
    <w:p w14:paraId="441128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4.2.5 在特殊情况下，招标人如果决定延后投标截止时间，应在“电子交易平台”以补遗书的形式通知所有投标人延后投标截止时间。在此情况下，招标人和投标人的权利和义务相应延后至新的投标截止时间。</w:t>
      </w:r>
    </w:p>
    <w:p w14:paraId="3B34F0A7">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84" w:name="_Toc17111"/>
      <w:bookmarkStart w:id="185" w:name="_Toc32475"/>
      <w:bookmarkStart w:id="186" w:name="_Toc21494"/>
      <w:bookmarkStart w:id="187" w:name="_Toc6890"/>
      <w:r>
        <w:rPr>
          <w:rFonts w:ascii="宋体" w:hAnsi="宋体" w:eastAsia="宋体" w:cs="宋体"/>
          <w:b/>
          <w:bCs/>
          <w:color w:val="auto"/>
          <w:spacing w:val="-2"/>
          <w:sz w:val="24"/>
          <w:szCs w:val="24"/>
          <w:highlight w:val="none"/>
        </w:rPr>
        <w:t>4.3</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投标文件的修改与撤回</w:t>
      </w:r>
      <w:bookmarkEnd w:id="184"/>
      <w:bookmarkEnd w:id="185"/>
      <w:bookmarkEnd w:id="186"/>
      <w:bookmarkEnd w:id="187"/>
    </w:p>
    <w:p w14:paraId="2F16B6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4.3.1 在本章第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项规定的投标截止时间前，投</w:t>
      </w:r>
      <w:r>
        <w:rPr>
          <w:rFonts w:ascii="宋体" w:hAnsi="宋体" w:eastAsia="宋体" w:cs="宋体"/>
          <w:color w:val="auto"/>
          <w:spacing w:val="3"/>
          <w:sz w:val="24"/>
          <w:szCs w:val="24"/>
          <w:highlight w:val="none"/>
        </w:rPr>
        <w:t>标人可以修改或撤回已递交的投标文件。投标人对加密的投标文件进行撤回的，应在“</w:t>
      </w:r>
      <w:r>
        <w:rPr>
          <w:rFonts w:ascii="宋体" w:hAnsi="宋体" w:eastAsia="宋体" w:cs="宋体"/>
          <w:color w:val="auto"/>
          <w:spacing w:val="-78"/>
          <w:sz w:val="24"/>
          <w:szCs w:val="24"/>
          <w:highlight w:val="none"/>
        </w:rPr>
        <w:t xml:space="preserve"> </w:t>
      </w:r>
      <w:r>
        <w:rPr>
          <w:rFonts w:ascii="宋体" w:hAnsi="宋体" w:eastAsia="宋体" w:cs="宋体"/>
          <w:color w:val="auto"/>
          <w:spacing w:val="3"/>
          <w:sz w:val="24"/>
          <w:szCs w:val="24"/>
          <w:highlight w:val="none"/>
        </w:rPr>
        <w:t>电子交易平台</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rPr>
        <w:t>”直接进行</w:t>
      </w:r>
      <w:r>
        <w:rPr>
          <w:rFonts w:ascii="宋体" w:hAnsi="宋体" w:eastAsia="宋体" w:cs="宋体"/>
          <w:color w:val="auto"/>
          <w:sz w:val="24"/>
          <w:szCs w:val="24"/>
          <w:highlight w:val="none"/>
        </w:rPr>
        <w:t>撤回操作；投标人对加密的投标文件进行修改的，应在投标</w:t>
      </w:r>
      <w:r>
        <w:rPr>
          <w:rFonts w:ascii="宋体" w:hAnsi="宋体" w:eastAsia="宋体" w:cs="宋体"/>
          <w:color w:val="auto"/>
          <w:spacing w:val="-1"/>
          <w:sz w:val="24"/>
          <w:szCs w:val="24"/>
          <w:highlight w:val="none"/>
        </w:rPr>
        <w:t>截止时间前完成上传。</w:t>
      </w:r>
    </w:p>
    <w:p w14:paraId="273BC2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4.3.2</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投标人修改投标文件的，应使用“投标文件制作工具</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”制作成</w:t>
      </w:r>
      <w:r>
        <w:rPr>
          <w:rFonts w:ascii="宋体" w:hAnsi="宋体" w:eastAsia="宋体" w:cs="宋体"/>
          <w:color w:val="auto"/>
          <w:spacing w:val="-2"/>
          <w:sz w:val="24"/>
          <w:szCs w:val="24"/>
          <w:highlight w:val="none"/>
        </w:rPr>
        <w:t>完整的投标文</w:t>
      </w:r>
      <w:r>
        <w:rPr>
          <w:rFonts w:ascii="宋体" w:hAnsi="宋体" w:eastAsia="宋体" w:cs="宋体"/>
          <w:color w:val="auto"/>
          <w:spacing w:val="3"/>
          <w:sz w:val="24"/>
          <w:szCs w:val="24"/>
          <w:highlight w:val="none"/>
        </w:rPr>
        <w:t>件，并按照本章第</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条、第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4</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条规定进行编制、加密和递交。对采用网上递交的加密</w:t>
      </w:r>
      <w:r>
        <w:rPr>
          <w:rFonts w:ascii="宋体" w:hAnsi="宋体" w:eastAsia="宋体" w:cs="宋体"/>
          <w:color w:val="auto"/>
          <w:spacing w:val="-1"/>
          <w:sz w:val="24"/>
          <w:szCs w:val="24"/>
          <w:highlight w:val="none"/>
        </w:rPr>
        <w:t>的投标文件，以投标截止时间前最后完成上传的文件为准。</w:t>
      </w:r>
    </w:p>
    <w:p w14:paraId="1DD3E94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4.3.3 投标人撤回投标文件的，招标人自收到投标人撤回通知之日起 5 日内退还已收取的投标保证金。</w:t>
      </w:r>
    </w:p>
    <w:p w14:paraId="2244EDA0">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188" w:name="_Toc24737"/>
      <w:bookmarkStart w:id="189" w:name="_Toc18754"/>
      <w:r>
        <w:rPr>
          <w:rFonts w:ascii="宋体" w:hAnsi="宋体" w:eastAsia="宋体" w:cs="宋体"/>
          <w:b/>
          <w:bCs/>
          <w:color w:val="auto"/>
          <w:spacing w:val="-10"/>
          <w:sz w:val="28"/>
          <w:szCs w:val="28"/>
          <w:highlight w:val="none"/>
        </w:rPr>
        <w:t>5.</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10"/>
          <w:sz w:val="28"/>
          <w:szCs w:val="28"/>
          <w:highlight w:val="none"/>
        </w:rPr>
        <w:t>开标</w:t>
      </w:r>
      <w:bookmarkEnd w:id="188"/>
      <w:bookmarkEnd w:id="189"/>
    </w:p>
    <w:p w14:paraId="14723F60">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90" w:name="_Toc3608"/>
      <w:bookmarkStart w:id="191" w:name="_Toc22703"/>
      <w:bookmarkStart w:id="192" w:name="_Toc1821"/>
      <w:bookmarkStart w:id="193" w:name="_Toc28787"/>
      <w:r>
        <w:rPr>
          <w:rFonts w:ascii="宋体" w:hAnsi="宋体" w:eastAsia="宋体" w:cs="宋体"/>
          <w:b/>
          <w:bCs/>
          <w:color w:val="auto"/>
          <w:spacing w:val="-3"/>
          <w:sz w:val="24"/>
          <w:szCs w:val="24"/>
          <w:highlight w:val="none"/>
        </w:rPr>
        <w:t>5.1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开标时间和地点</w:t>
      </w:r>
      <w:bookmarkEnd w:id="190"/>
      <w:bookmarkEnd w:id="191"/>
      <w:bookmarkEnd w:id="192"/>
      <w:bookmarkEnd w:id="193"/>
    </w:p>
    <w:p w14:paraId="359E077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招标人在本章第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项规定的投标截止时间（开标时间）和投标人须知前</w:t>
      </w:r>
      <w:r>
        <w:rPr>
          <w:rFonts w:ascii="宋体" w:hAnsi="宋体" w:eastAsia="宋体" w:cs="宋体"/>
          <w:color w:val="auto"/>
          <w:spacing w:val="3"/>
          <w:sz w:val="24"/>
          <w:szCs w:val="24"/>
          <w:highlight w:val="none"/>
        </w:rPr>
        <w:t>附表</w:t>
      </w:r>
      <w:r>
        <w:rPr>
          <w:rFonts w:ascii="宋体" w:hAnsi="宋体" w:eastAsia="宋体" w:cs="宋体"/>
          <w:color w:val="auto"/>
          <w:spacing w:val="5"/>
          <w:sz w:val="24"/>
          <w:szCs w:val="24"/>
          <w:highlight w:val="none"/>
        </w:rPr>
        <w:t>规定的地点对收到的投标文件第一个信封（商务及技术文件）公开开标，</w:t>
      </w:r>
      <w:r>
        <w:rPr>
          <w:rFonts w:ascii="宋体" w:hAnsi="宋体" w:eastAsia="宋体" w:cs="宋体"/>
          <w:color w:val="auto"/>
          <w:spacing w:val="4"/>
          <w:sz w:val="24"/>
          <w:szCs w:val="24"/>
          <w:highlight w:val="none"/>
        </w:rPr>
        <w:t>并邀请所有</w:t>
      </w:r>
      <w:r>
        <w:rPr>
          <w:rFonts w:ascii="宋体" w:hAnsi="宋体" w:eastAsia="宋体" w:cs="宋体"/>
          <w:color w:val="auto"/>
          <w:spacing w:val="-1"/>
          <w:sz w:val="24"/>
          <w:szCs w:val="24"/>
          <w:highlight w:val="none"/>
        </w:rPr>
        <w:t>投标人的法定代表人或其委托代理人准时参加。</w:t>
      </w:r>
    </w:p>
    <w:p w14:paraId="172571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招标人在投标人须知前附表规定的时间和地点对投标文件第二个信封（报价文件）公开开标，并邀请所有投标人的法定代表人或其委托代理人准时参加。</w:t>
      </w:r>
    </w:p>
    <w:p w14:paraId="4ADFAE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投标人若未派法定代表人或委托代理人参加第一个信封（商务及技术文件）开标</w:t>
      </w:r>
      <w:r>
        <w:rPr>
          <w:rFonts w:ascii="宋体" w:hAnsi="宋体" w:eastAsia="宋体" w:cs="宋体"/>
          <w:color w:val="auto"/>
          <w:spacing w:val="-1"/>
          <w:sz w:val="24"/>
          <w:szCs w:val="24"/>
          <w:highlight w:val="none"/>
        </w:rPr>
        <w:t>或第二个信封（报价文件）开标的，视为该投标人默认开标结果。</w:t>
      </w:r>
    </w:p>
    <w:p w14:paraId="1AE55C2D">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194" w:name="_Toc25290"/>
      <w:bookmarkStart w:id="195" w:name="_Toc5921"/>
      <w:bookmarkStart w:id="196" w:name="_Toc8551"/>
      <w:bookmarkStart w:id="197" w:name="_Toc10378"/>
      <w:r>
        <w:rPr>
          <w:rFonts w:ascii="宋体" w:hAnsi="宋体" w:eastAsia="宋体" w:cs="宋体"/>
          <w:b/>
          <w:bCs/>
          <w:color w:val="auto"/>
          <w:spacing w:val="-6"/>
          <w:sz w:val="24"/>
          <w:szCs w:val="24"/>
          <w:highlight w:val="none"/>
        </w:rPr>
        <w:t>5.2</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开标程序</w:t>
      </w:r>
      <w:bookmarkEnd w:id="194"/>
      <w:bookmarkEnd w:id="195"/>
      <w:bookmarkEnd w:id="196"/>
      <w:bookmarkEnd w:id="197"/>
    </w:p>
    <w:p w14:paraId="4CC5679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投标截止时间前未完成投标文件传输的，或因投标人之外的原因造成投标文件未解密的，均视为投标人撤回其电子投标文件。因投标人原因造成投标文件未解</w:t>
      </w:r>
      <w:r>
        <w:rPr>
          <w:rFonts w:ascii="宋体" w:hAnsi="宋体" w:eastAsia="宋体" w:cs="宋体"/>
          <w:color w:val="auto"/>
          <w:spacing w:val="4"/>
          <w:sz w:val="24"/>
          <w:szCs w:val="24"/>
          <w:highlight w:val="none"/>
        </w:rPr>
        <w:t>密的或</w:t>
      </w:r>
      <w:r>
        <w:rPr>
          <w:rFonts w:ascii="宋体" w:hAnsi="宋体" w:eastAsia="宋体" w:cs="宋体"/>
          <w:color w:val="auto"/>
          <w:spacing w:val="5"/>
          <w:sz w:val="24"/>
          <w:szCs w:val="24"/>
          <w:highlight w:val="none"/>
        </w:rPr>
        <w:t>未在投标截止时间后投标人须知前附表规定的解密时间内解密的，视为撤销其</w:t>
      </w:r>
      <w:r>
        <w:rPr>
          <w:rFonts w:ascii="宋体" w:hAnsi="宋体" w:eastAsia="宋体" w:cs="宋体"/>
          <w:color w:val="auto"/>
          <w:spacing w:val="4"/>
          <w:sz w:val="24"/>
          <w:szCs w:val="24"/>
          <w:highlight w:val="none"/>
        </w:rPr>
        <w:t>投标文</w:t>
      </w:r>
      <w:r>
        <w:rPr>
          <w:rFonts w:ascii="宋体" w:hAnsi="宋体" w:eastAsia="宋体" w:cs="宋体"/>
          <w:color w:val="auto"/>
          <w:spacing w:val="-5"/>
          <w:sz w:val="24"/>
          <w:szCs w:val="24"/>
          <w:highlight w:val="none"/>
        </w:rPr>
        <w:t>件。</w:t>
      </w:r>
    </w:p>
    <w:p w14:paraId="09BA77C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5.2.1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投标文件第一个信封（商务及技术文件</w:t>
      </w:r>
      <w:r>
        <w:rPr>
          <w:rFonts w:ascii="宋体" w:hAnsi="宋体" w:eastAsia="宋体" w:cs="宋体"/>
          <w:color w:val="auto"/>
          <w:spacing w:val="-2"/>
          <w:sz w:val="24"/>
          <w:szCs w:val="24"/>
          <w:highlight w:val="none"/>
        </w:rPr>
        <w:t>）开标</w:t>
      </w:r>
    </w:p>
    <w:p w14:paraId="6BE96E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招标人将按照本章第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5.1</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款规定的时间和地点对投标文件第一个信封（商务及技</w:t>
      </w:r>
      <w:r>
        <w:rPr>
          <w:rFonts w:ascii="宋体" w:hAnsi="宋体" w:eastAsia="宋体" w:cs="宋体"/>
          <w:color w:val="auto"/>
          <w:spacing w:val="-2"/>
          <w:sz w:val="24"/>
          <w:szCs w:val="24"/>
          <w:highlight w:val="none"/>
        </w:rPr>
        <w:t>术文件）进行开标：</w:t>
      </w:r>
    </w:p>
    <w:p w14:paraId="02ABF9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（1）投标人代表持</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CA</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数字证书进入开标现场（投标人也可选择</w:t>
      </w:r>
      <w:r>
        <w:rPr>
          <w:rFonts w:ascii="宋体" w:hAnsi="宋体" w:eastAsia="宋体" w:cs="宋体"/>
          <w:color w:val="auto"/>
          <w:spacing w:val="-2"/>
          <w:sz w:val="24"/>
          <w:szCs w:val="24"/>
          <w:highlight w:val="none"/>
        </w:rPr>
        <w:t>远程解密）。</w:t>
      </w:r>
    </w:p>
    <w:p w14:paraId="01D572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（2）开标由招标人或其委托的招标代理机构主持，宣布开标纪律。</w:t>
      </w:r>
    </w:p>
    <w:p w14:paraId="7919808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（3）宣布开标人、唱标人、记录人等有关人员姓名。</w:t>
      </w:r>
    </w:p>
    <w:p w14:paraId="3E0198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（4）宣布开标顺序：按各标段投标文件到达系统的先后顺序。</w:t>
      </w:r>
    </w:p>
    <w:p w14:paraId="53002C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（5）检查各标段投标文件递交到达的情况。若某标段递交到达投标文件的投标人</w:t>
      </w:r>
      <w:r>
        <w:rPr>
          <w:rFonts w:ascii="宋体" w:hAnsi="宋体" w:eastAsia="宋体" w:cs="宋体"/>
          <w:color w:val="auto"/>
          <w:spacing w:val="-3"/>
          <w:sz w:val="24"/>
          <w:szCs w:val="24"/>
          <w:highlight w:val="none"/>
        </w:rPr>
        <w:t>不足</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个，则该标段不予开标。</w:t>
      </w:r>
    </w:p>
    <w:p w14:paraId="391B4B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（6）投标人解密。招标人应在第一个信封（商务及技术文件）开标现场宣布解密</w:t>
      </w:r>
      <w:r>
        <w:rPr>
          <w:rFonts w:ascii="宋体" w:hAnsi="宋体" w:eastAsia="宋体" w:cs="宋体"/>
          <w:color w:val="auto"/>
          <w:spacing w:val="5"/>
          <w:sz w:val="24"/>
          <w:szCs w:val="24"/>
          <w:highlight w:val="none"/>
        </w:rPr>
        <w:t>的开始时间，投标人应在系统通知解密开始后按投标人须知前附表规定的解密</w:t>
      </w:r>
      <w:r>
        <w:rPr>
          <w:rFonts w:ascii="宋体" w:hAnsi="宋体" w:eastAsia="宋体" w:cs="宋体"/>
          <w:color w:val="auto"/>
          <w:spacing w:val="4"/>
          <w:sz w:val="24"/>
          <w:szCs w:val="24"/>
          <w:highlight w:val="none"/>
        </w:rPr>
        <w:t>时间内</w:t>
      </w:r>
      <w:r>
        <w:rPr>
          <w:rFonts w:ascii="宋体" w:hAnsi="宋体" w:eastAsia="宋体" w:cs="宋体"/>
          <w:color w:val="auto"/>
          <w:spacing w:val="5"/>
          <w:sz w:val="24"/>
          <w:szCs w:val="24"/>
          <w:highlight w:val="none"/>
        </w:rPr>
        <w:t>（解密时长详见投标人须知前附表）对所递交的第一个信封（商务及技术文件</w:t>
      </w:r>
      <w:r>
        <w:rPr>
          <w:rFonts w:ascii="宋体" w:hAnsi="宋体" w:eastAsia="宋体" w:cs="宋体"/>
          <w:color w:val="auto"/>
          <w:spacing w:val="4"/>
          <w:sz w:val="24"/>
          <w:szCs w:val="24"/>
          <w:highlight w:val="none"/>
        </w:rPr>
        <w:t>）进行</w:t>
      </w:r>
      <w:r>
        <w:rPr>
          <w:rFonts w:ascii="宋体" w:hAnsi="宋体" w:eastAsia="宋体" w:cs="宋体"/>
          <w:color w:val="auto"/>
          <w:spacing w:val="-3"/>
          <w:sz w:val="24"/>
          <w:szCs w:val="24"/>
          <w:highlight w:val="none"/>
        </w:rPr>
        <w:t>解密。</w:t>
      </w:r>
    </w:p>
    <w:p w14:paraId="5E873A30">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（7）招标人解密。招标人在投标人解密截止时间后，对投标人解密成功的第一个</w:t>
      </w:r>
      <w:r>
        <w:rPr>
          <w:rFonts w:ascii="宋体" w:hAnsi="宋体" w:eastAsia="宋体" w:cs="宋体"/>
          <w:color w:val="auto"/>
          <w:spacing w:val="-2"/>
          <w:sz w:val="24"/>
          <w:szCs w:val="24"/>
          <w:highlight w:val="none"/>
        </w:rPr>
        <w:t>信封进行解密。</w:t>
      </w:r>
    </w:p>
    <w:p w14:paraId="56BE36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（8）公布投标人名称、投标保证金递交情况、解密情况及其他内容，并记录在案。</w:t>
      </w:r>
    </w:p>
    <w:p w14:paraId="2DB7C1AB">
      <w:pPr>
        <w:keepNext w:val="0"/>
        <w:keepLines w:val="0"/>
        <w:pageBreakBefore w:val="0"/>
        <w:wordWrap/>
        <w:overflowPunct/>
        <w:topLinePunct w:val="0"/>
        <w:bidi w:val="0"/>
        <w:spacing w:line="500" w:lineRule="exact"/>
        <w:ind w:left="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（9）投标人代表、招标人、监标人（如有）、见证人（如有）等有关人员在开标</w:t>
      </w:r>
      <w:r>
        <w:rPr>
          <w:rFonts w:ascii="宋体" w:hAnsi="宋体" w:eastAsia="宋体" w:cs="宋体"/>
          <w:color w:val="auto"/>
          <w:spacing w:val="-1"/>
          <w:sz w:val="24"/>
          <w:szCs w:val="24"/>
          <w:highlight w:val="none"/>
        </w:rPr>
        <w:t>记录上签字确认，投标人代表未签字确认的视为默认开标结果。</w:t>
      </w:r>
    </w:p>
    <w:p w14:paraId="46627AA1">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（10）开标会议结束。</w:t>
      </w:r>
    </w:p>
    <w:p w14:paraId="7F160D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5.2.2 投标文件第二个信封（报价文件）在投标</w:t>
      </w:r>
      <w:r>
        <w:rPr>
          <w:rFonts w:ascii="宋体" w:hAnsi="宋体" w:eastAsia="宋体" w:cs="宋体"/>
          <w:color w:val="auto"/>
          <w:spacing w:val="4"/>
          <w:sz w:val="24"/>
          <w:szCs w:val="24"/>
          <w:highlight w:val="none"/>
        </w:rPr>
        <w:t>文件第一个信封（商务及技术文</w:t>
      </w:r>
      <w:r>
        <w:rPr>
          <w:rFonts w:ascii="宋体" w:hAnsi="宋体" w:eastAsia="宋体" w:cs="宋体"/>
          <w:color w:val="auto"/>
          <w:spacing w:val="-3"/>
          <w:sz w:val="24"/>
          <w:szCs w:val="24"/>
          <w:highlight w:val="none"/>
        </w:rPr>
        <w:t>件）完成评审前，“</w:t>
      </w:r>
      <w:r>
        <w:rPr>
          <w:rFonts w:ascii="宋体" w:hAnsi="宋体" w:eastAsia="宋体" w:cs="宋体"/>
          <w:color w:val="auto"/>
          <w:spacing w:val="-72"/>
          <w:sz w:val="24"/>
          <w:szCs w:val="24"/>
          <w:highlight w:val="none"/>
        </w:rPr>
        <w:t xml:space="preserve"> </w:t>
      </w:r>
      <w:r>
        <w:rPr>
          <w:rFonts w:ascii="宋体" w:hAnsi="宋体" w:eastAsia="宋体" w:cs="宋体"/>
          <w:color w:val="auto"/>
          <w:spacing w:val="-3"/>
          <w:sz w:val="24"/>
          <w:szCs w:val="24"/>
          <w:highlight w:val="none"/>
        </w:rPr>
        <w:t>电子交易平台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”的开标评标系统将不进行读取。</w:t>
      </w:r>
    </w:p>
    <w:p w14:paraId="61704DC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5.2.3 投标文件第二个信封（报价文件）进行开标</w:t>
      </w:r>
    </w:p>
    <w:p w14:paraId="27C599A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招标人将按照本章第</w:t>
      </w:r>
      <w:r>
        <w:rPr>
          <w:rFonts w:ascii="宋体" w:hAnsi="宋体" w:eastAsia="宋体" w:cs="宋体"/>
          <w:color w:val="auto"/>
          <w:spacing w:val="-29"/>
          <w:sz w:val="24"/>
          <w:szCs w:val="24"/>
          <w:highlight w:val="none"/>
        </w:rPr>
        <w:t xml:space="preserve"> </w:t>
      </w:r>
      <w:r>
        <w:rPr>
          <w:rFonts w:ascii="宋体" w:hAnsi="宋体" w:eastAsia="宋体" w:cs="宋体"/>
          <w:color w:val="auto"/>
          <w:spacing w:val="-2"/>
          <w:sz w:val="24"/>
          <w:szCs w:val="24"/>
          <w:highlight w:val="none"/>
        </w:rPr>
        <w:t>5.1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款规定的时间和地点对投标文件第二个信封（报价文件）</w:t>
      </w:r>
      <w:r>
        <w:rPr>
          <w:rFonts w:ascii="宋体" w:hAnsi="宋体" w:eastAsia="宋体" w:cs="宋体"/>
          <w:color w:val="auto"/>
          <w:spacing w:val="-1"/>
          <w:sz w:val="24"/>
          <w:szCs w:val="24"/>
          <w:highlight w:val="none"/>
        </w:rPr>
        <w:t>进行开标。主持人按下列程序进行开标：</w:t>
      </w:r>
    </w:p>
    <w:p w14:paraId="6B8DB6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（1）投标人代表持</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CA</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数字证书进入开标现场（投标人也可选择</w:t>
      </w:r>
      <w:r>
        <w:rPr>
          <w:rFonts w:ascii="宋体" w:hAnsi="宋体" w:eastAsia="宋体" w:cs="宋体"/>
          <w:color w:val="auto"/>
          <w:spacing w:val="-2"/>
          <w:sz w:val="24"/>
          <w:szCs w:val="24"/>
          <w:highlight w:val="none"/>
        </w:rPr>
        <w:t>远程解密）。</w:t>
      </w:r>
    </w:p>
    <w:p w14:paraId="71A66F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（2）宣布开标纪律。</w:t>
      </w:r>
    </w:p>
    <w:p w14:paraId="30DA81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（3）摇取下浮率（如需）、评标价</w:t>
      </w:r>
      <w:r>
        <w:rPr>
          <w:rFonts w:ascii="宋体" w:hAnsi="宋体" w:eastAsia="宋体" w:cs="宋体"/>
          <w:color w:val="auto"/>
          <w:spacing w:val="-53"/>
          <w:sz w:val="24"/>
          <w:szCs w:val="24"/>
          <w:highlight w:val="none"/>
        </w:rPr>
        <w:t xml:space="preserve"> </w:t>
      </w:r>
      <w:r>
        <w:rPr>
          <w:rFonts w:ascii="宋体" w:hAnsi="宋体" w:eastAsia="宋体" w:cs="宋体"/>
          <w:color w:val="auto"/>
          <w:spacing w:val="-2"/>
          <w:sz w:val="24"/>
          <w:szCs w:val="24"/>
          <w:highlight w:val="none"/>
        </w:rPr>
        <w:t>E</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值（</w:t>
      </w:r>
      <w:r>
        <w:rPr>
          <w:rFonts w:ascii="宋体" w:hAnsi="宋体" w:eastAsia="宋体" w:cs="宋体"/>
          <w:color w:val="auto"/>
          <w:spacing w:val="-3"/>
          <w:sz w:val="24"/>
          <w:szCs w:val="24"/>
          <w:highlight w:val="none"/>
        </w:rPr>
        <w:t>如需</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在开标现场采取摇珠方式确定。</w:t>
      </w:r>
      <w:r>
        <w:rPr>
          <w:rFonts w:ascii="宋体" w:hAnsi="宋体" w:eastAsia="宋体" w:cs="宋体"/>
          <w:color w:val="auto"/>
          <w:spacing w:val="-1"/>
          <w:sz w:val="24"/>
          <w:szCs w:val="24"/>
          <w:highlight w:val="none"/>
        </w:rPr>
        <w:t>摇珠操作办法详见评标办法。</w:t>
      </w:r>
    </w:p>
    <w:p w14:paraId="6E633A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（4）招标人或招标代理机构宣布第一个信封（商务及技术文件）评审结果。投标</w:t>
      </w:r>
      <w:r>
        <w:rPr>
          <w:rFonts w:ascii="宋体" w:hAnsi="宋体" w:eastAsia="宋体" w:cs="宋体"/>
          <w:color w:val="auto"/>
          <w:spacing w:val="-1"/>
          <w:sz w:val="24"/>
          <w:szCs w:val="24"/>
          <w:highlight w:val="none"/>
        </w:rPr>
        <w:t>人未通过第一个信封（商务及技术文件）评审的，对应标段的第二个信封（报价文件）</w:t>
      </w:r>
      <w:r>
        <w:rPr>
          <w:rFonts w:ascii="宋体" w:hAnsi="宋体" w:eastAsia="宋体" w:cs="宋体"/>
          <w:color w:val="auto"/>
          <w:spacing w:val="-3"/>
          <w:sz w:val="24"/>
          <w:szCs w:val="24"/>
          <w:highlight w:val="none"/>
        </w:rPr>
        <w:t>不予开标。</w:t>
      </w:r>
    </w:p>
    <w:p w14:paraId="6A44767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（5）宣布开标人、唱标人、记录人等有关人员姓名。</w:t>
      </w:r>
    </w:p>
    <w:p w14:paraId="771BAD2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（6）宣布开标顺序：方法同第一个信封的开标顺序。</w:t>
      </w:r>
    </w:p>
    <w:p w14:paraId="318D8A5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（7）投标人解密。招标人宣布第二个信封（报价文件）解密开始时间，投标人应</w:t>
      </w:r>
      <w:r>
        <w:rPr>
          <w:rFonts w:ascii="宋体" w:hAnsi="宋体" w:eastAsia="宋体" w:cs="宋体"/>
          <w:color w:val="auto"/>
          <w:spacing w:val="5"/>
          <w:sz w:val="24"/>
          <w:szCs w:val="24"/>
          <w:highlight w:val="none"/>
        </w:rPr>
        <w:t>在解密时长投标人须知前附表规定的解密时间内，对通过第一个信封（商务及</w:t>
      </w:r>
      <w:r>
        <w:rPr>
          <w:rFonts w:ascii="宋体" w:hAnsi="宋体" w:eastAsia="宋体" w:cs="宋体"/>
          <w:color w:val="auto"/>
          <w:spacing w:val="4"/>
          <w:sz w:val="24"/>
          <w:szCs w:val="24"/>
          <w:highlight w:val="none"/>
        </w:rPr>
        <w:t>技术文</w:t>
      </w:r>
      <w:r>
        <w:rPr>
          <w:rFonts w:ascii="宋体" w:hAnsi="宋体" w:eastAsia="宋体" w:cs="宋体"/>
          <w:color w:val="auto"/>
          <w:spacing w:val="-1"/>
          <w:sz w:val="24"/>
          <w:szCs w:val="24"/>
          <w:highlight w:val="none"/>
        </w:rPr>
        <w:t>件）评审的对应标段的第二个信封（报价文件）进行解密。</w:t>
      </w:r>
    </w:p>
    <w:p w14:paraId="61DDC6E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（8）招标人解密。招标人在投标人解密截止时间后，对投标人解密成功的第二个</w:t>
      </w:r>
      <w:r>
        <w:rPr>
          <w:rFonts w:ascii="宋体" w:hAnsi="宋体" w:eastAsia="宋体" w:cs="宋体"/>
          <w:color w:val="auto"/>
          <w:spacing w:val="-2"/>
          <w:sz w:val="24"/>
          <w:szCs w:val="24"/>
          <w:highlight w:val="none"/>
        </w:rPr>
        <w:t>信封进行解密。</w:t>
      </w:r>
    </w:p>
    <w:p w14:paraId="53DB66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（9）根据解密后的投标文件中的投标函公布投标人名称、投标报价</w:t>
      </w:r>
      <w:r>
        <w:rPr>
          <w:rFonts w:ascii="宋体" w:hAnsi="宋体" w:eastAsia="宋体" w:cs="宋体"/>
          <w:color w:val="auto"/>
          <w:spacing w:val="-3"/>
          <w:sz w:val="24"/>
          <w:szCs w:val="24"/>
          <w:highlight w:val="none"/>
        </w:rPr>
        <w:t>（开标过程中，</w:t>
      </w:r>
      <w:r>
        <w:rPr>
          <w:rFonts w:ascii="宋体" w:hAnsi="宋体" w:eastAsia="宋体" w:cs="宋体"/>
          <w:color w:val="auto"/>
          <w:spacing w:val="5"/>
          <w:sz w:val="24"/>
          <w:szCs w:val="24"/>
          <w:highlight w:val="none"/>
        </w:rPr>
        <w:t>若开标记录表与投标文件投标函大写文字报价不一致时，以投标文件投标函大写</w:t>
      </w:r>
      <w:r>
        <w:rPr>
          <w:rFonts w:ascii="宋体" w:hAnsi="宋体" w:eastAsia="宋体" w:cs="宋体"/>
          <w:color w:val="auto"/>
          <w:spacing w:val="4"/>
          <w:sz w:val="24"/>
          <w:szCs w:val="24"/>
          <w:highlight w:val="none"/>
        </w:rPr>
        <w:t>文字</w:t>
      </w:r>
      <w:r>
        <w:rPr>
          <w:rFonts w:ascii="宋体" w:hAnsi="宋体" w:eastAsia="宋体" w:cs="宋体"/>
          <w:color w:val="auto"/>
          <w:spacing w:val="5"/>
          <w:sz w:val="24"/>
          <w:szCs w:val="24"/>
          <w:highlight w:val="none"/>
        </w:rPr>
        <w:t>报价为准）、解密情况及其他内容，并记录在案。将未通过投标文件第一个信封</w:t>
      </w:r>
      <w:r>
        <w:rPr>
          <w:rFonts w:ascii="宋体" w:hAnsi="宋体" w:eastAsia="宋体" w:cs="宋体"/>
          <w:color w:val="auto"/>
          <w:spacing w:val="4"/>
          <w:sz w:val="24"/>
          <w:szCs w:val="24"/>
          <w:highlight w:val="none"/>
        </w:rPr>
        <w:t>（商务及技术文件）评审的投标文件第二个信封（报价文件）光盘或</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U</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盘（如有）退还给</w:t>
      </w:r>
      <w:r>
        <w:rPr>
          <w:rFonts w:ascii="宋体" w:hAnsi="宋体" w:eastAsia="宋体" w:cs="宋体"/>
          <w:color w:val="auto"/>
          <w:spacing w:val="5"/>
          <w:sz w:val="24"/>
          <w:szCs w:val="24"/>
          <w:highlight w:val="none"/>
        </w:rPr>
        <w:t>投标人。如投标人未参加第二个信封开标的，招标人应当在评标结束后及时将第</w:t>
      </w:r>
      <w:r>
        <w:rPr>
          <w:rFonts w:ascii="宋体" w:hAnsi="宋体" w:eastAsia="宋体" w:cs="宋体"/>
          <w:color w:val="auto"/>
          <w:spacing w:val="4"/>
          <w:sz w:val="24"/>
          <w:szCs w:val="24"/>
          <w:highlight w:val="none"/>
        </w:rPr>
        <w:t>二个</w:t>
      </w:r>
      <w:r>
        <w:rPr>
          <w:rFonts w:ascii="宋体" w:hAnsi="宋体" w:eastAsia="宋体" w:cs="宋体"/>
          <w:color w:val="auto"/>
          <w:spacing w:val="-2"/>
          <w:sz w:val="24"/>
          <w:szCs w:val="24"/>
          <w:highlight w:val="none"/>
        </w:rPr>
        <w:t>信封光盘或</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U</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盘（如有）退还投标人。</w:t>
      </w:r>
    </w:p>
    <w:p w14:paraId="1A054F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10）投标人代表、招标人、监标人（如有）、见证人（如有）等有关人员在开标记录上进行签字确认，投标人代表未签字确认的视为默认开标结果。如开标过程中出现需更正开标记录表的情况，招标人应通知所有投标人代表知晓，投标人代表、招标人、监标人（如有）、见证人（如有）等有关人员均应在更正后开标记录上进行签字确认，投标人代表未签字确认的视为默认更正结果。</w:t>
      </w:r>
    </w:p>
    <w:p w14:paraId="6644AF1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（11）投标人对开标有异议的，应当在开标现场提出，招标人应当当场作出答复，并制作记录。未参加开标的投标人，视为对开标过程无异议。</w:t>
      </w:r>
    </w:p>
    <w:p w14:paraId="250E5D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（12）开标会议结束。</w:t>
      </w:r>
    </w:p>
    <w:p w14:paraId="717E86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5.2.4 在投标文件第二个信封（报价文件）开标</w:t>
      </w:r>
      <w:r>
        <w:rPr>
          <w:rFonts w:ascii="宋体" w:hAnsi="宋体" w:eastAsia="宋体" w:cs="宋体"/>
          <w:color w:val="auto"/>
          <w:spacing w:val="4"/>
          <w:sz w:val="24"/>
          <w:szCs w:val="24"/>
          <w:highlight w:val="none"/>
        </w:rPr>
        <w:t>现场，招标人将按第三章“评标</w:t>
      </w:r>
      <w:r>
        <w:rPr>
          <w:rFonts w:ascii="宋体" w:hAnsi="宋体" w:eastAsia="宋体" w:cs="宋体"/>
          <w:color w:val="auto"/>
          <w:spacing w:val="-2"/>
          <w:sz w:val="24"/>
          <w:szCs w:val="24"/>
          <w:highlight w:val="none"/>
        </w:rPr>
        <w:t>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”规定的原则计算并宣布评标基准价。若招标</w:t>
      </w:r>
      <w:r>
        <w:rPr>
          <w:rFonts w:ascii="宋体" w:hAnsi="宋体" w:eastAsia="宋体" w:cs="宋体"/>
          <w:color w:val="auto"/>
          <w:spacing w:val="-3"/>
          <w:sz w:val="24"/>
          <w:szCs w:val="24"/>
          <w:highlight w:val="none"/>
        </w:rPr>
        <w:t>人发现投标文件出现以下任一情况，</w:t>
      </w:r>
      <w:r>
        <w:rPr>
          <w:rFonts w:ascii="宋体" w:hAnsi="宋体" w:eastAsia="宋体" w:cs="宋体"/>
          <w:color w:val="auto"/>
          <w:spacing w:val="-1"/>
          <w:sz w:val="24"/>
          <w:szCs w:val="24"/>
          <w:highlight w:val="none"/>
        </w:rPr>
        <w:t>其投标报价将不再参加评标基准价的计算：</w:t>
      </w:r>
    </w:p>
    <w:p w14:paraId="0938B8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（1）未在投标函上填写投标总价；</w:t>
      </w:r>
    </w:p>
    <w:p w14:paraId="3210FA8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（2）投标总报价超出招标人公布的最高投标限价；</w:t>
      </w:r>
    </w:p>
    <w:p w14:paraId="518962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（3）投标总报价的大写金额无法确定具体数值；</w:t>
      </w:r>
    </w:p>
    <w:p w14:paraId="04C589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（4）投标函上填写的标段号标记错误。</w:t>
      </w:r>
    </w:p>
    <w:p w14:paraId="012266E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如果投标人认为某一标段的评标基准价计算有误，有权在开标现场提出，经招标人当场核实确认之后，可重新宣布评标基准价。开标现场宣布的评标基</w:t>
      </w:r>
      <w:r>
        <w:rPr>
          <w:rFonts w:ascii="宋体" w:hAnsi="宋体" w:eastAsia="宋体" w:cs="宋体"/>
          <w:color w:val="auto"/>
          <w:spacing w:val="4"/>
          <w:sz w:val="24"/>
          <w:szCs w:val="24"/>
          <w:highlight w:val="none"/>
        </w:rPr>
        <w:t>准价除计算有</w:t>
      </w:r>
      <w:r>
        <w:rPr>
          <w:rFonts w:ascii="宋体" w:hAnsi="宋体" w:eastAsia="宋体" w:cs="宋体"/>
          <w:color w:val="auto"/>
          <w:sz w:val="24"/>
          <w:szCs w:val="24"/>
          <w:highlight w:val="none"/>
        </w:rPr>
        <w:t>误经评标委员会修正外，在整个评标期间保持不</w:t>
      </w:r>
      <w:r>
        <w:rPr>
          <w:rFonts w:ascii="宋体" w:hAnsi="宋体" w:eastAsia="宋体" w:cs="宋体"/>
          <w:color w:val="auto"/>
          <w:spacing w:val="-1"/>
          <w:sz w:val="24"/>
          <w:szCs w:val="24"/>
          <w:highlight w:val="none"/>
        </w:rPr>
        <w:t>变，不随任何因素发生变化。</w:t>
      </w:r>
    </w:p>
    <w:p w14:paraId="153766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5.2.5</w:t>
      </w:r>
      <w:r>
        <w:rPr>
          <w:rFonts w:ascii="宋体" w:hAnsi="宋体" w:eastAsia="宋体" w:cs="宋体"/>
          <w:color w:val="auto"/>
          <w:spacing w:val="-6"/>
          <w:sz w:val="24"/>
          <w:szCs w:val="24"/>
          <w:highlight w:val="none"/>
        </w:rPr>
        <w:t xml:space="preserve">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投标人对开标有异议的，应当在开标现场提出（采</w:t>
      </w:r>
      <w:r>
        <w:rPr>
          <w:rFonts w:ascii="宋体" w:hAnsi="宋体" w:eastAsia="宋体" w:cs="宋体"/>
          <w:color w:val="auto"/>
          <w:spacing w:val="4"/>
          <w:sz w:val="24"/>
          <w:szCs w:val="24"/>
          <w:highlight w:val="none"/>
        </w:rPr>
        <w:t>用电子化开标的可在系统平台提出</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招标人应当当场作出答复（采用电子化开标的可在系统平台答复</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并制作记录。未参加开标的投标人，视为对开标过程无异</w:t>
      </w:r>
      <w:r>
        <w:rPr>
          <w:rFonts w:ascii="宋体" w:hAnsi="宋体" w:eastAsia="宋体" w:cs="宋体"/>
          <w:color w:val="auto"/>
          <w:spacing w:val="-5"/>
          <w:sz w:val="24"/>
          <w:szCs w:val="24"/>
          <w:highlight w:val="none"/>
        </w:rPr>
        <w:t>议。</w:t>
      </w:r>
    </w:p>
    <w:p w14:paraId="3E6DD69F">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198" w:name="_Toc17409"/>
      <w:bookmarkStart w:id="199" w:name="_Toc4630"/>
      <w:bookmarkStart w:id="200" w:name="_Toc5"/>
      <w:bookmarkStart w:id="201" w:name="_Toc2129"/>
      <w:r>
        <w:rPr>
          <w:rFonts w:ascii="宋体" w:hAnsi="宋体" w:eastAsia="宋体" w:cs="宋体"/>
          <w:b/>
          <w:bCs/>
          <w:color w:val="auto"/>
          <w:spacing w:val="-6"/>
          <w:sz w:val="24"/>
          <w:szCs w:val="24"/>
          <w:highlight w:val="none"/>
        </w:rPr>
        <w:t>5.3</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6"/>
          <w:sz w:val="24"/>
          <w:szCs w:val="24"/>
          <w:highlight w:val="none"/>
        </w:rPr>
        <w:t>开标异议</w:t>
      </w:r>
      <w:bookmarkEnd w:id="198"/>
      <w:bookmarkEnd w:id="199"/>
      <w:bookmarkEnd w:id="200"/>
      <w:bookmarkEnd w:id="201"/>
    </w:p>
    <w:p w14:paraId="3B2CB0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开标异议投标人对开标有异议的，应在开标现场提出（采用电子化开标的可在系</w:t>
      </w:r>
      <w:r>
        <w:rPr>
          <w:rFonts w:ascii="宋体" w:hAnsi="宋体" w:eastAsia="宋体" w:cs="宋体"/>
          <w:color w:val="auto"/>
          <w:spacing w:val="4"/>
          <w:sz w:val="24"/>
          <w:szCs w:val="24"/>
          <w:highlight w:val="none"/>
        </w:rPr>
        <w:t>统平台提出</w:t>
      </w:r>
      <w:r>
        <w:rPr>
          <w:rFonts w:ascii="宋体" w:hAnsi="宋体" w:eastAsia="宋体" w:cs="宋体"/>
          <w:color w:val="auto"/>
          <w:spacing w:val="14"/>
          <w:sz w:val="24"/>
          <w:szCs w:val="24"/>
          <w:highlight w:val="none"/>
        </w:rPr>
        <w:t>），</w:t>
      </w:r>
      <w:r>
        <w:rPr>
          <w:rFonts w:ascii="宋体" w:hAnsi="宋体" w:eastAsia="宋体" w:cs="宋体"/>
          <w:color w:val="auto"/>
          <w:spacing w:val="4"/>
          <w:sz w:val="24"/>
          <w:szCs w:val="24"/>
          <w:highlight w:val="none"/>
        </w:rPr>
        <w:t>招标人当场作出答复（采用电子化开标</w:t>
      </w:r>
      <w:r>
        <w:rPr>
          <w:rFonts w:ascii="宋体" w:hAnsi="宋体" w:eastAsia="宋体" w:cs="宋体"/>
          <w:color w:val="auto"/>
          <w:spacing w:val="3"/>
          <w:sz w:val="24"/>
          <w:szCs w:val="24"/>
          <w:highlight w:val="none"/>
        </w:rPr>
        <w:t>的可在系统平台答复</w:t>
      </w:r>
      <w:r>
        <w:rPr>
          <w:rFonts w:ascii="宋体" w:hAnsi="宋体" w:eastAsia="宋体" w:cs="宋体"/>
          <w:color w:val="auto"/>
          <w:spacing w:val="14"/>
          <w:sz w:val="24"/>
          <w:szCs w:val="24"/>
          <w:highlight w:val="none"/>
        </w:rPr>
        <w:t>），</w:t>
      </w:r>
      <w:r>
        <w:rPr>
          <w:rFonts w:ascii="宋体" w:hAnsi="宋体" w:eastAsia="宋体" w:cs="宋体"/>
          <w:color w:val="auto"/>
          <w:spacing w:val="3"/>
          <w:sz w:val="24"/>
          <w:szCs w:val="24"/>
          <w:highlight w:val="none"/>
        </w:rPr>
        <w:t>并制</w:t>
      </w:r>
      <w:r>
        <w:rPr>
          <w:rFonts w:ascii="宋体" w:hAnsi="宋体" w:eastAsia="宋体" w:cs="宋体"/>
          <w:color w:val="auto"/>
          <w:spacing w:val="5"/>
          <w:sz w:val="24"/>
          <w:szCs w:val="24"/>
          <w:highlight w:val="none"/>
        </w:rPr>
        <w:t>作记录，有异议的投标人（现场如有）、招标人代表、记录人等有关人员</w:t>
      </w:r>
      <w:r>
        <w:rPr>
          <w:rFonts w:ascii="宋体" w:hAnsi="宋体" w:eastAsia="宋体" w:cs="宋体"/>
          <w:color w:val="auto"/>
          <w:spacing w:val="4"/>
          <w:sz w:val="24"/>
          <w:szCs w:val="24"/>
          <w:highlight w:val="none"/>
        </w:rPr>
        <w:t>在记录上签</w:t>
      </w:r>
      <w:r>
        <w:rPr>
          <w:rFonts w:ascii="宋体" w:hAnsi="宋体" w:eastAsia="宋体" w:cs="宋体"/>
          <w:color w:val="auto"/>
          <w:spacing w:val="-3"/>
          <w:sz w:val="24"/>
          <w:szCs w:val="24"/>
          <w:highlight w:val="none"/>
        </w:rPr>
        <w:t>字确认。</w:t>
      </w:r>
    </w:p>
    <w:p w14:paraId="3A23535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1"/>
        <w:rPr>
          <w:rFonts w:ascii="宋体" w:hAnsi="宋体" w:eastAsia="宋体" w:cs="宋体"/>
          <w:color w:val="auto"/>
          <w:sz w:val="24"/>
          <w:szCs w:val="24"/>
          <w:highlight w:val="none"/>
        </w:rPr>
      </w:pPr>
      <w:bookmarkStart w:id="202" w:name="_Toc22911"/>
      <w:bookmarkStart w:id="203" w:name="_Toc293"/>
      <w:bookmarkStart w:id="204" w:name="_Toc15478"/>
      <w:bookmarkStart w:id="205" w:name="_Toc21701"/>
      <w:r>
        <w:rPr>
          <w:rFonts w:ascii="宋体" w:hAnsi="宋体" w:eastAsia="宋体" w:cs="宋体"/>
          <w:b/>
          <w:bCs/>
          <w:color w:val="auto"/>
          <w:spacing w:val="-3"/>
          <w:sz w:val="24"/>
          <w:szCs w:val="24"/>
          <w:highlight w:val="none"/>
        </w:rPr>
        <w:t>5.4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开标补救措施</w:t>
      </w:r>
      <w:bookmarkEnd w:id="202"/>
      <w:bookmarkEnd w:id="203"/>
      <w:bookmarkEnd w:id="204"/>
      <w:bookmarkEnd w:id="205"/>
    </w:p>
    <w:p w14:paraId="0E4B31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5.4.1 开标过程中因出现以下情况，导致系统无法正常运行，应中止电子开标，</w:t>
      </w:r>
      <w:r>
        <w:rPr>
          <w:rFonts w:ascii="宋体" w:hAnsi="宋体" w:eastAsia="宋体" w:cs="宋体"/>
          <w:color w:val="auto"/>
          <w:spacing w:val="-1"/>
          <w:sz w:val="24"/>
          <w:szCs w:val="24"/>
          <w:highlight w:val="none"/>
        </w:rPr>
        <w:t>并在恢复正常后及时安排时间开标。同时，做好后续开标的前期工作。</w:t>
      </w:r>
    </w:p>
    <w:p w14:paraId="6CF150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(1)系统服务器发生故障，无法访问或无法使用</w:t>
      </w:r>
      <w:r>
        <w:rPr>
          <w:rFonts w:ascii="宋体" w:hAnsi="宋体" w:eastAsia="宋体" w:cs="宋体"/>
          <w:color w:val="auto"/>
          <w:spacing w:val="-3"/>
          <w:sz w:val="24"/>
          <w:szCs w:val="24"/>
          <w:highlight w:val="none"/>
        </w:rPr>
        <w:t>系统；</w:t>
      </w:r>
    </w:p>
    <w:p w14:paraId="77A559D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(2)系统的软件或数据库出现错误，不能进行正常操作；</w:t>
      </w:r>
    </w:p>
    <w:p w14:paraId="0E97EB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(3)系统发现有安全漏洞，有潜在的泄密危险；</w:t>
      </w:r>
    </w:p>
    <w:p w14:paraId="327A7B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(4)出现断电事故且短时间内无法恢复供电的；</w:t>
      </w:r>
    </w:p>
    <w:p w14:paraId="167AF0E7">
      <w:pPr>
        <w:keepNext w:val="0"/>
        <w:keepLines w:val="0"/>
        <w:pageBreakBefore w:val="0"/>
        <w:wordWrap/>
        <w:overflowPunct/>
        <w:topLinePunct w:val="0"/>
        <w:bidi w:val="0"/>
        <w:spacing w:line="50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(5)其他无法保证招投标过程正常进行的情形。</w:t>
      </w:r>
    </w:p>
    <w:p w14:paraId="46C1C22B">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5.4.2 采取补救措施时，必须对原有资料及信息作出妥善保密处理。</w:t>
      </w:r>
    </w:p>
    <w:p w14:paraId="3236A262">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206" w:name="_Toc20430"/>
      <w:bookmarkStart w:id="207" w:name="_Toc17473"/>
      <w:r>
        <w:rPr>
          <w:rFonts w:ascii="宋体" w:hAnsi="宋体" w:eastAsia="宋体" w:cs="宋体"/>
          <w:b/>
          <w:bCs/>
          <w:color w:val="auto"/>
          <w:spacing w:val="-8"/>
          <w:sz w:val="28"/>
          <w:szCs w:val="28"/>
          <w:highlight w:val="none"/>
        </w:rPr>
        <w:t>6.</w:t>
      </w:r>
      <w:r>
        <w:rPr>
          <w:rFonts w:ascii="宋体" w:hAnsi="宋体" w:eastAsia="宋体" w:cs="宋体"/>
          <w:color w:val="auto"/>
          <w:spacing w:val="10"/>
          <w:sz w:val="28"/>
          <w:szCs w:val="28"/>
          <w:highlight w:val="none"/>
        </w:rPr>
        <w:t xml:space="preserve"> </w:t>
      </w:r>
      <w:r>
        <w:rPr>
          <w:rFonts w:ascii="宋体" w:hAnsi="宋体" w:eastAsia="宋体" w:cs="宋体"/>
          <w:b/>
          <w:bCs/>
          <w:color w:val="auto"/>
          <w:spacing w:val="-8"/>
          <w:sz w:val="28"/>
          <w:szCs w:val="28"/>
          <w:highlight w:val="none"/>
        </w:rPr>
        <w:t>评标</w:t>
      </w:r>
      <w:bookmarkEnd w:id="206"/>
      <w:bookmarkEnd w:id="207"/>
    </w:p>
    <w:p w14:paraId="7F1C8CC2">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08" w:name="_Toc26393"/>
      <w:bookmarkStart w:id="209" w:name="_Toc28343"/>
      <w:bookmarkStart w:id="210" w:name="_Toc17079"/>
      <w:bookmarkStart w:id="211" w:name="_Toc30028"/>
      <w:r>
        <w:rPr>
          <w:rFonts w:ascii="宋体" w:hAnsi="宋体" w:eastAsia="宋体" w:cs="宋体"/>
          <w:b/>
          <w:bCs/>
          <w:color w:val="auto"/>
          <w:spacing w:val="-5"/>
          <w:sz w:val="24"/>
          <w:szCs w:val="24"/>
          <w:highlight w:val="none"/>
        </w:rPr>
        <w:t>6.1</w:t>
      </w:r>
      <w:r>
        <w:rPr>
          <w:rFonts w:ascii="宋体" w:hAnsi="宋体" w:eastAsia="宋体" w:cs="宋体"/>
          <w:color w:val="auto"/>
          <w:spacing w:val="72"/>
          <w:sz w:val="24"/>
          <w:szCs w:val="24"/>
          <w:highlight w:val="none"/>
        </w:rPr>
        <w:t xml:space="preserve"> </w:t>
      </w:r>
      <w:r>
        <w:rPr>
          <w:rFonts w:ascii="宋体" w:hAnsi="宋体" w:eastAsia="宋体" w:cs="宋体"/>
          <w:b/>
          <w:bCs/>
          <w:color w:val="auto"/>
          <w:spacing w:val="-5"/>
          <w:sz w:val="24"/>
          <w:szCs w:val="24"/>
          <w:highlight w:val="none"/>
        </w:rPr>
        <w:t>评标委员会</w:t>
      </w:r>
      <w:bookmarkEnd w:id="208"/>
      <w:bookmarkEnd w:id="209"/>
      <w:bookmarkEnd w:id="210"/>
      <w:bookmarkEnd w:id="211"/>
    </w:p>
    <w:p w14:paraId="5BDF27E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6.1.1 评标由招标人依法组建的评标委员会负责。评标</w:t>
      </w:r>
      <w:r>
        <w:rPr>
          <w:rFonts w:ascii="宋体" w:hAnsi="宋体" w:eastAsia="宋体" w:cs="宋体"/>
          <w:color w:val="auto"/>
          <w:spacing w:val="-1"/>
          <w:sz w:val="24"/>
          <w:szCs w:val="24"/>
          <w:highlight w:val="none"/>
        </w:rPr>
        <w:t>委员会由招标人(或其委派)</w:t>
      </w:r>
      <w:r>
        <w:rPr>
          <w:rFonts w:ascii="宋体" w:hAnsi="宋体" w:eastAsia="宋体" w:cs="宋体"/>
          <w:color w:val="auto"/>
          <w:sz w:val="24"/>
          <w:szCs w:val="24"/>
          <w:highlight w:val="none"/>
        </w:rPr>
        <w:t>代表(简称“招标人代表</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rPr>
        <w:t>以及有关技术、经济等方面的专家组成。评标委员会成员人数以及技术、经济等方面专家的确定方式</w:t>
      </w:r>
      <w:r>
        <w:rPr>
          <w:rFonts w:ascii="宋体" w:hAnsi="宋体" w:eastAsia="宋体" w:cs="宋体"/>
          <w:color w:val="auto"/>
          <w:spacing w:val="-1"/>
          <w:sz w:val="24"/>
          <w:szCs w:val="24"/>
          <w:highlight w:val="none"/>
        </w:rPr>
        <w:t>见投标人须知前附表。</w:t>
      </w:r>
    </w:p>
    <w:p w14:paraId="13C956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 评标委员会成员有下列情形之一的，应主动提出回避：</w:t>
      </w:r>
    </w:p>
    <w:p w14:paraId="3C09D8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（1）为负责招标项目监督管理的交通运输主管部门的工作人员；</w:t>
      </w:r>
    </w:p>
    <w:p w14:paraId="1494088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（2）与投标人法定代表人或其委托代理人有近亲属关系；</w:t>
      </w:r>
    </w:p>
    <w:p w14:paraId="39880F8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（3）为投标人的工作人员或退休或离职未满</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年的人员；</w:t>
      </w:r>
    </w:p>
    <w:p w14:paraId="1F8C83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（4）与投标人有其他利害关系，可能影响评标活动公正性；</w:t>
      </w:r>
    </w:p>
    <w:p w14:paraId="342AB68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（5）在与招标投标有关的活动中有过违法违规行为、曾受过行政处罚或刑事处罚。</w:t>
      </w:r>
    </w:p>
    <w:p w14:paraId="3F10BD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（6）招标人及其子公司、招标人下属单位、招标人的上级主管部门或者控股公司、</w:t>
      </w:r>
      <w:r>
        <w:rPr>
          <w:rFonts w:ascii="宋体" w:hAnsi="宋体" w:eastAsia="宋体" w:cs="宋体"/>
          <w:color w:val="auto"/>
          <w:spacing w:val="5"/>
          <w:sz w:val="24"/>
          <w:szCs w:val="24"/>
          <w:highlight w:val="none"/>
        </w:rPr>
        <w:t>招标代理机构的工作人员或者退休人员不得以专家身份参与本单位招标或</w:t>
      </w:r>
      <w:r>
        <w:rPr>
          <w:rFonts w:ascii="宋体" w:hAnsi="宋体" w:eastAsia="宋体" w:cs="宋体"/>
          <w:color w:val="auto"/>
          <w:spacing w:val="4"/>
          <w:sz w:val="24"/>
          <w:szCs w:val="24"/>
          <w:highlight w:val="none"/>
        </w:rPr>
        <w:t>者招标代理</w:t>
      </w:r>
      <w:r>
        <w:rPr>
          <w:rFonts w:ascii="宋体" w:hAnsi="宋体" w:eastAsia="宋体" w:cs="宋体"/>
          <w:color w:val="auto"/>
          <w:spacing w:val="-2"/>
          <w:sz w:val="24"/>
          <w:szCs w:val="24"/>
          <w:highlight w:val="none"/>
        </w:rPr>
        <w:t>项目的评标。</w:t>
      </w:r>
    </w:p>
    <w:p w14:paraId="2D5B6F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6.1.3 评标过程中，评标委员会成员有回避事由、擅离</w:t>
      </w:r>
      <w:r>
        <w:rPr>
          <w:rFonts w:ascii="宋体" w:hAnsi="宋体" w:eastAsia="宋体" w:cs="宋体"/>
          <w:color w:val="auto"/>
          <w:spacing w:val="4"/>
          <w:sz w:val="24"/>
          <w:szCs w:val="24"/>
          <w:highlight w:val="none"/>
        </w:rPr>
        <w:t>职守或因健康等原因不能</w:t>
      </w:r>
      <w:r>
        <w:rPr>
          <w:rFonts w:ascii="宋体" w:hAnsi="宋体" w:eastAsia="宋体" w:cs="宋体"/>
          <w:color w:val="auto"/>
          <w:spacing w:val="5"/>
          <w:sz w:val="24"/>
          <w:szCs w:val="24"/>
          <w:highlight w:val="none"/>
        </w:rPr>
        <w:t>继续评标的，招标人有权更换。被更换的评标委员会成员作出的评审结</w:t>
      </w:r>
      <w:r>
        <w:rPr>
          <w:rFonts w:ascii="宋体" w:hAnsi="宋体" w:eastAsia="宋体" w:cs="宋体"/>
          <w:color w:val="auto"/>
          <w:spacing w:val="4"/>
          <w:sz w:val="24"/>
          <w:szCs w:val="24"/>
          <w:highlight w:val="none"/>
        </w:rPr>
        <w:t>论无效，由更</w:t>
      </w:r>
      <w:r>
        <w:rPr>
          <w:rFonts w:ascii="宋体" w:hAnsi="宋体" w:eastAsia="宋体" w:cs="宋体"/>
          <w:color w:val="auto"/>
          <w:spacing w:val="-1"/>
          <w:sz w:val="24"/>
          <w:szCs w:val="24"/>
          <w:highlight w:val="none"/>
        </w:rPr>
        <w:t>换后的评标委员会成员重新进行评审。</w:t>
      </w:r>
    </w:p>
    <w:p w14:paraId="0C881AE2">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12" w:name="_Toc30971"/>
      <w:bookmarkStart w:id="213" w:name="_Toc27460"/>
      <w:bookmarkStart w:id="214" w:name="_Toc23031"/>
      <w:bookmarkStart w:id="215" w:name="_Toc24132"/>
      <w:r>
        <w:rPr>
          <w:rFonts w:ascii="宋体" w:hAnsi="宋体" w:eastAsia="宋体" w:cs="宋体"/>
          <w:b/>
          <w:bCs/>
          <w:color w:val="auto"/>
          <w:spacing w:val="-3"/>
          <w:sz w:val="24"/>
          <w:szCs w:val="24"/>
          <w:highlight w:val="none"/>
        </w:rPr>
        <w:t>6.2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评标原则</w:t>
      </w:r>
      <w:bookmarkEnd w:id="212"/>
      <w:bookmarkEnd w:id="213"/>
      <w:bookmarkEnd w:id="214"/>
      <w:bookmarkEnd w:id="215"/>
    </w:p>
    <w:p w14:paraId="4F13E4BC">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评标活动遵循公平、公正、科学和择优的原则。</w:t>
      </w:r>
    </w:p>
    <w:p w14:paraId="5117B7F5">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16" w:name="_Toc6476"/>
      <w:bookmarkStart w:id="217" w:name="_Toc5773"/>
      <w:bookmarkStart w:id="218" w:name="_Toc30143"/>
      <w:bookmarkStart w:id="219" w:name="_Toc24144"/>
      <w:r>
        <w:rPr>
          <w:rFonts w:ascii="宋体" w:hAnsi="宋体" w:eastAsia="宋体" w:cs="宋体"/>
          <w:b/>
          <w:bCs/>
          <w:color w:val="auto"/>
          <w:spacing w:val="-6"/>
          <w:sz w:val="24"/>
          <w:szCs w:val="24"/>
          <w:highlight w:val="none"/>
        </w:rPr>
        <w:t>6.3</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6"/>
          <w:sz w:val="24"/>
          <w:szCs w:val="24"/>
          <w:highlight w:val="none"/>
        </w:rPr>
        <w:t>评标</w:t>
      </w:r>
      <w:bookmarkEnd w:id="216"/>
      <w:bookmarkEnd w:id="217"/>
      <w:bookmarkEnd w:id="218"/>
      <w:bookmarkEnd w:id="219"/>
    </w:p>
    <w:p w14:paraId="493546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6.3.1 评标委员会按照第三章“评标办法 ”规定的方法、评审因素、标准和程序</w:t>
      </w:r>
      <w:bookmarkStart w:id="220" w:name="bookmark111"/>
      <w:bookmarkEnd w:id="220"/>
      <w:r>
        <w:rPr>
          <w:rFonts w:ascii="宋体" w:hAnsi="宋体" w:eastAsia="宋体" w:cs="宋体"/>
          <w:color w:val="auto"/>
          <w:spacing w:val="-1"/>
          <w:sz w:val="24"/>
          <w:szCs w:val="24"/>
          <w:highlight w:val="none"/>
        </w:rPr>
        <w:t>对投标文件进行评审。第三章“评标办法 ”没有规定的方法、评审因素和标准，不作为评标依据。</w:t>
      </w:r>
    </w:p>
    <w:p w14:paraId="50EB680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6.3.2 评标完成后，评标委员会应向招标人提交书</w:t>
      </w:r>
      <w:r>
        <w:rPr>
          <w:rFonts w:ascii="宋体" w:hAnsi="宋体" w:eastAsia="宋体" w:cs="宋体"/>
          <w:color w:val="auto"/>
          <w:spacing w:val="-2"/>
          <w:sz w:val="24"/>
          <w:szCs w:val="24"/>
          <w:highlight w:val="none"/>
        </w:rPr>
        <w:t>面评标报告和中标候选人名单。</w:t>
      </w:r>
      <w:r>
        <w:rPr>
          <w:rFonts w:ascii="宋体" w:hAnsi="宋体" w:eastAsia="宋体" w:cs="宋体"/>
          <w:color w:val="auto"/>
          <w:spacing w:val="-1"/>
          <w:sz w:val="24"/>
          <w:szCs w:val="24"/>
          <w:highlight w:val="none"/>
        </w:rPr>
        <w:t>评标委员会推荐中标候选人的人数见投标人须知前附表。</w:t>
      </w:r>
    </w:p>
    <w:p w14:paraId="50F775D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6.3.3</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评标补救措施</w:t>
      </w:r>
    </w:p>
    <w:p w14:paraId="1E12FB8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6"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评标委员会按照本章第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6.3.1</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项的规定在电子评标系统上开展评审工</w:t>
      </w:r>
      <w:r>
        <w:rPr>
          <w:rFonts w:ascii="宋体" w:hAnsi="宋体" w:eastAsia="宋体" w:cs="宋体"/>
          <w:color w:val="auto"/>
          <w:spacing w:val="3"/>
          <w:sz w:val="24"/>
          <w:szCs w:val="24"/>
          <w:highlight w:val="none"/>
        </w:rPr>
        <w:t>作。若遇不</w:t>
      </w:r>
      <w:r>
        <w:rPr>
          <w:rFonts w:ascii="宋体" w:hAnsi="宋体" w:eastAsia="宋体" w:cs="宋体"/>
          <w:color w:val="auto"/>
          <w:spacing w:val="4"/>
          <w:sz w:val="24"/>
          <w:szCs w:val="24"/>
          <w:highlight w:val="none"/>
        </w:rPr>
        <w:t>可抗力发生（包括网络瘫痪、服务器损坏、交易系统故障短期无法恢复等因素</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导</w:t>
      </w:r>
      <w:r>
        <w:rPr>
          <w:rFonts w:ascii="宋体" w:hAnsi="宋体" w:eastAsia="宋体" w:cs="宋体"/>
          <w:color w:val="auto"/>
          <w:sz w:val="24"/>
          <w:szCs w:val="24"/>
          <w:highlight w:val="none"/>
        </w:rPr>
        <w:t>致系统无法正常运行，应中止评标，并在恢复正</w:t>
      </w:r>
      <w:r>
        <w:rPr>
          <w:rFonts w:ascii="宋体" w:hAnsi="宋体" w:eastAsia="宋体" w:cs="宋体"/>
          <w:color w:val="auto"/>
          <w:spacing w:val="-1"/>
          <w:sz w:val="24"/>
          <w:szCs w:val="24"/>
          <w:highlight w:val="none"/>
        </w:rPr>
        <w:t>常后及时安排时间评标。</w:t>
      </w:r>
    </w:p>
    <w:p w14:paraId="2DC91EE0">
      <w:pPr>
        <w:keepNext w:val="0"/>
        <w:keepLines w:val="0"/>
        <w:pageBreakBefore w:val="0"/>
        <w:wordWrap/>
        <w:overflowPunct/>
        <w:topLinePunct w:val="0"/>
        <w:bidi w:val="0"/>
        <w:spacing w:line="500" w:lineRule="exact"/>
        <w:ind w:right="0"/>
        <w:jc w:val="both"/>
        <w:outlineLvl w:val="1"/>
        <w:rPr>
          <w:rFonts w:hint="eastAsia" w:ascii="宋体" w:hAnsi="宋体" w:eastAsia="宋体" w:cs="宋体"/>
          <w:b/>
          <w:bCs/>
          <w:color w:val="auto"/>
          <w:spacing w:val="-7"/>
          <w:sz w:val="24"/>
          <w:szCs w:val="24"/>
          <w:highlight w:val="none"/>
        </w:rPr>
      </w:pPr>
      <w:bookmarkStart w:id="221" w:name="_Toc27525"/>
      <w:bookmarkStart w:id="222" w:name="_Toc1287"/>
      <w:bookmarkStart w:id="223" w:name="_Toc11871"/>
      <w:bookmarkStart w:id="224" w:name="_Toc20021"/>
      <w:r>
        <w:rPr>
          <w:rFonts w:hint="eastAsia" w:ascii="宋体" w:hAnsi="宋体" w:eastAsia="宋体" w:cs="宋体"/>
          <w:b/>
          <w:bCs/>
          <w:color w:val="auto"/>
          <w:spacing w:val="-7"/>
          <w:sz w:val="24"/>
          <w:szCs w:val="24"/>
          <w:highlight w:val="none"/>
        </w:rPr>
        <w:t>7.定标、中标及合同授予</w:t>
      </w:r>
      <w:bookmarkEnd w:id="221"/>
    </w:p>
    <w:p w14:paraId="10066900">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25" w:name="_Toc11670"/>
      <w:r>
        <w:rPr>
          <w:rFonts w:ascii="宋体" w:hAnsi="宋体" w:eastAsia="宋体" w:cs="宋体"/>
          <w:b/>
          <w:bCs/>
          <w:color w:val="auto"/>
          <w:spacing w:val="-7"/>
          <w:sz w:val="24"/>
          <w:szCs w:val="24"/>
          <w:highlight w:val="none"/>
        </w:rPr>
        <w:t>7.1</w:t>
      </w:r>
      <w:r>
        <w:rPr>
          <w:rFonts w:ascii="宋体" w:hAnsi="宋体" w:eastAsia="宋体" w:cs="宋体"/>
          <w:color w:val="auto"/>
          <w:spacing w:val="38"/>
          <w:sz w:val="24"/>
          <w:szCs w:val="24"/>
          <w:highlight w:val="none"/>
        </w:rPr>
        <w:t xml:space="preserve"> </w:t>
      </w:r>
      <w:r>
        <w:rPr>
          <w:rFonts w:hint="eastAsia" w:ascii="宋体" w:hAnsi="宋体" w:eastAsia="宋体" w:cs="宋体"/>
          <w:b/>
          <w:bCs/>
          <w:color w:val="auto"/>
          <w:spacing w:val="-7"/>
          <w:sz w:val="24"/>
          <w:szCs w:val="24"/>
          <w:highlight w:val="none"/>
          <w:lang w:val="en-US" w:eastAsia="zh-CN"/>
        </w:rPr>
        <w:t>定</w:t>
      </w:r>
      <w:r>
        <w:rPr>
          <w:rFonts w:ascii="宋体" w:hAnsi="宋体" w:eastAsia="宋体" w:cs="宋体"/>
          <w:b/>
          <w:bCs/>
          <w:color w:val="auto"/>
          <w:spacing w:val="-7"/>
          <w:sz w:val="24"/>
          <w:szCs w:val="24"/>
          <w:highlight w:val="none"/>
        </w:rPr>
        <w:t>标候选人公示</w:t>
      </w:r>
      <w:bookmarkEnd w:id="222"/>
      <w:bookmarkEnd w:id="223"/>
      <w:bookmarkEnd w:id="224"/>
      <w:bookmarkEnd w:id="225"/>
    </w:p>
    <w:p w14:paraId="4FCBC94A">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bookmarkStart w:id="226" w:name="_Toc32499"/>
      <w:bookmarkStart w:id="227" w:name="_Toc14630"/>
      <w:bookmarkStart w:id="228" w:name="_Toc15238"/>
      <w:r>
        <w:rPr>
          <w:rFonts w:hint="eastAsia" w:ascii="宋体" w:hAnsi="宋体" w:eastAsia="宋体" w:cs="宋体"/>
          <w:color w:val="auto"/>
          <w:spacing w:val="4"/>
          <w:sz w:val="24"/>
          <w:szCs w:val="24"/>
          <w:highlight w:val="none"/>
        </w:rPr>
        <w:t>招标人在收到评标报告之日起 3 日内，按照投标人须知前附表规定的公示媒介和期限公示定标候选人，公示期不得少于 3 日，公示内容包括：</w:t>
      </w:r>
    </w:p>
    <w:p w14:paraId="3571D282">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（1）定标候选人排序、名称、投标报价，对监理质量要求、安全目标和监理服务期限的响应情况；</w:t>
      </w:r>
    </w:p>
    <w:p w14:paraId="244FDDE8">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（2）定标候选人在投标文件中承诺的总监理工程师（含备选，如有）或驻地监理工程师（含备选，如有）姓名、个人业绩、相关证书名称和编号；</w:t>
      </w:r>
    </w:p>
    <w:p w14:paraId="0E78BDD6">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（3）定标候选人在投标文件中填报的项目业绩；</w:t>
      </w:r>
    </w:p>
    <w:p w14:paraId="42EDA117">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（4）被否决投标的投标人名称、否决依据和原因；</w:t>
      </w:r>
    </w:p>
    <w:p w14:paraId="1F2B8A47">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（5）提出异议的渠道和方式；</w:t>
      </w:r>
    </w:p>
    <w:p w14:paraId="3F048F34">
      <w:pPr>
        <w:keepNext w:val="0"/>
        <w:keepLines w:val="0"/>
        <w:pageBreakBefore w:val="0"/>
        <w:wordWrap/>
        <w:overflowPunct/>
        <w:topLinePunct w:val="0"/>
        <w:bidi w:val="0"/>
        <w:spacing w:line="500" w:lineRule="exact"/>
        <w:ind w:left="0" w:leftChars="0" w:righ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（6）投标人须知前附表规定公示的其他内容。</w:t>
      </w:r>
    </w:p>
    <w:p w14:paraId="1088CA49">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29" w:name="_Toc5162"/>
      <w:r>
        <w:rPr>
          <w:rFonts w:ascii="宋体" w:hAnsi="宋体" w:eastAsia="宋体" w:cs="宋体"/>
          <w:b/>
          <w:bCs/>
          <w:color w:val="auto"/>
          <w:spacing w:val="-3"/>
          <w:sz w:val="24"/>
          <w:szCs w:val="24"/>
          <w:highlight w:val="none"/>
        </w:rPr>
        <w:t>7.2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评标结果异议</w:t>
      </w:r>
      <w:bookmarkEnd w:id="226"/>
      <w:bookmarkEnd w:id="227"/>
      <w:bookmarkEnd w:id="228"/>
      <w:bookmarkEnd w:id="229"/>
    </w:p>
    <w:p w14:paraId="018E82A6">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人或其他利害关系人对依法必须进行招标的项目的评标结果有异议的，应在定标候选人公示期间提出。招标人将在收到异议之日起3日内作出答复；作出答复前，将暂停招标投标活动。提出异议与作出答复均应按照韶关市发展和改革局关于发布《韶关市工程建设项目招标投标活动异议和投诉处理办法》的通告（韶发改〔2021〕44 号）规定以书面形式进行。</w:t>
      </w:r>
    </w:p>
    <w:p w14:paraId="29EF508B">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30" w:name="_Toc2173"/>
      <w:bookmarkStart w:id="231" w:name="_Toc11384"/>
      <w:bookmarkStart w:id="232" w:name="_Toc12376"/>
      <w:bookmarkStart w:id="233" w:name="_Toc19208"/>
      <w:bookmarkStart w:id="234" w:name="_Toc6124"/>
      <w:bookmarkStart w:id="235" w:name="_Toc22841"/>
      <w:bookmarkStart w:id="236" w:name="_Toc8254"/>
      <w:r>
        <w:rPr>
          <w:rFonts w:hint="eastAsia" w:ascii="宋体" w:hAnsi="宋体" w:cs="宋体"/>
          <w:color w:val="auto"/>
          <w:highlight w:val="none"/>
        </w:rPr>
        <w:t>7.</w:t>
      </w:r>
      <w:r>
        <w:rPr>
          <w:rFonts w:hint="eastAsia" w:ascii="宋体" w:hAnsi="宋体" w:cs="宋体"/>
          <w:color w:val="auto"/>
          <w:highlight w:val="none"/>
          <w:lang w:val="en-US" w:eastAsia="zh-CN"/>
        </w:rPr>
        <w:t>3</w:t>
      </w:r>
      <w:r>
        <w:rPr>
          <w:rFonts w:hint="eastAsia" w:ascii="宋体" w:hAnsi="宋体" w:cs="宋体"/>
          <w:color w:val="auto"/>
          <w:highlight w:val="none"/>
        </w:rPr>
        <w:t xml:space="preserve"> 定标</w:t>
      </w:r>
      <w:bookmarkEnd w:id="230"/>
      <w:bookmarkEnd w:id="231"/>
      <w:bookmarkEnd w:id="232"/>
      <w:bookmarkEnd w:id="233"/>
    </w:p>
    <w:p w14:paraId="673CAB8B">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eastAsia="宋体" w:cs="宋体"/>
          <w:color w:val="auto"/>
          <w:highlight w:val="none"/>
          <w:lang w:eastAsia="zh-CN"/>
        </w:rPr>
      </w:pPr>
      <w:r>
        <w:rPr>
          <w:rFonts w:hint="eastAsia" w:ascii="宋体" w:hAnsi="宋体" w:cs="宋体"/>
          <w:color w:val="auto"/>
          <w:highlight w:val="none"/>
        </w:rPr>
        <w:t>7.</w:t>
      </w:r>
      <w:r>
        <w:rPr>
          <w:rFonts w:hint="eastAsia" w:ascii="宋体" w:hAnsi="宋体" w:cs="宋体"/>
          <w:color w:val="auto"/>
          <w:highlight w:val="none"/>
          <w:lang w:val="en-US" w:eastAsia="zh-CN"/>
        </w:rPr>
        <w:t>3</w:t>
      </w:r>
      <w:r>
        <w:rPr>
          <w:rFonts w:hint="eastAsia" w:ascii="宋体" w:hAnsi="宋体" w:cs="宋体"/>
          <w:color w:val="auto"/>
          <w:highlight w:val="none"/>
        </w:rPr>
        <w:t>.1 定标时间</w:t>
      </w:r>
      <w:r>
        <w:rPr>
          <w:rFonts w:hint="eastAsia" w:ascii="宋体" w:hAnsi="宋体" w:cs="宋体"/>
          <w:color w:val="auto"/>
          <w:highlight w:val="none"/>
          <w:lang w:eastAsia="zh-CN"/>
        </w:rPr>
        <w:t>和地点</w:t>
      </w:r>
    </w:p>
    <w:p w14:paraId="6B18081E">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招标人</w:t>
      </w:r>
      <w:r>
        <w:rPr>
          <w:rFonts w:hint="eastAsia" w:ascii="宋体" w:hAnsi="宋体" w:cs="宋体"/>
          <w:color w:val="auto"/>
          <w:highlight w:val="none"/>
          <w:lang w:eastAsia="zh-CN"/>
        </w:rPr>
        <w:t>在投标人须知前附规定的时间和地点</w:t>
      </w:r>
      <w:r>
        <w:rPr>
          <w:rFonts w:hint="eastAsia" w:ascii="宋体" w:hAnsi="宋体" w:cs="宋体"/>
          <w:color w:val="auto"/>
          <w:highlight w:val="none"/>
        </w:rPr>
        <w:t>进行定标。招标人需要延期定标的，应通过公共资源交易平台公布延期原因和定标时间。</w:t>
      </w:r>
    </w:p>
    <w:p w14:paraId="2B79BD52">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7.3.2 招标监督小组</w:t>
      </w:r>
    </w:p>
    <w:p w14:paraId="545BC9C4">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7.3.2.1 招标监督小组由招标人负责组建，成员人数及确定方式见投标人须知前附表。</w:t>
      </w:r>
    </w:p>
    <w:p w14:paraId="6B219EF3">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lang w:val="en-US" w:eastAsia="zh-CN"/>
        </w:rPr>
        <w:t>7.3.2.2 招标监督小组</w:t>
      </w:r>
      <w:r>
        <w:rPr>
          <w:rFonts w:hint="eastAsia" w:ascii="宋体" w:hAnsi="宋体" w:cs="宋体"/>
          <w:color w:val="auto"/>
          <w:highlight w:val="none"/>
        </w:rPr>
        <w:t>成员与定标候选人存在利害关系的，应主动回避，并书面说明回避理由。回避的具体情形应当包括但不限于以下内容：</w:t>
      </w:r>
    </w:p>
    <w:p w14:paraId="2DA1BADC">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（1）定标候选人或者定标候选人主要负责人的近亲属；</w:t>
      </w:r>
    </w:p>
    <w:p w14:paraId="3287C69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rPr>
        <w:t>（2）与定标候选人有直接经济利益关系，可能影响定标公正性的；</w:t>
      </w:r>
      <w:r>
        <w:rPr>
          <w:rFonts w:hint="eastAsia" w:ascii="宋体" w:hAnsi="宋体" w:cs="宋体"/>
          <w:color w:val="auto"/>
          <w:highlight w:val="none"/>
          <w:lang w:val="en-US" w:eastAsia="zh-CN"/>
        </w:rPr>
        <w:t xml:space="preserve"> </w:t>
      </w:r>
    </w:p>
    <w:p w14:paraId="552E1EF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（3）曾在招标投标有关活动中从事违法行为而受过行政处罚或刑事处罚的。</w:t>
      </w:r>
    </w:p>
    <w:p w14:paraId="21217FE1">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 xml:space="preserve"> 定标委员会</w:t>
      </w:r>
    </w:p>
    <w:p w14:paraId="2651FA4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7.3.3.1 定标由招标人组建的定标委员会负责。定标委员会由招标人负责组建，招标人可针对项目自行组建定标成员库，定标委员会成员人数以及成员的确定方式见投标人须知前附表。定标委员会应当推荐定标组长，招标人（不含代理机构）的法定代表人或者主要负责人参加定标委员会的，由其直接担任定标委员会组长。定标委员会名单在中标结果公告前应当保密。      </w:t>
      </w:r>
    </w:p>
    <w:p w14:paraId="613C0488">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lang w:val="en-US" w:eastAsia="zh-CN"/>
        </w:rPr>
        <w:t xml:space="preserve">7.3.3.2 </w:t>
      </w:r>
      <w:r>
        <w:rPr>
          <w:rFonts w:hint="eastAsia" w:ascii="宋体" w:hAnsi="宋体" w:cs="宋体"/>
          <w:color w:val="auto"/>
          <w:highlight w:val="none"/>
        </w:rPr>
        <w:t>定标委员会成员与定标候选人存在利害关系的，应主动回避，并书面说明回避理由。回避的具体情形应当包括但不限于以下内容：</w:t>
      </w:r>
    </w:p>
    <w:p w14:paraId="735F5676">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（1）定标候选人或者定标候选人主要负责人的近亲属；</w:t>
      </w:r>
    </w:p>
    <w:p w14:paraId="0FCA166B">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rPr>
        <w:t>（2）与定标候选人有直接经济利益关系，可能影响定标公正性的；</w:t>
      </w:r>
      <w:r>
        <w:rPr>
          <w:rFonts w:hint="eastAsia" w:ascii="宋体" w:hAnsi="宋体" w:cs="宋体"/>
          <w:color w:val="auto"/>
          <w:highlight w:val="none"/>
          <w:lang w:val="en-US" w:eastAsia="zh-CN"/>
        </w:rPr>
        <w:t xml:space="preserve"> </w:t>
      </w:r>
    </w:p>
    <w:p w14:paraId="7618744B">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（3）曾在招标投标有关活动中从事违法行为而受过行政处罚或刑事处罚的。</w:t>
      </w:r>
    </w:p>
    <w:p w14:paraId="18BC8E6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7.3.4 定标</w:t>
      </w:r>
    </w:p>
    <w:p w14:paraId="7A9193EB">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7.3.4.1 定标委员会按照招标文件第三章“定标办法”规定的方法、定标因素进行定标。</w:t>
      </w:r>
    </w:p>
    <w:p w14:paraId="215A0DC8">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7.3.4.2 定标完成后，定标委员会向招标人提交书面定标报告和中标候选人名单，定标委员会推荐中标候选人的人数见投标人须知前附表。</w:t>
      </w:r>
    </w:p>
    <w:p w14:paraId="4C7F3F35">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7.3.4.3定标报告应记录定标委员会成员名单、招标监督小组名单、定标办法、答辩情况（如有）、定标过程、定标工作情况、定标结果等内容。定标委员会所有成员及招标监督小组全部成员应在定标报告上逐页签字。</w:t>
      </w:r>
    </w:p>
    <w:bookmarkEnd w:id="234"/>
    <w:bookmarkEnd w:id="235"/>
    <w:bookmarkEnd w:id="236"/>
    <w:p w14:paraId="49355EA7">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eastAsia="宋体" w:cs="宋体"/>
          <w:color w:val="auto"/>
          <w:highlight w:val="none"/>
        </w:rPr>
      </w:pPr>
      <w:bookmarkStart w:id="237" w:name="_Toc21457"/>
      <w:bookmarkStart w:id="238" w:name="_Toc27615"/>
      <w:bookmarkStart w:id="239" w:name="_Toc12572"/>
      <w:bookmarkStart w:id="240" w:name="_Toc15015"/>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定标结果公示</w:t>
      </w:r>
      <w:bookmarkEnd w:id="237"/>
    </w:p>
    <w:p w14:paraId="5090D6B1">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lang w:val="en-US" w:eastAsia="zh-CN"/>
        </w:rPr>
        <w:t xml:space="preserve">7.4.1 </w:t>
      </w:r>
      <w:r>
        <w:rPr>
          <w:rFonts w:hint="eastAsia" w:ascii="宋体" w:hAnsi="宋体" w:cs="宋体"/>
          <w:color w:val="auto"/>
          <w:highlight w:val="none"/>
        </w:rPr>
        <w:t>招标人应当自收到定标报告之日起3日内，</w:t>
      </w:r>
      <w:r>
        <w:rPr>
          <w:rFonts w:hint="eastAsia" w:ascii="宋体" w:hAnsi="宋体" w:cs="宋体"/>
          <w:color w:val="auto"/>
          <w:highlight w:val="none"/>
          <w:lang w:eastAsia="zh-CN"/>
        </w:rPr>
        <w:t>按照投标人须知前附表规定的公示媒介和期限公示中标候选人，公示期不得少于</w:t>
      </w:r>
      <w:r>
        <w:rPr>
          <w:rFonts w:hint="eastAsia" w:ascii="宋体" w:hAnsi="宋体" w:cs="宋体"/>
          <w:color w:val="auto"/>
          <w:highlight w:val="none"/>
          <w:lang w:val="en-US" w:eastAsia="zh-CN"/>
        </w:rPr>
        <w:t>3日，</w:t>
      </w:r>
      <w:r>
        <w:rPr>
          <w:rFonts w:hint="eastAsia" w:ascii="宋体" w:hAnsi="宋体" w:cs="宋体"/>
          <w:color w:val="auto"/>
          <w:highlight w:val="none"/>
        </w:rPr>
        <w:t>公示内容包括：</w:t>
      </w:r>
    </w:p>
    <w:p w14:paraId="53CD8D5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rPr>
        <w:t>定标报告（定标成员信息除外）</w:t>
      </w:r>
      <w:r>
        <w:rPr>
          <w:rFonts w:hint="eastAsia" w:ascii="宋体" w:hAnsi="宋体" w:cs="宋体"/>
          <w:color w:val="auto"/>
          <w:highlight w:val="none"/>
          <w:lang w:eastAsia="zh-CN"/>
        </w:rPr>
        <w:t>；</w:t>
      </w:r>
    </w:p>
    <w:p w14:paraId="3BE2EBE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中标候选人名单</w:t>
      </w:r>
      <w:r>
        <w:rPr>
          <w:rFonts w:hint="eastAsia" w:ascii="宋体" w:hAnsi="宋体" w:cs="宋体"/>
          <w:color w:val="auto"/>
          <w:highlight w:val="none"/>
          <w:lang w:eastAsia="zh-CN"/>
        </w:rPr>
        <w:t>；</w:t>
      </w:r>
    </w:p>
    <w:p w14:paraId="5B7542A3">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中标价</w:t>
      </w:r>
      <w:r>
        <w:rPr>
          <w:rFonts w:hint="eastAsia" w:ascii="宋体" w:hAnsi="宋体" w:cs="宋体"/>
          <w:color w:val="auto"/>
          <w:highlight w:val="none"/>
          <w:lang w:eastAsia="zh-CN"/>
        </w:rPr>
        <w:t>，</w:t>
      </w:r>
    </w:p>
    <w:p w14:paraId="35344A86">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拟投入本项目的总监理工程师（含备选，如有）或驻地监理工程师（含备选，如有）等内容。</w:t>
      </w:r>
    </w:p>
    <w:p w14:paraId="7B6C95B5">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提出异议的渠道和方式。</w:t>
      </w:r>
    </w:p>
    <w:p w14:paraId="01B8A396">
      <w:pPr>
        <w:pStyle w:val="30"/>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color w:val="auto"/>
          <w:kern w:val="0"/>
          <w:sz w:val="24"/>
          <w:szCs w:val="24"/>
          <w:highlight w:val="none"/>
          <w:lang w:val="en-US" w:eastAsia="zh-CN" w:bidi="ar-SA"/>
        </w:rPr>
      </w:pPr>
      <w:bookmarkStart w:id="241" w:name="_Toc7739"/>
      <w:bookmarkStart w:id="242" w:name="_Toc10682"/>
      <w:r>
        <w:rPr>
          <w:rFonts w:hint="eastAsia" w:ascii="宋体" w:hAnsi="宋体" w:cs="宋体"/>
          <w:b w:val="0"/>
          <w:bCs/>
          <w:color w:val="auto"/>
          <w:highlight w:val="none"/>
          <w:lang w:val="en-US" w:eastAsia="zh-CN"/>
        </w:rPr>
        <w:t>7.4.2</w:t>
      </w:r>
      <w:r>
        <w:rPr>
          <w:rFonts w:hint="eastAsia" w:ascii="宋体" w:hAnsi="宋体" w:cs="宋体"/>
          <w:color w:val="auto"/>
          <w:highlight w:val="none"/>
          <w:lang w:val="en-US" w:eastAsia="zh-CN"/>
        </w:rPr>
        <w:t xml:space="preserve"> </w:t>
      </w:r>
      <w:bookmarkEnd w:id="241"/>
      <w:r>
        <w:rPr>
          <w:rFonts w:hint="eastAsia" w:ascii="宋体" w:hAnsi="宋体" w:eastAsia="宋体" w:cs="宋体"/>
          <w:b w:val="0"/>
          <w:color w:val="auto"/>
          <w:kern w:val="0"/>
          <w:sz w:val="24"/>
          <w:szCs w:val="24"/>
          <w:highlight w:val="none"/>
          <w:lang w:val="en-US" w:eastAsia="zh-CN" w:bidi="ar-SA"/>
        </w:rPr>
        <w:t>投标人或其他利害关系人对定标结果有异议的，应在定标结果公示期间提出。招标人将在收到异议之日起3日内作出答复；作出答复前，将暂停招标投标活动。提出异议与作出答复均应按照韶关市发展和改革局关于发布《韶关市工程建设项目招标投标活动异议和投诉处理办法》的通告（韶发改〔2021〕44 号）规定以书面形式进行。</w:t>
      </w:r>
      <w:bookmarkEnd w:id="242"/>
    </w:p>
    <w:bookmarkEnd w:id="238"/>
    <w:bookmarkEnd w:id="239"/>
    <w:bookmarkEnd w:id="240"/>
    <w:p w14:paraId="0D9C6404">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43" w:name="_Toc2966"/>
      <w:bookmarkStart w:id="244" w:name="_Toc11741"/>
      <w:bookmarkStart w:id="245" w:name="_Toc9592"/>
      <w:bookmarkStart w:id="246" w:name="_Toc19109"/>
      <w:bookmarkStart w:id="247" w:name="_Toc2152"/>
      <w:bookmarkStart w:id="248" w:name="_Toc9135"/>
      <w:bookmarkStart w:id="249" w:name="_Toc20404"/>
      <w:r>
        <w:rPr>
          <w:rFonts w:hint="eastAsia" w:ascii="宋体" w:hAnsi="宋体" w:cs="宋体"/>
          <w:color w:val="auto"/>
          <w:highlight w:val="none"/>
        </w:rPr>
        <w:t>7.</w:t>
      </w:r>
      <w:r>
        <w:rPr>
          <w:rFonts w:hint="eastAsia" w:ascii="宋体" w:hAnsi="宋体" w:cs="宋体"/>
          <w:color w:val="auto"/>
          <w:highlight w:val="none"/>
          <w:lang w:val="en-US" w:eastAsia="zh-CN"/>
        </w:rPr>
        <w:t>5</w:t>
      </w:r>
      <w:r>
        <w:rPr>
          <w:rFonts w:hint="eastAsia" w:ascii="宋体" w:hAnsi="宋体" w:cs="宋体"/>
          <w:color w:val="auto"/>
          <w:highlight w:val="none"/>
        </w:rPr>
        <w:t xml:space="preserve"> 中标候选人履约能力审查</w:t>
      </w:r>
      <w:bookmarkEnd w:id="243"/>
      <w:bookmarkEnd w:id="244"/>
      <w:bookmarkEnd w:id="245"/>
      <w:bookmarkEnd w:id="246"/>
    </w:p>
    <w:p w14:paraId="4A947894">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中标候选人的经营、财务状况发生较大变化或存在违法行为，招标人认为可能影响其履约能力的，将在发出中标通知书前提请原定标委员会按照招标文件规定的标准和方法进行审查确认。</w:t>
      </w:r>
    </w:p>
    <w:bookmarkEnd w:id="247"/>
    <w:bookmarkEnd w:id="248"/>
    <w:bookmarkEnd w:id="249"/>
    <w:p w14:paraId="0F237718">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50" w:name="_Toc19401"/>
      <w:bookmarkStart w:id="251" w:name="_Toc12583"/>
      <w:bookmarkStart w:id="252" w:name="_Toc16889"/>
      <w:bookmarkStart w:id="253" w:name="_Toc7700"/>
      <w:bookmarkStart w:id="254" w:name="_Toc25892"/>
      <w:r>
        <w:rPr>
          <w:rFonts w:hint="eastAsia" w:ascii="宋体" w:hAnsi="宋体" w:cs="宋体"/>
          <w:color w:val="auto"/>
          <w:highlight w:val="none"/>
        </w:rPr>
        <w:t>7.</w:t>
      </w:r>
      <w:r>
        <w:rPr>
          <w:rFonts w:hint="eastAsia" w:ascii="宋体" w:hAnsi="宋体" w:cs="宋体"/>
          <w:color w:val="auto"/>
          <w:highlight w:val="none"/>
          <w:lang w:val="en-US" w:eastAsia="zh-CN"/>
        </w:rPr>
        <w:t>6</w:t>
      </w:r>
      <w:r>
        <w:rPr>
          <w:rFonts w:hint="eastAsia" w:ascii="宋体" w:hAnsi="宋体" w:cs="宋体"/>
          <w:color w:val="auto"/>
          <w:highlight w:val="none"/>
        </w:rPr>
        <w:t xml:space="preserve"> 中标通知</w:t>
      </w:r>
      <w:bookmarkEnd w:id="250"/>
      <w:bookmarkEnd w:id="251"/>
    </w:p>
    <w:p w14:paraId="19298320">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在本章第3.3款规定的投标有效期内，招标人以投标人须知前附表规定的形式向中标人发出中标通知书，同时将中标结果通知未中标的投标人。</w:t>
      </w:r>
    </w:p>
    <w:p w14:paraId="6B168A55">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55" w:name="_Toc23635"/>
      <w:bookmarkStart w:id="256" w:name="_Toc7550"/>
      <w:bookmarkStart w:id="257" w:name="_Toc25675"/>
      <w:bookmarkStart w:id="258" w:name="_Toc32566"/>
      <w:r>
        <w:rPr>
          <w:rFonts w:hint="eastAsia" w:ascii="宋体" w:hAnsi="宋体" w:cs="宋体"/>
          <w:color w:val="auto"/>
          <w:highlight w:val="none"/>
        </w:rPr>
        <w:t>7.</w:t>
      </w:r>
      <w:r>
        <w:rPr>
          <w:rFonts w:hint="eastAsia" w:ascii="宋体" w:hAnsi="宋体" w:cs="宋体"/>
          <w:color w:val="auto"/>
          <w:highlight w:val="none"/>
          <w:lang w:val="en-US" w:eastAsia="zh-CN"/>
        </w:rPr>
        <w:t>7</w:t>
      </w:r>
      <w:r>
        <w:rPr>
          <w:rFonts w:hint="eastAsia" w:ascii="宋体" w:hAnsi="宋体" w:cs="宋体"/>
          <w:color w:val="auto"/>
          <w:highlight w:val="none"/>
        </w:rPr>
        <w:t xml:space="preserve"> 中标结果公告</w:t>
      </w:r>
      <w:bookmarkEnd w:id="255"/>
      <w:bookmarkEnd w:id="256"/>
      <w:bookmarkEnd w:id="257"/>
      <w:bookmarkEnd w:id="258"/>
    </w:p>
    <w:p w14:paraId="1F85FD12">
      <w:pPr>
        <w:pStyle w:val="28"/>
        <w:keepNext w:val="0"/>
        <w:keepLines w:val="0"/>
        <w:pageBreakBefore w:val="0"/>
        <w:kinsoku/>
        <w:wordWrap/>
        <w:overflowPunct/>
        <w:topLinePunct w:val="0"/>
        <w:bidi w:val="0"/>
        <w:spacing w:line="500" w:lineRule="exact"/>
        <w:ind w:left="0" w:leftChars="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招标人在确定中标人之日起3日内，按照投标人须知前附表规定的公告媒介和期限公告中标结果，公告期不得少于</w:t>
      </w:r>
      <w:r>
        <w:rPr>
          <w:rFonts w:hint="eastAsia" w:ascii="宋体" w:hAnsi="宋体" w:cs="宋体"/>
          <w:color w:val="auto"/>
          <w:highlight w:val="none"/>
          <w:lang w:val="en-US" w:eastAsia="zh-CN"/>
        </w:rPr>
        <w:t>1</w:t>
      </w:r>
      <w:r>
        <w:rPr>
          <w:rFonts w:hint="eastAsia" w:ascii="宋体" w:hAnsi="宋体" w:cs="宋体"/>
          <w:color w:val="auto"/>
          <w:highlight w:val="none"/>
        </w:rPr>
        <w:t>日。公告内容包括中标人名称、中标价。</w:t>
      </w:r>
    </w:p>
    <w:p w14:paraId="24041935">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59" w:name="_Toc22737"/>
      <w:r>
        <w:rPr>
          <w:rFonts w:ascii="宋体" w:hAnsi="宋体" w:eastAsia="宋体" w:cs="宋体"/>
          <w:b/>
          <w:bCs/>
          <w:color w:val="auto"/>
          <w:spacing w:val="-6"/>
          <w:sz w:val="24"/>
          <w:szCs w:val="24"/>
          <w:highlight w:val="none"/>
        </w:rPr>
        <w:t>7.</w:t>
      </w:r>
      <w:r>
        <w:rPr>
          <w:rFonts w:hint="eastAsia" w:ascii="宋体" w:hAnsi="宋体" w:eastAsia="宋体" w:cs="宋体"/>
          <w:b/>
          <w:bCs/>
          <w:color w:val="auto"/>
          <w:spacing w:val="-6"/>
          <w:sz w:val="24"/>
          <w:szCs w:val="24"/>
          <w:highlight w:val="none"/>
          <w:lang w:val="en-US" w:eastAsia="zh-CN"/>
        </w:rPr>
        <w:t>8</w:t>
      </w:r>
      <w:r>
        <w:rPr>
          <w:rFonts w:ascii="宋体" w:hAnsi="宋体" w:eastAsia="宋体" w:cs="宋体"/>
          <w:color w:val="auto"/>
          <w:spacing w:val="21"/>
          <w:sz w:val="24"/>
          <w:szCs w:val="24"/>
          <w:highlight w:val="none"/>
        </w:rPr>
        <w:t xml:space="preserve"> </w:t>
      </w:r>
      <w:r>
        <w:rPr>
          <w:rFonts w:ascii="宋体" w:hAnsi="宋体" w:eastAsia="宋体" w:cs="宋体"/>
          <w:b/>
          <w:bCs/>
          <w:color w:val="auto"/>
          <w:spacing w:val="-6"/>
          <w:sz w:val="24"/>
          <w:szCs w:val="24"/>
          <w:highlight w:val="none"/>
        </w:rPr>
        <w:t>履约保证金</w:t>
      </w:r>
      <w:bookmarkEnd w:id="252"/>
      <w:bookmarkEnd w:id="253"/>
      <w:bookmarkEnd w:id="254"/>
      <w:bookmarkEnd w:id="259"/>
    </w:p>
    <w:p w14:paraId="068CB880">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hint="eastAsia" w:ascii="宋体" w:hAnsi="宋体" w:eastAsia="宋体" w:cs="宋体"/>
          <w:color w:val="auto"/>
          <w:spacing w:val="5"/>
          <w:sz w:val="24"/>
          <w:szCs w:val="24"/>
          <w:highlight w:val="none"/>
          <w:lang w:val="en-US" w:eastAsia="zh-CN"/>
        </w:rPr>
        <w:t>8</w:t>
      </w:r>
      <w:r>
        <w:rPr>
          <w:rFonts w:ascii="宋体" w:hAnsi="宋体" w:eastAsia="宋体" w:cs="宋体"/>
          <w:color w:val="auto"/>
          <w:spacing w:val="5"/>
          <w:sz w:val="24"/>
          <w:szCs w:val="24"/>
          <w:highlight w:val="none"/>
        </w:rPr>
        <w:t>.1 在签订合同前，中标人应按投标人须知</w:t>
      </w:r>
      <w:r>
        <w:rPr>
          <w:rFonts w:ascii="宋体" w:hAnsi="宋体" w:eastAsia="宋体" w:cs="宋体"/>
          <w:color w:val="auto"/>
          <w:spacing w:val="4"/>
          <w:sz w:val="24"/>
          <w:szCs w:val="24"/>
          <w:highlight w:val="none"/>
        </w:rPr>
        <w:t>前附表规定的形式、金额和招标文件第四章“合同条款及格式</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”规定的或事先经过招标人书面认可的履约保</w:t>
      </w:r>
      <w:r>
        <w:rPr>
          <w:rFonts w:ascii="宋体" w:hAnsi="宋体" w:eastAsia="宋体" w:cs="宋体"/>
          <w:color w:val="auto"/>
          <w:spacing w:val="3"/>
          <w:sz w:val="24"/>
          <w:szCs w:val="24"/>
          <w:highlight w:val="none"/>
        </w:rPr>
        <w:t>证金格式向</w:t>
      </w:r>
      <w:r>
        <w:rPr>
          <w:rFonts w:ascii="宋体" w:hAnsi="宋体" w:eastAsia="宋体" w:cs="宋体"/>
          <w:color w:val="auto"/>
          <w:spacing w:val="5"/>
          <w:sz w:val="24"/>
          <w:szCs w:val="24"/>
          <w:highlight w:val="none"/>
        </w:rPr>
        <w:t>招标人提交履约保证金。除投标人须知前附表另有规定外，履约保证金为签约</w:t>
      </w:r>
      <w:r>
        <w:rPr>
          <w:rFonts w:ascii="宋体" w:hAnsi="宋体" w:eastAsia="宋体" w:cs="宋体"/>
          <w:color w:val="auto"/>
          <w:spacing w:val="4"/>
          <w:sz w:val="24"/>
          <w:szCs w:val="24"/>
          <w:highlight w:val="none"/>
        </w:rPr>
        <w:t>合同价</w:t>
      </w:r>
      <w:r>
        <w:rPr>
          <w:rFonts w:ascii="宋体" w:hAnsi="宋体" w:eastAsia="宋体" w:cs="宋体"/>
          <w:color w:val="auto"/>
          <w:spacing w:val="-1"/>
          <w:sz w:val="24"/>
          <w:szCs w:val="24"/>
          <w:highlight w:val="none"/>
        </w:rPr>
        <w:t>的</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10%。联合体中标的，其履约保证金以联合体各方或联合体中牵头人的名义提交。</w:t>
      </w:r>
    </w:p>
    <w:p w14:paraId="50CC06E6">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5"/>
          <w:sz w:val="24"/>
          <w:szCs w:val="24"/>
          <w:highlight w:val="none"/>
        </w:rPr>
        <w:t>采用银行保函时，应由符合投标人须知前附表规定级别的银行开具，所需的费用</w:t>
      </w:r>
      <w:r>
        <w:rPr>
          <w:rFonts w:ascii="宋体" w:hAnsi="宋体" w:eastAsia="宋体" w:cs="宋体"/>
          <w:color w:val="auto"/>
          <w:spacing w:val="-2"/>
          <w:sz w:val="24"/>
          <w:szCs w:val="24"/>
          <w:highlight w:val="none"/>
        </w:rPr>
        <w:t>由中标人承担，中标人应保证银行保函有效。</w:t>
      </w:r>
    </w:p>
    <w:p w14:paraId="6767C6A8">
      <w:pPr>
        <w:keepNext w:val="0"/>
        <w:keepLines w:val="0"/>
        <w:pageBreakBefore w:val="0"/>
        <w:wordWrap/>
        <w:overflowPunct/>
        <w:topLinePunct w:val="0"/>
        <w:bidi w:val="0"/>
        <w:spacing w:line="500" w:lineRule="exact"/>
        <w:ind w:left="0" w:leftChars="0" w:right="0" w:firstLine="488"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w:t>
      </w:r>
      <w:r>
        <w:rPr>
          <w:rFonts w:hint="eastAsia" w:ascii="宋体" w:hAnsi="宋体" w:eastAsia="宋体" w:cs="宋体"/>
          <w:color w:val="auto"/>
          <w:spacing w:val="2"/>
          <w:sz w:val="24"/>
          <w:szCs w:val="24"/>
          <w:highlight w:val="none"/>
          <w:lang w:val="en-US" w:eastAsia="zh-CN"/>
        </w:rPr>
        <w:t>8</w:t>
      </w:r>
      <w:r>
        <w:rPr>
          <w:rFonts w:ascii="宋体" w:hAnsi="宋体" w:eastAsia="宋体" w:cs="宋体"/>
          <w:color w:val="auto"/>
          <w:spacing w:val="2"/>
          <w:sz w:val="24"/>
          <w:szCs w:val="24"/>
          <w:highlight w:val="none"/>
        </w:rPr>
        <w:t>.2</w:t>
      </w:r>
      <w:r>
        <w:rPr>
          <w:rFonts w:ascii="宋体" w:hAnsi="宋体" w:eastAsia="宋体" w:cs="宋体"/>
          <w:color w:val="auto"/>
          <w:spacing w:val="57"/>
          <w:sz w:val="24"/>
          <w:szCs w:val="24"/>
          <w:highlight w:val="none"/>
        </w:rPr>
        <w:t xml:space="preserve"> </w:t>
      </w:r>
      <w:r>
        <w:rPr>
          <w:rFonts w:ascii="宋体" w:hAnsi="宋体" w:eastAsia="宋体" w:cs="宋体"/>
          <w:color w:val="auto"/>
          <w:spacing w:val="2"/>
          <w:sz w:val="24"/>
          <w:szCs w:val="24"/>
          <w:highlight w:val="none"/>
        </w:rPr>
        <w:t>中标人不能按本章第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7.</w:t>
      </w:r>
      <w:r>
        <w:rPr>
          <w:rFonts w:hint="eastAsia" w:ascii="宋体" w:hAnsi="宋体" w:eastAsia="宋体" w:cs="宋体"/>
          <w:color w:val="auto"/>
          <w:spacing w:val="2"/>
          <w:sz w:val="24"/>
          <w:szCs w:val="24"/>
          <w:highlight w:val="none"/>
          <w:lang w:val="en-US" w:eastAsia="zh-CN"/>
        </w:rPr>
        <w:t>8</w:t>
      </w:r>
      <w:r>
        <w:rPr>
          <w:rFonts w:ascii="宋体" w:hAnsi="宋体" w:eastAsia="宋体" w:cs="宋体"/>
          <w:color w:val="auto"/>
          <w:spacing w:val="2"/>
          <w:sz w:val="24"/>
          <w:szCs w:val="24"/>
          <w:highlight w:val="none"/>
        </w:rPr>
        <w:t>.1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项要求提交履约保证金的，视为放弃中标，其</w:t>
      </w:r>
      <w:r>
        <w:rPr>
          <w:rFonts w:ascii="宋体" w:hAnsi="宋体" w:eastAsia="宋体" w:cs="宋体"/>
          <w:color w:val="auto"/>
          <w:spacing w:val="5"/>
          <w:sz w:val="24"/>
          <w:szCs w:val="24"/>
          <w:highlight w:val="none"/>
        </w:rPr>
        <w:t>投标保证金不予退还，给招标人造成的损失超过投标保证金数额的，中标人还</w:t>
      </w:r>
      <w:r>
        <w:rPr>
          <w:rFonts w:ascii="宋体" w:hAnsi="宋体" w:eastAsia="宋体" w:cs="宋体"/>
          <w:color w:val="auto"/>
          <w:spacing w:val="4"/>
          <w:sz w:val="24"/>
          <w:szCs w:val="24"/>
          <w:highlight w:val="none"/>
        </w:rPr>
        <w:t>应当对</w:t>
      </w:r>
      <w:r>
        <w:rPr>
          <w:rFonts w:ascii="宋体" w:hAnsi="宋体" w:eastAsia="宋体" w:cs="宋体"/>
          <w:color w:val="auto"/>
          <w:spacing w:val="-1"/>
          <w:sz w:val="24"/>
          <w:szCs w:val="24"/>
          <w:highlight w:val="none"/>
        </w:rPr>
        <w:t>超过部分予以赔偿。</w:t>
      </w:r>
    </w:p>
    <w:p w14:paraId="3391495A">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60" w:name="_Toc540"/>
      <w:bookmarkStart w:id="261" w:name="_Toc506"/>
      <w:bookmarkStart w:id="262" w:name="_Toc13207"/>
      <w:bookmarkStart w:id="263" w:name="_Toc24081"/>
      <w:r>
        <w:rPr>
          <w:rFonts w:ascii="宋体" w:hAnsi="宋体" w:eastAsia="宋体" w:cs="宋体"/>
          <w:b/>
          <w:bCs/>
          <w:color w:val="auto"/>
          <w:spacing w:val="-6"/>
          <w:sz w:val="24"/>
          <w:szCs w:val="24"/>
          <w:highlight w:val="none"/>
        </w:rPr>
        <w:t>7.</w:t>
      </w:r>
      <w:r>
        <w:rPr>
          <w:rFonts w:hint="eastAsia" w:ascii="宋体" w:hAnsi="宋体" w:eastAsia="宋体" w:cs="宋体"/>
          <w:b/>
          <w:bCs/>
          <w:color w:val="auto"/>
          <w:spacing w:val="-6"/>
          <w:sz w:val="24"/>
          <w:szCs w:val="24"/>
          <w:highlight w:val="none"/>
          <w:lang w:val="en-US" w:eastAsia="zh-CN"/>
        </w:rPr>
        <w:t>9</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6"/>
          <w:sz w:val="24"/>
          <w:szCs w:val="24"/>
          <w:highlight w:val="none"/>
        </w:rPr>
        <w:t>签订合同</w:t>
      </w:r>
      <w:bookmarkEnd w:id="260"/>
      <w:bookmarkEnd w:id="261"/>
      <w:bookmarkEnd w:id="262"/>
      <w:bookmarkEnd w:id="263"/>
    </w:p>
    <w:p w14:paraId="2A0F22A8">
      <w:pPr>
        <w:keepNext w:val="0"/>
        <w:keepLines w:val="0"/>
        <w:pageBreakBefore w:val="0"/>
        <w:wordWrap/>
        <w:overflowPunct/>
        <w:topLinePunct w:val="0"/>
        <w:bidi w:val="0"/>
        <w:spacing w:line="500" w:lineRule="exact"/>
        <w:ind w:left="0" w:leftChars="0" w:righ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val="en-US" w:eastAsia="zh-CN"/>
        </w:rPr>
        <w:t>9</w:t>
      </w:r>
      <w:r>
        <w:rPr>
          <w:rFonts w:ascii="宋体" w:hAnsi="宋体" w:eastAsia="宋体" w:cs="宋体"/>
          <w:color w:val="auto"/>
          <w:spacing w:val="1"/>
          <w:sz w:val="24"/>
          <w:szCs w:val="24"/>
          <w:highlight w:val="none"/>
        </w:rPr>
        <w:t>.1  根据《公路工程建设项目招标投标管理办法》第五十七条规定，招标人和</w:t>
      </w:r>
      <w:r>
        <w:rPr>
          <w:rFonts w:ascii="宋体" w:hAnsi="宋体" w:eastAsia="宋体" w:cs="宋体"/>
          <w:color w:val="auto"/>
          <w:sz w:val="24"/>
          <w:szCs w:val="24"/>
          <w:highlight w:val="none"/>
        </w:rPr>
        <w:t>中标人应在中标通知书发出之日起</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30 日内，根据招标</w:t>
      </w:r>
      <w:r>
        <w:rPr>
          <w:rFonts w:ascii="宋体" w:hAnsi="宋体" w:eastAsia="宋体" w:cs="宋体"/>
          <w:color w:val="auto"/>
          <w:spacing w:val="-1"/>
          <w:sz w:val="24"/>
          <w:szCs w:val="24"/>
          <w:highlight w:val="none"/>
        </w:rPr>
        <w:t>文件和中标人的投标文件订立合</w:t>
      </w:r>
      <w:r>
        <w:rPr>
          <w:rFonts w:ascii="宋体" w:hAnsi="宋体" w:eastAsia="宋体" w:cs="宋体"/>
          <w:color w:val="auto"/>
          <w:spacing w:val="5"/>
          <w:sz w:val="24"/>
          <w:szCs w:val="24"/>
          <w:highlight w:val="none"/>
        </w:rPr>
        <w:t>同。中标人无正当理由拒签合同，在签订合同时向招标人提出附加条件，</w:t>
      </w:r>
      <w:r>
        <w:rPr>
          <w:rFonts w:ascii="宋体" w:hAnsi="宋体" w:eastAsia="宋体" w:cs="宋体"/>
          <w:color w:val="auto"/>
          <w:spacing w:val="4"/>
          <w:sz w:val="24"/>
          <w:szCs w:val="24"/>
          <w:highlight w:val="none"/>
        </w:rPr>
        <w:t>或不按照招</w:t>
      </w:r>
      <w:r>
        <w:rPr>
          <w:rFonts w:ascii="宋体" w:hAnsi="宋体" w:eastAsia="宋体" w:cs="宋体"/>
          <w:color w:val="auto"/>
          <w:spacing w:val="-2"/>
          <w:sz w:val="24"/>
          <w:szCs w:val="24"/>
          <w:highlight w:val="none"/>
        </w:rPr>
        <w:t>标文件要求提交履约保证金的，招标人有权取消其中标资格，其投标保证金不予退还；</w:t>
      </w:r>
      <w:r>
        <w:rPr>
          <w:rFonts w:ascii="宋体" w:hAnsi="宋体" w:eastAsia="宋体" w:cs="宋体"/>
          <w:color w:val="auto"/>
          <w:sz w:val="24"/>
          <w:szCs w:val="24"/>
          <w:highlight w:val="none"/>
        </w:rPr>
        <w:t>给招标人造成的损失超过投标保证金数额的，中标人</w:t>
      </w:r>
      <w:r>
        <w:rPr>
          <w:rFonts w:ascii="宋体" w:hAnsi="宋体" w:eastAsia="宋体" w:cs="宋体"/>
          <w:color w:val="auto"/>
          <w:spacing w:val="-1"/>
          <w:sz w:val="24"/>
          <w:szCs w:val="24"/>
          <w:highlight w:val="none"/>
        </w:rPr>
        <w:t>还应对超过部分予以赔偿。</w:t>
      </w:r>
    </w:p>
    <w:p w14:paraId="22D07C56">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hint="eastAsia" w:ascii="宋体" w:hAnsi="宋体" w:eastAsia="宋体" w:cs="宋体"/>
          <w:color w:val="auto"/>
          <w:spacing w:val="5"/>
          <w:sz w:val="24"/>
          <w:szCs w:val="24"/>
          <w:highlight w:val="none"/>
          <w:lang w:val="en-US" w:eastAsia="zh-CN"/>
        </w:rPr>
        <w:t>9</w:t>
      </w:r>
      <w:r>
        <w:rPr>
          <w:rFonts w:ascii="宋体" w:hAnsi="宋体" w:eastAsia="宋体" w:cs="宋体"/>
          <w:color w:val="auto"/>
          <w:spacing w:val="5"/>
          <w:sz w:val="24"/>
          <w:szCs w:val="24"/>
          <w:highlight w:val="none"/>
        </w:rPr>
        <w:t>.2 发出中标通知书后，招标人无正当理由</w:t>
      </w:r>
      <w:r>
        <w:rPr>
          <w:rFonts w:ascii="宋体" w:hAnsi="宋体" w:eastAsia="宋体" w:cs="宋体"/>
          <w:color w:val="auto"/>
          <w:spacing w:val="4"/>
          <w:sz w:val="24"/>
          <w:szCs w:val="24"/>
          <w:highlight w:val="none"/>
        </w:rPr>
        <w:t>拒签合同，或在签订合同时向中标</w:t>
      </w:r>
      <w:r>
        <w:rPr>
          <w:rFonts w:ascii="宋体" w:hAnsi="宋体" w:eastAsia="宋体" w:cs="宋体"/>
          <w:color w:val="auto"/>
          <w:spacing w:val="5"/>
          <w:sz w:val="24"/>
          <w:szCs w:val="24"/>
          <w:highlight w:val="none"/>
        </w:rPr>
        <w:t>人提出附加条件的，招标人向中标人退还投标保证金；给中标人造成损失的，</w:t>
      </w:r>
      <w:r>
        <w:rPr>
          <w:rFonts w:ascii="宋体" w:hAnsi="宋体" w:eastAsia="宋体" w:cs="宋体"/>
          <w:color w:val="auto"/>
          <w:spacing w:val="4"/>
          <w:sz w:val="24"/>
          <w:szCs w:val="24"/>
          <w:highlight w:val="none"/>
        </w:rPr>
        <w:t>还应赔</w:t>
      </w:r>
      <w:r>
        <w:rPr>
          <w:rFonts w:ascii="宋体" w:hAnsi="宋体" w:eastAsia="宋体" w:cs="宋体"/>
          <w:color w:val="auto"/>
          <w:spacing w:val="-3"/>
          <w:sz w:val="24"/>
          <w:szCs w:val="24"/>
          <w:highlight w:val="none"/>
        </w:rPr>
        <w:t>偿损失。</w:t>
      </w:r>
    </w:p>
    <w:p w14:paraId="0CD78A2B">
      <w:pPr>
        <w:keepNext w:val="0"/>
        <w:keepLines w:val="0"/>
        <w:pageBreakBefore w:val="0"/>
        <w:wordWrap/>
        <w:overflowPunct/>
        <w:topLinePunct w:val="0"/>
        <w:bidi w:val="0"/>
        <w:spacing w:line="500" w:lineRule="exact"/>
        <w:ind w:left="0" w:leftChars="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w:t>
      </w:r>
      <w:r>
        <w:rPr>
          <w:rFonts w:hint="eastAsia" w:ascii="宋体" w:hAnsi="宋体" w:eastAsia="宋体" w:cs="宋体"/>
          <w:color w:val="auto"/>
          <w:spacing w:val="-1"/>
          <w:sz w:val="24"/>
          <w:szCs w:val="24"/>
          <w:highlight w:val="none"/>
          <w:lang w:val="en-US" w:eastAsia="zh-CN"/>
        </w:rPr>
        <w:t>9</w:t>
      </w:r>
      <w:r>
        <w:rPr>
          <w:rFonts w:ascii="宋体" w:hAnsi="宋体" w:eastAsia="宋体" w:cs="宋体"/>
          <w:color w:val="auto"/>
          <w:spacing w:val="-1"/>
          <w:sz w:val="24"/>
          <w:szCs w:val="24"/>
          <w:highlight w:val="none"/>
        </w:rPr>
        <w:t>.3 签约合同价的确定原则如下：</w:t>
      </w:r>
    </w:p>
    <w:p w14:paraId="25963C2D">
      <w:pPr>
        <w:keepNext w:val="0"/>
        <w:keepLines w:val="0"/>
        <w:pageBreakBefore w:val="0"/>
        <w:wordWrap/>
        <w:overflowPunct/>
        <w:topLinePunct w:val="0"/>
        <w:bidi w:val="0"/>
        <w:spacing w:line="500" w:lineRule="exact"/>
        <w:ind w:left="0" w:leftChars="0" w:right="0" w:firstLine="476"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（1）按照评标办法规定对投标报价进行修正后，若修正后的最终投标报价小于开标时的投标函大写金额报价，则签订合同时以修正后的最终投标报价为准；</w:t>
      </w:r>
    </w:p>
    <w:p w14:paraId="4DBEF428">
      <w:pPr>
        <w:keepNext w:val="0"/>
        <w:keepLines w:val="0"/>
        <w:pageBreakBefore w:val="0"/>
        <w:wordWrap/>
        <w:overflowPunct/>
        <w:topLinePunct w:val="0"/>
        <w:bidi w:val="0"/>
        <w:spacing w:line="500" w:lineRule="exact"/>
        <w:ind w:left="0" w:leftChars="0" w:right="0" w:firstLine="476" w:firstLineChars="200"/>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0345620F">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hint="eastAsia" w:ascii="宋体" w:hAnsi="宋体" w:eastAsia="宋体" w:cs="宋体"/>
          <w:color w:val="auto"/>
          <w:spacing w:val="5"/>
          <w:sz w:val="24"/>
          <w:szCs w:val="24"/>
          <w:highlight w:val="none"/>
          <w:lang w:val="en-US" w:eastAsia="zh-CN"/>
        </w:rPr>
        <w:t>9</w:t>
      </w:r>
      <w:r>
        <w:rPr>
          <w:rFonts w:ascii="宋体" w:hAnsi="宋体" w:eastAsia="宋体" w:cs="宋体"/>
          <w:color w:val="auto"/>
          <w:spacing w:val="5"/>
          <w:sz w:val="24"/>
          <w:szCs w:val="24"/>
          <w:highlight w:val="none"/>
        </w:rPr>
        <w:t>.4 联合体中标的，联合体各方应共同与招</w:t>
      </w:r>
      <w:r>
        <w:rPr>
          <w:rFonts w:ascii="宋体" w:hAnsi="宋体" w:eastAsia="宋体" w:cs="宋体"/>
          <w:color w:val="auto"/>
          <w:spacing w:val="4"/>
          <w:sz w:val="24"/>
          <w:szCs w:val="24"/>
          <w:highlight w:val="none"/>
        </w:rPr>
        <w:t>标人签订合同，就中标项目向招标</w:t>
      </w:r>
      <w:r>
        <w:rPr>
          <w:rFonts w:ascii="宋体" w:hAnsi="宋体" w:eastAsia="宋体" w:cs="宋体"/>
          <w:color w:val="auto"/>
          <w:spacing w:val="-2"/>
          <w:sz w:val="24"/>
          <w:szCs w:val="24"/>
          <w:highlight w:val="none"/>
        </w:rPr>
        <w:t>人承担连带责任。</w:t>
      </w:r>
    </w:p>
    <w:p w14:paraId="22AD6DD3">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hint="eastAsia" w:ascii="宋体" w:hAnsi="宋体" w:eastAsia="宋体" w:cs="宋体"/>
          <w:color w:val="auto"/>
          <w:spacing w:val="5"/>
          <w:sz w:val="24"/>
          <w:szCs w:val="24"/>
          <w:highlight w:val="none"/>
          <w:lang w:val="en-US" w:eastAsia="zh-CN"/>
        </w:rPr>
        <w:t>9</w:t>
      </w:r>
      <w:r>
        <w:rPr>
          <w:rFonts w:ascii="宋体" w:hAnsi="宋体" w:eastAsia="宋体" w:cs="宋体"/>
          <w:color w:val="auto"/>
          <w:spacing w:val="5"/>
          <w:sz w:val="24"/>
          <w:szCs w:val="24"/>
          <w:highlight w:val="none"/>
        </w:rPr>
        <w:t>.5 招标人和中标人在签订合同协议书的同</w:t>
      </w:r>
      <w:r>
        <w:rPr>
          <w:rFonts w:ascii="宋体" w:hAnsi="宋体" w:eastAsia="宋体" w:cs="宋体"/>
          <w:color w:val="auto"/>
          <w:spacing w:val="4"/>
          <w:sz w:val="24"/>
          <w:szCs w:val="24"/>
          <w:highlight w:val="none"/>
        </w:rPr>
        <w:t>时，须按照本招标文件规定的格式</w:t>
      </w:r>
      <w:r>
        <w:rPr>
          <w:rFonts w:ascii="宋体" w:hAnsi="宋体" w:eastAsia="宋体" w:cs="宋体"/>
          <w:color w:val="auto"/>
          <w:spacing w:val="-1"/>
          <w:sz w:val="24"/>
          <w:szCs w:val="24"/>
          <w:highlight w:val="none"/>
        </w:rPr>
        <w:t>和要求签订廉政合同，明确双方在廉政建设方面的权利</w:t>
      </w:r>
      <w:r>
        <w:rPr>
          <w:rFonts w:ascii="宋体" w:hAnsi="宋体" w:eastAsia="宋体" w:cs="宋体"/>
          <w:color w:val="auto"/>
          <w:spacing w:val="-2"/>
          <w:sz w:val="24"/>
          <w:szCs w:val="24"/>
          <w:highlight w:val="none"/>
        </w:rPr>
        <w:t>和义务以及应承担的违约责任。</w:t>
      </w:r>
    </w:p>
    <w:p w14:paraId="4264B70F">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264" w:name="_Toc15432"/>
      <w:bookmarkStart w:id="265" w:name="_Toc3854"/>
      <w:r>
        <w:rPr>
          <w:rFonts w:ascii="宋体" w:hAnsi="宋体" w:eastAsia="宋体" w:cs="宋体"/>
          <w:b/>
          <w:bCs/>
          <w:color w:val="auto"/>
          <w:spacing w:val="-7"/>
          <w:sz w:val="28"/>
          <w:szCs w:val="28"/>
          <w:highlight w:val="none"/>
        </w:rPr>
        <w:t>8.</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7"/>
          <w:sz w:val="28"/>
          <w:szCs w:val="28"/>
          <w:highlight w:val="none"/>
        </w:rPr>
        <w:t>纪律和监督</w:t>
      </w:r>
      <w:bookmarkEnd w:id="264"/>
      <w:bookmarkEnd w:id="265"/>
    </w:p>
    <w:p w14:paraId="04B491D9">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66" w:name="_Toc7454"/>
      <w:bookmarkStart w:id="267" w:name="_Toc5392"/>
      <w:bookmarkStart w:id="268" w:name="_Toc32182"/>
      <w:bookmarkStart w:id="269" w:name="_Toc12176"/>
      <w:r>
        <w:rPr>
          <w:rFonts w:ascii="宋体" w:hAnsi="宋体" w:eastAsia="宋体" w:cs="宋体"/>
          <w:b/>
          <w:bCs/>
          <w:color w:val="auto"/>
          <w:spacing w:val="-3"/>
          <w:sz w:val="24"/>
          <w:szCs w:val="24"/>
          <w:highlight w:val="none"/>
        </w:rPr>
        <w:t>8.1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对招标人的纪律要求</w:t>
      </w:r>
      <w:bookmarkEnd w:id="266"/>
      <w:bookmarkEnd w:id="267"/>
      <w:bookmarkEnd w:id="268"/>
      <w:bookmarkEnd w:id="269"/>
    </w:p>
    <w:p w14:paraId="5E0C84B1">
      <w:pPr>
        <w:keepNext w:val="0"/>
        <w:keepLines w:val="0"/>
        <w:pageBreakBefore w:val="0"/>
        <w:wordWrap/>
        <w:overflowPunct/>
        <w:topLinePunct w:val="0"/>
        <w:bidi w:val="0"/>
        <w:spacing w:line="500" w:lineRule="exact"/>
        <w:ind w:left="0" w:leftChars="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招标人不得泄露招标投标活动中应保密的情况和资料，不得与投标人串通损害国</w:t>
      </w:r>
      <w:r>
        <w:rPr>
          <w:rFonts w:ascii="宋体" w:hAnsi="宋体" w:eastAsia="宋体" w:cs="宋体"/>
          <w:color w:val="auto"/>
          <w:spacing w:val="-1"/>
          <w:sz w:val="24"/>
          <w:szCs w:val="24"/>
          <w:highlight w:val="none"/>
        </w:rPr>
        <w:t>家利益、社会公共利益或者他人合法权益。</w:t>
      </w:r>
    </w:p>
    <w:p w14:paraId="2639997F">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70" w:name="_Toc29567"/>
      <w:bookmarkStart w:id="271" w:name="_Toc15408"/>
      <w:bookmarkStart w:id="272" w:name="_Toc26254"/>
      <w:bookmarkStart w:id="273" w:name="_Toc3915"/>
      <w:r>
        <w:rPr>
          <w:rFonts w:ascii="宋体" w:hAnsi="宋体" w:eastAsia="宋体" w:cs="宋体"/>
          <w:b/>
          <w:bCs/>
          <w:color w:val="auto"/>
          <w:spacing w:val="-3"/>
          <w:sz w:val="24"/>
          <w:szCs w:val="24"/>
          <w:highlight w:val="none"/>
        </w:rPr>
        <w:t>8.2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对投标人的纪律要求</w:t>
      </w:r>
      <w:bookmarkEnd w:id="270"/>
      <w:bookmarkEnd w:id="271"/>
      <w:bookmarkEnd w:id="272"/>
      <w:bookmarkEnd w:id="273"/>
    </w:p>
    <w:p w14:paraId="12853012">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投标人不得相互串通投标或与招标人串通投标，不得向招标人或评标委员会成员行贿谋取中标，不得以他人名义投标或以其他方式弄虚作假骗取中标；投标人</w:t>
      </w:r>
      <w:r>
        <w:rPr>
          <w:rFonts w:ascii="宋体" w:hAnsi="宋体" w:eastAsia="宋体" w:cs="宋体"/>
          <w:color w:val="auto"/>
          <w:spacing w:val="4"/>
          <w:sz w:val="24"/>
          <w:szCs w:val="24"/>
          <w:highlight w:val="none"/>
        </w:rPr>
        <w:t>不得以</w:t>
      </w:r>
      <w:r>
        <w:rPr>
          <w:rFonts w:ascii="宋体" w:hAnsi="宋体" w:eastAsia="宋体" w:cs="宋体"/>
          <w:color w:val="auto"/>
          <w:spacing w:val="-1"/>
          <w:sz w:val="24"/>
          <w:szCs w:val="24"/>
          <w:highlight w:val="none"/>
        </w:rPr>
        <w:t>任何方式干扰、影响评标工作。</w:t>
      </w:r>
    </w:p>
    <w:p w14:paraId="59AF9E95">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74" w:name="_Toc13230"/>
      <w:bookmarkStart w:id="275" w:name="_Toc15026"/>
      <w:bookmarkStart w:id="276" w:name="_Toc31795"/>
      <w:bookmarkStart w:id="277" w:name="_Toc23985"/>
      <w:bookmarkStart w:id="278" w:name="_Toc8423"/>
      <w:bookmarkStart w:id="279" w:name="_Toc9326"/>
      <w:bookmarkStart w:id="280" w:name="_Toc31998"/>
      <w:r>
        <w:rPr>
          <w:rFonts w:hint="eastAsia" w:ascii="宋体" w:hAnsi="宋体" w:cs="宋体"/>
          <w:color w:val="auto"/>
          <w:highlight w:val="none"/>
        </w:rPr>
        <w:t>8.3 对评标委员会成员的纪律要求</w:t>
      </w:r>
      <w:bookmarkEnd w:id="274"/>
      <w:bookmarkEnd w:id="275"/>
      <w:bookmarkEnd w:id="276"/>
      <w:bookmarkEnd w:id="277"/>
    </w:p>
    <w:p w14:paraId="17BE017C">
      <w:pPr>
        <w:pStyle w:val="25"/>
        <w:keepNext w:val="0"/>
        <w:keepLines w:val="0"/>
        <w:pageBreakBefore w:val="0"/>
        <w:kinsoku/>
        <w:wordWrap/>
        <w:overflowPunct/>
        <w:topLinePunct w:val="0"/>
        <w:bidi w:val="0"/>
        <w:spacing w:line="500" w:lineRule="exact"/>
        <w:ind w:left="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w:t>
      </w:r>
      <w:r>
        <w:rPr>
          <w:rFonts w:hint="eastAsia" w:ascii="宋体" w:hAnsi="宋体" w:cs="宋体"/>
          <w:color w:val="auto"/>
          <w:highlight w:val="none"/>
          <w:lang w:val="en-US" w:eastAsia="zh-CN"/>
        </w:rPr>
        <w:t>定标</w:t>
      </w:r>
      <w:r>
        <w:rPr>
          <w:rFonts w:hint="eastAsia" w:ascii="宋体" w:hAnsi="宋体" w:cs="宋体"/>
          <w:color w:val="auto"/>
          <w:highlight w:val="none"/>
        </w:rPr>
        <w:t>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09A1DD05">
      <w:pPr>
        <w:pStyle w:val="30"/>
        <w:keepNext w:val="0"/>
        <w:keepLines w:val="0"/>
        <w:pageBreakBefore w:val="0"/>
        <w:numPr>
          <w:ilvl w:val="0"/>
          <w:numId w:val="0"/>
        </w:numPr>
        <w:kinsoku/>
        <w:wordWrap/>
        <w:overflowPunct/>
        <w:topLinePunct w:val="0"/>
        <w:bidi w:val="0"/>
        <w:spacing w:line="500" w:lineRule="exact"/>
        <w:ind w:right="0"/>
        <w:jc w:val="both"/>
        <w:textAlignment w:val="auto"/>
        <w:rPr>
          <w:rFonts w:hint="eastAsia" w:ascii="宋体" w:hAnsi="宋体" w:cs="宋体"/>
          <w:color w:val="auto"/>
          <w:highlight w:val="none"/>
        </w:rPr>
      </w:pPr>
      <w:bookmarkStart w:id="281" w:name="_Toc22704"/>
      <w:bookmarkStart w:id="282" w:name="_Toc31858"/>
      <w:bookmarkStart w:id="283" w:name="_Toc20211"/>
      <w:bookmarkStart w:id="284" w:name="_Toc16084"/>
      <w:r>
        <w:rPr>
          <w:rFonts w:hint="eastAsia" w:ascii="宋体" w:hAnsi="宋体" w:cs="宋体"/>
          <w:color w:val="auto"/>
          <w:highlight w:val="none"/>
        </w:rPr>
        <w:t>8.</w:t>
      </w:r>
      <w:r>
        <w:rPr>
          <w:rFonts w:hint="eastAsia" w:ascii="宋体" w:hAnsi="宋体" w:cs="宋体"/>
          <w:color w:val="auto"/>
          <w:highlight w:val="none"/>
          <w:lang w:val="en-US" w:eastAsia="zh-CN"/>
        </w:rPr>
        <w:t>4</w:t>
      </w:r>
      <w:r>
        <w:rPr>
          <w:rFonts w:hint="eastAsia" w:ascii="宋体" w:hAnsi="宋体" w:cs="宋体"/>
          <w:color w:val="auto"/>
          <w:highlight w:val="none"/>
        </w:rPr>
        <w:t xml:space="preserve"> 对与评标活动有关的工作人员的纪律要求</w:t>
      </w:r>
      <w:bookmarkEnd w:id="281"/>
      <w:bookmarkEnd w:id="282"/>
      <w:bookmarkEnd w:id="283"/>
      <w:bookmarkEnd w:id="284"/>
    </w:p>
    <w:p w14:paraId="7569B26D">
      <w:pPr>
        <w:pStyle w:val="25"/>
        <w:keepNext w:val="0"/>
        <w:keepLines w:val="0"/>
        <w:pageBreakBefore w:val="0"/>
        <w:kinsoku/>
        <w:wordWrap/>
        <w:overflowPunct/>
        <w:topLinePunct w:val="0"/>
        <w:bidi w:val="0"/>
        <w:spacing w:line="500" w:lineRule="exact"/>
        <w:ind w:left="0" w:right="0"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w:t>
      </w:r>
      <w:r>
        <w:rPr>
          <w:rFonts w:hint="eastAsia" w:ascii="宋体" w:hAnsi="宋体" w:eastAsia="宋体" w:cs="宋体"/>
          <w:color w:val="auto"/>
          <w:highlight w:val="none"/>
          <w:lang w:val="en-US" w:eastAsia="zh-CN"/>
        </w:rPr>
        <w:t>定标</w:t>
      </w:r>
      <w:r>
        <w:rPr>
          <w:rFonts w:hint="eastAsia" w:ascii="宋体" w:hAnsi="宋体" w:cs="宋体"/>
          <w:color w:val="auto"/>
          <w:highlight w:val="none"/>
        </w:rPr>
        <w:t>候选人的推荐情况以及评标有关的其他情况。在评标活动中，与评标活动有关的工作人员不得擅离职守，影响评标程序正常进行。</w:t>
      </w:r>
    </w:p>
    <w:p w14:paraId="40E476E5">
      <w:pPr>
        <w:pStyle w:val="25"/>
        <w:keepNext w:val="0"/>
        <w:keepLines w:val="0"/>
        <w:pageBreakBefore w:val="0"/>
        <w:kinsoku/>
        <w:wordWrap/>
        <w:overflowPunct/>
        <w:topLinePunct w:val="0"/>
        <w:bidi w:val="0"/>
        <w:spacing w:line="500" w:lineRule="exact"/>
        <w:ind w:left="0" w:leftChars="0" w:right="0" w:firstLine="0" w:firstLineChars="0"/>
        <w:jc w:val="both"/>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8.5 </w:t>
      </w:r>
      <w:r>
        <w:rPr>
          <w:rFonts w:hint="eastAsia" w:ascii="宋体" w:hAnsi="宋体" w:cs="宋体"/>
          <w:b/>
          <w:bCs/>
          <w:color w:val="auto"/>
          <w:highlight w:val="none"/>
        </w:rPr>
        <w:t>对</w:t>
      </w:r>
      <w:r>
        <w:rPr>
          <w:rFonts w:hint="eastAsia" w:ascii="宋体" w:hAnsi="宋体" w:cs="宋体"/>
          <w:b/>
          <w:bCs/>
          <w:color w:val="auto"/>
          <w:highlight w:val="none"/>
          <w:lang w:val="en-US" w:eastAsia="zh-CN"/>
        </w:rPr>
        <w:t>定标</w:t>
      </w:r>
      <w:r>
        <w:rPr>
          <w:rFonts w:hint="eastAsia" w:ascii="宋体" w:hAnsi="宋体" w:cs="宋体"/>
          <w:b/>
          <w:bCs/>
          <w:color w:val="auto"/>
          <w:highlight w:val="none"/>
        </w:rPr>
        <w:t>委员会成员的纪律要求</w:t>
      </w:r>
    </w:p>
    <w:p w14:paraId="5973A7CB">
      <w:pPr>
        <w:pStyle w:val="28"/>
        <w:keepNext w:val="0"/>
        <w:keepLines w:val="0"/>
        <w:pageBreakBefore w:val="0"/>
        <w:kinsoku/>
        <w:wordWrap/>
        <w:overflowPunct/>
        <w:topLinePunct w:val="0"/>
        <w:bidi w:val="0"/>
        <w:spacing w:line="500" w:lineRule="exact"/>
        <w:ind w:left="0" w:right="0" w:firstLine="480" w:firstLineChars="200"/>
        <w:jc w:val="both"/>
        <w:textAlignment w:val="auto"/>
        <w:rPr>
          <w:rFonts w:hint="eastAsia" w:ascii="宋体" w:hAnsi="宋体" w:cs="宋体"/>
          <w:strike w:val="0"/>
          <w:dstrike w:val="0"/>
          <w:color w:val="auto"/>
          <w:highlight w:val="none"/>
        </w:rPr>
      </w:pPr>
      <w:r>
        <w:rPr>
          <w:rFonts w:hint="eastAsia" w:ascii="宋体" w:hAnsi="宋体" w:cs="宋体"/>
          <w:strike w:val="0"/>
          <w:dstrike w:val="0"/>
          <w:color w:val="auto"/>
          <w:highlight w:val="none"/>
          <w:lang w:val="en-US" w:eastAsia="zh-CN"/>
        </w:rPr>
        <w:t xml:space="preserve">8.5.1 </w:t>
      </w:r>
      <w:r>
        <w:rPr>
          <w:rFonts w:hint="eastAsia" w:ascii="宋体" w:hAnsi="宋体" w:cs="宋体"/>
          <w:strike w:val="0"/>
          <w:dstrike w:val="0"/>
          <w:color w:val="auto"/>
          <w:highlight w:val="none"/>
        </w:rPr>
        <w:t>定标委员会成员不得与任何定标候选人或者与招标结果有利害关系的人进行私下接触，不得收受定标候选人、中介人、其他利害关系人的财物或者其他好处，不得向招标人征询其确定中标候选人的意向。</w:t>
      </w:r>
    </w:p>
    <w:p w14:paraId="327BC92A">
      <w:pPr>
        <w:pStyle w:val="25"/>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480" w:firstLineChars="200"/>
        <w:jc w:val="both"/>
        <w:textAlignment w:val="auto"/>
        <w:rPr>
          <w:rFonts w:hint="eastAsia" w:ascii="宋体" w:hAnsi="宋体" w:cs="宋体"/>
          <w:strike w:val="0"/>
          <w:dstrike w:val="0"/>
          <w:color w:val="auto"/>
          <w:highlight w:val="none"/>
        </w:rPr>
      </w:pPr>
      <w:r>
        <w:rPr>
          <w:rFonts w:hint="eastAsia" w:ascii="宋体" w:hAnsi="宋体" w:cs="宋体"/>
          <w:color w:val="auto"/>
          <w:highlight w:val="none"/>
          <w:lang w:val="en-US" w:eastAsia="zh-CN"/>
        </w:rPr>
        <w:t xml:space="preserve">8.5.2 </w:t>
      </w:r>
      <w:r>
        <w:rPr>
          <w:rFonts w:hint="eastAsia" w:ascii="宋体" w:hAnsi="宋体" w:cs="宋体"/>
          <w:color w:val="auto"/>
          <w:highlight w:val="none"/>
        </w:rPr>
        <w:t>在</w:t>
      </w:r>
      <w:r>
        <w:rPr>
          <w:rFonts w:hint="eastAsia" w:ascii="宋体" w:hAnsi="宋体" w:cs="宋体"/>
          <w:color w:val="auto"/>
          <w:highlight w:val="none"/>
          <w:lang w:val="en-US" w:eastAsia="zh-CN"/>
        </w:rPr>
        <w:t>定标</w:t>
      </w:r>
      <w:r>
        <w:rPr>
          <w:rFonts w:hint="eastAsia" w:ascii="宋体" w:hAnsi="宋体" w:cs="宋体"/>
          <w:color w:val="auto"/>
          <w:highlight w:val="none"/>
        </w:rPr>
        <w:t>活动中，</w:t>
      </w:r>
      <w:r>
        <w:rPr>
          <w:rFonts w:hint="eastAsia" w:ascii="宋体" w:hAnsi="宋体" w:cs="宋体"/>
          <w:strike w:val="0"/>
          <w:dstrike w:val="0"/>
          <w:color w:val="auto"/>
          <w:highlight w:val="none"/>
        </w:rPr>
        <w:t>定标委员会成员应客观、公正地履行定标职责，</w:t>
      </w:r>
      <w:r>
        <w:rPr>
          <w:rFonts w:hint="eastAsia" w:ascii="宋体" w:hAnsi="宋体" w:cs="宋体"/>
          <w:color w:val="auto"/>
          <w:highlight w:val="none"/>
        </w:rPr>
        <w:t>不得擅离职守，影响评标程序正常进行，不得使用</w:t>
      </w:r>
      <w:r>
        <w:rPr>
          <w:rFonts w:hint="eastAsia" w:ascii="宋体" w:hAnsi="宋体" w:cs="宋体"/>
          <w:color w:val="auto"/>
          <w:highlight w:val="none"/>
          <w:lang w:val="en-US" w:eastAsia="zh-CN"/>
        </w:rPr>
        <w:t>定标办法</w:t>
      </w:r>
      <w:r>
        <w:rPr>
          <w:rFonts w:hint="eastAsia" w:ascii="宋体" w:hAnsi="宋体" w:cs="宋体"/>
          <w:color w:val="auto"/>
          <w:highlight w:val="none"/>
        </w:rPr>
        <w:t>没有规定的</w:t>
      </w:r>
      <w:r>
        <w:rPr>
          <w:rFonts w:hint="eastAsia" w:ascii="宋体" w:hAnsi="宋体" w:cs="宋体"/>
          <w:color w:val="auto"/>
          <w:highlight w:val="none"/>
          <w:lang w:val="en-US" w:eastAsia="zh-CN"/>
        </w:rPr>
        <w:t>定标</w:t>
      </w:r>
      <w:r>
        <w:rPr>
          <w:rFonts w:hint="eastAsia" w:ascii="宋体" w:hAnsi="宋体" w:cs="宋体"/>
          <w:color w:val="auto"/>
          <w:highlight w:val="none"/>
        </w:rPr>
        <w:t>因素和标准进行</w:t>
      </w:r>
      <w:r>
        <w:rPr>
          <w:rFonts w:hint="eastAsia" w:ascii="宋体" w:hAnsi="宋体" w:cs="宋体"/>
          <w:color w:val="auto"/>
          <w:highlight w:val="none"/>
          <w:lang w:val="en-US" w:eastAsia="zh-CN"/>
        </w:rPr>
        <w:t>定标</w:t>
      </w:r>
      <w:r>
        <w:rPr>
          <w:rFonts w:hint="eastAsia" w:ascii="宋体" w:hAnsi="宋体" w:cs="宋体"/>
          <w:color w:val="auto"/>
          <w:highlight w:val="none"/>
        </w:rPr>
        <w:t>。</w:t>
      </w:r>
      <w:r>
        <w:rPr>
          <w:rFonts w:hint="eastAsia" w:ascii="宋体" w:hAnsi="宋体" w:cs="宋体"/>
          <w:strike w:val="0"/>
          <w:dstrike w:val="0"/>
          <w:color w:val="auto"/>
          <w:highlight w:val="none"/>
        </w:rPr>
        <w:t>在未公示中标结果前，对定标过程和结果严格保密，对所提出的定标意见承担个人责任。</w:t>
      </w:r>
    </w:p>
    <w:p w14:paraId="22D9216E">
      <w:pPr>
        <w:pStyle w:val="25"/>
        <w:keepNext w:val="0"/>
        <w:keepLines w:val="0"/>
        <w:pageBreakBefore w:val="0"/>
        <w:kinsoku/>
        <w:wordWrap/>
        <w:overflowPunct/>
        <w:topLinePunct w:val="0"/>
        <w:bidi w:val="0"/>
        <w:spacing w:line="500" w:lineRule="exact"/>
        <w:ind w:left="0" w:leftChars="0" w:right="0" w:firstLine="0" w:firstLineChars="0"/>
        <w:jc w:val="both"/>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8.6 </w:t>
      </w:r>
      <w:r>
        <w:rPr>
          <w:rFonts w:hint="eastAsia" w:ascii="宋体" w:hAnsi="宋体" w:cs="宋体"/>
          <w:b/>
          <w:bCs/>
          <w:color w:val="auto"/>
          <w:highlight w:val="none"/>
        </w:rPr>
        <w:t>对招标监督小组的纪律要求</w:t>
      </w:r>
    </w:p>
    <w:p w14:paraId="5201BF54">
      <w:pPr>
        <w:pStyle w:val="2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8.6.1 招标监督小组的职责是对定标委员会的组建、定标过程及招标人在定标前的清标环节（如有）和对定标候选人的考察等进行全程监督，确保定标过程公平、公正。发现异常情况及时提醒、进行纠正，但不得就定标涉及的实质内容发表意见或者参与定标讨论。</w:t>
      </w:r>
    </w:p>
    <w:p w14:paraId="38908614">
      <w:pPr>
        <w:pStyle w:val="25"/>
        <w:keepNext w:val="0"/>
        <w:keepLines w:val="0"/>
        <w:pageBreakBefore w:val="0"/>
        <w:kinsoku/>
        <w:wordWrap/>
        <w:overflowPunct/>
        <w:topLinePunct w:val="0"/>
        <w:bidi w:val="0"/>
        <w:spacing w:line="500" w:lineRule="exact"/>
        <w:ind w:left="0" w:right="0"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8.6.2 同一人不得同时担任定标委员会成员和招标监督小组成员中的两个角色。</w:t>
      </w:r>
    </w:p>
    <w:p w14:paraId="44961A3E">
      <w:pPr>
        <w:pStyle w:val="25"/>
        <w:keepNext w:val="0"/>
        <w:keepLines w:val="0"/>
        <w:pageBreakBefore w:val="0"/>
        <w:kinsoku/>
        <w:wordWrap/>
        <w:overflowPunct/>
        <w:topLinePunct w:val="0"/>
        <w:bidi w:val="0"/>
        <w:spacing w:line="500" w:lineRule="exact"/>
        <w:ind w:left="0" w:right="0" w:firstLine="480" w:firstLineChars="200"/>
        <w:jc w:val="both"/>
        <w:textAlignment w:val="auto"/>
        <w:rPr>
          <w:rFonts w:hint="default" w:ascii="宋体" w:hAnsi="宋体" w:cs="宋体"/>
          <w:color w:val="auto"/>
          <w:kern w:val="0"/>
          <w:sz w:val="24"/>
          <w:highlight w:val="none"/>
          <w:lang w:val="en-US" w:eastAsia="zh-CN"/>
        </w:rPr>
      </w:pPr>
      <w:r>
        <w:rPr>
          <w:rFonts w:hint="eastAsia" w:ascii="宋体" w:hAnsi="宋体" w:cs="宋体"/>
          <w:color w:val="auto"/>
          <w:highlight w:val="none"/>
          <w:lang w:val="en-US" w:eastAsia="zh-CN"/>
        </w:rPr>
        <w:t>8.6.3 监督小组</w:t>
      </w:r>
      <w:r>
        <w:rPr>
          <w:rFonts w:hint="eastAsia" w:ascii="宋体" w:hAnsi="宋体" w:cs="宋体"/>
          <w:color w:val="auto"/>
          <w:highlight w:val="none"/>
        </w:rPr>
        <w:t>成员不得收受他人的财物或其他好处，不得向他人透露</w:t>
      </w:r>
      <w:r>
        <w:rPr>
          <w:rFonts w:hint="eastAsia" w:ascii="宋体" w:hAnsi="宋体" w:cs="宋体"/>
          <w:color w:val="auto"/>
          <w:highlight w:val="none"/>
          <w:lang w:val="en-US" w:eastAsia="zh-CN"/>
        </w:rPr>
        <w:t>监督过程中的任何</w:t>
      </w:r>
      <w:r>
        <w:rPr>
          <w:rFonts w:hint="eastAsia" w:ascii="宋体" w:hAnsi="宋体" w:cs="宋体"/>
          <w:color w:val="auto"/>
          <w:highlight w:val="none"/>
        </w:rPr>
        <w:t>情况。在</w:t>
      </w:r>
      <w:r>
        <w:rPr>
          <w:rFonts w:hint="eastAsia" w:ascii="宋体" w:hAnsi="宋体" w:cs="宋体"/>
          <w:strike w:val="0"/>
          <w:dstrike w:val="0"/>
          <w:color w:val="auto"/>
          <w:highlight w:val="none"/>
        </w:rPr>
        <w:t>在未公示中标结果前，对定标过程和结果严格保密</w:t>
      </w:r>
      <w:r>
        <w:rPr>
          <w:rFonts w:hint="eastAsia" w:ascii="宋体" w:hAnsi="宋体" w:cs="宋体"/>
          <w:color w:val="auto"/>
          <w:highlight w:val="none"/>
        </w:rPr>
        <w:t>。</w:t>
      </w:r>
    </w:p>
    <w:p w14:paraId="7F97FC07">
      <w:pPr>
        <w:keepNext w:val="0"/>
        <w:keepLines w:val="0"/>
        <w:pageBreakBefore w:val="0"/>
        <w:wordWrap/>
        <w:overflowPunct/>
        <w:topLinePunct w:val="0"/>
        <w:bidi w:val="0"/>
        <w:spacing w:line="500" w:lineRule="exact"/>
        <w:ind w:right="0"/>
        <w:jc w:val="both"/>
        <w:outlineLvl w:val="1"/>
        <w:rPr>
          <w:rFonts w:ascii="宋体" w:hAnsi="宋体" w:eastAsia="宋体" w:cs="宋体"/>
          <w:color w:val="auto"/>
          <w:sz w:val="24"/>
          <w:szCs w:val="24"/>
          <w:highlight w:val="none"/>
        </w:rPr>
      </w:pPr>
      <w:bookmarkStart w:id="285" w:name="_Toc18031"/>
      <w:r>
        <w:rPr>
          <w:rFonts w:ascii="宋体" w:hAnsi="宋体" w:eastAsia="宋体" w:cs="宋体"/>
          <w:b/>
          <w:bCs/>
          <w:color w:val="auto"/>
          <w:spacing w:val="-7"/>
          <w:sz w:val="24"/>
          <w:szCs w:val="24"/>
          <w:highlight w:val="none"/>
        </w:rPr>
        <w:t>8.</w:t>
      </w:r>
      <w:r>
        <w:rPr>
          <w:rFonts w:hint="eastAsia" w:ascii="宋体" w:hAnsi="宋体" w:eastAsia="宋体" w:cs="宋体"/>
          <w:b/>
          <w:bCs/>
          <w:color w:val="auto"/>
          <w:spacing w:val="-7"/>
          <w:sz w:val="24"/>
          <w:szCs w:val="24"/>
          <w:highlight w:val="none"/>
          <w:lang w:val="en-US" w:eastAsia="zh-CN"/>
        </w:rPr>
        <w:t>7</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7"/>
          <w:sz w:val="24"/>
          <w:szCs w:val="24"/>
          <w:highlight w:val="none"/>
        </w:rPr>
        <w:t>投诉</w:t>
      </w:r>
      <w:bookmarkEnd w:id="278"/>
      <w:bookmarkEnd w:id="279"/>
      <w:bookmarkEnd w:id="280"/>
      <w:bookmarkEnd w:id="285"/>
    </w:p>
    <w:p w14:paraId="2B265F6C">
      <w:pPr>
        <w:keepNext w:val="0"/>
        <w:keepLines w:val="0"/>
        <w:pageBreakBefore w:val="0"/>
        <w:wordWrap/>
        <w:overflowPunct/>
        <w:topLinePunct w:val="0"/>
        <w:bidi w:val="0"/>
        <w:spacing w:line="50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投标人或其他利害关系人认为招标投标活动不符</w:t>
      </w:r>
      <w:r>
        <w:rPr>
          <w:rFonts w:ascii="宋体" w:hAnsi="宋体" w:eastAsia="宋体" w:cs="宋体"/>
          <w:color w:val="auto"/>
          <w:spacing w:val="-1"/>
          <w:sz w:val="24"/>
          <w:szCs w:val="24"/>
          <w:highlight w:val="none"/>
        </w:rPr>
        <w:t>合法律、行政法规规定的，可以自知道或应当知道之日起</w:t>
      </w:r>
      <w:r>
        <w:rPr>
          <w:rFonts w:ascii="宋体" w:hAnsi="宋体" w:eastAsia="宋体" w:cs="宋体"/>
          <w:color w:val="auto"/>
          <w:spacing w:val="-22"/>
          <w:sz w:val="24"/>
          <w:szCs w:val="24"/>
          <w:highlight w:val="none"/>
        </w:rPr>
        <w:t xml:space="preserve"> </w:t>
      </w:r>
      <w:r>
        <w:rPr>
          <w:rFonts w:ascii="宋体" w:hAnsi="宋体" w:eastAsia="宋体" w:cs="宋体"/>
          <w:color w:val="auto"/>
          <w:spacing w:val="-1"/>
          <w:sz w:val="24"/>
          <w:szCs w:val="24"/>
          <w:highlight w:val="none"/>
        </w:rPr>
        <w:t>10 日内向有关行政监督部门投诉。对于按法规规定需要</w:t>
      </w:r>
      <w:r>
        <w:rPr>
          <w:rFonts w:ascii="宋体" w:hAnsi="宋体" w:eastAsia="宋体" w:cs="宋体"/>
          <w:color w:val="auto"/>
          <w:spacing w:val="-2"/>
          <w:sz w:val="24"/>
          <w:szCs w:val="24"/>
          <w:highlight w:val="none"/>
        </w:rPr>
        <w:t>先提出异议的投诉，行政监督部门在受理投诉时要求投诉人递交提出异议的证明文件，</w:t>
      </w:r>
      <w:r>
        <w:rPr>
          <w:rFonts w:ascii="宋体" w:hAnsi="宋体" w:eastAsia="宋体" w:cs="宋体"/>
          <w:color w:val="auto"/>
          <w:spacing w:val="5"/>
          <w:sz w:val="24"/>
          <w:szCs w:val="24"/>
          <w:highlight w:val="none"/>
        </w:rPr>
        <w:t>已向有关行政监督部门投诉的，应当一并说明。未按规定提出异议或者</w:t>
      </w:r>
      <w:r>
        <w:rPr>
          <w:rFonts w:ascii="宋体" w:hAnsi="宋体" w:eastAsia="宋体" w:cs="宋体"/>
          <w:color w:val="auto"/>
          <w:spacing w:val="4"/>
          <w:sz w:val="24"/>
          <w:szCs w:val="24"/>
          <w:highlight w:val="none"/>
        </w:rPr>
        <w:t>未提交已提出</w:t>
      </w:r>
      <w:r>
        <w:rPr>
          <w:rFonts w:ascii="宋体" w:hAnsi="宋体" w:eastAsia="宋体" w:cs="宋体"/>
          <w:color w:val="auto"/>
          <w:spacing w:val="5"/>
          <w:sz w:val="24"/>
          <w:szCs w:val="24"/>
          <w:highlight w:val="none"/>
        </w:rPr>
        <w:t>异议的证明文件的投诉，行政监督部门不予受理。投诉人缺乏事实根</w:t>
      </w:r>
      <w:r>
        <w:rPr>
          <w:rFonts w:ascii="宋体" w:hAnsi="宋体" w:eastAsia="宋体" w:cs="宋体"/>
          <w:color w:val="auto"/>
          <w:spacing w:val="4"/>
          <w:sz w:val="24"/>
          <w:szCs w:val="24"/>
          <w:highlight w:val="none"/>
        </w:rPr>
        <w:t>据或者法律依据</w:t>
      </w:r>
      <w:r>
        <w:rPr>
          <w:rFonts w:ascii="宋体" w:hAnsi="宋体" w:eastAsia="宋体" w:cs="宋体"/>
          <w:color w:val="auto"/>
          <w:spacing w:val="5"/>
          <w:sz w:val="24"/>
          <w:szCs w:val="24"/>
          <w:highlight w:val="none"/>
        </w:rPr>
        <w:t>进行投诉的，或者有证据表明投诉人捏造事实、伪造材料的，或者投诉人以非法</w:t>
      </w:r>
      <w:r>
        <w:rPr>
          <w:rFonts w:ascii="宋体" w:hAnsi="宋体" w:eastAsia="宋体" w:cs="宋体"/>
          <w:color w:val="auto"/>
          <w:spacing w:val="4"/>
          <w:sz w:val="24"/>
          <w:szCs w:val="24"/>
          <w:highlight w:val="none"/>
        </w:rPr>
        <w:t>手段</w:t>
      </w:r>
      <w:r>
        <w:rPr>
          <w:rFonts w:ascii="宋体" w:hAnsi="宋体" w:eastAsia="宋体" w:cs="宋体"/>
          <w:color w:val="auto"/>
          <w:spacing w:val="5"/>
          <w:sz w:val="24"/>
          <w:szCs w:val="24"/>
          <w:highlight w:val="none"/>
        </w:rPr>
        <w:t>取得证明材料进行投诉的，行政监督部门应当予以驳回，并对恶意投诉按照有关</w:t>
      </w:r>
      <w:r>
        <w:rPr>
          <w:rFonts w:ascii="宋体" w:hAnsi="宋体" w:eastAsia="宋体" w:cs="宋体"/>
          <w:color w:val="auto"/>
          <w:spacing w:val="4"/>
          <w:sz w:val="24"/>
          <w:szCs w:val="24"/>
          <w:highlight w:val="none"/>
        </w:rPr>
        <w:t>规定</w:t>
      </w:r>
      <w:r>
        <w:rPr>
          <w:rFonts w:ascii="宋体" w:hAnsi="宋体" w:eastAsia="宋体" w:cs="宋体"/>
          <w:color w:val="auto"/>
          <w:spacing w:val="5"/>
          <w:sz w:val="24"/>
          <w:szCs w:val="24"/>
          <w:highlight w:val="none"/>
        </w:rPr>
        <w:t>追究投诉人责任。行政监督部门接到对招标投标活动有效投诉的，应当制止或者</w:t>
      </w:r>
      <w:r>
        <w:rPr>
          <w:rFonts w:ascii="宋体" w:hAnsi="宋体" w:eastAsia="宋体" w:cs="宋体"/>
          <w:color w:val="auto"/>
          <w:spacing w:val="4"/>
          <w:sz w:val="24"/>
          <w:szCs w:val="24"/>
          <w:highlight w:val="none"/>
        </w:rPr>
        <w:t>要求</w:t>
      </w:r>
      <w:r>
        <w:rPr>
          <w:rFonts w:ascii="宋体" w:hAnsi="宋体" w:eastAsia="宋体" w:cs="宋体"/>
          <w:color w:val="auto"/>
          <w:spacing w:val="-1"/>
          <w:sz w:val="24"/>
          <w:szCs w:val="24"/>
          <w:highlight w:val="none"/>
        </w:rPr>
        <w:t>整改，整改期间可以暂停其招标投标活动。</w:t>
      </w:r>
    </w:p>
    <w:p w14:paraId="417E8C45">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监督部门的联系方式见投标人须知前附表。</w:t>
      </w:r>
    </w:p>
    <w:p w14:paraId="67CB8495">
      <w:pPr>
        <w:keepNext w:val="0"/>
        <w:keepLines w:val="0"/>
        <w:pageBreakBefore w:val="0"/>
        <w:wordWrap/>
        <w:overflowPunct/>
        <w:topLinePunct w:val="0"/>
        <w:bidi w:val="0"/>
        <w:spacing w:line="500" w:lineRule="exact"/>
        <w:ind w:left="0" w:righ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8.</w:t>
      </w:r>
      <w:r>
        <w:rPr>
          <w:rFonts w:hint="eastAsia" w:ascii="宋体" w:hAnsi="宋体" w:eastAsia="宋体" w:cs="宋体"/>
          <w:color w:val="auto"/>
          <w:spacing w:val="5"/>
          <w:sz w:val="24"/>
          <w:szCs w:val="24"/>
          <w:highlight w:val="none"/>
          <w:lang w:val="en-US" w:eastAsia="zh-CN"/>
        </w:rPr>
        <w:t>7</w:t>
      </w:r>
      <w:r>
        <w:rPr>
          <w:rFonts w:ascii="宋体" w:hAnsi="宋体" w:eastAsia="宋体" w:cs="宋体"/>
          <w:color w:val="auto"/>
          <w:spacing w:val="5"/>
          <w:sz w:val="24"/>
          <w:szCs w:val="24"/>
          <w:highlight w:val="none"/>
        </w:rPr>
        <w:t>.2 投标人或其他利害关系人对招标文件、开标和评标</w:t>
      </w:r>
      <w:r>
        <w:rPr>
          <w:rFonts w:ascii="宋体" w:hAnsi="宋体" w:eastAsia="宋体" w:cs="宋体"/>
          <w:color w:val="auto"/>
          <w:spacing w:val="4"/>
          <w:sz w:val="24"/>
          <w:szCs w:val="24"/>
          <w:highlight w:val="none"/>
        </w:rPr>
        <w:t>结果</w:t>
      </w:r>
      <w:r>
        <w:rPr>
          <w:rFonts w:hint="eastAsia" w:ascii="宋体" w:hAnsi="宋体" w:eastAsia="宋体" w:cs="宋体"/>
          <w:color w:val="auto"/>
          <w:spacing w:val="5"/>
          <w:sz w:val="24"/>
          <w:szCs w:val="24"/>
          <w:highlight w:val="none"/>
        </w:rPr>
        <w:t>及定标结果</w:t>
      </w:r>
      <w:r>
        <w:rPr>
          <w:rFonts w:ascii="宋体" w:hAnsi="宋体" w:eastAsia="宋体" w:cs="宋体"/>
          <w:color w:val="auto"/>
          <w:spacing w:val="4"/>
          <w:sz w:val="24"/>
          <w:szCs w:val="24"/>
          <w:highlight w:val="none"/>
        </w:rPr>
        <w:t>提出投诉的，应按</w:t>
      </w:r>
      <w:r>
        <w:rPr>
          <w:rFonts w:ascii="宋体" w:hAnsi="宋体" w:eastAsia="宋体" w:cs="宋体"/>
          <w:color w:val="auto"/>
          <w:spacing w:val="2"/>
          <w:sz w:val="24"/>
          <w:szCs w:val="24"/>
          <w:highlight w:val="none"/>
        </w:rPr>
        <w:t>照本章第</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2.4</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款、第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5.3</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款</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7.2</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款和第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7.</w:t>
      </w:r>
      <w:r>
        <w:rPr>
          <w:rFonts w:hint="eastAsia" w:ascii="宋体" w:hAnsi="宋体" w:eastAsia="宋体" w:cs="宋体"/>
          <w:color w:val="auto"/>
          <w:spacing w:val="2"/>
          <w:sz w:val="24"/>
          <w:szCs w:val="24"/>
          <w:highlight w:val="none"/>
          <w:lang w:val="en-US" w:eastAsia="zh-CN"/>
        </w:rPr>
        <w:t>4</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款的规定先向招标人提出异议</w:t>
      </w:r>
      <w:r>
        <w:rPr>
          <w:rFonts w:ascii="宋体" w:hAnsi="宋体" w:eastAsia="宋体" w:cs="宋体"/>
          <w:color w:val="auto"/>
          <w:spacing w:val="1"/>
          <w:sz w:val="24"/>
          <w:szCs w:val="24"/>
          <w:highlight w:val="none"/>
        </w:rPr>
        <w:t>。异议答复期间不</w:t>
      </w:r>
      <w:r>
        <w:rPr>
          <w:rFonts w:ascii="宋体" w:hAnsi="宋体" w:eastAsia="宋体" w:cs="宋体"/>
          <w:color w:val="auto"/>
          <w:spacing w:val="2"/>
          <w:sz w:val="24"/>
          <w:szCs w:val="24"/>
          <w:highlight w:val="none"/>
        </w:rPr>
        <w:t>计算在第8.5.1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项规定的期限内。</w:t>
      </w:r>
    </w:p>
    <w:p w14:paraId="4F698874">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286" w:name="_Toc16546"/>
      <w:bookmarkStart w:id="287" w:name="_Toc29335"/>
      <w:r>
        <w:rPr>
          <w:rFonts w:ascii="宋体" w:hAnsi="宋体" w:eastAsia="宋体" w:cs="宋体"/>
          <w:b/>
          <w:bCs/>
          <w:color w:val="auto"/>
          <w:spacing w:val="-3"/>
          <w:sz w:val="28"/>
          <w:szCs w:val="28"/>
          <w:highlight w:val="none"/>
        </w:rPr>
        <w:t>9.</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是否采用电子招标投标</w:t>
      </w:r>
      <w:bookmarkEnd w:id="286"/>
      <w:bookmarkEnd w:id="287"/>
    </w:p>
    <w:p w14:paraId="1938EF1B">
      <w:pPr>
        <w:keepNext w:val="0"/>
        <w:keepLines w:val="0"/>
        <w:pageBreakBefore w:val="0"/>
        <w:wordWrap/>
        <w:overflowPunct/>
        <w:topLinePunct w:val="0"/>
        <w:bidi w:val="0"/>
        <w:spacing w:line="50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本招标项目是否采用电子招标投标方式，见投标人须知前附表。</w:t>
      </w:r>
    </w:p>
    <w:p w14:paraId="3D519DD7">
      <w:pPr>
        <w:keepNext w:val="0"/>
        <w:keepLines w:val="0"/>
        <w:pageBreakBefore w:val="0"/>
        <w:wordWrap/>
        <w:overflowPunct/>
        <w:topLinePunct w:val="0"/>
        <w:bidi w:val="0"/>
        <w:spacing w:line="500" w:lineRule="exact"/>
        <w:ind w:right="0"/>
        <w:jc w:val="both"/>
        <w:outlineLvl w:val="0"/>
        <w:rPr>
          <w:rFonts w:ascii="宋体" w:hAnsi="宋体" w:eastAsia="宋体" w:cs="宋体"/>
          <w:color w:val="auto"/>
          <w:sz w:val="28"/>
          <w:szCs w:val="28"/>
          <w:highlight w:val="none"/>
        </w:rPr>
      </w:pPr>
      <w:bookmarkStart w:id="288" w:name="_Toc9023"/>
      <w:bookmarkStart w:id="289" w:name="_Toc20711"/>
      <w:r>
        <w:rPr>
          <w:rFonts w:ascii="宋体" w:hAnsi="宋体" w:eastAsia="宋体" w:cs="宋体"/>
          <w:b/>
          <w:bCs/>
          <w:color w:val="auto"/>
          <w:spacing w:val="-7"/>
          <w:sz w:val="28"/>
          <w:szCs w:val="28"/>
          <w:highlight w:val="none"/>
        </w:rPr>
        <w:t>10.</w:t>
      </w:r>
      <w:r>
        <w:rPr>
          <w:rFonts w:ascii="宋体" w:hAnsi="宋体" w:eastAsia="宋体" w:cs="宋体"/>
          <w:color w:val="auto"/>
          <w:spacing w:val="29"/>
          <w:sz w:val="28"/>
          <w:szCs w:val="28"/>
          <w:highlight w:val="none"/>
        </w:rPr>
        <w:t xml:space="preserve"> </w:t>
      </w:r>
      <w:r>
        <w:rPr>
          <w:rFonts w:ascii="宋体" w:hAnsi="宋体" w:eastAsia="宋体" w:cs="宋体"/>
          <w:b/>
          <w:bCs/>
          <w:color w:val="auto"/>
          <w:spacing w:val="-7"/>
          <w:sz w:val="28"/>
          <w:szCs w:val="28"/>
          <w:highlight w:val="none"/>
        </w:rPr>
        <w:t>需要补充的其他内容</w:t>
      </w:r>
      <w:bookmarkEnd w:id="288"/>
      <w:bookmarkEnd w:id="289"/>
    </w:p>
    <w:p w14:paraId="446B785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10.1</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自投标登记并获取招标文件之日起，投标人应保证其提供的联系方式（</w:t>
      </w:r>
      <w:r>
        <w:rPr>
          <w:rFonts w:ascii="宋体" w:hAnsi="宋体" w:eastAsia="宋体" w:cs="宋体"/>
          <w:color w:val="auto"/>
          <w:spacing w:val="-4"/>
          <w:sz w:val="24"/>
          <w:szCs w:val="24"/>
          <w:highlight w:val="none"/>
        </w:rPr>
        <w:t>电话、</w:t>
      </w:r>
    </w:p>
    <w:p w14:paraId="6CAD8C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00" w:firstLineChars="200"/>
        <w:jc w:val="both"/>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传真、电子邮件）一直有效，以便及时收到招标人发出的函件（招标文件的澄清、修</w:t>
      </w:r>
      <w:r>
        <w:rPr>
          <w:rFonts w:ascii="宋体" w:hAnsi="宋体" w:eastAsia="宋体" w:cs="宋体"/>
          <w:color w:val="auto"/>
          <w:spacing w:val="-1"/>
          <w:sz w:val="24"/>
          <w:szCs w:val="24"/>
          <w:highlight w:val="none"/>
        </w:rPr>
        <w:t>改等</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并应及时向招标人反馈信息，否则招标人不承担由此引起的一切后果。</w:t>
      </w:r>
    </w:p>
    <w:p w14:paraId="30AB441E">
      <w:pPr>
        <w:keepNext w:val="0"/>
        <w:keepLines w:val="0"/>
        <w:pageBreakBefore w:val="0"/>
        <w:wordWrap/>
        <w:overflowPunct/>
        <w:topLinePunct w:val="0"/>
        <w:bidi w:val="0"/>
        <w:spacing w:line="500" w:lineRule="exact"/>
        <w:ind w:left="0" w:right="0" w:firstLine="420" w:firstLineChars="200"/>
        <w:jc w:val="both"/>
        <w:rPr>
          <w:rFonts w:ascii="Arial"/>
          <w:color w:val="auto"/>
          <w:sz w:val="21"/>
          <w:highlight w:val="none"/>
        </w:rPr>
      </w:pPr>
    </w:p>
    <w:p w14:paraId="7CC8C844">
      <w:pPr>
        <w:keepNext w:val="0"/>
        <w:keepLines w:val="0"/>
        <w:pageBreakBefore w:val="0"/>
        <w:wordWrap/>
        <w:overflowPunct/>
        <w:topLinePunct w:val="0"/>
        <w:bidi w:val="0"/>
        <w:spacing w:line="500" w:lineRule="exact"/>
        <w:ind w:left="0" w:right="0" w:firstLine="420" w:firstLineChars="200"/>
        <w:jc w:val="both"/>
        <w:rPr>
          <w:rFonts w:ascii="Arial"/>
          <w:color w:val="auto"/>
          <w:sz w:val="21"/>
          <w:highlight w:val="none"/>
        </w:rPr>
      </w:pPr>
    </w:p>
    <w:p w14:paraId="71476293">
      <w:pPr>
        <w:keepNext w:val="0"/>
        <w:keepLines w:val="0"/>
        <w:pageBreakBefore w:val="0"/>
        <w:wordWrap/>
        <w:overflowPunct/>
        <w:topLinePunct w:val="0"/>
        <w:bidi w:val="0"/>
        <w:spacing w:line="50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需要补充的其他内容：见投标人须知前附表。</w:t>
      </w:r>
    </w:p>
    <w:p w14:paraId="173206D2">
      <w:pPr>
        <w:keepNext w:val="0"/>
        <w:keepLines w:val="0"/>
        <w:pageBreakBefore w:val="0"/>
        <w:wordWrap/>
        <w:overflowPunct/>
        <w:topLinePunct w:val="0"/>
        <w:bidi w:val="0"/>
        <w:spacing w:line="500" w:lineRule="exact"/>
        <w:jc w:val="both"/>
        <w:rPr>
          <w:rFonts w:ascii="宋体" w:hAnsi="宋体" w:eastAsia="宋体" w:cs="宋体"/>
          <w:color w:val="auto"/>
          <w:sz w:val="24"/>
          <w:szCs w:val="24"/>
          <w:highlight w:val="none"/>
        </w:rPr>
        <w:sectPr>
          <w:footerReference r:id="rId18" w:type="default"/>
          <w:pgSz w:w="11906" w:h="16839"/>
          <w:pgMar w:top="1293" w:right="1289" w:bottom="1297" w:left="1423" w:header="0" w:footer="1067" w:gutter="0"/>
          <w:pgNumType w:fmt="decimal"/>
          <w:cols w:space="720" w:num="1"/>
        </w:sectPr>
      </w:pPr>
    </w:p>
    <w:p w14:paraId="6863DE65">
      <w:pPr>
        <w:spacing w:line="252" w:lineRule="auto"/>
        <w:rPr>
          <w:rFonts w:ascii="Arial"/>
          <w:color w:val="auto"/>
          <w:sz w:val="21"/>
          <w:highlight w:val="none"/>
        </w:rPr>
      </w:pPr>
    </w:p>
    <w:p w14:paraId="61923085">
      <w:pPr>
        <w:spacing w:line="252" w:lineRule="auto"/>
        <w:rPr>
          <w:rFonts w:ascii="Arial"/>
          <w:color w:val="auto"/>
          <w:sz w:val="21"/>
          <w:highlight w:val="none"/>
        </w:rPr>
      </w:pPr>
    </w:p>
    <w:p w14:paraId="688A60E4">
      <w:pPr>
        <w:spacing w:line="252" w:lineRule="auto"/>
        <w:rPr>
          <w:rFonts w:ascii="Arial"/>
          <w:color w:val="auto"/>
          <w:sz w:val="21"/>
          <w:highlight w:val="none"/>
        </w:rPr>
      </w:pPr>
    </w:p>
    <w:p w14:paraId="0C9C0E22">
      <w:pPr>
        <w:spacing w:line="253" w:lineRule="auto"/>
        <w:rPr>
          <w:rFonts w:ascii="Arial"/>
          <w:color w:val="auto"/>
          <w:sz w:val="21"/>
          <w:highlight w:val="none"/>
        </w:rPr>
      </w:pPr>
    </w:p>
    <w:p w14:paraId="714CD143">
      <w:pPr>
        <w:spacing w:line="253" w:lineRule="auto"/>
        <w:rPr>
          <w:rFonts w:ascii="Arial"/>
          <w:color w:val="auto"/>
          <w:sz w:val="21"/>
          <w:highlight w:val="none"/>
        </w:rPr>
      </w:pPr>
    </w:p>
    <w:p w14:paraId="1EA3D0E5">
      <w:pPr>
        <w:spacing w:line="253" w:lineRule="auto"/>
        <w:rPr>
          <w:rFonts w:ascii="Arial"/>
          <w:color w:val="auto"/>
          <w:sz w:val="21"/>
          <w:highlight w:val="none"/>
        </w:rPr>
      </w:pPr>
    </w:p>
    <w:p w14:paraId="1030FE0A">
      <w:pPr>
        <w:spacing w:line="253" w:lineRule="auto"/>
        <w:rPr>
          <w:rFonts w:ascii="Arial"/>
          <w:color w:val="auto"/>
          <w:sz w:val="21"/>
          <w:highlight w:val="none"/>
        </w:rPr>
      </w:pPr>
    </w:p>
    <w:p w14:paraId="0E10889B">
      <w:pPr>
        <w:spacing w:line="253" w:lineRule="auto"/>
        <w:rPr>
          <w:rFonts w:ascii="Arial"/>
          <w:color w:val="auto"/>
          <w:sz w:val="21"/>
          <w:highlight w:val="none"/>
        </w:rPr>
      </w:pPr>
    </w:p>
    <w:p w14:paraId="470DB7A7">
      <w:pPr>
        <w:spacing w:line="253" w:lineRule="auto"/>
        <w:rPr>
          <w:rFonts w:ascii="Arial"/>
          <w:color w:val="auto"/>
          <w:sz w:val="21"/>
          <w:highlight w:val="none"/>
        </w:rPr>
      </w:pPr>
    </w:p>
    <w:p w14:paraId="2FD8318A">
      <w:pPr>
        <w:spacing w:line="253" w:lineRule="auto"/>
        <w:rPr>
          <w:rFonts w:ascii="Arial"/>
          <w:color w:val="auto"/>
          <w:sz w:val="21"/>
          <w:highlight w:val="none"/>
        </w:rPr>
      </w:pPr>
    </w:p>
    <w:p w14:paraId="32FC0381">
      <w:pPr>
        <w:spacing w:line="253" w:lineRule="auto"/>
        <w:rPr>
          <w:rFonts w:ascii="Arial"/>
          <w:color w:val="auto"/>
          <w:sz w:val="21"/>
          <w:highlight w:val="none"/>
        </w:rPr>
      </w:pPr>
    </w:p>
    <w:p w14:paraId="0FA1F773">
      <w:pPr>
        <w:spacing w:line="253" w:lineRule="auto"/>
        <w:rPr>
          <w:rFonts w:ascii="Arial"/>
          <w:color w:val="auto"/>
          <w:sz w:val="21"/>
          <w:highlight w:val="none"/>
        </w:rPr>
      </w:pPr>
    </w:p>
    <w:p w14:paraId="03D4B799">
      <w:pPr>
        <w:spacing w:line="253" w:lineRule="auto"/>
        <w:rPr>
          <w:rFonts w:ascii="Arial"/>
          <w:color w:val="auto"/>
          <w:sz w:val="21"/>
          <w:highlight w:val="none"/>
        </w:rPr>
      </w:pPr>
    </w:p>
    <w:p w14:paraId="752BF11B">
      <w:pPr>
        <w:spacing w:line="253" w:lineRule="auto"/>
        <w:rPr>
          <w:rFonts w:ascii="Arial"/>
          <w:color w:val="auto"/>
          <w:sz w:val="21"/>
          <w:highlight w:val="none"/>
        </w:rPr>
      </w:pPr>
    </w:p>
    <w:p w14:paraId="65FEC705">
      <w:pPr>
        <w:spacing w:line="253" w:lineRule="auto"/>
        <w:rPr>
          <w:rFonts w:ascii="Arial"/>
          <w:color w:val="auto"/>
          <w:sz w:val="21"/>
          <w:highlight w:val="none"/>
        </w:rPr>
      </w:pPr>
    </w:p>
    <w:p w14:paraId="7EF06C6B">
      <w:pPr>
        <w:spacing w:line="253" w:lineRule="auto"/>
        <w:rPr>
          <w:rFonts w:ascii="Arial"/>
          <w:color w:val="auto"/>
          <w:sz w:val="21"/>
          <w:highlight w:val="none"/>
        </w:rPr>
      </w:pPr>
    </w:p>
    <w:p w14:paraId="3930CFFB">
      <w:pPr>
        <w:spacing w:line="253" w:lineRule="auto"/>
        <w:rPr>
          <w:rFonts w:ascii="Arial"/>
          <w:color w:val="auto"/>
          <w:sz w:val="21"/>
          <w:highlight w:val="none"/>
        </w:rPr>
      </w:pPr>
    </w:p>
    <w:p w14:paraId="53750D1E">
      <w:pPr>
        <w:spacing w:line="253" w:lineRule="auto"/>
        <w:rPr>
          <w:rFonts w:ascii="Arial"/>
          <w:color w:val="auto"/>
          <w:sz w:val="21"/>
          <w:highlight w:val="none"/>
        </w:rPr>
      </w:pPr>
    </w:p>
    <w:p w14:paraId="4A083F21">
      <w:pPr>
        <w:spacing w:before="169" w:line="219" w:lineRule="auto"/>
        <w:jc w:val="center"/>
        <w:outlineLvl w:val="0"/>
        <w:rPr>
          <w:rFonts w:ascii="宋体" w:hAnsi="宋体" w:eastAsia="宋体" w:cs="宋体"/>
          <w:color w:val="auto"/>
          <w:sz w:val="52"/>
          <w:szCs w:val="52"/>
          <w:highlight w:val="none"/>
        </w:rPr>
      </w:pPr>
      <w:bookmarkStart w:id="290" w:name="_Toc26937"/>
      <w:bookmarkStart w:id="291" w:name="_Toc19080"/>
      <w:r>
        <w:rPr>
          <w:rFonts w:ascii="宋体" w:hAnsi="宋体" w:eastAsia="宋体" w:cs="宋体"/>
          <w:b/>
          <w:bCs/>
          <w:color w:val="auto"/>
          <w:spacing w:val="-5"/>
          <w:sz w:val="52"/>
          <w:szCs w:val="52"/>
          <w:highlight w:val="none"/>
        </w:rPr>
        <w:t>第三章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评标</w:t>
      </w:r>
      <w:r>
        <w:rPr>
          <w:rFonts w:hint="eastAsia" w:ascii="宋体" w:hAnsi="宋体" w:eastAsia="宋体" w:cs="宋体"/>
          <w:b/>
          <w:bCs/>
          <w:color w:val="auto"/>
          <w:spacing w:val="-5"/>
          <w:sz w:val="52"/>
          <w:szCs w:val="52"/>
          <w:highlight w:val="none"/>
          <w:lang w:val="en-US" w:eastAsia="zh-CN"/>
        </w:rPr>
        <w:t>办法及定标</w:t>
      </w:r>
      <w:r>
        <w:rPr>
          <w:rFonts w:ascii="宋体" w:hAnsi="宋体" w:eastAsia="宋体" w:cs="宋体"/>
          <w:b/>
          <w:bCs/>
          <w:color w:val="auto"/>
          <w:spacing w:val="-5"/>
          <w:sz w:val="52"/>
          <w:szCs w:val="52"/>
          <w:highlight w:val="none"/>
        </w:rPr>
        <w:t>办法</w:t>
      </w:r>
      <w:bookmarkEnd w:id="290"/>
      <w:bookmarkEnd w:id="291"/>
    </w:p>
    <w:p w14:paraId="7807B39B">
      <w:pPr>
        <w:spacing w:line="219" w:lineRule="auto"/>
        <w:rPr>
          <w:rFonts w:ascii="宋体" w:hAnsi="宋体" w:eastAsia="宋体" w:cs="宋体"/>
          <w:color w:val="auto"/>
          <w:sz w:val="52"/>
          <w:szCs w:val="52"/>
          <w:highlight w:val="none"/>
        </w:rPr>
        <w:sectPr>
          <w:footerReference r:id="rId19" w:type="default"/>
          <w:pgSz w:w="11906" w:h="16839"/>
          <w:pgMar w:top="1431" w:right="1785" w:bottom="1297" w:left="1785" w:header="0" w:footer="1067" w:gutter="0"/>
          <w:pgNumType w:fmt="decimal"/>
          <w:cols w:space="720" w:num="1"/>
        </w:sectPr>
      </w:pPr>
    </w:p>
    <w:p w14:paraId="6446AAC1">
      <w:pPr>
        <w:spacing w:before="64" w:line="223" w:lineRule="auto"/>
        <w:ind w:left="2250"/>
        <w:outlineLvl w:val="0"/>
        <w:rPr>
          <w:rFonts w:ascii="宋体" w:hAnsi="宋体" w:eastAsia="宋体" w:cs="宋体"/>
          <w:color w:val="auto"/>
          <w:sz w:val="31"/>
          <w:szCs w:val="31"/>
          <w:highlight w:val="none"/>
        </w:rPr>
      </w:pPr>
      <w:bookmarkStart w:id="292" w:name="_Toc10892"/>
      <w:bookmarkStart w:id="293" w:name="_Toc10532"/>
      <w:r>
        <w:rPr>
          <w:rFonts w:hint="eastAsia" w:ascii="宋体" w:hAnsi="宋体" w:eastAsia="宋体" w:cs="宋体"/>
          <w:b/>
          <w:bCs/>
          <w:color w:val="auto"/>
          <w:spacing w:val="6"/>
          <w:sz w:val="31"/>
          <w:szCs w:val="31"/>
          <w:highlight w:val="none"/>
        </w:rPr>
        <w:t>第一节</w:t>
      </w:r>
      <w:r>
        <w:rPr>
          <w:rFonts w:ascii="宋体" w:hAnsi="宋体" w:eastAsia="宋体" w:cs="宋体"/>
          <w:b/>
          <w:bCs/>
          <w:color w:val="auto"/>
          <w:spacing w:val="6"/>
          <w:sz w:val="31"/>
          <w:szCs w:val="31"/>
          <w:highlight w:val="none"/>
        </w:rPr>
        <w:t xml:space="preserve">  评标</w:t>
      </w:r>
      <w:r>
        <w:rPr>
          <w:rFonts w:hint="eastAsia" w:ascii="宋体" w:hAnsi="宋体" w:eastAsia="宋体" w:cs="宋体"/>
          <w:b/>
          <w:bCs/>
          <w:color w:val="auto"/>
          <w:spacing w:val="6"/>
          <w:sz w:val="31"/>
          <w:szCs w:val="31"/>
          <w:highlight w:val="none"/>
          <w:lang w:val="en-US" w:eastAsia="zh-CN"/>
        </w:rPr>
        <w:t>办法</w:t>
      </w:r>
      <w:r>
        <w:rPr>
          <w:rFonts w:ascii="宋体" w:hAnsi="宋体" w:eastAsia="宋体" w:cs="宋体"/>
          <w:b/>
          <w:bCs/>
          <w:color w:val="auto"/>
          <w:spacing w:val="6"/>
          <w:sz w:val="31"/>
          <w:szCs w:val="31"/>
          <w:highlight w:val="none"/>
        </w:rPr>
        <w:t>（综合评估法）</w:t>
      </w:r>
      <w:bookmarkEnd w:id="292"/>
      <w:bookmarkEnd w:id="293"/>
    </w:p>
    <w:p w14:paraId="6A266066">
      <w:pPr>
        <w:spacing w:line="331" w:lineRule="auto"/>
        <w:rPr>
          <w:rFonts w:ascii="Arial"/>
          <w:color w:val="auto"/>
          <w:sz w:val="21"/>
          <w:highlight w:val="none"/>
        </w:rPr>
      </w:pPr>
    </w:p>
    <w:p w14:paraId="23081D03">
      <w:pPr>
        <w:spacing w:before="78" w:line="233" w:lineRule="auto"/>
        <w:ind w:left="120"/>
        <w:outlineLvl w:val="1"/>
        <w:rPr>
          <w:rFonts w:ascii="宋体" w:hAnsi="宋体" w:eastAsia="宋体" w:cs="宋体"/>
          <w:color w:val="auto"/>
          <w:sz w:val="12"/>
          <w:szCs w:val="12"/>
          <w:highlight w:val="none"/>
        </w:rPr>
      </w:pPr>
      <w:bookmarkStart w:id="294" w:name="_Toc20293"/>
      <w:bookmarkStart w:id="295" w:name="_Toc22205"/>
      <w:r>
        <w:rPr>
          <w:rFonts w:ascii="宋体" w:hAnsi="宋体" w:eastAsia="宋体" w:cs="宋体"/>
          <w:b/>
          <w:bCs/>
          <w:color w:val="auto"/>
          <w:spacing w:val="-3"/>
          <w:sz w:val="24"/>
          <w:szCs w:val="24"/>
          <w:highlight w:val="none"/>
        </w:rPr>
        <w:t>评标办法前附表</w:t>
      </w:r>
      <w:bookmarkEnd w:id="294"/>
      <w:bookmarkEnd w:id="295"/>
    </w:p>
    <w:p w14:paraId="49D75816">
      <w:pPr>
        <w:spacing w:line="16" w:lineRule="exact"/>
        <w:rPr>
          <w:color w:val="auto"/>
          <w:highlight w:val="none"/>
        </w:rPr>
      </w:pPr>
    </w:p>
    <w:tbl>
      <w:tblPr>
        <w:tblStyle w:val="2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1336"/>
        <w:gridCol w:w="6916"/>
      </w:tblGrid>
      <w:tr w14:paraId="5D68D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2370" w:type="dxa"/>
            <w:gridSpan w:val="2"/>
            <w:vAlign w:val="top"/>
          </w:tcPr>
          <w:p w14:paraId="2A258E53">
            <w:pPr>
              <w:pStyle w:val="23"/>
              <w:spacing w:before="35" w:line="228" w:lineRule="auto"/>
              <w:ind w:left="877"/>
              <w:rPr>
                <w:color w:val="auto"/>
                <w:highlight w:val="none"/>
              </w:rPr>
            </w:pPr>
            <w:r>
              <w:rPr>
                <w:b/>
                <w:bCs/>
                <w:color w:val="auto"/>
                <w:spacing w:val="5"/>
                <w:highlight w:val="none"/>
              </w:rPr>
              <w:t>条款号</w:t>
            </w:r>
          </w:p>
        </w:tc>
        <w:tc>
          <w:tcPr>
            <w:tcW w:w="6916" w:type="dxa"/>
            <w:vAlign w:val="top"/>
          </w:tcPr>
          <w:p w14:paraId="72834D77">
            <w:pPr>
              <w:pStyle w:val="23"/>
              <w:spacing w:before="35" w:line="228" w:lineRule="auto"/>
              <w:ind w:left="2496"/>
              <w:rPr>
                <w:color w:val="auto"/>
                <w:highlight w:val="none"/>
              </w:rPr>
            </w:pPr>
            <w:r>
              <w:rPr>
                <w:b/>
                <w:bCs/>
                <w:color w:val="auto"/>
                <w:spacing w:val="11"/>
                <w:highlight w:val="none"/>
              </w:rPr>
              <w:t>评审因素与评审标准</w:t>
            </w:r>
          </w:p>
        </w:tc>
      </w:tr>
      <w:tr w14:paraId="18F3F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1034" w:type="dxa"/>
            <w:vAlign w:val="top"/>
          </w:tcPr>
          <w:p w14:paraId="699CBAD6">
            <w:pPr>
              <w:spacing w:line="256" w:lineRule="auto"/>
              <w:rPr>
                <w:rFonts w:ascii="Arial"/>
                <w:color w:val="auto"/>
                <w:sz w:val="21"/>
                <w:highlight w:val="none"/>
              </w:rPr>
            </w:pPr>
          </w:p>
          <w:p w14:paraId="7D607FAF">
            <w:pPr>
              <w:spacing w:line="256" w:lineRule="auto"/>
              <w:rPr>
                <w:rFonts w:ascii="Arial"/>
                <w:color w:val="auto"/>
                <w:sz w:val="21"/>
                <w:highlight w:val="none"/>
              </w:rPr>
            </w:pPr>
          </w:p>
          <w:p w14:paraId="4AF460A6">
            <w:pPr>
              <w:spacing w:line="256" w:lineRule="auto"/>
              <w:rPr>
                <w:rFonts w:ascii="Arial"/>
                <w:color w:val="auto"/>
                <w:sz w:val="21"/>
                <w:highlight w:val="none"/>
              </w:rPr>
            </w:pPr>
          </w:p>
          <w:p w14:paraId="234173CE">
            <w:pPr>
              <w:spacing w:line="256" w:lineRule="auto"/>
              <w:rPr>
                <w:rFonts w:ascii="Arial"/>
                <w:color w:val="auto"/>
                <w:sz w:val="21"/>
                <w:highlight w:val="none"/>
              </w:rPr>
            </w:pPr>
          </w:p>
          <w:p w14:paraId="6E6279A4">
            <w:pPr>
              <w:spacing w:line="256" w:lineRule="auto"/>
              <w:rPr>
                <w:rFonts w:ascii="Arial"/>
                <w:color w:val="auto"/>
                <w:sz w:val="21"/>
                <w:highlight w:val="none"/>
              </w:rPr>
            </w:pPr>
          </w:p>
          <w:p w14:paraId="346DB391">
            <w:pPr>
              <w:spacing w:line="256" w:lineRule="auto"/>
              <w:rPr>
                <w:rFonts w:ascii="Arial"/>
                <w:color w:val="auto"/>
                <w:sz w:val="21"/>
                <w:highlight w:val="none"/>
              </w:rPr>
            </w:pPr>
          </w:p>
          <w:p w14:paraId="63C92757">
            <w:pPr>
              <w:spacing w:line="256" w:lineRule="auto"/>
              <w:rPr>
                <w:rFonts w:ascii="Arial"/>
                <w:color w:val="auto"/>
                <w:sz w:val="21"/>
                <w:highlight w:val="none"/>
              </w:rPr>
            </w:pPr>
          </w:p>
          <w:p w14:paraId="6313BED8">
            <w:pPr>
              <w:pStyle w:val="23"/>
              <w:spacing w:before="65" w:line="270" w:lineRule="exact"/>
              <w:ind w:left="485"/>
              <w:rPr>
                <w:color w:val="auto"/>
                <w:highlight w:val="none"/>
              </w:rPr>
            </w:pPr>
            <w:r>
              <w:rPr>
                <w:color w:val="auto"/>
                <w:position w:val="1"/>
                <w:highlight w:val="none"/>
              </w:rPr>
              <w:t>1</w:t>
            </w:r>
          </w:p>
        </w:tc>
        <w:tc>
          <w:tcPr>
            <w:tcW w:w="1336" w:type="dxa"/>
            <w:vAlign w:val="top"/>
          </w:tcPr>
          <w:p w14:paraId="1C15DCAF">
            <w:pPr>
              <w:spacing w:line="256" w:lineRule="auto"/>
              <w:rPr>
                <w:rFonts w:ascii="Arial"/>
                <w:color w:val="auto"/>
                <w:sz w:val="21"/>
                <w:highlight w:val="none"/>
              </w:rPr>
            </w:pPr>
          </w:p>
          <w:p w14:paraId="3C6A68F2">
            <w:pPr>
              <w:spacing w:line="256" w:lineRule="auto"/>
              <w:rPr>
                <w:rFonts w:ascii="Arial"/>
                <w:color w:val="auto"/>
                <w:sz w:val="21"/>
                <w:highlight w:val="none"/>
              </w:rPr>
            </w:pPr>
          </w:p>
          <w:p w14:paraId="2A512205">
            <w:pPr>
              <w:spacing w:line="256" w:lineRule="auto"/>
              <w:rPr>
                <w:rFonts w:ascii="Arial"/>
                <w:color w:val="auto"/>
                <w:sz w:val="21"/>
                <w:highlight w:val="none"/>
              </w:rPr>
            </w:pPr>
          </w:p>
          <w:p w14:paraId="07D57875">
            <w:pPr>
              <w:spacing w:line="256" w:lineRule="auto"/>
              <w:rPr>
                <w:rFonts w:ascii="Arial"/>
                <w:color w:val="auto"/>
                <w:sz w:val="21"/>
                <w:highlight w:val="none"/>
              </w:rPr>
            </w:pPr>
          </w:p>
          <w:p w14:paraId="1D67C25E">
            <w:pPr>
              <w:spacing w:line="256" w:lineRule="auto"/>
              <w:rPr>
                <w:rFonts w:ascii="Arial"/>
                <w:color w:val="auto"/>
                <w:sz w:val="21"/>
                <w:highlight w:val="none"/>
              </w:rPr>
            </w:pPr>
          </w:p>
          <w:p w14:paraId="2E8ADED4">
            <w:pPr>
              <w:spacing w:line="256" w:lineRule="auto"/>
              <w:rPr>
                <w:rFonts w:ascii="Arial"/>
                <w:color w:val="auto"/>
                <w:sz w:val="21"/>
                <w:highlight w:val="none"/>
              </w:rPr>
            </w:pPr>
          </w:p>
          <w:p w14:paraId="5F486F9B">
            <w:pPr>
              <w:spacing w:line="256" w:lineRule="auto"/>
              <w:rPr>
                <w:rFonts w:ascii="Arial"/>
                <w:color w:val="auto"/>
                <w:sz w:val="21"/>
                <w:highlight w:val="none"/>
              </w:rPr>
            </w:pPr>
          </w:p>
          <w:p w14:paraId="2DB8046A">
            <w:pPr>
              <w:pStyle w:val="23"/>
              <w:spacing w:before="65" w:line="228" w:lineRule="auto"/>
              <w:ind w:left="251"/>
              <w:rPr>
                <w:color w:val="auto"/>
                <w:highlight w:val="none"/>
              </w:rPr>
            </w:pPr>
            <w:r>
              <w:rPr>
                <w:color w:val="auto"/>
                <w:spacing w:val="7"/>
                <w:highlight w:val="none"/>
              </w:rPr>
              <w:t>评标方法</w:t>
            </w:r>
          </w:p>
        </w:tc>
        <w:tc>
          <w:tcPr>
            <w:tcW w:w="6916" w:type="dxa"/>
            <w:vAlign w:val="top"/>
          </w:tcPr>
          <w:p w14:paraId="2427448B">
            <w:pPr>
              <w:pStyle w:val="23"/>
              <w:spacing w:before="29" w:line="378" w:lineRule="auto"/>
              <w:ind w:left="116" w:right="106" w:firstLine="288"/>
              <w:rPr>
                <w:color w:val="auto"/>
                <w:highlight w:val="none"/>
              </w:rPr>
            </w:pPr>
            <w:r>
              <w:rPr>
                <w:color w:val="auto"/>
                <w:spacing w:val="13"/>
                <w:highlight w:val="none"/>
              </w:rPr>
              <w:t>综合评分相等时，评标委员会依次按照以下优先顺序推荐</w:t>
            </w:r>
            <w:r>
              <w:rPr>
                <w:rFonts w:hint="eastAsia"/>
                <w:color w:val="auto"/>
                <w:spacing w:val="13"/>
                <w:highlight w:val="none"/>
                <w:lang w:val="en-US" w:eastAsia="zh-CN"/>
              </w:rPr>
              <w:t>定</w:t>
            </w:r>
            <w:r>
              <w:rPr>
                <w:color w:val="auto"/>
                <w:spacing w:val="13"/>
                <w:highlight w:val="none"/>
              </w:rPr>
              <w:t>标候选人</w:t>
            </w:r>
            <w:r>
              <w:rPr>
                <w:color w:val="auto"/>
                <w:spacing w:val="6"/>
                <w:highlight w:val="none"/>
              </w:rPr>
              <w:t>：</w:t>
            </w:r>
          </w:p>
          <w:p w14:paraId="2B788CC0">
            <w:pPr>
              <w:pStyle w:val="23"/>
              <w:spacing w:line="226" w:lineRule="auto"/>
              <w:ind w:left="411"/>
              <w:rPr>
                <w:color w:val="auto"/>
                <w:highlight w:val="none"/>
              </w:rPr>
            </w:pPr>
            <w:r>
              <w:rPr>
                <w:color w:val="auto"/>
                <w:spacing w:val="7"/>
                <w:highlight w:val="none"/>
              </w:rPr>
              <w:t>（1）评标价低的投标人优先；</w:t>
            </w:r>
          </w:p>
          <w:p w14:paraId="72EA3055">
            <w:pPr>
              <w:pStyle w:val="23"/>
              <w:spacing w:before="164" w:line="347" w:lineRule="auto"/>
              <w:ind w:left="113" w:right="109" w:firstLine="298"/>
              <w:rPr>
                <w:color w:val="auto"/>
                <w:highlight w:val="none"/>
              </w:rPr>
            </w:pPr>
            <w:r>
              <w:rPr>
                <w:color w:val="auto"/>
                <w:spacing w:val="9"/>
                <w:highlight w:val="none"/>
              </w:rPr>
              <w:t>（2）按招标文件规定被认定为广东省交通运输厅最新年度发布的广东</w:t>
            </w:r>
            <w:r>
              <w:rPr>
                <w:color w:val="auto"/>
                <w:spacing w:val="16"/>
                <w:highlight w:val="none"/>
              </w:rPr>
              <w:t>省公路工程从业单位信用等级（监理单位）较高的</w:t>
            </w:r>
            <w:r>
              <w:rPr>
                <w:color w:val="auto"/>
                <w:spacing w:val="15"/>
                <w:highlight w:val="none"/>
              </w:rPr>
              <w:t>投标人优先（采用如</w:t>
            </w:r>
            <w:r>
              <w:rPr>
                <w:color w:val="auto"/>
                <w:spacing w:val="19"/>
                <w:highlight w:val="none"/>
              </w:rPr>
              <w:t>下的优先顺序：承诺使用的</w:t>
            </w:r>
            <w:r>
              <w:rPr>
                <w:color w:val="auto"/>
                <w:highlight w:val="none"/>
              </w:rPr>
              <w:t>AA</w:t>
            </w:r>
            <w:r>
              <w:rPr>
                <w:color w:val="auto"/>
                <w:spacing w:val="-16"/>
                <w:highlight w:val="none"/>
              </w:rPr>
              <w:t xml:space="preserve"> </w:t>
            </w:r>
            <w:r>
              <w:rPr>
                <w:color w:val="auto"/>
                <w:spacing w:val="19"/>
                <w:highlight w:val="none"/>
              </w:rPr>
              <w:t>级投标人、不承诺使用的</w:t>
            </w:r>
            <w:r>
              <w:rPr>
                <w:color w:val="auto"/>
                <w:highlight w:val="none"/>
              </w:rPr>
              <w:t>AA</w:t>
            </w:r>
            <w:r>
              <w:rPr>
                <w:color w:val="auto"/>
                <w:spacing w:val="-29"/>
                <w:highlight w:val="none"/>
              </w:rPr>
              <w:t xml:space="preserve"> </w:t>
            </w:r>
            <w:r>
              <w:rPr>
                <w:color w:val="auto"/>
                <w:spacing w:val="19"/>
                <w:highlight w:val="none"/>
              </w:rPr>
              <w:t>级投标人、</w:t>
            </w:r>
            <w:r>
              <w:rPr>
                <w:color w:val="auto"/>
                <w:spacing w:val="9"/>
                <w:highlight w:val="none"/>
              </w:rPr>
              <w:t>承诺使用的</w:t>
            </w:r>
            <w:r>
              <w:rPr>
                <w:color w:val="auto"/>
                <w:spacing w:val="-46"/>
                <w:highlight w:val="none"/>
              </w:rPr>
              <w:t xml:space="preserve"> </w:t>
            </w:r>
            <w:r>
              <w:rPr>
                <w:color w:val="auto"/>
                <w:spacing w:val="9"/>
                <w:highlight w:val="none"/>
              </w:rPr>
              <w:t>A</w:t>
            </w:r>
            <w:r>
              <w:rPr>
                <w:color w:val="auto"/>
                <w:spacing w:val="-34"/>
                <w:highlight w:val="none"/>
              </w:rPr>
              <w:t xml:space="preserve"> </w:t>
            </w:r>
            <w:r>
              <w:rPr>
                <w:color w:val="auto"/>
                <w:spacing w:val="9"/>
                <w:highlight w:val="none"/>
              </w:rPr>
              <w:t>级投标人、不承诺使用的</w:t>
            </w:r>
            <w:r>
              <w:rPr>
                <w:color w:val="auto"/>
                <w:spacing w:val="-43"/>
                <w:highlight w:val="none"/>
              </w:rPr>
              <w:t xml:space="preserve"> </w:t>
            </w:r>
            <w:r>
              <w:rPr>
                <w:color w:val="auto"/>
                <w:spacing w:val="9"/>
                <w:highlight w:val="none"/>
              </w:rPr>
              <w:t>A</w:t>
            </w:r>
            <w:r>
              <w:rPr>
                <w:color w:val="auto"/>
                <w:spacing w:val="-35"/>
                <w:highlight w:val="none"/>
              </w:rPr>
              <w:t xml:space="preserve"> </w:t>
            </w:r>
            <w:r>
              <w:rPr>
                <w:color w:val="auto"/>
                <w:spacing w:val="9"/>
                <w:highlight w:val="none"/>
              </w:rPr>
              <w:t>级投标人、</w:t>
            </w:r>
            <w:r>
              <w:rPr>
                <w:color w:val="auto"/>
                <w:spacing w:val="8"/>
                <w:highlight w:val="none"/>
              </w:rPr>
              <w:t>B</w:t>
            </w:r>
            <w:r>
              <w:rPr>
                <w:color w:val="auto"/>
                <w:spacing w:val="-35"/>
                <w:highlight w:val="none"/>
              </w:rPr>
              <w:t xml:space="preserve"> </w:t>
            </w:r>
            <w:r>
              <w:rPr>
                <w:color w:val="auto"/>
                <w:spacing w:val="8"/>
                <w:highlight w:val="none"/>
              </w:rPr>
              <w:t>级投标人、未参评</w:t>
            </w:r>
            <w:r>
              <w:rPr>
                <w:color w:val="auto"/>
                <w:spacing w:val="6"/>
                <w:highlight w:val="none"/>
              </w:rPr>
              <w:t>且被确定为</w:t>
            </w:r>
            <w:r>
              <w:rPr>
                <w:color w:val="auto"/>
                <w:spacing w:val="-43"/>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级投标人</w:t>
            </w:r>
            <w:r>
              <w:rPr>
                <w:color w:val="auto"/>
                <w:spacing w:val="3"/>
                <w:highlight w:val="none"/>
              </w:rPr>
              <w:t>）；</w:t>
            </w:r>
          </w:p>
          <w:p w14:paraId="7C09B4BE">
            <w:pPr>
              <w:pStyle w:val="23"/>
              <w:spacing w:before="160" w:line="228" w:lineRule="auto"/>
              <w:ind w:left="411"/>
              <w:rPr>
                <w:color w:val="auto"/>
                <w:highlight w:val="none"/>
              </w:rPr>
            </w:pPr>
            <w:r>
              <w:rPr>
                <w:color w:val="auto"/>
                <w:spacing w:val="8"/>
                <w:highlight w:val="none"/>
              </w:rPr>
              <w:t>（3）商务和技术得分较高的投标人优先；</w:t>
            </w:r>
          </w:p>
          <w:p w14:paraId="1EFB430A">
            <w:pPr>
              <w:pStyle w:val="23"/>
              <w:spacing w:before="161" w:line="227" w:lineRule="auto"/>
              <w:ind w:left="411"/>
              <w:rPr>
                <w:color w:val="auto"/>
                <w:highlight w:val="none"/>
              </w:rPr>
            </w:pPr>
            <w:r>
              <w:rPr>
                <w:color w:val="auto"/>
                <w:spacing w:val="8"/>
                <w:highlight w:val="none"/>
              </w:rPr>
              <w:t>（4）评标委员会视投标人情况综合比较，投票确定其名次。</w:t>
            </w:r>
          </w:p>
        </w:tc>
      </w:tr>
      <w:tr w14:paraId="45C9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1" w:hRule="atLeast"/>
        </w:trPr>
        <w:tc>
          <w:tcPr>
            <w:tcW w:w="1034" w:type="dxa"/>
            <w:vAlign w:val="top"/>
          </w:tcPr>
          <w:p w14:paraId="0229F54D">
            <w:pPr>
              <w:spacing w:line="251" w:lineRule="auto"/>
              <w:rPr>
                <w:rFonts w:ascii="Arial"/>
                <w:color w:val="auto"/>
                <w:sz w:val="21"/>
                <w:highlight w:val="none"/>
              </w:rPr>
            </w:pPr>
          </w:p>
          <w:p w14:paraId="1627E9EC">
            <w:pPr>
              <w:spacing w:line="251" w:lineRule="auto"/>
              <w:rPr>
                <w:rFonts w:ascii="Arial"/>
                <w:color w:val="auto"/>
                <w:sz w:val="21"/>
                <w:highlight w:val="none"/>
              </w:rPr>
            </w:pPr>
          </w:p>
          <w:p w14:paraId="6377CEB3">
            <w:pPr>
              <w:spacing w:line="251" w:lineRule="auto"/>
              <w:rPr>
                <w:rFonts w:ascii="Arial"/>
                <w:color w:val="auto"/>
                <w:sz w:val="21"/>
                <w:highlight w:val="none"/>
              </w:rPr>
            </w:pPr>
          </w:p>
          <w:p w14:paraId="4E1D92CD">
            <w:pPr>
              <w:spacing w:line="251" w:lineRule="auto"/>
              <w:rPr>
                <w:rFonts w:ascii="Arial"/>
                <w:color w:val="auto"/>
                <w:sz w:val="21"/>
                <w:highlight w:val="none"/>
              </w:rPr>
            </w:pPr>
          </w:p>
          <w:p w14:paraId="71918473">
            <w:pPr>
              <w:spacing w:line="251" w:lineRule="auto"/>
              <w:rPr>
                <w:rFonts w:ascii="Arial"/>
                <w:color w:val="auto"/>
                <w:sz w:val="21"/>
                <w:highlight w:val="none"/>
              </w:rPr>
            </w:pPr>
          </w:p>
          <w:p w14:paraId="0E26FC48">
            <w:pPr>
              <w:spacing w:line="251" w:lineRule="auto"/>
              <w:rPr>
                <w:rFonts w:ascii="Arial"/>
                <w:color w:val="auto"/>
                <w:sz w:val="21"/>
                <w:highlight w:val="none"/>
              </w:rPr>
            </w:pPr>
          </w:p>
          <w:p w14:paraId="0D7B2F8F">
            <w:pPr>
              <w:spacing w:line="251" w:lineRule="auto"/>
              <w:rPr>
                <w:rFonts w:ascii="Arial"/>
                <w:color w:val="auto"/>
                <w:sz w:val="21"/>
                <w:highlight w:val="none"/>
              </w:rPr>
            </w:pPr>
          </w:p>
          <w:p w14:paraId="0F8D3FB2">
            <w:pPr>
              <w:spacing w:line="251" w:lineRule="auto"/>
              <w:rPr>
                <w:rFonts w:ascii="Arial"/>
                <w:color w:val="auto"/>
                <w:sz w:val="21"/>
                <w:highlight w:val="none"/>
              </w:rPr>
            </w:pPr>
          </w:p>
          <w:p w14:paraId="549496E9">
            <w:pPr>
              <w:spacing w:line="251" w:lineRule="auto"/>
              <w:rPr>
                <w:rFonts w:ascii="Arial"/>
                <w:color w:val="auto"/>
                <w:sz w:val="21"/>
                <w:highlight w:val="none"/>
              </w:rPr>
            </w:pPr>
          </w:p>
          <w:p w14:paraId="5D3C3BF5">
            <w:pPr>
              <w:spacing w:line="251" w:lineRule="auto"/>
              <w:rPr>
                <w:rFonts w:ascii="Arial"/>
                <w:color w:val="auto"/>
                <w:sz w:val="21"/>
                <w:highlight w:val="none"/>
              </w:rPr>
            </w:pPr>
          </w:p>
          <w:p w14:paraId="55F28135">
            <w:pPr>
              <w:spacing w:line="251" w:lineRule="auto"/>
              <w:rPr>
                <w:rFonts w:ascii="Arial"/>
                <w:color w:val="auto"/>
                <w:sz w:val="21"/>
                <w:highlight w:val="none"/>
              </w:rPr>
            </w:pPr>
          </w:p>
          <w:p w14:paraId="4011D1B4">
            <w:pPr>
              <w:spacing w:line="251" w:lineRule="auto"/>
              <w:rPr>
                <w:rFonts w:ascii="Arial"/>
                <w:color w:val="auto"/>
                <w:sz w:val="21"/>
                <w:highlight w:val="none"/>
              </w:rPr>
            </w:pPr>
          </w:p>
          <w:p w14:paraId="58A694CD">
            <w:pPr>
              <w:pStyle w:val="23"/>
              <w:spacing w:before="65" w:line="268" w:lineRule="exact"/>
              <w:ind w:left="261"/>
              <w:rPr>
                <w:color w:val="auto"/>
                <w:highlight w:val="none"/>
              </w:rPr>
            </w:pPr>
            <w:r>
              <w:rPr>
                <w:color w:val="auto"/>
                <w:spacing w:val="2"/>
                <w:position w:val="1"/>
                <w:highlight w:val="none"/>
              </w:rPr>
              <w:t>2.1.1</w:t>
            </w:r>
          </w:p>
          <w:p w14:paraId="6E263760">
            <w:pPr>
              <w:pStyle w:val="23"/>
              <w:spacing w:before="140" w:line="267" w:lineRule="exact"/>
              <w:ind w:left="261"/>
              <w:rPr>
                <w:color w:val="auto"/>
                <w:highlight w:val="none"/>
              </w:rPr>
            </w:pPr>
            <w:r>
              <w:rPr>
                <w:color w:val="auto"/>
                <w:spacing w:val="2"/>
                <w:position w:val="1"/>
                <w:highlight w:val="none"/>
              </w:rPr>
              <w:t>2.1.3</w:t>
            </w:r>
          </w:p>
        </w:tc>
        <w:tc>
          <w:tcPr>
            <w:tcW w:w="1336" w:type="dxa"/>
            <w:vAlign w:val="top"/>
          </w:tcPr>
          <w:p w14:paraId="698DB3FD">
            <w:pPr>
              <w:spacing w:line="255" w:lineRule="auto"/>
              <w:rPr>
                <w:rFonts w:ascii="Arial"/>
                <w:color w:val="auto"/>
                <w:sz w:val="21"/>
                <w:highlight w:val="none"/>
              </w:rPr>
            </w:pPr>
          </w:p>
          <w:p w14:paraId="36B7A818">
            <w:pPr>
              <w:spacing w:line="255" w:lineRule="auto"/>
              <w:rPr>
                <w:rFonts w:ascii="Arial"/>
                <w:color w:val="auto"/>
                <w:sz w:val="21"/>
                <w:highlight w:val="none"/>
              </w:rPr>
            </w:pPr>
          </w:p>
          <w:p w14:paraId="04DD2A32">
            <w:pPr>
              <w:spacing w:line="255" w:lineRule="auto"/>
              <w:rPr>
                <w:rFonts w:ascii="Arial"/>
                <w:color w:val="auto"/>
                <w:sz w:val="21"/>
                <w:highlight w:val="none"/>
              </w:rPr>
            </w:pPr>
          </w:p>
          <w:p w14:paraId="229E73D0">
            <w:pPr>
              <w:spacing w:line="255" w:lineRule="auto"/>
              <w:rPr>
                <w:rFonts w:ascii="Arial"/>
                <w:color w:val="auto"/>
                <w:sz w:val="21"/>
                <w:highlight w:val="none"/>
              </w:rPr>
            </w:pPr>
          </w:p>
          <w:p w14:paraId="5050FD5F">
            <w:pPr>
              <w:spacing w:line="255" w:lineRule="auto"/>
              <w:rPr>
                <w:rFonts w:ascii="Arial"/>
                <w:color w:val="auto"/>
                <w:sz w:val="21"/>
                <w:highlight w:val="none"/>
              </w:rPr>
            </w:pPr>
          </w:p>
          <w:p w14:paraId="7092B998">
            <w:pPr>
              <w:spacing w:line="255" w:lineRule="auto"/>
              <w:rPr>
                <w:rFonts w:ascii="Arial"/>
                <w:color w:val="auto"/>
                <w:sz w:val="21"/>
                <w:highlight w:val="none"/>
              </w:rPr>
            </w:pPr>
          </w:p>
          <w:p w14:paraId="4D4E03F5">
            <w:pPr>
              <w:spacing w:line="256" w:lineRule="auto"/>
              <w:rPr>
                <w:rFonts w:ascii="Arial"/>
                <w:color w:val="auto"/>
                <w:sz w:val="21"/>
                <w:highlight w:val="none"/>
              </w:rPr>
            </w:pPr>
          </w:p>
          <w:p w14:paraId="7E5B4684">
            <w:pPr>
              <w:spacing w:line="256" w:lineRule="auto"/>
              <w:rPr>
                <w:rFonts w:ascii="Arial"/>
                <w:color w:val="auto"/>
                <w:sz w:val="21"/>
                <w:highlight w:val="none"/>
              </w:rPr>
            </w:pPr>
          </w:p>
          <w:p w14:paraId="42ECC862">
            <w:pPr>
              <w:spacing w:line="256" w:lineRule="auto"/>
              <w:rPr>
                <w:rFonts w:ascii="Arial"/>
                <w:color w:val="auto"/>
                <w:sz w:val="21"/>
                <w:highlight w:val="none"/>
              </w:rPr>
            </w:pPr>
          </w:p>
          <w:p w14:paraId="59C027E3">
            <w:pPr>
              <w:spacing w:line="256" w:lineRule="auto"/>
              <w:rPr>
                <w:rFonts w:ascii="Arial"/>
                <w:color w:val="auto"/>
                <w:sz w:val="21"/>
                <w:highlight w:val="none"/>
              </w:rPr>
            </w:pPr>
          </w:p>
          <w:p w14:paraId="269D9F87">
            <w:pPr>
              <w:spacing w:line="256" w:lineRule="auto"/>
              <w:rPr>
                <w:rFonts w:ascii="Arial"/>
                <w:color w:val="auto"/>
                <w:sz w:val="21"/>
                <w:highlight w:val="none"/>
              </w:rPr>
            </w:pPr>
          </w:p>
          <w:p w14:paraId="048A7646">
            <w:pPr>
              <w:pStyle w:val="23"/>
              <w:spacing w:before="65" w:line="228" w:lineRule="auto"/>
              <w:ind w:left="149"/>
              <w:rPr>
                <w:color w:val="auto"/>
                <w:highlight w:val="none"/>
              </w:rPr>
            </w:pPr>
            <w:r>
              <w:rPr>
                <w:color w:val="auto"/>
                <w:spacing w:val="7"/>
                <w:highlight w:val="none"/>
              </w:rPr>
              <w:t>形式评审与</w:t>
            </w:r>
          </w:p>
          <w:p w14:paraId="0DB40B88">
            <w:pPr>
              <w:pStyle w:val="23"/>
              <w:spacing w:before="160" w:line="228" w:lineRule="auto"/>
              <w:ind w:left="157"/>
              <w:rPr>
                <w:color w:val="auto"/>
                <w:highlight w:val="none"/>
              </w:rPr>
            </w:pPr>
            <w:r>
              <w:rPr>
                <w:color w:val="auto"/>
                <w:spacing w:val="6"/>
                <w:highlight w:val="none"/>
              </w:rPr>
              <w:t>响应性评审</w:t>
            </w:r>
          </w:p>
          <w:p w14:paraId="51A08C4E">
            <w:pPr>
              <w:pStyle w:val="23"/>
              <w:spacing w:before="143" w:line="265" w:lineRule="exact"/>
              <w:ind w:left="411"/>
              <w:rPr>
                <w:color w:val="auto"/>
                <w:sz w:val="10"/>
                <w:szCs w:val="10"/>
                <w:highlight w:val="none"/>
              </w:rPr>
            </w:pPr>
            <w:r>
              <w:rPr>
                <w:color w:val="auto"/>
                <w:spacing w:val="5"/>
                <w:highlight w:val="none"/>
              </w:rPr>
              <w:t>标准</w:t>
            </w:r>
          </w:p>
        </w:tc>
        <w:tc>
          <w:tcPr>
            <w:tcW w:w="6916" w:type="dxa"/>
            <w:vAlign w:val="top"/>
          </w:tcPr>
          <w:p w14:paraId="576C377C">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533"/>
              <w:textAlignment w:val="baseline"/>
              <w:rPr>
                <w:color w:val="auto"/>
                <w:highlight w:val="none"/>
              </w:rPr>
            </w:pPr>
            <w:r>
              <w:rPr>
                <w:b/>
                <w:bCs/>
                <w:color w:val="auto"/>
                <w:spacing w:val="7"/>
                <w:highlight w:val="none"/>
              </w:rPr>
              <w:t>第一个信封（商务及技术文件）评审标准：</w:t>
            </w:r>
          </w:p>
          <w:p w14:paraId="69BCD49A">
            <w:pPr>
              <w:pStyle w:val="23"/>
              <w:keepNext w:val="0"/>
              <w:keepLines w:val="0"/>
              <w:pageBreakBefore w:val="0"/>
              <w:widowControl/>
              <w:kinsoku w:val="0"/>
              <w:wordWrap/>
              <w:overflowPunct/>
              <w:topLinePunct w:val="0"/>
              <w:autoSpaceDE w:val="0"/>
              <w:autoSpaceDN w:val="0"/>
              <w:bidi w:val="0"/>
              <w:adjustRightInd w:val="0"/>
              <w:snapToGrid w:val="0"/>
              <w:spacing w:line="377" w:lineRule="auto"/>
              <w:ind w:left="114" w:right="106" w:firstLine="429"/>
              <w:textAlignment w:val="baseline"/>
              <w:rPr>
                <w:color w:val="auto"/>
                <w:highlight w:val="none"/>
              </w:rPr>
            </w:pPr>
            <w:r>
              <w:rPr>
                <w:color w:val="auto"/>
                <w:spacing w:val="16"/>
                <w:highlight w:val="none"/>
              </w:rPr>
              <w:t>（1）</w:t>
            </w:r>
            <w:r>
              <w:rPr>
                <w:color w:val="auto"/>
                <w:spacing w:val="-56"/>
                <w:highlight w:val="none"/>
              </w:rPr>
              <w:t xml:space="preserve"> </w:t>
            </w:r>
            <w:r>
              <w:rPr>
                <w:color w:val="auto"/>
                <w:spacing w:val="16"/>
                <w:highlight w:val="none"/>
              </w:rPr>
              <w:t>投标文件按照招标文件规定的格式、</w:t>
            </w:r>
            <w:r>
              <w:rPr>
                <w:color w:val="auto"/>
                <w:spacing w:val="-49"/>
                <w:highlight w:val="none"/>
              </w:rPr>
              <w:t xml:space="preserve"> </w:t>
            </w:r>
            <w:r>
              <w:rPr>
                <w:color w:val="auto"/>
                <w:spacing w:val="16"/>
                <w:highlight w:val="none"/>
              </w:rPr>
              <w:t>内容填写，字迹清晰可</w:t>
            </w:r>
            <w:r>
              <w:rPr>
                <w:color w:val="auto"/>
                <w:highlight w:val="none"/>
              </w:rPr>
              <w:t>辨：</w:t>
            </w:r>
          </w:p>
          <w:p w14:paraId="298EDC54">
            <w:pPr>
              <w:pStyle w:val="23"/>
              <w:keepNext w:val="0"/>
              <w:keepLines w:val="0"/>
              <w:pageBreakBefore w:val="0"/>
              <w:widowControl/>
              <w:kinsoku w:val="0"/>
              <w:wordWrap/>
              <w:overflowPunct/>
              <w:topLinePunct w:val="0"/>
              <w:autoSpaceDE w:val="0"/>
              <w:autoSpaceDN w:val="0"/>
              <w:bidi w:val="0"/>
              <w:adjustRightInd w:val="0"/>
              <w:snapToGrid w:val="0"/>
              <w:spacing w:line="303" w:lineRule="auto"/>
              <w:ind w:left="113" w:right="106" w:firstLine="420"/>
              <w:textAlignment w:val="baseline"/>
              <w:rPr>
                <w:color w:val="auto"/>
                <w:highlight w:val="none"/>
              </w:rPr>
            </w:pPr>
            <w:r>
              <w:rPr>
                <w:color w:val="auto"/>
                <w:spacing w:val="14"/>
                <w:highlight w:val="none"/>
              </w:rPr>
              <w:t>a.投标函按招标文件规定填报了项目名称、标段号（如有）</w:t>
            </w:r>
            <w:r>
              <w:rPr>
                <w:color w:val="auto"/>
                <w:spacing w:val="-52"/>
                <w:highlight w:val="none"/>
              </w:rPr>
              <w:t xml:space="preserve"> </w:t>
            </w:r>
            <w:r>
              <w:rPr>
                <w:color w:val="auto"/>
                <w:spacing w:val="14"/>
                <w:highlight w:val="none"/>
              </w:rPr>
              <w:t>、监理</w:t>
            </w:r>
            <w:r>
              <w:rPr>
                <w:color w:val="auto"/>
                <w:spacing w:val="8"/>
                <w:highlight w:val="none"/>
              </w:rPr>
              <w:t>服务期限、工程质量要求及安全目标；</w:t>
            </w:r>
          </w:p>
          <w:p w14:paraId="5605E36B">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530"/>
              <w:textAlignment w:val="baseline"/>
              <w:rPr>
                <w:color w:val="auto"/>
                <w:highlight w:val="none"/>
              </w:rPr>
            </w:pPr>
            <w:r>
              <w:rPr>
                <w:color w:val="auto"/>
                <w:spacing w:val="8"/>
                <w:highlight w:val="none"/>
              </w:rPr>
              <w:t>b.投标文件组成齐全完整，内容均按规定填写。</w:t>
            </w:r>
          </w:p>
          <w:p w14:paraId="368022DF">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21" w:right="109" w:firstLine="422"/>
              <w:textAlignment w:val="baseline"/>
              <w:rPr>
                <w:color w:val="auto"/>
                <w:highlight w:val="none"/>
              </w:rPr>
            </w:pPr>
            <w:r>
              <w:rPr>
                <w:color w:val="auto"/>
                <w:spacing w:val="12"/>
                <w:highlight w:val="none"/>
              </w:rPr>
              <w:t>（2）投标文件上法定代表人或其委托代理人的签字、投标</w:t>
            </w:r>
            <w:r>
              <w:rPr>
                <w:color w:val="auto"/>
                <w:spacing w:val="11"/>
                <w:highlight w:val="none"/>
              </w:rPr>
              <w:t>人的单位</w:t>
            </w:r>
            <w:r>
              <w:rPr>
                <w:color w:val="auto"/>
                <w:spacing w:val="8"/>
                <w:highlight w:val="none"/>
              </w:rPr>
              <w:t>章盖章齐全，符合招标文件规定。</w:t>
            </w:r>
          </w:p>
          <w:p w14:paraId="021177AE">
            <w:pPr>
              <w:pStyle w:val="23"/>
              <w:keepNext w:val="0"/>
              <w:keepLines w:val="0"/>
              <w:pageBreakBefore w:val="0"/>
              <w:widowControl/>
              <w:kinsoku w:val="0"/>
              <w:wordWrap/>
              <w:overflowPunct/>
              <w:topLinePunct w:val="0"/>
              <w:autoSpaceDE w:val="0"/>
              <w:autoSpaceDN w:val="0"/>
              <w:bidi w:val="0"/>
              <w:adjustRightInd w:val="0"/>
              <w:snapToGrid w:val="0"/>
              <w:spacing w:line="227" w:lineRule="auto"/>
              <w:ind w:left="543"/>
              <w:textAlignment w:val="baseline"/>
              <w:rPr>
                <w:color w:val="auto"/>
                <w:highlight w:val="none"/>
              </w:rPr>
            </w:pPr>
            <w:r>
              <w:rPr>
                <w:color w:val="auto"/>
                <w:spacing w:val="8"/>
                <w:highlight w:val="none"/>
              </w:rPr>
              <w:t>（3） 投标人按照招标文件的规定提供了投标保证金：</w:t>
            </w:r>
          </w:p>
          <w:p w14:paraId="2AAD3975">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highlight w:val="none"/>
              </w:rPr>
            </w:pPr>
            <w:r>
              <w:rPr>
                <w:color w:val="auto"/>
                <w:spacing w:val="15"/>
                <w:highlight w:val="none"/>
              </w:rPr>
              <w:t>a.投标保证金金额符合招标文件规定的金额，且投标保证金有效期</w:t>
            </w:r>
            <w:r>
              <w:rPr>
                <w:color w:val="auto"/>
                <w:spacing w:val="7"/>
                <w:highlight w:val="none"/>
              </w:rPr>
              <w:t>不少于投标有效期；</w:t>
            </w:r>
          </w:p>
          <w:p w14:paraId="0B460E0E">
            <w:pPr>
              <w:pStyle w:val="23"/>
              <w:keepNext w:val="0"/>
              <w:keepLines w:val="0"/>
              <w:pageBreakBefore w:val="0"/>
              <w:widowControl/>
              <w:kinsoku w:val="0"/>
              <w:wordWrap/>
              <w:overflowPunct/>
              <w:topLinePunct w:val="0"/>
              <w:autoSpaceDE w:val="0"/>
              <w:autoSpaceDN w:val="0"/>
              <w:bidi w:val="0"/>
              <w:adjustRightInd w:val="0"/>
              <w:snapToGrid w:val="0"/>
              <w:spacing w:line="327" w:lineRule="auto"/>
              <w:ind w:left="114" w:right="106" w:firstLine="415"/>
              <w:textAlignment w:val="baseline"/>
              <w:rPr>
                <w:color w:val="auto"/>
                <w:highlight w:val="none"/>
              </w:rPr>
            </w:pPr>
            <w:r>
              <w:rPr>
                <w:color w:val="auto"/>
                <w:spacing w:val="16"/>
                <w:highlight w:val="none"/>
              </w:rPr>
              <w:t>b.若投标保证金采用现金或支票形式提交，</w:t>
            </w:r>
            <w:r>
              <w:rPr>
                <w:color w:val="auto"/>
                <w:spacing w:val="15"/>
                <w:highlight w:val="none"/>
              </w:rPr>
              <w:t>投标人应在招标文件规</w:t>
            </w:r>
            <w:r>
              <w:rPr>
                <w:color w:val="auto"/>
                <w:spacing w:val="16"/>
                <w:highlight w:val="none"/>
              </w:rPr>
              <w:t>定的投标保证金递交截止时间之前，将投标保证金由</w:t>
            </w:r>
            <w:r>
              <w:rPr>
                <w:color w:val="auto"/>
                <w:spacing w:val="15"/>
                <w:highlight w:val="none"/>
              </w:rPr>
              <w:t>投标人的基本账户</w:t>
            </w:r>
            <w:r>
              <w:rPr>
                <w:color w:val="auto"/>
                <w:spacing w:val="7"/>
                <w:highlight w:val="none"/>
              </w:rPr>
              <w:t>转入招标人指定账户；</w:t>
            </w:r>
          </w:p>
          <w:p w14:paraId="1331EE6C">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14" w:right="106" w:firstLine="423"/>
              <w:textAlignment w:val="baseline"/>
              <w:rPr>
                <w:color w:val="auto"/>
                <w:highlight w:val="none"/>
              </w:rPr>
            </w:pPr>
            <w:r>
              <w:rPr>
                <w:color w:val="auto"/>
                <w:spacing w:val="13"/>
                <w:highlight w:val="none"/>
              </w:rPr>
              <w:t>c.若投标保证金采用银行保函或投标人须知前附表</w:t>
            </w:r>
            <w:r>
              <w:rPr>
                <w:color w:val="auto"/>
                <w:spacing w:val="-24"/>
                <w:highlight w:val="none"/>
              </w:rPr>
              <w:t xml:space="preserve"> </w:t>
            </w:r>
            <w:r>
              <w:rPr>
                <w:color w:val="auto"/>
                <w:spacing w:val="13"/>
                <w:highlight w:val="none"/>
              </w:rPr>
              <w:t>3.4.1</w:t>
            </w:r>
            <w:r>
              <w:rPr>
                <w:color w:val="auto"/>
                <w:spacing w:val="-27"/>
                <w:highlight w:val="none"/>
              </w:rPr>
              <w:t xml:space="preserve"> </w:t>
            </w:r>
            <w:r>
              <w:rPr>
                <w:color w:val="auto"/>
                <w:spacing w:val="13"/>
                <w:highlight w:val="none"/>
              </w:rPr>
              <w:t>项规定的</w:t>
            </w:r>
            <w:r>
              <w:rPr>
                <w:color w:val="auto"/>
                <w:spacing w:val="8"/>
                <w:highlight w:val="none"/>
              </w:rPr>
              <w:t>其他形式提交，应满足招标文件要求。</w:t>
            </w:r>
          </w:p>
          <w:p w14:paraId="7244927F">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543"/>
              <w:textAlignment w:val="baseline"/>
              <w:rPr>
                <w:color w:val="auto"/>
                <w:spacing w:val="12"/>
                <w:highlight w:val="none"/>
              </w:rPr>
            </w:pPr>
            <w:r>
              <w:rPr>
                <w:color w:val="auto"/>
                <w:spacing w:val="12"/>
                <w:highlight w:val="none"/>
              </w:rPr>
              <w:t>（4）投标人法定代表人授权委托代理人签署投标文件的，</w:t>
            </w:r>
            <w:r>
              <w:rPr>
                <w:color w:val="auto"/>
                <w:spacing w:val="11"/>
                <w:highlight w:val="none"/>
              </w:rPr>
              <w:t>须提交授</w:t>
            </w:r>
          </w:p>
          <w:p w14:paraId="76623498">
            <w:pPr>
              <w:pStyle w:val="23"/>
              <w:keepNext w:val="0"/>
              <w:keepLines w:val="0"/>
              <w:pageBreakBefore w:val="0"/>
              <w:widowControl/>
              <w:kinsoku w:val="0"/>
              <w:wordWrap/>
              <w:overflowPunct/>
              <w:topLinePunct w:val="0"/>
              <w:autoSpaceDE w:val="0"/>
              <w:autoSpaceDN w:val="0"/>
              <w:bidi w:val="0"/>
              <w:adjustRightInd w:val="0"/>
              <w:snapToGrid w:val="0"/>
              <w:spacing w:line="378" w:lineRule="auto"/>
              <w:ind w:left="112" w:right="106"/>
              <w:textAlignment w:val="baseline"/>
              <w:rPr>
                <w:color w:val="auto"/>
                <w:highlight w:val="none"/>
              </w:rPr>
            </w:pPr>
            <w:r>
              <w:rPr>
                <w:color w:val="auto"/>
                <w:spacing w:val="16"/>
                <w:highlight w:val="none"/>
              </w:rPr>
              <w:t>权委托书，且授权人和被授权人均在授权委托书上使用个</w:t>
            </w:r>
            <w:r>
              <w:rPr>
                <w:color w:val="auto"/>
                <w:spacing w:val="15"/>
                <w:highlight w:val="none"/>
              </w:rPr>
              <w:t>人电子签名章</w:t>
            </w:r>
            <w:r>
              <w:rPr>
                <w:color w:val="auto"/>
                <w:spacing w:val="8"/>
                <w:highlight w:val="none"/>
              </w:rPr>
              <w:t>进行签名或亲笔签名。</w:t>
            </w:r>
          </w:p>
          <w:p w14:paraId="144FF32E">
            <w:pPr>
              <w:pStyle w:val="23"/>
              <w:keepNext w:val="0"/>
              <w:keepLines w:val="0"/>
              <w:pageBreakBefore w:val="0"/>
              <w:widowControl/>
              <w:kinsoku w:val="0"/>
              <w:wordWrap/>
              <w:overflowPunct/>
              <w:topLinePunct w:val="0"/>
              <w:autoSpaceDE w:val="0"/>
              <w:autoSpaceDN w:val="0"/>
              <w:bidi w:val="0"/>
              <w:adjustRightInd w:val="0"/>
              <w:snapToGrid w:val="0"/>
              <w:spacing w:line="326" w:lineRule="auto"/>
              <w:ind w:left="113" w:right="106" w:firstLine="430"/>
              <w:textAlignment w:val="baseline"/>
              <w:rPr>
                <w:color w:val="auto"/>
                <w:highlight w:val="none"/>
              </w:rPr>
            </w:pPr>
            <w:r>
              <w:rPr>
                <w:color w:val="auto"/>
                <w:spacing w:val="12"/>
                <w:highlight w:val="none"/>
              </w:rPr>
              <w:t>（5）投标人法定代表人亲自签署投标文件的，提供了法定</w:t>
            </w:r>
            <w:r>
              <w:rPr>
                <w:color w:val="auto"/>
                <w:spacing w:val="11"/>
                <w:highlight w:val="none"/>
              </w:rPr>
              <w:t>代表人身</w:t>
            </w:r>
            <w:r>
              <w:rPr>
                <w:color w:val="auto"/>
                <w:spacing w:val="16"/>
                <w:highlight w:val="none"/>
              </w:rPr>
              <w:t>份证明，且法定代表人在法定代表人身份证明上使用个</w:t>
            </w:r>
            <w:r>
              <w:rPr>
                <w:color w:val="auto"/>
                <w:spacing w:val="15"/>
                <w:highlight w:val="none"/>
              </w:rPr>
              <w:t>人电子签名章进</w:t>
            </w:r>
            <w:r>
              <w:rPr>
                <w:color w:val="auto"/>
                <w:spacing w:val="7"/>
                <w:highlight w:val="none"/>
              </w:rPr>
              <w:t>行签名或亲笔签名。</w:t>
            </w:r>
          </w:p>
          <w:p w14:paraId="78B74F78">
            <w:pPr>
              <w:pStyle w:val="23"/>
              <w:keepNext w:val="0"/>
              <w:keepLines w:val="0"/>
              <w:pageBreakBefore w:val="0"/>
              <w:widowControl/>
              <w:kinsoku w:val="0"/>
              <w:wordWrap/>
              <w:overflowPunct/>
              <w:topLinePunct w:val="0"/>
              <w:autoSpaceDE w:val="0"/>
              <w:autoSpaceDN w:val="0"/>
              <w:bidi w:val="0"/>
              <w:adjustRightInd w:val="0"/>
              <w:snapToGrid w:val="0"/>
              <w:spacing w:line="378" w:lineRule="auto"/>
              <w:ind w:left="114" w:right="109" w:firstLine="421"/>
              <w:textAlignment w:val="baseline"/>
              <w:rPr>
                <w:color w:val="auto"/>
                <w:highlight w:val="none"/>
              </w:rPr>
            </w:pPr>
            <w:r>
              <w:rPr>
                <w:color w:val="auto"/>
                <w:spacing w:val="9"/>
                <w:highlight w:val="none"/>
              </w:rPr>
              <w:t>（6）投标人未以联合体形式投标。</w:t>
            </w:r>
          </w:p>
          <w:p w14:paraId="0D6F96B8">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14" w:right="109" w:firstLine="429"/>
              <w:textAlignment w:val="baseline"/>
              <w:rPr>
                <w:color w:val="auto"/>
                <w:highlight w:val="none"/>
              </w:rPr>
            </w:pPr>
            <w:r>
              <w:rPr>
                <w:color w:val="auto"/>
                <w:spacing w:val="10"/>
                <w:highlight w:val="none"/>
              </w:rPr>
              <w:t>（7）</w:t>
            </w:r>
            <w:r>
              <w:rPr>
                <w:color w:val="auto"/>
                <w:spacing w:val="-44"/>
                <w:highlight w:val="none"/>
              </w:rPr>
              <w:t xml:space="preserve"> </w:t>
            </w:r>
            <w:r>
              <w:rPr>
                <w:color w:val="auto"/>
                <w:spacing w:val="10"/>
                <w:highlight w:val="none"/>
              </w:rPr>
              <w:t>同一投标人未提交两个以上不同的投标文件，但招标文件要求</w:t>
            </w:r>
            <w:r>
              <w:rPr>
                <w:color w:val="auto"/>
                <w:spacing w:val="7"/>
                <w:highlight w:val="none"/>
              </w:rPr>
              <w:t>提交备选投标的除外。</w:t>
            </w:r>
          </w:p>
          <w:p w14:paraId="5500F3FF">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（8）投标文件中未出现有关投标报价的内容。</w:t>
            </w:r>
          </w:p>
          <w:p w14:paraId="52CE6923">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（9） 投标文件载明的招标项目完成期限未超过招标文件规定的时限。</w:t>
            </w:r>
          </w:p>
          <w:p w14:paraId="4B7A403C">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（10）投标文件对招标文件的实质性要求和条件作出响应。</w:t>
            </w:r>
          </w:p>
          <w:p w14:paraId="5532B84D">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（11）权利义务符合招标文件规定：</w:t>
            </w:r>
          </w:p>
          <w:p w14:paraId="47AFEB90">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a.投标人应接受招标文件规定的风险划分原则，未提出新的风险划分办法；</w:t>
            </w:r>
          </w:p>
          <w:p w14:paraId="3081709A">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b.投标人未增加委托人的责任范围，或减少投标人义务；</w:t>
            </w:r>
          </w:p>
          <w:p w14:paraId="2B40F468">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c.投标人未提出不同的支付办法；</w:t>
            </w:r>
          </w:p>
          <w:p w14:paraId="200D30CD">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d.投标人对合同纠纷、事故处理办法未提出异议；</w:t>
            </w:r>
          </w:p>
          <w:p w14:paraId="709A2219">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e.投标人在投标活动中无欺诈行为；</w:t>
            </w:r>
          </w:p>
          <w:p w14:paraId="34BFBB6D">
            <w:pPr>
              <w:pStyle w:val="23"/>
              <w:keepNext w:val="0"/>
              <w:keepLines w:val="0"/>
              <w:pageBreakBefore w:val="0"/>
              <w:widowControl/>
              <w:kinsoku w:val="0"/>
              <w:wordWrap/>
              <w:overflowPunct/>
              <w:topLinePunct w:val="0"/>
              <w:autoSpaceDE w:val="0"/>
              <w:autoSpaceDN w:val="0"/>
              <w:bidi w:val="0"/>
              <w:adjustRightInd w:val="0"/>
              <w:snapToGrid w:val="0"/>
              <w:spacing w:line="304" w:lineRule="auto"/>
              <w:ind w:left="117" w:right="109" w:firstLine="417"/>
              <w:textAlignment w:val="baseline"/>
              <w:rPr>
                <w:color w:val="auto"/>
                <w:spacing w:val="15"/>
                <w:highlight w:val="none"/>
              </w:rPr>
            </w:pPr>
            <w:r>
              <w:rPr>
                <w:color w:val="auto"/>
                <w:spacing w:val="15"/>
                <w:highlight w:val="none"/>
              </w:rPr>
              <w:t>f.投标人未对合同条款有重要保留。</w:t>
            </w:r>
          </w:p>
          <w:p w14:paraId="1372C2EC">
            <w:pPr>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rPr>
                <w:rFonts w:ascii="Arial"/>
                <w:color w:val="auto"/>
                <w:sz w:val="21"/>
                <w:highlight w:val="none"/>
              </w:rPr>
            </w:pPr>
          </w:p>
          <w:p w14:paraId="0ABE307C">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rPr>
                <w:rFonts w:ascii="Arial"/>
                <w:color w:val="auto"/>
                <w:sz w:val="21"/>
                <w:highlight w:val="none"/>
              </w:rPr>
            </w:pPr>
          </w:p>
          <w:p w14:paraId="265CFCDD">
            <w:pPr>
              <w:pStyle w:val="23"/>
              <w:keepNext w:val="0"/>
              <w:keepLines w:val="0"/>
              <w:pageBreakBefore w:val="0"/>
              <w:widowControl/>
              <w:kinsoku w:val="0"/>
              <w:wordWrap/>
              <w:overflowPunct/>
              <w:topLinePunct w:val="0"/>
              <w:autoSpaceDE w:val="0"/>
              <w:autoSpaceDN w:val="0"/>
              <w:bidi w:val="0"/>
              <w:adjustRightInd w:val="0"/>
              <w:snapToGrid w:val="0"/>
              <w:spacing w:line="226" w:lineRule="auto"/>
              <w:ind w:left="533"/>
              <w:textAlignment w:val="baseline"/>
              <w:rPr>
                <w:color w:val="auto"/>
                <w:highlight w:val="none"/>
              </w:rPr>
            </w:pPr>
            <w:r>
              <w:rPr>
                <w:b/>
                <w:bCs/>
                <w:color w:val="auto"/>
                <w:spacing w:val="7"/>
                <w:highlight w:val="none"/>
              </w:rPr>
              <w:t>第二个信封（报价文件）评审标准：</w:t>
            </w:r>
          </w:p>
          <w:p w14:paraId="05E8262C">
            <w:pPr>
              <w:pStyle w:val="23"/>
              <w:keepNext w:val="0"/>
              <w:keepLines w:val="0"/>
              <w:pageBreakBefore w:val="0"/>
              <w:widowControl/>
              <w:kinsoku w:val="0"/>
              <w:wordWrap/>
              <w:overflowPunct/>
              <w:topLinePunct w:val="0"/>
              <w:autoSpaceDE w:val="0"/>
              <w:autoSpaceDN w:val="0"/>
              <w:bidi w:val="0"/>
              <w:adjustRightInd w:val="0"/>
              <w:snapToGrid w:val="0"/>
              <w:spacing w:line="378" w:lineRule="auto"/>
              <w:ind w:left="114" w:right="106" w:firstLine="429"/>
              <w:textAlignment w:val="baseline"/>
              <w:rPr>
                <w:color w:val="auto"/>
                <w:highlight w:val="none"/>
              </w:rPr>
            </w:pPr>
            <w:r>
              <w:rPr>
                <w:color w:val="auto"/>
                <w:spacing w:val="16"/>
                <w:highlight w:val="none"/>
              </w:rPr>
              <w:t>（1）</w:t>
            </w:r>
            <w:r>
              <w:rPr>
                <w:color w:val="auto"/>
                <w:spacing w:val="-56"/>
                <w:highlight w:val="none"/>
              </w:rPr>
              <w:t xml:space="preserve"> </w:t>
            </w:r>
            <w:r>
              <w:rPr>
                <w:color w:val="auto"/>
                <w:spacing w:val="16"/>
                <w:highlight w:val="none"/>
              </w:rPr>
              <w:t>投标文件按照招标文件规定的格式、</w:t>
            </w:r>
            <w:r>
              <w:rPr>
                <w:color w:val="auto"/>
                <w:spacing w:val="-49"/>
                <w:highlight w:val="none"/>
              </w:rPr>
              <w:t xml:space="preserve"> </w:t>
            </w:r>
            <w:r>
              <w:rPr>
                <w:color w:val="auto"/>
                <w:spacing w:val="16"/>
                <w:highlight w:val="none"/>
              </w:rPr>
              <w:t>内容填写，字迹清晰可</w:t>
            </w:r>
            <w:r>
              <w:rPr>
                <w:color w:val="auto"/>
                <w:spacing w:val="2"/>
                <w:highlight w:val="none"/>
              </w:rPr>
              <w:t>辨，</w:t>
            </w:r>
            <w:r>
              <w:rPr>
                <w:color w:val="auto"/>
                <w:spacing w:val="-51"/>
                <w:highlight w:val="none"/>
              </w:rPr>
              <w:t xml:space="preserve"> </w:t>
            </w:r>
            <w:r>
              <w:rPr>
                <w:color w:val="auto"/>
                <w:spacing w:val="2"/>
                <w:highlight w:val="none"/>
              </w:rPr>
              <w:t>内容齐全完整：</w:t>
            </w:r>
          </w:p>
          <w:p w14:paraId="13918FBC">
            <w:pPr>
              <w:pStyle w:val="23"/>
              <w:keepNext w:val="0"/>
              <w:keepLines w:val="0"/>
              <w:pageBreakBefore w:val="0"/>
              <w:widowControl/>
              <w:kinsoku w:val="0"/>
              <w:wordWrap/>
              <w:overflowPunct/>
              <w:topLinePunct w:val="0"/>
              <w:autoSpaceDE w:val="0"/>
              <w:autoSpaceDN w:val="0"/>
              <w:bidi w:val="0"/>
              <w:adjustRightInd w:val="0"/>
              <w:snapToGrid w:val="0"/>
              <w:spacing w:line="301" w:lineRule="auto"/>
              <w:ind w:left="119" w:right="106" w:firstLine="415"/>
              <w:textAlignment w:val="baseline"/>
              <w:rPr>
                <w:color w:val="auto"/>
                <w:highlight w:val="none"/>
              </w:rPr>
            </w:pPr>
            <w:r>
              <w:rPr>
                <w:color w:val="auto"/>
                <w:spacing w:val="14"/>
                <w:highlight w:val="none"/>
              </w:rPr>
              <w:t>a.投标函按招标文件规定填报了项目名称、标段号（如有）</w:t>
            </w:r>
            <w:r>
              <w:rPr>
                <w:color w:val="auto"/>
                <w:spacing w:val="-52"/>
                <w:highlight w:val="none"/>
              </w:rPr>
              <w:t xml:space="preserve"> </w:t>
            </w:r>
            <w:r>
              <w:rPr>
                <w:color w:val="auto"/>
                <w:spacing w:val="14"/>
                <w:highlight w:val="none"/>
              </w:rPr>
              <w:t>、投标</w:t>
            </w:r>
            <w:r>
              <w:rPr>
                <w:color w:val="auto"/>
                <w:spacing w:val="9"/>
                <w:highlight w:val="none"/>
              </w:rPr>
              <w:t>总报价（包括大写金额和小写金额</w:t>
            </w:r>
            <w:r>
              <w:rPr>
                <w:color w:val="auto"/>
                <w:highlight w:val="none"/>
              </w:rPr>
              <w:t>）；</w:t>
            </w:r>
          </w:p>
          <w:p w14:paraId="6F5F3910">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21" w:right="109" w:firstLine="409"/>
              <w:textAlignment w:val="baseline"/>
              <w:rPr>
                <w:color w:val="auto"/>
                <w:highlight w:val="none"/>
              </w:rPr>
            </w:pPr>
            <w:r>
              <w:rPr>
                <w:color w:val="auto"/>
                <w:spacing w:val="16"/>
                <w:highlight w:val="none"/>
              </w:rPr>
              <w:t>b.已标价报价清单说明文字与招标文件规定</w:t>
            </w:r>
            <w:r>
              <w:rPr>
                <w:color w:val="auto"/>
                <w:spacing w:val="15"/>
                <w:highlight w:val="none"/>
              </w:rPr>
              <w:t>一致，未进行实质性修</w:t>
            </w:r>
            <w:r>
              <w:rPr>
                <w:color w:val="auto"/>
                <w:spacing w:val="4"/>
                <w:highlight w:val="none"/>
              </w:rPr>
              <w:t>改和删减；</w:t>
            </w:r>
          </w:p>
          <w:p w14:paraId="082E850D">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537"/>
              <w:textAlignment w:val="baseline"/>
              <w:rPr>
                <w:color w:val="auto"/>
                <w:highlight w:val="none"/>
              </w:rPr>
            </w:pPr>
            <w:r>
              <w:rPr>
                <w:color w:val="auto"/>
                <w:spacing w:val="8"/>
                <w:highlight w:val="none"/>
              </w:rPr>
              <w:t>c.投标文件组成齐全完整，内容均按规定填写。</w:t>
            </w:r>
          </w:p>
          <w:p w14:paraId="388B8BBC">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21" w:right="109" w:firstLine="422"/>
              <w:textAlignment w:val="baseline"/>
              <w:rPr>
                <w:color w:val="auto"/>
                <w:highlight w:val="none"/>
              </w:rPr>
            </w:pPr>
            <w:r>
              <w:rPr>
                <w:color w:val="auto"/>
                <w:spacing w:val="12"/>
                <w:highlight w:val="none"/>
              </w:rPr>
              <w:t>（2）投标文件上法定代表人或其委托代理人的签字、投标</w:t>
            </w:r>
            <w:r>
              <w:rPr>
                <w:color w:val="auto"/>
                <w:spacing w:val="11"/>
                <w:highlight w:val="none"/>
              </w:rPr>
              <w:t>人的单位</w:t>
            </w:r>
            <w:r>
              <w:rPr>
                <w:color w:val="auto"/>
                <w:spacing w:val="8"/>
                <w:highlight w:val="none"/>
              </w:rPr>
              <w:t>章盖章齐全，符合招标文件规定。</w:t>
            </w:r>
          </w:p>
          <w:p w14:paraId="65444622">
            <w:pPr>
              <w:pStyle w:val="23"/>
              <w:keepNext w:val="0"/>
              <w:keepLines w:val="0"/>
              <w:pageBreakBefore w:val="0"/>
              <w:widowControl/>
              <w:kinsoku w:val="0"/>
              <w:wordWrap/>
              <w:overflowPunct/>
              <w:topLinePunct w:val="0"/>
              <w:autoSpaceDE w:val="0"/>
              <w:autoSpaceDN w:val="0"/>
              <w:bidi w:val="0"/>
              <w:adjustRightInd w:val="0"/>
              <w:snapToGrid w:val="0"/>
              <w:spacing w:line="226" w:lineRule="auto"/>
              <w:ind w:left="543"/>
              <w:textAlignment w:val="baseline"/>
              <w:rPr>
                <w:color w:val="auto"/>
                <w:highlight w:val="none"/>
              </w:rPr>
            </w:pPr>
            <w:r>
              <w:rPr>
                <w:color w:val="auto"/>
                <w:spacing w:val="8"/>
                <w:highlight w:val="none"/>
              </w:rPr>
              <w:t>（3）投标报价未超过招标文件设定的最高投标限价（如有）。</w:t>
            </w:r>
          </w:p>
          <w:p w14:paraId="28686E4A">
            <w:pPr>
              <w:pStyle w:val="23"/>
              <w:keepNext w:val="0"/>
              <w:keepLines w:val="0"/>
              <w:pageBreakBefore w:val="0"/>
              <w:widowControl/>
              <w:kinsoku w:val="0"/>
              <w:wordWrap/>
              <w:overflowPunct/>
              <w:topLinePunct w:val="0"/>
              <w:autoSpaceDE w:val="0"/>
              <w:autoSpaceDN w:val="0"/>
              <w:bidi w:val="0"/>
              <w:adjustRightInd w:val="0"/>
              <w:snapToGrid w:val="0"/>
              <w:spacing w:line="226" w:lineRule="auto"/>
              <w:ind w:left="543"/>
              <w:textAlignment w:val="baseline"/>
              <w:rPr>
                <w:color w:val="auto"/>
                <w:highlight w:val="none"/>
              </w:rPr>
            </w:pPr>
            <w:r>
              <w:rPr>
                <w:color w:val="auto"/>
                <w:spacing w:val="8"/>
                <w:highlight w:val="none"/>
              </w:rPr>
              <w:t>（4）投标总报价的大写金额能够确定具体数值。</w:t>
            </w:r>
          </w:p>
          <w:p w14:paraId="041AAFB7">
            <w:pPr>
              <w:pStyle w:val="23"/>
              <w:keepNext w:val="0"/>
              <w:keepLines w:val="0"/>
              <w:pageBreakBefore w:val="0"/>
              <w:widowControl/>
              <w:kinsoku w:val="0"/>
              <w:wordWrap/>
              <w:overflowPunct/>
              <w:topLinePunct w:val="0"/>
              <w:autoSpaceDE w:val="0"/>
              <w:autoSpaceDN w:val="0"/>
              <w:bidi w:val="0"/>
              <w:adjustRightInd w:val="0"/>
              <w:snapToGrid w:val="0"/>
              <w:spacing w:line="302" w:lineRule="auto"/>
              <w:ind w:left="114" w:right="109" w:firstLine="429"/>
              <w:textAlignment w:val="baseline"/>
              <w:rPr>
                <w:color w:val="auto"/>
                <w:highlight w:val="none"/>
              </w:rPr>
            </w:pPr>
            <w:r>
              <w:rPr>
                <w:color w:val="auto"/>
                <w:spacing w:val="10"/>
                <w:highlight w:val="none"/>
              </w:rPr>
              <w:t>（5）</w:t>
            </w:r>
            <w:r>
              <w:rPr>
                <w:color w:val="auto"/>
                <w:spacing w:val="-44"/>
                <w:highlight w:val="none"/>
              </w:rPr>
              <w:t xml:space="preserve"> </w:t>
            </w:r>
            <w:r>
              <w:rPr>
                <w:color w:val="auto"/>
                <w:spacing w:val="10"/>
                <w:highlight w:val="none"/>
              </w:rPr>
              <w:t>同一投标人未提交两个以上不同的投标报价，但招标文件要求</w:t>
            </w:r>
            <w:r>
              <w:rPr>
                <w:color w:val="auto"/>
                <w:spacing w:val="7"/>
                <w:highlight w:val="none"/>
              </w:rPr>
              <w:t>提交备选投标的除外。</w:t>
            </w:r>
          </w:p>
        </w:tc>
      </w:tr>
      <w:tr w14:paraId="505A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34" w:type="dxa"/>
            <w:vAlign w:val="center"/>
          </w:tcPr>
          <w:p w14:paraId="40C4A46F">
            <w:pPr>
              <w:pStyle w:val="23"/>
              <w:keepNext w:val="0"/>
              <w:keepLines w:val="0"/>
              <w:pageBreakBefore w:val="0"/>
              <w:widowControl/>
              <w:kinsoku w:val="0"/>
              <w:wordWrap/>
              <w:overflowPunct/>
              <w:topLinePunct w:val="0"/>
              <w:autoSpaceDE w:val="0"/>
              <w:autoSpaceDN w:val="0"/>
              <w:bidi w:val="0"/>
              <w:adjustRightInd w:val="0"/>
              <w:snapToGrid w:val="0"/>
              <w:spacing w:line="267" w:lineRule="exact"/>
              <w:ind w:left="0" w:right="0" w:firstLine="0"/>
              <w:jc w:val="center"/>
              <w:textAlignment w:val="baseline"/>
              <w:rPr>
                <w:color w:val="auto"/>
                <w:highlight w:val="none"/>
              </w:rPr>
            </w:pPr>
            <w:bookmarkStart w:id="296" w:name="bookmark114"/>
            <w:bookmarkEnd w:id="296"/>
            <w:r>
              <w:rPr>
                <w:color w:val="auto"/>
                <w:spacing w:val="2"/>
                <w:position w:val="1"/>
                <w:highlight w:val="none"/>
              </w:rPr>
              <w:t>2.1.2</w:t>
            </w:r>
          </w:p>
        </w:tc>
        <w:tc>
          <w:tcPr>
            <w:tcW w:w="1336" w:type="dxa"/>
            <w:vAlign w:val="center"/>
          </w:tcPr>
          <w:p w14:paraId="58807110">
            <w:pPr>
              <w:pStyle w:val="23"/>
              <w:keepNext w:val="0"/>
              <w:keepLines w:val="0"/>
              <w:pageBreakBefore w:val="0"/>
              <w:widowControl/>
              <w:kinsoku w:val="0"/>
              <w:wordWrap/>
              <w:overflowPunct/>
              <w:topLinePunct w:val="0"/>
              <w:autoSpaceDE w:val="0"/>
              <w:autoSpaceDN w:val="0"/>
              <w:bidi w:val="0"/>
              <w:adjustRightInd w:val="0"/>
              <w:snapToGrid w:val="0"/>
              <w:spacing w:line="379" w:lineRule="auto"/>
              <w:ind w:left="0" w:right="0" w:firstLine="0"/>
              <w:jc w:val="center"/>
              <w:textAlignment w:val="baseline"/>
              <w:rPr>
                <w:color w:val="auto"/>
                <w:highlight w:val="none"/>
              </w:rPr>
            </w:pPr>
            <w:r>
              <w:rPr>
                <w:color w:val="auto"/>
                <w:spacing w:val="6"/>
                <w:highlight w:val="none"/>
              </w:rPr>
              <w:t>资格评审标</w:t>
            </w:r>
            <w:r>
              <w:rPr>
                <w:color w:val="auto"/>
                <w:highlight w:val="none"/>
              </w:rPr>
              <w:t>准</w:t>
            </w:r>
          </w:p>
        </w:tc>
        <w:tc>
          <w:tcPr>
            <w:tcW w:w="6916" w:type="dxa"/>
            <w:vAlign w:val="top"/>
          </w:tcPr>
          <w:p w14:paraId="003587BB">
            <w:pPr>
              <w:pStyle w:val="23"/>
              <w:keepNext w:val="0"/>
              <w:keepLines w:val="0"/>
              <w:pageBreakBefore w:val="0"/>
              <w:widowControl/>
              <w:kinsoku w:val="0"/>
              <w:wordWrap/>
              <w:overflowPunct/>
              <w:topLinePunct w:val="0"/>
              <w:autoSpaceDE w:val="0"/>
              <w:autoSpaceDN w:val="0"/>
              <w:bidi w:val="0"/>
              <w:adjustRightInd w:val="0"/>
              <w:snapToGrid w:val="0"/>
              <w:spacing w:line="339" w:lineRule="auto"/>
              <w:ind w:left="113" w:right="108" w:firstLine="425"/>
              <w:textAlignment w:val="baseline"/>
              <w:rPr>
                <w:color w:val="auto"/>
                <w:highlight w:val="none"/>
              </w:rPr>
            </w:pPr>
            <w:r>
              <w:rPr>
                <w:color w:val="auto"/>
                <w:spacing w:val="12"/>
                <w:highlight w:val="none"/>
              </w:rPr>
              <w:t>（1）投标人具备有效的营业执照、监理资质证书和基本账</w:t>
            </w:r>
            <w:r>
              <w:rPr>
                <w:color w:val="auto"/>
                <w:spacing w:val="11"/>
                <w:highlight w:val="none"/>
              </w:rPr>
              <w:t>户开户许</w:t>
            </w:r>
            <w:r>
              <w:rPr>
                <w:color w:val="auto"/>
                <w:spacing w:val="23"/>
                <w:highlight w:val="none"/>
              </w:rPr>
              <w:t>可证（如企业所在地已取消企业银行账户许可而无法提供开户</w:t>
            </w:r>
            <w:r>
              <w:rPr>
                <w:color w:val="auto"/>
                <w:spacing w:val="22"/>
                <w:highlight w:val="none"/>
              </w:rPr>
              <w:t>许可证</w:t>
            </w:r>
            <w:r>
              <w:rPr>
                <w:color w:val="auto"/>
                <w:spacing w:val="14"/>
                <w:highlight w:val="none"/>
              </w:rPr>
              <w:t>的，则需附上开户银行出具的“基本存款账户信息</w:t>
            </w:r>
            <w:r>
              <w:rPr>
                <w:color w:val="auto"/>
                <w:spacing w:val="-47"/>
                <w:highlight w:val="none"/>
              </w:rPr>
              <w:t xml:space="preserve"> </w:t>
            </w:r>
            <w:r>
              <w:rPr>
                <w:color w:val="auto"/>
                <w:spacing w:val="14"/>
                <w:highlight w:val="none"/>
              </w:rPr>
              <w:t>”或“人民银行账户</w:t>
            </w:r>
            <w:r>
              <w:rPr>
                <w:color w:val="auto"/>
                <w:spacing w:val="7"/>
                <w:highlight w:val="none"/>
              </w:rPr>
              <w:t>管理系统查询的基本账户信息截图</w:t>
            </w:r>
            <w:r>
              <w:rPr>
                <w:color w:val="auto"/>
                <w:spacing w:val="-73"/>
                <w:highlight w:val="none"/>
              </w:rPr>
              <w:t xml:space="preserve"> </w:t>
            </w:r>
            <w:r>
              <w:rPr>
                <w:color w:val="auto"/>
                <w:spacing w:val="7"/>
                <w:highlight w:val="none"/>
              </w:rPr>
              <w:t>”）。</w:t>
            </w:r>
          </w:p>
          <w:p w14:paraId="6EE54B91">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543"/>
              <w:textAlignment w:val="baseline"/>
              <w:rPr>
                <w:color w:val="auto"/>
                <w:highlight w:val="none"/>
              </w:rPr>
            </w:pPr>
            <w:r>
              <w:rPr>
                <w:color w:val="auto"/>
                <w:spacing w:val="8"/>
                <w:highlight w:val="none"/>
              </w:rPr>
              <w:t>（2）投标人的资质等级符合招标文件规定。</w:t>
            </w:r>
          </w:p>
          <w:p w14:paraId="60CED548">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543"/>
              <w:textAlignment w:val="baseline"/>
              <w:rPr>
                <w:color w:val="auto"/>
                <w:highlight w:val="none"/>
              </w:rPr>
            </w:pPr>
            <w:r>
              <w:rPr>
                <w:color w:val="auto"/>
                <w:spacing w:val="8"/>
                <w:highlight w:val="none"/>
              </w:rPr>
              <w:t>（3）投标人的类似工程业绩符合招标文件规定。</w:t>
            </w:r>
          </w:p>
          <w:p w14:paraId="4E6841CB">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543"/>
              <w:textAlignment w:val="baseline"/>
              <w:rPr>
                <w:color w:val="auto"/>
                <w:highlight w:val="none"/>
              </w:rPr>
            </w:pPr>
            <w:r>
              <w:rPr>
                <w:color w:val="auto"/>
                <w:spacing w:val="8"/>
                <w:highlight w:val="none"/>
              </w:rPr>
              <w:t>（4）投标人的信誉符合招标文件规定。</w:t>
            </w:r>
          </w:p>
          <w:p w14:paraId="416BA9E0">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122" w:right="127" w:firstLine="421"/>
              <w:textAlignment w:val="baseline"/>
              <w:rPr>
                <w:color w:val="auto"/>
                <w:highlight w:val="none"/>
              </w:rPr>
            </w:pPr>
            <w:r>
              <w:rPr>
                <w:color w:val="auto"/>
                <w:spacing w:val="11"/>
                <w:highlight w:val="none"/>
              </w:rPr>
              <w:t>（5）投标人的总监理工程师或驻地监理工程师（含备选人，如有）</w:t>
            </w:r>
            <w:r>
              <w:rPr>
                <w:color w:val="auto"/>
                <w:spacing w:val="9"/>
                <w:highlight w:val="none"/>
              </w:rPr>
              <w:t>资格、在岗情况符合招标文件规定，并按规定在投标文件中签字确认。</w:t>
            </w:r>
          </w:p>
          <w:p w14:paraId="4CEE18DE">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543"/>
              <w:textAlignment w:val="baseline"/>
              <w:rPr>
                <w:color w:val="auto"/>
                <w:sz w:val="10"/>
                <w:szCs w:val="10"/>
                <w:highlight w:val="none"/>
              </w:rPr>
            </w:pPr>
            <w:r>
              <w:rPr>
                <w:color w:val="auto"/>
                <w:spacing w:val="8"/>
                <w:position w:val="4"/>
                <w:highlight w:val="none"/>
              </w:rPr>
              <w:t>（6）投标人的其他要求符合招标文件规定。</w:t>
            </w:r>
          </w:p>
          <w:p w14:paraId="403A3777">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114" w:right="109" w:firstLine="429"/>
              <w:textAlignment w:val="baseline"/>
              <w:rPr>
                <w:color w:val="auto"/>
                <w:highlight w:val="none"/>
              </w:rPr>
            </w:pPr>
            <w:r>
              <w:rPr>
                <w:color w:val="auto"/>
                <w:spacing w:val="7"/>
                <w:highlight w:val="none"/>
              </w:rPr>
              <w:t>（7）投标人不存在第二章“投标人须知</w:t>
            </w:r>
            <w:r>
              <w:rPr>
                <w:color w:val="auto"/>
                <w:spacing w:val="-68"/>
                <w:highlight w:val="none"/>
              </w:rPr>
              <w:t xml:space="preserve"> </w:t>
            </w:r>
            <w:r>
              <w:rPr>
                <w:color w:val="auto"/>
                <w:spacing w:val="7"/>
                <w:highlight w:val="none"/>
              </w:rPr>
              <w:t>”第</w:t>
            </w:r>
            <w:r>
              <w:rPr>
                <w:color w:val="auto"/>
                <w:spacing w:val="-21"/>
                <w:highlight w:val="none"/>
              </w:rPr>
              <w:t xml:space="preserve"> </w:t>
            </w:r>
            <w:r>
              <w:rPr>
                <w:color w:val="auto"/>
                <w:spacing w:val="7"/>
                <w:highlight w:val="none"/>
              </w:rPr>
              <w:t>1.4.3</w:t>
            </w:r>
            <w:r>
              <w:rPr>
                <w:color w:val="auto"/>
                <w:spacing w:val="-30"/>
                <w:highlight w:val="none"/>
              </w:rPr>
              <w:t xml:space="preserve"> </w:t>
            </w:r>
            <w:r>
              <w:rPr>
                <w:color w:val="auto"/>
                <w:spacing w:val="6"/>
                <w:highlight w:val="none"/>
              </w:rPr>
              <w:t>项或第</w:t>
            </w:r>
            <w:r>
              <w:rPr>
                <w:color w:val="auto"/>
                <w:spacing w:val="-21"/>
                <w:highlight w:val="none"/>
              </w:rPr>
              <w:t xml:space="preserve"> </w:t>
            </w:r>
            <w:r>
              <w:rPr>
                <w:color w:val="auto"/>
                <w:spacing w:val="6"/>
                <w:highlight w:val="none"/>
              </w:rPr>
              <w:t>1.4.4</w:t>
            </w:r>
            <w:r>
              <w:rPr>
                <w:color w:val="auto"/>
                <w:spacing w:val="-33"/>
                <w:highlight w:val="none"/>
              </w:rPr>
              <w:t xml:space="preserve"> </w:t>
            </w:r>
            <w:r>
              <w:rPr>
                <w:color w:val="auto"/>
                <w:spacing w:val="6"/>
                <w:highlight w:val="none"/>
              </w:rPr>
              <w:t>项</w:t>
            </w:r>
            <w:r>
              <w:rPr>
                <w:color w:val="auto"/>
                <w:spacing w:val="7"/>
                <w:highlight w:val="none"/>
              </w:rPr>
              <w:t>规定的任何一种情形。</w:t>
            </w:r>
          </w:p>
          <w:p w14:paraId="320112F3">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543"/>
              <w:textAlignment w:val="baseline"/>
              <w:rPr>
                <w:color w:val="auto"/>
                <w:highlight w:val="none"/>
              </w:rPr>
            </w:pPr>
            <w:r>
              <w:rPr>
                <w:color w:val="auto"/>
                <w:spacing w:val="6"/>
                <w:position w:val="4"/>
                <w:highlight w:val="none"/>
              </w:rPr>
              <w:t>（8）投标人符合第二章“投标人须知</w:t>
            </w:r>
            <w:r>
              <w:rPr>
                <w:color w:val="auto"/>
                <w:spacing w:val="-72"/>
                <w:position w:val="4"/>
                <w:highlight w:val="none"/>
              </w:rPr>
              <w:t xml:space="preserve"> </w:t>
            </w:r>
            <w:r>
              <w:rPr>
                <w:color w:val="auto"/>
                <w:spacing w:val="6"/>
                <w:position w:val="4"/>
                <w:highlight w:val="none"/>
              </w:rPr>
              <w:t>”第</w:t>
            </w:r>
            <w:r>
              <w:rPr>
                <w:color w:val="auto"/>
                <w:spacing w:val="-24"/>
                <w:position w:val="4"/>
                <w:highlight w:val="none"/>
              </w:rPr>
              <w:t xml:space="preserve"> </w:t>
            </w:r>
            <w:r>
              <w:rPr>
                <w:color w:val="auto"/>
                <w:spacing w:val="6"/>
                <w:position w:val="4"/>
                <w:highlight w:val="none"/>
              </w:rPr>
              <w:t>1.4.5</w:t>
            </w:r>
            <w:r>
              <w:rPr>
                <w:color w:val="auto"/>
                <w:spacing w:val="-34"/>
                <w:position w:val="4"/>
                <w:highlight w:val="none"/>
              </w:rPr>
              <w:t xml:space="preserve"> </w:t>
            </w:r>
            <w:r>
              <w:rPr>
                <w:color w:val="auto"/>
                <w:spacing w:val="6"/>
                <w:position w:val="4"/>
                <w:highlight w:val="none"/>
              </w:rPr>
              <w:t>项规</w:t>
            </w:r>
            <w:r>
              <w:rPr>
                <w:color w:val="auto"/>
                <w:spacing w:val="5"/>
                <w:position w:val="4"/>
                <w:highlight w:val="none"/>
              </w:rPr>
              <w:t>定。</w:t>
            </w:r>
          </w:p>
        </w:tc>
      </w:tr>
    </w:tbl>
    <w:p w14:paraId="180E398C">
      <w:pPr>
        <w:jc w:val="right"/>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续上表</w:t>
      </w:r>
    </w:p>
    <w:tbl>
      <w:tblPr>
        <w:tblStyle w:val="22"/>
        <w:tblW w:w="92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3"/>
        <w:gridCol w:w="1336"/>
        <w:gridCol w:w="6900"/>
      </w:tblGrid>
      <w:tr w14:paraId="44451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033" w:type="dxa"/>
            <w:vAlign w:val="top"/>
          </w:tcPr>
          <w:p w14:paraId="241DD175">
            <w:pPr>
              <w:pStyle w:val="23"/>
              <w:spacing w:before="143" w:line="217" w:lineRule="auto"/>
              <w:ind w:left="159"/>
              <w:rPr>
                <w:color w:val="auto"/>
                <w:highlight w:val="none"/>
              </w:rPr>
            </w:pPr>
            <w:r>
              <w:rPr>
                <w:b/>
                <w:bCs/>
                <w:color w:val="auto"/>
                <w:spacing w:val="5"/>
                <w:highlight w:val="none"/>
              </w:rPr>
              <w:t>条款号</w:t>
            </w:r>
          </w:p>
        </w:tc>
        <w:tc>
          <w:tcPr>
            <w:tcW w:w="1336" w:type="dxa"/>
            <w:vAlign w:val="top"/>
          </w:tcPr>
          <w:p w14:paraId="5A9A1203">
            <w:pPr>
              <w:pStyle w:val="23"/>
              <w:spacing w:before="143" w:line="217" w:lineRule="auto"/>
              <w:ind w:left="253"/>
              <w:rPr>
                <w:color w:val="auto"/>
                <w:highlight w:val="none"/>
              </w:rPr>
            </w:pPr>
            <w:r>
              <w:rPr>
                <w:b/>
                <w:bCs/>
                <w:color w:val="auto"/>
                <w:spacing w:val="6"/>
                <w:highlight w:val="none"/>
              </w:rPr>
              <w:t>条款内容</w:t>
            </w:r>
          </w:p>
        </w:tc>
        <w:tc>
          <w:tcPr>
            <w:tcW w:w="6900" w:type="dxa"/>
            <w:vAlign w:val="top"/>
          </w:tcPr>
          <w:p w14:paraId="4891D059">
            <w:pPr>
              <w:pStyle w:val="23"/>
              <w:spacing w:before="143" w:line="217" w:lineRule="auto"/>
              <w:ind w:left="2896"/>
              <w:rPr>
                <w:color w:val="auto"/>
                <w:highlight w:val="none"/>
              </w:rPr>
            </w:pPr>
            <w:r>
              <w:rPr>
                <w:b/>
                <w:bCs/>
                <w:color w:val="auto"/>
                <w:spacing w:val="6"/>
                <w:highlight w:val="none"/>
              </w:rPr>
              <w:t>编列内容</w:t>
            </w:r>
          </w:p>
        </w:tc>
      </w:tr>
      <w:tr w14:paraId="5303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33" w:type="dxa"/>
            <w:vAlign w:val="top"/>
          </w:tcPr>
          <w:p w14:paraId="03C62B2A">
            <w:pPr>
              <w:spacing w:line="249" w:lineRule="auto"/>
              <w:rPr>
                <w:rFonts w:ascii="Arial"/>
                <w:color w:val="auto"/>
                <w:sz w:val="21"/>
                <w:highlight w:val="none"/>
              </w:rPr>
            </w:pPr>
          </w:p>
          <w:p w14:paraId="46AF132C">
            <w:pPr>
              <w:spacing w:line="249" w:lineRule="auto"/>
              <w:rPr>
                <w:rFonts w:ascii="Arial"/>
                <w:color w:val="auto"/>
                <w:sz w:val="21"/>
                <w:highlight w:val="none"/>
              </w:rPr>
            </w:pPr>
          </w:p>
          <w:p w14:paraId="46FC3273">
            <w:pPr>
              <w:spacing w:line="249" w:lineRule="auto"/>
              <w:rPr>
                <w:rFonts w:ascii="Arial"/>
                <w:color w:val="auto"/>
                <w:sz w:val="21"/>
                <w:highlight w:val="none"/>
              </w:rPr>
            </w:pPr>
          </w:p>
          <w:p w14:paraId="3057C688">
            <w:pPr>
              <w:spacing w:line="249" w:lineRule="auto"/>
              <w:rPr>
                <w:rFonts w:ascii="Arial"/>
                <w:color w:val="auto"/>
                <w:sz w:val="21"/>
                <w:highlight w:val="none"/>
              </w:rPr>
            </w:pPr>
          </w:p>
          <w:p w14:paraId="09487A51">
            <w:pPr>
              <w:spacing w:line="250" w:lineRule="auto"/>
              <w:rPr>
                <w:rFonts w:ascii="Arial"/>
                <w:color w:val="auto"/>
                <w:sz w:val="21"/>
                <w:highlight w:val="none"/>
              </w:rPr>
            </w:pPr>
          </w:p>
          <w:p w14:paraId="5BD95B5C">
            <w:pPr>
              <w:spacing w:line="250" w:lineRule="auto"/>
              <w:rPr>
                <w:rFonts w:ascii="Arial"/>
                <w:color w:val="auto"/>
                <w:sz w:val="21"/>
                <w:highlight w:val="none"/>
              </w:rPr>
            </w:pPr>
          </w:p>
          <w:p w14:paraId="70AF6866">
            <w:pPr>
              <w:pStyle w:val="23"/>
              <w:spacing w:before="65" w:line="268" w:lineRule="exact"/>
              <w:ind w:left="213"/>
              <w:rPr>
                <w:color w:val="auto"/>
                <w:highlight w:val="none"/>
              </w:rPr>
            </w:pPr>
            <w:r>
              <w:rPr>
                <w:color w:val="auto"/>
                <w:spacing w:val="2"/>
                <w:position w:val="1"/>
                <w:highlight w:val="none"/>
              </w:rPr>
              <w:t>2.2.1</w:t>
            </w:r>
          </w:p>
        </w:tc>
        <w:tc>
          <w:tcPr>
            <w:tcW w:w="1336" w:type="dxa"/>
            <w:vAlign w:val="top"/>
          </w:tcPr>
          <w:p w14:paraId="43BDC482">
            <w:pPr>
              <w:spacing w:line="279" w:lineRule="auto"/>
              <w:rPr>
                <w:rFonts w:ascii="Arial"/>
                <w:color w:val="auto"/>
                <w:sz w:val="21"/>
                <w:highlight w:val="none"/>
              </w:rPr>
            </w:pPr>
          </w:p>
          <w:p w14:paraId="4535481B">
            <w:pPr>
              <w:spacing w:line="279" w:lineRule="auto"/>
              <w:rPr>
                <w:rFonts w:ascii="Arial"/>
                <w:color w:val="auto"/>
                <w:sz w:val="21"/>
                <w:highlight w:val="none"/>
              </w:rPr>
            </w:pPr>
          </w:p>
          <w:p w14:paraId="474E9F38">
            <w:pPr>
              <w:spacing w:line="279" w:lineRule="auto"/>
              <w:rPr>
                <w:rFonts w:ascii="Arial"/>
                <w:color w:val="auto"/>
                <w:sz w:val="21"/>
                <w:highlight w:val="none"/>
              </w:rPr>
            </w:pPr>
          </w:p>
          <w:p w14:paraId="3D17EEE9">
            <w:pPr>
              <w:spacing w:line="280" w:lineRule="auto"/>
              <w:rPr>
                <w:rFonts w:ascii="Arial"/>
                <w:color w:val="auto"/>
                <w:sz w:val="21"/>
                <w:highlight w:val="none"/>
              </w:rPr>
            </w:pPr>
          </w:p>
          <w:p w14:paraId="17896490">
            <w:pPr>
              <w:pStyle w:val="23"/>
              <w:spacing w:before="65" w:line="228" w:lineRule="auto"/>
              <w:ind w:left="254"/>
              <w:rPr>
                <w:color w:val="auto"/>
                <w:highlight w:val="none"/>
              </w:rPr>
            </w:pPr>
            <w:r>
              <w:rPr>
                <w:color w:val="auto"/>
                <w:spacing w:val="6"/>
                <w:highlight w:val="none"/>
              </w:rPr>
              <w:t>分值构成</w:t>
            </w:r>
          </w:p>
          <w:p w14:paraId="35004444">
            <w:pPr>
              <w:pStyle w:val="23"/>
              <w:spacing w:before="135" w:line="228" w:lineRule="auto"/>
              <w:ind w:left="182"/>
              <w:rPr>
                <w:color w:val="auto"/>
                <w:highlight w:val="none"/>
              </w:rPr>
            </w:pPr>
            <w:r>
              <w:rPr>
                <w:color w:val="auto"/>
                <w:highlight w:val="none"/>
              </w:rPr>
              <w:t>（总分</w:t>
            </w:r>
            <w:r>
              <w:rPr>
                <w:color w:val="auto"/>
                <w:spacing w:val="-22"/>
                <w:highlight w:val="none"/>
              </w:rPr>
              <w:t xml:space="preserve"> </w:t>
            </w:r>
            <w:r>
              <w:rPr>
                <w:color w:val="auto"/>
                <w:highlight w:val="none"/>
              </w:rPr>
              <w:t>100</w:t>
            </w:r>
          </w:p>
          <w:p w14:paraId="3318CE1F">
            <w:pPr>
              <w:pStyle w:val="23"/>
              <w:spacing w:before="132" w:line="228" w:lineRule="auto"/>
              <w:ind w:left="465"/>
              <w:rPr>
                <w:color w:val="auto"/>
                <w:highlight w:val="none"/>
              </w:rPr>
            </w:pPr>
            <w:r>
              <w:rPr>
                <w:color w:val="auto"/>
                <w:spacing w:val="-1"/>
                <w:highlight w:val="none"/>
              </w:rPr>
              <w:t>分）</w:t>
            </w:r>
          </w:p>
        </w:tc>
        <w:tc>
          <w:tcPr>
            <w:tcW w:w="6900" w:type="dxa"/>
            <w:vAlign w:val="top"/>
          </w:tcPr>
          <w:p w14:paraId="52420A34">
            <w:pPr>
              <w:pStyle w:val="23"/>
              <w:spacing w:before="101" w:line="267" w:lineRule="exact"/>
              <w:ind w:left="533"/>
              <w:rPr>
                <w:color w:val="auto"/>
                <w:highlight w:val="none"/>
              </w:rPr>
            </w:pPr>
            <w:r>
              <w:rPr>
                <w:b/>
                <w:bCs/>
                <w:color w:val="auto"/>
                <w:spacing w:val="7"/>
                <w:highlight w:val="none"/>
              </w:rPr>
              <w:t>第一个信封（商务及技术文件）评分分值构成:</w:t>
            </w:r>
            <w:r>
              <w:rPr>
                <w:color w:val="auto"/>
                <w:spacing w:val="1"/>
                <w:highlight w:val="none"/>
              </w:rPr>
              <w:t xml:space="preserve">               </w:t>
            </w:r>
            <w:r>
              <w:rPr>
                <w:color w:val="auto"/>
                <w:highlight w:val="none"/>
              </w:rPr>
              <w:t xml:space="preserve">   </w:t>
            </w:r>
          </w:p>
          <w:p w14:paraId="4CBE9AB1">
            <w:pPr>
              <w:pStyle w:val="23"/>
              <w:spacing w:before="112" w:line="227" w:lineRule="auto"/>
              <w:ind w:left="534"/>
              <w:rPr>
                <w:color w:val="auto"/>
                <w:highlight w:val="none"/>
              </w:rPr>
            </w:pPr>
            <w:r>
              <w:rPr>
                <w:color w:val="auto"/>
                <w:spacing w:val="6"/>
                <w:highlight w:val="none"/>
              </w:rPr>
              <w:t>技术建议书：30</w:t>
            </w:r>
            <w:r>
              <w:rPr>
                <w:color w:val="auto"/>
                <w:spacing w:val="-30"/>
                <w:highlight w:val="none"/>
              </w:rPr>
              <w:t xml:space="preserve"> </w:t>
            </w:r>
            <w:r>
              <w:rPr>
                <w:color w:val="auto"/>
                <w:spacing w:val="6"/>
                <w:highlight w:val="none"/>
              </w:rPr>
              <w:t xml:space="preserve">分            </w:t>
            </w:r>
          </w:p>
          <w:p w14:paraId="240B526A">
            <w:pPr>
              <w:pStyle w:val="23"/>
              <w:spacing w:before="114" w:line="228" w:lineRule="auto"/>
              <w:ind w:left="535"/>
              <w:rPr>
                <w:color w:val="auto"/>
                <w:highlight w:val="none"/>
              </w:rPr>
            </w:pPr>
            <w:r>
              <w:rPr>
                <w:color w:val="auto"/>
                <w:spacing w:val="6"/>
                <w:highlight w:val="none"/>
              </w:rPr>
              <w:t>主要人员：20</w:t>
            </w:r>
            <w:r>
              <w:rPr>
                <w:color w:val="auto"/>
                <w:spacing w:val="-38"/>
                <w:highlight w:val="none"/>
              </w:rPr>
              <w:t xml:space="preserve"> </w:t>
            </w:r>
            <w:r>
              <w:rPr>
                <w:color w:val="auto"/>
                <w:spacing w:val="6"/>
                <w:highlight w:val="none"/>
              </w:rPr>
              <w:t xml:space="preserve">分              </w:t>
            </w:r>
          </w:p>
          <w:p w14:paraId="193D788A">
            <w:pPr>
              <w:pStyle w:val="23"/>
              <w:spacing w:before="112" w:line="228" w:lineRule="auto"/>
              <w:ind w:left="534"/>
              <w:rPr>
                <w:color w:val="auto"/>
                <w:highlight w:val="none"/>
              </w:rPr>
            </w:pPr>
            <w:r>
              <w:rPr>
                <w:color w:val="auto"/>
                <w:spacing w:val="6"/>
                <w:highlight w:val="none"/>
              </w:rPr>
              <w:t>技术能力：0</w:t>
            </w:r>
            <w:r>
              <w:rPr>
                <w:color w:val="auto"/>
                <w:spacing w:val="-35"/>
                <w:highlight w:val="none"/>
              </w:rPr>
              <w:t xml:space="preserve"> </w:t>
            </w:r>
            <w:r>
              <w:rPr>
                <w:color w:val="auto"/>
                <w:spacing w:val="6"/>
                <w:highlight w:val="none"/>
              </w:rPr>
              <w:t xml:space="preserve">分               </w:t>
            </w:r>
          </w:p>
          <w:p w14:paraId="29402DAD">
            <w:pPr>
              <w:pStyle w:val="23"/>
              <w:spacing w:before="113" w:line="228" w:lineRule="auto"/>
              <w:ind w:left="532"/>
              <w:rPr>
                <w:color w:val="auto"/>
                <w:highlight w:val="none"/>
              </w:rPr>
            </w:pPr>
            <w:r>
              <w:rPr>
                <w:color w:val="auto"/>
                <w:spacing w:val="5"/>
                <w:highlight w:val="none"/>
              </w:rPr>
              <w:t>业绩：25</w:t>
            </w:r>
            <w:r>
              <w:rPr>
                <w:color w:val="auto"/>
                <w:spacing w:val="-35"/>
                <w:highlight w:val="none"/>
              </w:rPr>
              <w:t xml:space="preserve"> </w:t>
            </w:r>
            <w:r>
              <w:rPr>
                <w:color w:val="auto"/>
                <w:spacing w:val="5"/>
                <w:highlight w:val="none"/>
              </w:rPr>
              <w:t xml:space="preserve">分                  </w:t>
            </w:r>
          </w:p>
          <w:p w14:paraId="2EF3A7FD">
            <w:pPr>
              <w:pStyle w:val="23"/>
              <w:spacing w:before="113" w:line="227" w:lineRule="auto"/>
              <w:ind w:left="536"/>
              <w:rPr>
                <w:color w:val="auto"/>
                <w:highlight w:val="none"/>
              </w:rPr>
            </w:pPr>
            <w:r>
              <w:rPr>
                <w:color w:val="auto"/>
                <w:spacing w:val="6"/>
                <w:highlight w:val="none"/>
              </w:rPr>
              <w:t>履约信誉：15</w:t>
            </w:r>
            <w:r>
              <w:rPr>
                <w:color w:val="auto"/>
                <w:spacing w:val="-38"/>
                <w:highlight w:val="none"/>
              </w:rPr>
              <w:t xml:space="preserve"> </w:t>
            </w:r>
            <w:r>
              <w:rPr>
                <w:color w:val="auto"/>
                <w:spacing w:val="6"/>
                <w:highlight w:val="none"/>
              </w:rPr>
              <w:t xml:space="preserve">分              </w:t>
            </w:r>
          </w:p>
          <w:p w14:paraId="2F1D9326">
            <w:pPr>
              <w:pStyle w:val="23"/>
              <w:spacing w:before="114" w:line="226" w:lineRule="auto"/>
              <w:ind w:left="533"/>
              <w:rPr>
                <w:color w:val="auto"/>
                <w:highlight w:val="none"/>
              </w:rPr>
            </w:pPr>
            <w:r>
              <w:rPr>
                <w:b/>
                <w:bCs/>
                <w:color w:val="auto"/>
                <w:spacing w:val="7"/>
                <w:highlight w:val="none"/>
              </w:rPr>
              <w:t>第二个信封（报价文件）评分分值构成：</w:t>
            </w:r>
          </w:p>
          <w:p w14:paraId="6574B949">
            <w:pPr>
              <w:pStyle w:val="23"/>
              <w:spacing w:before="115" w:line="215" w:lineRule="auto"/>
              <w:ind w:left="532"/>
              <w:rPr>
                <w:color w:val="auto"/>
                <w:highlight w:val="none"/>
              </w:rPr>
            </w:pPr>
            <w:r>
              <w:rPr>
                <w:color w:val="auto"/>
                <w:spacing w:val="6"/>
                <w:highlight w:val="none"/>
              </w:rPr>
              <w:t>评标价：10</w:t>
            </w:r>
            <w:r>
              <w:rPr>
                <w:color w:val="auto"/>
                <w:spacing w:val="-38"/>
                <w:highlight w:val="none"/>
              </w:rPr>
              <w:t xml:space="preserve"> </w:t>
            </w:r>
            <w:r>
              <w:rPr>
                <w:color w:val="auto"/>
                <w:spacing w:val="6"/>
                <w:highlight w:val="none"/>
              </w:rPr>
              <w:t>分</w:t>
            </w:r>
          </w:p>
        </w:tc>
      </w:tr>
      <w:tr w14:paraId="1071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33" w:type="dxa"/>
            <w:vAlign w:val="center"/>
          </w:tcPr>
          <w:p w14:paraId="3AC2B751">
            <w:pPr>
              <w:pStyle w:val="23"/>
              <w:spacing w:before="65" w:line="268" w:lineRule="exact"/>
              <w:ind w:left="213"/>
              <w:jc w:val="center"/>
              <w:rPr>
                <w:color w:val="auto"/>
                <w:highlight w:val="none"/>
              </w:rPr>
            </w:pPr>
            <w:r>
              <w:rPr>
                <w:color w:val="auto"/>
                <w:spacing w:val="2"/>
                <w:position w:val="1"/>
                <w:highlight w:val="none"/>
              </w:rPr>
              <w:t>2.2.2</w:t>
            </w:r>
          </w:p>
        </w:tc>
        <w:tc>
          <w:tcPr>
            <w:tcW w:w="1336" w:type="dxa"/>
            <w:vAlign w:val="center"/>
          </w:tcPr>
          <w:p w14:paraId="176BDD56">
            <w:pPr>
              <w:pStyle w:val="23"/>
              <w:spacing w:before="65" w:line="351" w:lineRule="auto"/>
              <w:ind w:left="251" w:right="144" w:hanging="106"/>
              <w:jc w:val="center"/>
              <w:rPr>
                <w:color w:val="auto"/>
                <w:highlight w:val="none"/>
              </w:rPr>
            </w:pPr>
            <w:r>
              <w:rPr>
                <w:color w:val="auto"/>
                <w:spacing w:val="8"/>
                <w:highlight w:val="none"/>
              </w:rPr>
              <w:t>评标基准价</w:t>
            </w:r>
            <w:r>
              <w:rPr>
                <w:color w:val="auto"/>
                <w:spacing w:val="7"/>
                <w:highlight w:val="none"/>
              </w:rPr>
              <w:t>计算方法</w:t>
            </w:r>
          </w:p>
        </w:tc>
        <w:tc>
          <w:tcPr>
            <w:tcW w:w="6900" w:type="dxa"/>
            <w:vAlign w:val="top"/>
          </w:tcPr>
          <w:p w14:paraId="65B98FF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32"/>
              <w:textAlignment w:val="baseline"/>
              <w:rPr>
                <w:color w:val="auto"/>
                <w:highlight w:val="none"/>
              </w:rPr>
            </w:pPr>
            <w:r>
              <w:rPr>
                <w:color w:val="auto"/>
                <w:spacing w:val="7"/>
                <w:highlight w:val="none"/>
              </w:rPr>
              <w:t>评标基准价的计算：</w:t>
            </w:r>
          </w:p>
          <w:p w14:paraId="5426CCAE">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32"/>
              <w:textAlignment w:val="baseline"/>
              <w:rPr>
                <w:color w:val="auto"/>
                <w:highlight w:val="none"/>
              </w:rPr>
            </w:pPr>
            <w:r>
              <w:rPr>
                <w:color w:val="auto"/>
                <w:spacing w:val="9"/>
                <w:highlight w:val="none"/>
              </w:rPr>
              <w:t>在开标现场，招标人将当场计算并宣布评标基准价。</w:t>
            </w:r>
          </w:p>
          <w:p w14:paraId="1E7F1CF0">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43"/>
              <w:textAlignment w:val="baseline"/>
              <w:rPr>
                <w:color w:val="auto"/>
                <w:highlight w:val="none"/>
              </w:rPr>
            </w:pPr>
            <w:r>
              <w:rPr>
                <w:color w:val="auto"/>
                <w:spacing w:val="6"/>
                <w:highlight w:val="none"/>
              </w:rPr>
              <w:t>（1）评标价的确定：</w:t>
            </w:r>
          </w:p>
          <w:p w14:paraId="29E7AE79">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32"/>
              <w:textAlignment w:val="baseline"/>
              <w:rPr>
                <w:color w:val="auto"/>
                <w:highlight w:val="none"/>
              </w:rPr>
            </w:pPr>
            <w:r>
              <w:rPr>
                <w:color w:val="auto"/>
                <w:spacing w:val="9"/>
                <w:highlight w:val="none"/>
              </w:rPr>
              <w:t>评标价＝投标函文字报价</w:t>
            </w:r>
          </w:p>
          <w:p w14:paraId="5E55E31C">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13" w:right="109" w:firstLine="430"/>
              <w:textAlignment w:val="baseline"/>
              <w:rPr>
                <w:color w:val="auto"/>
                <w:sz w:val="10"/>
                <w:szCs w:val="10"/>
                <w:highlight w:val="none"/>
              </w:rPr>
            </w:pPr>
            <w:r>
              <w:rPr>
                <w:color w:val="auto"/>
                <w:spacing w:val="10"/>
                <w:highlight w:val="none"/>
              </w:rPr>
              <w:t>（2）</w:t>
            </w:r>
            <w:r>
              <w:rPr>
                <w:color w:val="auto"/>
                <w:spacing w:val="10"/>
                <w:highlight w:val="none"/>
                <w:u w:val="single" w:color="auto"/>
              </w:rPr>
              <w:t>评标价的最高评标限价的计算</w:t>
            </w:r>
            <w:r>
              <w:rPr>
                <w:color w:val="auto"/>
                <w:spacing w:val="-3"/>
                <w:highlight w:val="none"/>
              </w:rPr>
              <w:t>：</w:t>
            </w:r>
          </w:p>
          <w:p w14:paraId="0137963D">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32"/>
              <w:textAlignment w:val="baseline"/>
              <w:rPr>
                <w:color w:val="auto"/>
                <w:highlight w:val="none"/>
              </w:rPr>
            </w:pPr>
            <w:r>
              <w:rPr>
                <w:color w:val="auto"/>
                <w:spacing w:val="9"/>
                <w:highlight w:val="none"/>
              </w:rPr>
              <w:t>①最高投标限价下浮率的确定</w:t>
            </w:r>
          </w:p>
          <w:p w14:paraId="37B828A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13" w:right="107" w:firstLine="426"/>
              <w:textAlignment w:val="baseline"/>
              <w:rPr>
                <w:color w:val="auto"/>
                <w:highlight w:val="none"/>
              </w:rPr>
            </w:pPr>
            <w:r>
              <w:rPr>
                <w:color w:val="auto"/>
                <w:spacing w:val="13"/>
                <w:highlight w:val="none"/>
              </w:rPr>
              <w:t>下浮率在第二个信封（报价文件）开标前在开标现场采取摇珠方</w:t>
            </w:r>
            <w:r>
              <w:rPr>
                <w:color w:val="auto"/>
                <w:spacing w:val="9"/>
                <w:highlight w:val="none"/>
              </w:rPr>
              <w:t>式确定。摇珠操作办法如下：在下浮率摇珠范围内，</w:t>
            </w:r>
            <w:r>
              <w:rPr>
                <w:color w:val="auto"/>
                <w:spacing w:val="-57"/>
                <w:highlight w:val="none"/>
              </w:rPr>
              <w:t xml:space="preserve"> </w:t>
            </w:r>
            <w:r>
              <w:rPr>
                <w:color w:val="auto"/>
                <w:spacing w:val="9"/>
                <w:highlight w:val="none"/>
              </w:rPr>
              <w:t>以</w:t>
            </w:r>
            <w:r>
              <w:rPr>
                <w:color w:val="auto"/>
                <w:spacing w:val="-37"/>
                <w:highlight w:val="none"/>
              </w:rPr>
              <w:t xml:space="preserve"> </w:t>
            </w:r>
            <w:r>
              <w:rPr>
                <w:color w:val="auto"/>
                <w:spacing w:val="9"/>
                <w:highlight w:val="none"/>
              </w:rPr>
              <w:t>0.1%为一档次</w:t>
            </w:r>
            <w:r>
              <w:rPr>
                <w:color w:val="auto"/>
                <w:spacing w:val="5"/>
                <w:highlight w:val="none"/>
              </w:rPr>
              <w:t>增序确定摇珠号码，</w:t>
            </w:r>
            <w:r>
              <w:rPr>
                <w:color w:val="auto"/>
                <w:spacing w:val="5"/>
                <w:highlight w:val="none"/>
                <w:u w:val="single" w:color="auto"/>
              </w:rPr>
              <w:t xml:space="preserve"> </w:t>
            </w:r>
            <w:r>
              <w:rPr>
                <w:rFonts w:hint="eastAsia"/>
                <w:color w:val="auto"/>
                <w:spacing w:val="5"/>
                <w:highlight w:val="none"/>
                <w:u w:val="single" w:color="auto"/>
                <w:lang w:val="en-US" w:eastAsia="zh-CN"/>
              </w:rPr>
              <w:t>31</w:t>
            </w:r>
            <w:r>
              <w:rPr>
                <w:color w:val="auto"/>
                <w:spacing w:val="5"/>
                <w:highlight w:val="none"/>
                <w:u w:val="single" w:color="auto"/>
              </w:rPr>
              <w:t xml:space="preserve"> </w:t>
            </w:r>
            <w:r>
              <w:rPr>
                <w:color w:val="auto"/>
                <w:spacing w:val="-77"/>
                <w:highlight w:val="none"/>
              </w:rPr>
              <w:t xml:space="preserve"> </w:t>
            </w:r>
            <w:r>
              <w:rPr>
                <w:color w:val="auto"/>
                <w:spacing w:val="5"/>
                <w:highlight w:val="none"/>
              </w:rPr>
              <w:t>个球</w:t>
            </w:r>
            <w:r>
              <w:rPr>
                <w:color w:val="auto"/>
                <w:spacing w:val="-25"/>
                <w:position w:val="10"/>
                <w:sz w:val="10"/>
                <w:szCs w:val="10"/>
                <w:highlight w:val="none"/>
              </w:rPr>
              <w:t xml:space="preserve"> </w:t>
            </w:r>
            <w:r>
              <w:rPr>
                <w:color w:val="auto"/>
                <w:spacing w:val="5"/>
                <w:highlight w:val="none"/>
              </w:rPr>
              <w:t>,一次性摇取</w:t>
            </w:r>
            <w:r>
              <w:rPr>
                <w:color w:val="auto"/>
                <w:spacing w:val="-35"/>
                <w:highlight w:val="none"/>
              </w:rPr>
              <w:t xml:space="preserve"> </w:t>
            </w:r>
            <w:r>
              <w:rPr>
                <w:color w:val="auto"/>
                <w:spacing w:val="5"/>
                <w:highlight w:val="none"/>
              </w:rPr>
              <w:t>3</w:t>
            </w:r>
            <w:r>
              <w:rPr>
                <w:color w:val="auto"/>
                <w:spacing w:val="-38"/>
                <w:highlight w:val="none"/>
              </w:rPr>
              <w:t xml:space="preserve"> </w:t>
            </w:r>
            <w:r>
              <w:rPr>
                <w:color w:val="auto"/>
                <w:spacing w:val="5"/>
                <w:highlight w:val="none"/>
              </w:rPr>
              <w:t>个球（摇出的</w:t>
            </w:r>
            <w:r>
              <w:rPr>
                <w:color w:val="auto"/>
                <w:spacing w:val="11"/>
                <w:highlight w:val="none"/>
              </w:rPr>
              <w:t>球不放回</w:t>
            </w:r>
            <w:r>
              <w:rPr>
                <w:color w:val="auto"/>
                <w:spacing w:val="4"/>
                <w:highlight w:val="none"/>
              </w:rPr>
              <w:t>）</w:t>
            </w:r>
            <w:r>
              <w:rPr>
                <w:color w:val="auto"/>
                <w:spacing w:val="-57"/>
                <w:highlight w:val="none"/>
              </w:rPr>
              <w:t xml:space="preserve"> </w:t>
            </w:r>
            <w:r>
              <w:rPr>
                <w:color w:val="auto"/>
                <w:spacing w:val="4"/>
                <w:highlight w:val="none"/>
              </w:rPr>
              <w:t>，</w:t>
            </w:r>
            <w:r>
              <w:rPr>
                <w:color w:val="auto"/>
                <w:spacing w:val="11"/>
                <w:highlight w:val="none"/>
              </w:rPr>
              <w:t>摇出</w:t>
            </w:r>
            <w:r>
              <w:rPr>
                <w:color w:val="auto"/>
                <w:spacing w:val="-30"/>
                <w:highlight w:val="none"/>
              </w:rPr>
              <w:t xml:space="preserve"> </w:t>
            </w:r>
            <w:r>
              <w:rPr>
                <w:color w:val="auto"/>
                <w:spacing w:val="11"/>
                <w:highlight w:val="none"/>
              </w:rPr>
              <w:t>3</w:t>
            </w:r>
            <w:r>
              <w:rPr>
                <w:color w:val="auto"/>
                <w:spacing w:val="-35"/>
                <w:highlight w:val="none"/>
              </w:rPr>
              <w:t xml:space="preserve"> </w:t>
            </w:r>
            <w:r>
              <w:rPr>
                <w:color w:val="auto"/>
                <w:spacing w:val="11"/>
                <w:highlight w:val="none"/>
              </w:rPr>
              <w:t>个球对应的下浮率的平均值即为本标段招标的下浮率。（注：下浮率摇珠区间</w:t>
            </w:r>
            <w:r>
              <w:rPr>
                <w:rFonts w:hint="eastAsia" w:ascii="宋体" w:hAnsi="宋体" w:cs="宋体"/>
                <w:color w:val="auto"/>
                <w:szCs w:val="21"/>
                <w:highlight w:val="none"/>
              </w:rPr>
              <w:t>为0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color w:val="auto"/>
                <w:spacing w:val="10"/>
                <w:highlight w:val="none"/>
              </w:rPr>
              <w:t>，摇出三个</w:t>
            </w:r>
            <w:r>
              <w:rPr>
                <w:color w:val="auto"/>
                <w:spacing w:val="6"/>
                <w:highlight w:val="none"/>
              </w:rPr>
              <w:t>下浮率的平均值四舍五入取整到</w:t>
            </w:r>
            <w:r>
              <w:rPr>
                <w:color w:val="auto"/>
                <w:spacing w:val="-21"/>
                <w:highlight w:val="none"/>
              </w:rPr>
              <w:t xml:space="preserve"> </w:t>
            </w:r>
            <w:r>
              <w:rPr>
                <w:color w:val="auto"/>
                <w:spacing w:val="6"/>
                <w:highlight w:val="none"/>
              </w:rPr>
              <w:t>0.001%）。</w:t>
            </w:r>
          </w:p>
          <w:p w14:paraId="175CC45A">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31"/>
              <w:textAlignment w:val="baseline"/>
              <w:rPr>
                <w:color w:val="auto"/>
                <w:highlight w:val="none"/>
              </w:rPr>
            </w:pPr>
            <w:r>
              <w:rPr>
                <w:color w:val="auto"/>
                <w:spacing w:val="9"/>
                <w:highlight w:val="none"/>
              </w:rPr>
              <w:t>②最高评标限价=最高投标限价×（1-最高投标限</w:t>
            </w:r>
            <w:r>
              <w:rPr>
                <w:color w:val="auto"/>
                <w:spacing w:val="8"/>
                <w:highlight w:val="none"/>
              </w:rPr>
              <w:t>价下浮率）</w:t>
            </w:r>
          </w:p>
          <w:p w14:paraId="2E749934">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14" w:right="141" w:firstLine="420"/>
              <w:textAlignment w:val="baseline"/>
              <w:rPr>
                <w:color w:val="auto"/>
                <w:highlight w:val="none"/>
              </w:rPr>
            </w:pPr>
            <w:r>
              <w:rPr>
                <w:color w:val="auto"/>
                <w:spacing w:val="12"/>
                <w:highlight w:val="none"/>
              </w:rPr>
              <w:t>有效评标价范围：不大于最高评标限价的评标价为有效评标价。</w:t>
            </w:r>
            <w:r>
              <w:rPr>
                <w:color w:val="auto"/>
                <w:spacing w:val="10"/>
                <w:highlight w:val="none"/>
              </w:rPr>
              <w:t>若大于最高评标限价的评标价，其评标价得分为0</w:t>
            </w:r>
            <w:r>
              <w:rPr>
                <w:color w:val="auto"/>
                <w:spacing w:val="-21"/>
                <w:highlight w:val="none"/>
              </w:rPr>
              <w:t xml:space="preserve"> </w:t>
            </w:r>
            <w:r>
              <w:rPr>
                <w:color w:val="auto"/>
                <w:spacing w:val="10"/>
                <w:highlight w:val="none"/>
              </w:rPr>
              <w:t>分。</w:t>
            </w:r>
          </w:p>
          <w:p w14:paraId="3FA8A808">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543"/>
              <w:textAlignment w:val="baseline"/>
              <w:rPr>
                <w:color w:val="auto"/>
                <w:sz w:val="10"/>
                <w:szCs w:val="10"/>
                <w:highlight w:val="none"/>
              </w:rPr>
            </w:pPr>
            <w:r>
              <w:rPr>
                <w:color w:val="auto"/>
                <w:spacing w:val="10"/>
                <w:position w:val="3"/>
                <w:highlight w:val="none"/>
              </w:rPr>
              <w:t>（3）评标基准价的确定</w:t>
            </w:r>
            <w:r>
              <w:rPr>
                <w:color w:val="auto"/>
                <w:spacing w:val="-5"/>
                <w:position w:val="3"/>
                <w:highlight w:val="none"/>
              </w:rPr>
              <w:t>：</w:t>
            </w:r>
          </w:p>
          <w:p w14:paraId="2CA0A287">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32" w:right="107" w:firstLine="402"/>
              <w:textAlignment w:val="baseline"/>
              <w:rPr>
                <w:color w:val="auto"/>
                <w:highlight w:val="none"/>
              </w:rPr>
            </w:pPr>
            <w:r>
              <w:rPr>
                <w:color w:val="auto"/>
                <w:spacing w:val="15"/>
                <w:highlight w:val="none"/>
              </w:rPr>
              <w:t>最高评标限价下浮</w:t>
            </w:r>
            <w:r>
              <w:rPr>
                <w:color w:val="auto"/>
                <w:spacing w:val="-72"/>
                <w:highlight w:val="none"/>
              </w:rPr>
              <w:t xml:space="preserve"> </w:t>
            </w:r>
            <w:r>
              <w:rPr>
                <w:color w:val="auto"/>
                <w:spacing w:val="12"/>
                <w:highlight w:val="none"/>
                <w:u w:val="single" w:color="auto"/>
              </w:rPr>
              <w:t xml:space="preserve"> </w:t>
            </w:r>
            <w:r>
              <w:rPr>
                <w:rFonts w:hint="eastAsia"/>
                <w:color w:val="auto"/>
                <w:spacing w:val="12"/>
                <w:highlight w:val="none"/>
                <w:u w:val="single" w:color="auto"/>
                <w:lang w:val="en-US" w:eastAsia="zh-CN"/>
              </w:rPr>
              <w:t>1.0</w:t>
            </w:r>
            <w:r>
              <w:rPr>
                <w:color w:val="auto"/>
                <w:spacing w:val="12"/>
                <w:highlight w:val="none"/>
                <w:u w:val="single" w:color="auto"/>
              </w:rPr>
              <w:t xml:space="preserve"> </w:t>
            </w:r>
            <w:r>
              <w:rPr>
                <w:color w:val="auto"/>
                <w:spacing w:val="-99"/>
                <w:highlight w:val="none"/>
              </w:rPr>
              <w:t xml:space="preserve"> </w:t>
            </w:r>
            <w:r>
              <w:rPr>
                <w:rFonts w:hint="eastAsia"/>
                <w:color w:val="auto"/>
                <w:spacing w:val="15"/>
                <w:highlight w:val="none"/>
                <w:lang w:val="en-US" w:eastAsia="zh-CN"/>
              </w:rPr>
              <w:t>%</w:t>
            </w:r>
            <w:r>
              <w:rPr>
                <w:color w:val="auto"/>
                <w:spacing w:val="15"/>
                <w:highlight w:val="none"/>
              </w:rPr>
              <w:t>，作为评标基准价。</w:t>
            </w:r>
          </w:p>
          <w:p w14:paraId="6DD7E2B1">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15" w:right="107" w:firstLine="416"/>
              <w:jc w:val="both"/>
              <w:textAlignment w:val="baseline"/>
              <w:rPr>
                <w:color w:val="auto"/>
                <w:highlight w:val="none"/>
              </w:rPr>
            </w:pPr>
            <w:r>
              <w:rPr>
                <w:color w:val="auto"/>
                <w:spacing w:val="13"/>
                <w:highlight w:val="none"/>
              </w:rPr>
              <w:t>在评标过程中，评标委员会应对招标人计算的评标基准价进行复</w:t>
            </w:r>
            <w:r>
              <w:rPr>
                <w:color w:val="auto"/>
                <w:spacing w:val="19"/>
                <w:highlight w:val="none"/>
              </w:rPr>
              <w:t>核，存在计算错误的应予以修正并在评标报告中作出说明</w:t>
            </w:r>
            <w:r>
              <w:rPr>
                <w:color w:val="auto"/>
                <w:spacing w:val="-57"/>
                <w:highlight w:val="none"/>
              </w:rPr>
              <w:t xml:space="preserve"> </w:t>
            </w:r>
            <w:r>
              <w:rPr>
                <w:color w:val="auto"/>
                <w:spacing w:val="19"/>
                <w:highlight w:val="none"/>
              </w:rPr>
              <w:t>。除此之</w:t>
            </w:r>
            <w:r>
              <w:rPr>
                <w:color w:val="auto"/>
                <w:spacing w:val="9"/>
                <w:highlight w:val="none"/>
              </w:rPr>
              <w:t>外，评标基准价在整个评标期间保持不变，不随任何因素发生变化。</w:t>
            </w:r>
          </w:p>
          <w:p w14:paraId="5A690685">
            <w:pPr>
              <w:pStyle w:val="23"/>
              <w:keepNext w:val="0"/>
              <w:keepLines w:val="0"/>
              <w:pageBreakBefore w:val="0"/>
              <w:widowControl/>
              <w:kinsoku w:val="0"/>
              <w:wordWrap/>
              <w:overflowPunct/>
              <w:topLinePunct w:val="0"/>
              <w:autoSpaceDE w:val="0"/>
              <w:autoSpaceDN w:val="0"/>
              <w:bidi w:val="0"/>
              <w:adjustRightInd w:val="0"/>
              <w:snapToGrid w:val="0"/>
              <w:spacing w:line="360" w:lineRule="exact"/>
              <w:ind w:left="113" w:right="107" w:firstLine="420"/>
              <w:jc w:val="both"/>
              <w:textAlignment w:val="baseline"/>
              <w:rPr>
                <w:color w:val="auto"/>
                <w:highlight w:val="none"/>
              </w:rPr>
            </w:pPr>
            <w:r>
              <w:rPr>
                <w:color w:val="auto"/>
                <w:spacing w:val="13"/>
                <w:highlight w:val="none"/>
              </w:rPr>
              <w:t>注：评标价平均值、最高评标限价、评标基准价均四舍五入至个</w:t>
            </w:r>
            <w:r>
              <w:rPr>
                <w:color w:val="auto"/>
                <w:spacing w:val="5"/>
                <w:highlight w:val="none"/>
              </w:rPr>
              <w:t>位整数。</w:t>
            </w:r>
          </w:p>
        </w:tc>
      </w:tr>
      <w:tr w14:paraId="5CD2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033" w:type="dxa"/>
            <w:vAlign w:val="top"/>
          </w:tcPr>
          <w:p w14:paraId="57E54CF2">
            <w:pPr>
              <w:spacing w:line="455" w:lineRule="auto"/>
              <w:rPr>
                <w:rFonts w:ascii="Arial"/>
                <w:color w:val="auto"/>
                <w:sz w:val="21"/>
                <w:highlight w:val="none"/>
              </w:rPr>
            </w:pPr>
            <w:bookmarkStart w:id="297" w:name="bookmark119"/>
            <w:bookmarkEnd w:id="297"/>
            <w:bookmarkStart w:id="298" w:name="bookmark118"/>
            <w:bookmarkEnd w:id="298"/>
          </w:p>
          <w:p w14:paraId="2F025AC3">
            <w:pPr>
              <w:pStyle w:val="23"/>
              <w:spacing w:before="65" w:line="268" w:lineRule="exact"/>
              <w:ind w:left="213" w:leftChars="0"/>
              <w:rPr>
                <w:rFonts w:ascii="Arial"/>
                <w:color w:val="auto"/>
                <w:sz w:val="21"/>
                <w:highlight w:val="none"/>
              </w:rPr>
            </w:pPr>
            <w:r>
              <w:rPr>
                <w:color w:val="auto"/>
                <w:spacing w:val="2"/>
                <w:position w:val="1"/>
                <w:highlight w:val="none"/>
              </w:rPr>
              <w:t>2.2.3</w:t>
            </w:r>
          </w:p>
        </w:tc>
        <w:tc>
          <w:tcPr>
            <w:tcW w:w="1336" w:type="dxa"/>
            <w:vAlign w:val="top"/>
          </w:tcPr>
          <w:p w14:paraId="1C2E197D">
            <w:pPr>
              <w:pStyle w:val="23"/>
              <w:spacing w:before="144" w:line="226" w:lineRule="auto"/>
              <w:ind w:left="145"/>
              <w:rPr>
                <w:color w:val="auto"/>
                <w:highlight w:val="none"/>
              </w:rPr>
            </w:pPr>
            <w:r>
              <w:rPr>
                <w:color w:val="auto"/>
                <w:spacing w:val="8"/>
                <w:highlight w:val="none"/>
              </w:rPr>
              <w:t>评标价的偏</w:t>
            </w:r>
          </w:p>
          <w:p w14:paraId="5FACD634">
            <w:pPr>
              <w:pStyle w:val="23"/>
              <w:spacing w:before="134" w:line="284" w:lineRule="auto"/>
              <w:ind w:left="569" w:leftChars="0" w:right="144" w:rightChars="0" w:hanging="421" w:firstLineChars="0"/>
              <w:rPr>
                <w:rFonts w:ascii="Arial"/>
                <w:color w:val="auto"/>
                <w:sz w:val="21"/>
                <w:highlight w:val="none"/>
              </w:rPr>
            </w:pPr>
            <w:r>
              <w:rPr>
                <w:color w:val="auto"/>
                <w:spacing w:val="7"/>
                <w:highlight w:val="none"/>
              </w:rPr>
              <w:t>差率计算公</w:t>
            </w:r>
            <w:r>
              <w:rPr>
                <w:color w:val="auto"/>
                <w:highlight w:val="none"/>
              </w:rPr>
              <w:t>式</w:t>
            </w:r>
          </w:p>
        </w:tc>
        <w:tc>
          <w:tcPr>
            <w:tcW w:w="6900" w:type="dxa"/>
            <w:vAlign w:val="top"/>
          </w:tcPr>
          <w:p w14:paraId="7484AA4D">
            <w:pPr>
              <w:pStyle w:val="23"/>
              <w:spacing w:before="154" w:line="226" w:lineRule="auto"/>
              <w:ind w:left="533"/>
              <w:rPr>
                <w:color w:val="auto"/>
                <w:highlight w:val="none"/>
              </w:rPr>
            </w:pPr>
            <w:r>
              <w:rPr>
                <w:color w:val="auto"/>
                <w:spacing w:val="7"/>
                <w:highlight w:val="none"/>
              </w:rPr>
              <w:t>偏差率=100%</w:t>
            </w:r>
            <w:r>
              <w:rPr>
                <w:color w:val="auto"/>
                <w:spacing w:val="51"/>
                <w:highlight w:val="none"/>
              </w:rPr>
              <w:t xml:space="preserve"> </w:t>
            </w:r>
            <w:r>
              <w:rPr>
                <w:color w:val="auto"/>
                <w:spacing w:val="7"/>
                <w:highlight w:val="none"/>
              </w:rPr>
              <w:t>×（投标人评标价－评标基准价）/评标基准价</w:t>
            </w:r>
          </w:p>
          <w:p w14:paraId="4279475A">
            <w:pPr>
              <w:pStyle w:val="23"/>
              <w:spacing w:before="113" w:line="289" w:lineRule="auto"/>
              <w:ind w:left="113" w:leftChars="0" w:right="158" w:rightChars="0" w:firstLine="420" w:firstLineChars="0"/>
              <w:rPr>
                <w:color w:val="auto"/>
                <w:spacing w:val="13"/>
                <w:highlight w:val="none"/>
              </w:rPr>
            </w:pPr>
            <w:r>
              <w:rPr>
                <w:color w:val="auto"/>
                <w:spacing w:val="11"/>
                <w:highlight w:val="none"/>
              </w:rPr>
              <w:t>注：偏差率保留百分比后四位小数，小数点后第五位四舍五入，</w:t>
            </w:r>
            <w:r>
              <w:rPr>
                <w:color w:val="auto"/>
                <w:spacing w:val="2"/>
                <w:highlight w:val="none"/>
              </w:rPr>
              <w:t>例如</w:t>
            </w:r>
            <w:r>
              <w:rPr>
                <w:color w:val="auto"/>
                <w:spacing w:val="-24"/>
                <w:highlight w:val="none"/>
              </w:rPr>
              <w:t xml:space="preserve"> </w:t>
            </w:r>
            <w:r>
              <w:rPr>
                <w:color w:val="auto"/>
                <w:spacing w:val="2"/>
                <w:highlight w:val="none"/>
              </w:rPr>
              <w:t>1.2345%。</w:t>
            </w:r>
          </w:p>
        </w:tc>
      </w:tr>
    </w:tbl>
    <w:p w14:paraId="5828D7D8">
      <w:pPr>
        <w:spacing w:line="259" w:lineRule="auto"/>
        <w:rPr>
          <w:rFonts w:ascii="Arial"/>
          <w:color w:val="auto"/>
          <w:sz w:val="21"/>
          <w:highlight w:val="none"/>
        </w:rPr>
      </w:pPr>
    </w:p>
    <w:p w14:paraId="3FB58C77">
      <w:pPr>
        <w:rPr>
          <w:rFonts w:ascii="Arial"/>
          <w:color w:val="auto"/>
          <w:sz w:val="21"/>
          <w:highlight w:val="none"/>
        </w:rPr>
      </w:pPr>
      <w:bookmarkStart w:id="299" w:name="bookmark121"/>
      <w:bookmarkEnd w:id="299"/>
    </w:p>
    <w:p w14:paraId="2A6CB2CD">
      <w:pPr>
        <w:rPr>
          <w:rFonts w:ascii="Arial" w:hAnsi="Arial" w:eastAsia="Arial" w:cs="Arial"/>
          <w:color w:val="auto"/>
          <w:sz w:val="21"/>
          <w:szCs w:val="21"/>
          <w:highlight w:val="none"/>
        </w:rPr>
        <w:sectPr>
          <w:footerReference r:id="rId20" w:type="default"/>
          <w:pgSz w:w="11906" w:h="16839"/>
          <w:pgMar w:top="1416" w:right="1701" w:bottom="1297" w:left="1304" w:header="0" w:footer="1067" w:gutter="0"/>
          <w:pgNumType w:fmt="decimal"/>
          <w:cols w:space="720" w:num="1"/>
        </w:sectPr>
      </w:pPr>
    </w:p>
    <w:p w14:paraId="1A44699B">
      <w:pPr>
        <w:spacing w:before="41" w:line="222" w:lineRule="auto"/>
        <w:jc w:val="right"/>
        <w:rPr>
          <w:rFonts w:ascii="宋体" w:hAnsi="宋体" w:eastAsia="宋体" w:cs="宋体"/>
          <w:b/>
          <w:bCs/>
          <w:color w:val="auto"/>
          <w:sz w:val="20"/>
          <w:szCs w:val="20"/>
          <w:highlight w:val="none"/>
        </w:rPr>
      </w:pPr>
      <w:r>
        <w:rPr>
          <w:rFonts w:ascii="宋体" w:hAnsi="宋体" w:eastAsia="宋体" w:cs="宋体"/>
          <w:b/>
          <w:bCs/>
          <w:color w:val="auto"/>
          <w:spacing w:val="8"/>
          <w:sz w:val="20"/>
          <w:szCs w:val="20"/>
          <w:highlight w:val="none"/>
        </w:rPr>
        <w:t>续上表</w:t>
      </w:r>
    </w:p>
    <w:tbl>
      <w:tblPr>
        <w:tblStyle w:val="2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309"/>
        <w:gridCol w:w="345"/>
        <w:gridCol w:w="519"/>
        <w:gridCol w:w="919"/>
        <w:gridCol w:w="946"/>
        <w:gridCol w:w="581"/>
        <w:gridCol w:w="19"/>
        <w:gridCol w:w="1181"/>
        <w:gridCol w:w="3149"/>
      </w:tblGrid>
      <w:tr w14:paraId="10592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565" w:type="dxa"/>
            <w:gridSpan w:val="8"/>
            <w:vAlign w:val="top"/>
          </w:tcPr>
          <w:p w14:paraId="1A66B0F2">
            <w:pPr>
              <w:pStyle w:val="23"/>
              <w:spacing w:before="126" w:line="233" w:lineRule="auto"/>
              <w:ind w:left="1287"/>
              <w:rPr>
                <w:color w:val="auto"/>
                <w:sz w:val="10"/>
                <w:szCs w:val="10"/>
                <w:highlight w:val="none"/>
              </w:rPr>
            </w:pPr>
            <w:r>
              <w:rPr>
                <w:b/>
                <w:bCs/>
                <w:color w:val="auto"/>
                <w:spacing w:val="7"/>
                <w:highlight w:val="none"/>
              </w:rPr>
              <w:t>评分因素与权重分值</w:t>
            </w:r>
          </w:p>
        </w:tc>
        <w:tc>
          <w:tcPr>
            <w:tcW w:w="4330" w:type="dxa"/>
            <w:gridSpan w:val="2"/>
            <w:vMerge w:val="restart"/>
            <w:tcBorders>
              <w:bottom w:val="nil"/>
            </w:tcBorders>
            <w:vAlign w:val="top"/>
          </w:tcPr>
          <w:p w14:paraId="62F877D4">
            <w:pPr>
              <w:spacing w:line="316" w:lineRule="auto"/>
              <w:rPr>
                <w:rFonts w:ascii="Arial"/>
                <w:color w:val="auto"/>
                <w:sz w:val="21"/>
                <w:highlight w:val="none"/>
              </w:rPr>
            </w:pPr>
          </w:p>
          <w:p w14:paraId="3EDE2670">
            <w:pPr>
              <w:spacing w:line="317" w:lineRule="auto"/>
              <w:rPr>
                <w:rFonts w:ascii="Arial"/>
                <w:color w:val="auto"/>
                <w:sz w:val="21"/>
                <w:highlight w:val="none"/>
              </w:rPr>
            </w:pPr>
          </w:p>
          <w:p w14:paraId="7ACEAC26">
            <w:pPr>
              <w:pStyle w:val="23"/>
              <w:spacing w:before="65" w:line="264" w:lineRule="exact"/>
              <w:ind w:left="1694"/>
              <w:rPr>
                <w:color w:val="auto"/>
                <w:sz w:val="10"/>
                <w:szCs w:val="10"/>
                <w:highlight w:val="none"/>
              </w:rPr>
            </w:pPr>
            <w:r>
              <w:rPr>
                <w:b/>
                <w:bCs/>
                <w:color w:val="auto"/>
                <w:spacing w:val="6"/>
                <w:highlight w:val="none"/>
              </w:rPr>
              <w:t>评分标准</w:t>
            </w:r>
          </w:p>
        </w:tc>
      </w:tr>
      <w:tr w14:paraId="18CC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7" w:type="dxa"/>
            <w:vAlign w:val="top"/>
          </w:tcPr>
          <w:p w14:paraId="4BE29F89">
            <w:pPr>
              <w:spacing w:line="451" w:lineRule="auto"/>
              <w:rPr>
                <w:rFonts w:ascii="Arial"/>
                <w:color w:val="auto"/>
                <w:sz w:val="21"/>
                <w:highlight w:val="none"/>
              </w:rPr>
            </w:pPr>
          </w:p>
          <w:p w14:paraId="4829AEE4">
            <w:pPr>
              <w:pStyle w:val="23"/>
              <w:spacing w:before="65" w:line="228" w:lineRule="auto"/>
              <w:ind w:left="155"/>
              <w:rPr>
                <w:color w:val="auto"/>
                <w:highlight w:val="none"/>
              </w:rPr>
            </w:pPr>
            <w:r>
              <w:rPr>
                <w:b/>
                <w:bCs/>
                <w:color w:val="auto"/>
                <w:spacing w:val="5"/>
                <w:highlight w:val="none"/>
              </w:rPr>
              <w:t>条款号</w:t>
            </w:r>
          </w:p>
        </w:tc>
        <w:tc>
          <w:tcPr>
            <w:tcW w:w="1173" w:type="dxa"/>
            <w:gridSpan w:val="3"/>
            <w:vAlign w:val="top"/>
          </w:tcPr>
          <w:p w14:paraId="5877B8B6">
            <w:pPr>
              <w:spacing w:line="451" w:lineRule="auto"/>
              <w:rPr>
                <w:rFonts w:ascii="Arial"/>
                <w:color w:val="auto"/>
                <w:sz w:val="21"/>
                <w:highlight w:val="none"/>
              </w:rPr>
            </w:pPr>
          </w:p>
          <w:p w14:paraId="51209D8D">
            <w:pPr>
              <w:pStyle w:val="23"/>
              <w:spacing w:before="65" w:line="228" w:lineRule="auto"/>
              <w:ind w:left="168"/>
              <w:rPr>
                <w:color w:val="auto"/>
                <w:highlight w:val="none"/>
              </w:rPr>
            </w:pPr>
            <w:r>
              <w:rPr>
                <w:b/>
                <w:bCs/>
                <w:color w:val="auto"/>
                <w:spacing w:val="6"/>
                <w:highlight w:val="none"/>
              </w:rPr>
              <w:t>评分因素</w:t>
            </w:r>
          </w:p>
        </w:tc>
        <w:tc>
          <w:tcPr>
            <w:tcW w:w="919" w:type="dxa"/>
            <w:vAlign w:val="top"/>
          </w:tcPr>
          <w:p w14:paraId="693C2BDA">
            <w:pPr>
              <w:spacing w:line="264" w:lineRule="auto"/>
              <w:rPr>
                <w:rFonts w:ascii="Arial"/>
                <w:color w:val="auto"/>
                <w:sz w:val="21"/>
                <w:highlight w:val="none"/>
              </w:rPr>
            </w:pPr>
          </w:p>
          <w:p w14:paraId="0949FD7D">
            <w:pPr>
              <w:pStyle w:val="23"/>
              <w:spacing w:before="65" w:line="351" w:lineRule="auto"/>
              <w:ind w:left="43" w:right="35"/>
              <w:rPr>
                <w:color w:val="auto"/>
                <w:highlight w:val="none"/>
              </w:rPr>
            </w:pPr>
            <w:r>
              <w:rPr>
                <w:b/>
                <w:bCs/>
                <w:color w:val="auto"/>
                <w:spacing w:val="6"/>
                <w:highlight w:val="none"/>
              </w:rPr>
              <w:t>评分因素权重分值</w:t>
            </w:r>
          </w:p>
        </w:tc>
        <w:tc>
          <w:tcPr>
            <w:tcW w:w="946" w:type="dxa"/>
            <w:vAlign w:val="top"/>
          </w:tcPr>
          <w:p w14:paraId="2E945E89">
            <w:pPr>
              <w:pStyle w:val="23"/>
              <w:spacing w:before="141" w:line="228" w:lineRule="auto"/>
              <w:ind w:left="164"/>
              <w:rPr>
                <w:color w:val="auto"/>
                <w:highlight w:val="none"/>
              </w:rPr>
            </w:pPr>
            <w:r>
              <w:rPr>
                <w:b/>
                <w:bCs/>
                <w:color w:val="auto"/>
                <w:spacing w:val="4"/>
                <w:highlight w:val="none"/>
              </w:rPr>
              <w:t>各评分</w:t>
            </w:r>
          </w:p>
          <w:p w14:paraId="3A1B62E7">
            <w:pPr>
              <w:pStyle w:val="23"/>
              <w:spacing w:before="132" w:line="283" w:lineRule="auto"/>
              <w:ind w:left="269" w:right="156" w:hanging="91"/>
              <w:rPr>
                <w:color w:val="auto"/>
                <w:highlight w:val="none"/>
              </w:rPr>
            </w:pPr>
            <w:r>
              <w:rPr>
                <w:b/>
                <w:bCs/>
                <w:color w:val="auto"/>
                <w:highlight w:val="none"/>
              </w:rPr>
              <w:t>因素细</w:t>
            </w:r>
            <w:r>
              <w:rPr>
                <w:b/>
                <w:bCs/>
                <w:color w:val="auto"/>
                <w:spacing w:val="2"/>
                <w:highlight w:val="none"/>
              </w:rPr>
              <w:t>分项</w:t>
            </w:r>
          </w:p>
        </w:tc>
        <w:tc>
          <w:tcPr>
            <w:tcW w:w="600" w:type="dxa"/>
            <w:gridSpan w:val="2"/>
            <w:textDirection w:val="tbRlV"/>
            <w:vAlign w:val="top"/>
          </w:tcPr>
          <w:p w14:paraId="32ADDDA5">
            <w:pPr>
              <w:pStyle w:val="23"/>
              <w:spacing w:before="193" w:line="216" w:lineRule="auto"/>
              <w:ind w:left="330"/>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30" w:type="dxa"/>
            <w:gridSpan w:val="2"/>
            <w:vMerge w:val="continue"/>
            <w:tcBorders>
              <w:top w:val="nil"/>
            </w:tcBorders>
            <w:vAlign w:val="top"/>
          </w:tcPr>
          <w:p w14:paraId="66B43BE6">
            <w:pPr>
              <w:rPr>
                <w:rFonts w:ascii="Arial"/>
                <w:color w:val="auto"/>
                <w:sz w:val="21"/>
                <w:highlight w:val="none"/>
              </w:rPr>
            </w:pPr>
          </w:p>
        </w:tc>
      </w:tr>
      <w:tr w14:paraId="48BE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3" w:hRule="atLeast"/>
        </w:trPr>
        <w:tc>
          <w:tcPr>
            <w:tcW w:w="927" w:type="dxa"/>
            <w:vMerge w:val="restart"/>
            <w:vAlign w:val="center"/>
          </w:tcPr>
          <w:p w14:paraId="426AA916">
            <w:pPr>
              <w:pStyle w:val="23"/>
              <w:spacing w:before="65" w:line="268" w:lineRule="exact"/>
              <w:ind w:left="208"/>
              <w:jc w:val="center"/>
              <w:rPr>
                <w:color w:val="auto"/>
                <w:highlight w:val="none"/>
              </w:rPr>
            </w:pPr>
            <w:r>
              <w:rPr>
                <w:color w:val="auto"/>
                <w:spacing w:val="2"/>
                <w:position w:val="1"/>
                <w:highlight w:val="none"/>
              </w:rPr>
              <w:t>2.2.4</w:t>
            </w:r>
          </w:p>
          <w:p w14:paraId="339E0E85">
            <w:pPr>
              <w:pStyle w:val="23"/>
              <w:spacing w:before="113" w:line="231" w:lineRule="auto"/>
              <w:ind w:left="348"/>
              <w:jc w:val="center"/>
              <w:rPr>
                <w:color w:val="auto"/>
                <w:highlight w:val="none"/>
              </w:rPr>
            </w:pPr>
            <w:r>
              <w:rPr>
                <w:color w:val="auto"/>
                <w:spacing w:val="-10"/>
                <w:highlight w:val="none"/>
              </w:rPr>
              <w:t>(1)</w:t>
            </w:r>
          </w:p>
        </w:tc>
        <w:tc>
          <w:tcPr>
            <w:tcW w:w="1173" w:type="dxa"/>
            <w:gridSpan w:val="3"/>
            <w:vMerge w:val="restart"/>
            <w:vAlign w:val="center"/>
          </w:tcPr>
          <w:p w14:paraId="2B81D097">
            <w:pPr>
              <w:pStyle w:val="23"/>
              <w:spacing w:before="65" w:line="347" w:lineRule="auto"/>
              <w:ind w:left="17" w:leftChars="0" w:right="167" w:firstLine="153" w:firstLineChars="0"/>
              <w:jc w:val="center"/>
              <w:rPr>
                <w:color w:val="auto"/>
                <w:sz w:val="10"/>
                <w:szCs w:val="10"/>
                <w:highlight w:val="none"/>
              </w:rPr>
            </w:pPr>
            <w:r>
              <w:rPr>
                <w:color w:val="auto"/>
                <w:spacing w:val="7"/>
                <w:highlight w:val="none"/>
              </w:rPr>
              <w:t>技术建议</w:t>
            </w:r>
            <w:r>
              <w:rPr>
                <w:color w:val="auto"/>
                <w:spacing w:val="1"/>
                <w:position w:val="-2"/>
                <w:highlight w:val="none"/>
              </w:rPr>
              <w:t>书</w:t>
            </w:r>
          </w:p>
        </w:tc>
        <w:tc>
          <w:tcPr>
            <w:tcW w:w="919" w:type="dxa"/>
            <w:vMerge w:val="restart"/>
            <w:vAlign w:val="top"/>
          </w:tcPr>
          <w:p w14:paraId="49919683">
            <w:pPr>
              <w:spacing w:line="250" w:lineRule="auto"/>
              <w:rPr>
                <w:rFonts w:ascii="Arial"/>
                <w:color w:val="auto"/>
                <w:sz w:val="21"/>
                <w:highlight w:val="none"/>
              </w:rPr>
            </w:pPr>
          </w:p>
          <w:p w14:paraId="2A1747F7">
            <w:pPr>
              <w:spacing w:line="250" w:lineRule="auto"/>
              <w:rPr>
                <w:rFonts w:ascii="Arial"/>
                <w:color w:val="auto"/>
                <w:sz w:val="21"/>
                <w:highlight w:val="none"/>
              </w:rPr>
            </w:pPr>
          </w:p>
          <w:p w14:paraId="0E2F8336">
            <w:pPr>
              <w:spacing w:line="250" w:lineRule="auto"/>
              <w:rPr>
                <w:rFonts w:ascii="Arial"/>
                <w:color w:val="auto"/>
                <w:sz w:val="21"/>
                <w:highlight w:val="none"/>
              </w:rPr>
            </w:pPr>
          </w:p>
          <w:p w14:paraId="20CDC19B">
            <w:pPr>
              <w:spacing w:line="250" w:lineRule="auto"/>
              <w:rPr>
                <w:rFonts w:ascii="Arial"/>
                <w:color w:val="auto"/>
                <w:sz w:val="21"/>
                <w:highlight w:val="none"/>
              </w:rPr>
            </w:pPr>
          </w:p>
          <w:p w14:paraId="2D2A51D6">
            <w:pPr>
              <w:spacing w:line="250" w:lineRule="auto"/>
              <w:rPr>
                <w:rFonts w:ascii="Arial"/>
                <w:color w:val="auto"/>
                <w:sz w:val="21"/>
                <w:highlight w:val="none"/>
              </w:rPr>
            </w:pPr>
          </w:p>
          <w:p w14:paraId="15ED0982">
            <w:pPr>
              <w:spacing w:line="250" w:lineRule="auto"/>
              <w:rPr>
                <w:rFonts w:ascii="Arial"/>
                <w:color w:val="auto"/>
                <w:sz w:val="21"/>
                <w:highlight w:val="none"/>
              </w:rPr>
            </w:pPr>
          </w:p>
          <w:p w14:paraId="79B0BC30">
            <w:pPr>
              <w:spacing w:line="250" w:lineRule="auto"/>
              <w:rPr>
                <w:rFonts w:ascii="Arial"/>
                <w:color w:val="auto"/>
                <w:sz w:val="21"/>
                <w:highlight w:val="none"/>
              </w:rPr>
            </w:pPr>
          </w:p>
          <w:p w14:paraId="79513B81">
            <w:pPr>
              <w:spacing w:line="250" w:lineRule="auto"/>
              <w:rPr>
                <w:rFonts w:ascii="Arial"/>
                <w:color w:val="auto"/>
                <w:sz w:val="21"/>
                <w:highlight w:val="none"/>
              </w:rPr>
            </w:pPr>
          </w:p>
          <w:p w14:paraId="1F55FF34">
            <w:pPr>
              <w:spacing w:line="250" w:lineRule="auto"/>
              <w:rPr>
                <w:rFonts w:ascii="Arial"/>
                <w:color w:val="auto"/>
                <w:sz w:val="21"/>
                <w:highlight w:val="none"/>
              </w:rPr>
            </w:pPr>
          </w:p>
          <w:p w14:paraId="3722970B">
            <w:pPr>
              <w:spacing w:line="250" w:lineRule="auto"/>
              <w:rPr>
                <w:rFonts w:ascii="Arial"/>
                <w:color w:val="auto"/>
                <w:sz w:val="21"/>
                <w:highlight w:val="none"/>
              </w:rPr>
            </w:pPr>
          </w:p>
          <w:p w14:paraId="2134ECAE">
            <w:pPr>
              <w:spacing w:line="250" w:lineRule="auto"/>
              <w:rPr>
                <w:rFonts w:ascii="Arial"/>
                <w:color w:val="auto"/>
                <w:sz w:val="21"/>
                <w:highlight w:val="none"/>
              </w:rPr>
            </w:pPr>
          </w:p>
          <w:p w14:paraId="4FB601D1">
            <w:pPr>
              <w:spacing w:line="250" w:lineRule="auto"/>
              <w:rPr>
                <w:rFonts w:ascii="Arial"/>
                <w:color w:val="auto"/>
                <w:sz w:val="21"/>
                <w:highlight w:val="none"/>
              </w:rPr>
            </w:pPr>
          </w:p>
          <w:p w14:paraId="25FC5C8E">
            <w:pPr>
              <w:spacing w:line="250" w:lineRule="auto"/>
              <w:rPr>
                <w:rFonts w:ascii="Arial"/>
                <w:color w:val="auto"/>
                <w:sz w:val="21"/>
                <w:highlight w:val="none"/>
              </w:rPr>
            </w:pPr>
          </w:p>
          <w:p w14:paraId="5B744493">
            <w:pPr>
              <w:spacing w:line="250" w:lineRule="auto"/>
              <w:rPr>
                <w:rFonts w:ascii="Arial"/>
                <w:color w:val="auto"/>
                <w:sz w:val="21"/>
                <w:highlight w:val="none"/>
              </w:rPr>
            </w:pPr>
          </w:p>
          <w:p w14:paraId="624AA2BC">
            <w:pPr>
              <w:spacing w:line="250" w:lineRule="auto"/>
              <w:rPr>
                <w:rFonts w:ascii="Arial"/>
                <w:color w:val="auto"/>
                <w:sz w:val="21"/>
                <w:highlight w:val="none"/>
              </w:rPr>
            </w:pPr>
          </w:p>
          <w:p w14:paraId="1D46A795">
            <w:pPr>
              <w:spacing w:line="250" w:lineRule="auto"/>
              <w:rPr>
                <w:rFonts w:ascii="Arial"/>
                <w:color w:val="auto"/>
                <w:sz w:val="21"/>
                <w:highlight w:val="none"/>
              </w:rPr>
            </w:pPr>
          </w:p>
          <w:p w14:paraId="1D7B99A7">
            <w:pPr>
              <w:spacing w:line="250" w:lineRule="auto"/>
              <w:rPr>
                <w:rFonts w:ascii="Arial"/>
                <w:color w:val="auto"/>
                <w:sz w:val="21"/>
                <w:highlight w:val="none"/>
              </w:rPr>
            </w:pPr>
          </w:p>
          <w:p w14:paraId="3D060CCE">
            <w:pPr>
              <w:spacing w:line="250" w:lineRule="auto"/>
              <w:rPr>
                <w:rFonts w:ascii="Arial"/>
                <w:color w:val="auto"/>
                <w:sz w:val="21"/>
                <w:highlight w:val="none"/>
              </w:rPr>
            </w:pPr>
          </w:p>
          <w:p w14:paraId="347237D4">
            <w:pPr>
              <w:spacing w:line="250" w:lineRule="auto"/>
              <w:rPr>
                <w:rFonts w:ascii="Arial"/>
                <w:color w:val="auto"/>
                <w:sz w:val="21"/>
                <w:highlight w:val="none"/>
              </w:rPr>
            </w:pPr>
          </w:p>
          <w:p w14:paraId="0503EA93">
            <w:pPr>
              <w:spacing w:line="251" w:lineRule="auto"/>
              <w:rPr>
                <w:rFonts w:ascii="Arial"/>
                <w:color w:val="auto"/>
                <w:sz w:val="21"/>
                <w:highlight w:val="none"/>
              </w:rPr>
            </w:pPr>
          </w:p>
          <w:p w14:paraId="4362099E">
            <w:pPr>
              <w:pStyle w:val="23"/>
              <w:spacing w:before="65" w:line="228" w:lineRule="auto"/>
              <w:ind w:left="232"/>
              <w:rPr>
                <w:color w:val="auto"/>
                <w:highlight w:val="none"/>
              </w:rPr>
            </w:pPr>
            <w:r>
              <w:rPr>
                <w:color w:val="auto"/>
                <w:spacing w:val="-1"/>
                <w:highlight w:val="none"/>
              </w:rPr>
              <w:t>30</w:t>
            </w:r>
            <w:r>
              <w:rPr>
                <w:color w:val="auto"/>
                <w:spacing w:val="-38"/>
                <w:highlight w:val="none"/>
              </w:rPr>
              <w:t xml:space="preserve"> </w:t>
            </w:r>
            <w:r>
              <w:rPr>
                <w:color w:val="auto"/>
                <w:spacing w:val="-1"/>
                <w:highlight w:val="none"/>
              </w:rPr>
              <w:t>分</w:t>
            </w:r>
          </w:p>
        </w:tc>
        <w:tc>
          <w:tcPr>
            <w:tcW w:w="946" w:type="dxa"/>
            <w:vMerge w:val="restart"/>
            <w:vAlign w:val="top"/>
          </w:tcPr>
          <w:p w14:paraId="33712776">
            <w:pPr>
              <w:spacing w:line="249" w:lineRule="auto"/>
              <w:rPr>
                <w:rFonts w:ascii="Arial"/>
                <w:color w:val="auto"/>
                <w:sz w:val="21"/>
                <w:highlight w:val="none"/>
              </w:rPr>
            </w:pPr>
          </w:p>
          <w:p w14:paraId="3DE4C714">
            <w:pPr>
              <w:spacing w:line="249" w:lineRule="auto"/>
              <w:rPr>
                <w:rFonts w:ascii="Arial"/>
                <w:color w:val="auto"/>
                <w:sz w:val="21"/>
                <w:highlight w:val="none"/>
              </w:rPr>
            </w:pPr>
          </w:p>
          <w:p w14:paraId="74EB74CE">
            <w:pPr>
              <w:spacing w:line="249" w:lineRule="auto"/>
              <w:rPr>
                <w:rFonts w:ascii="Arial"/>
                <w:color w:val="auto"/>
                <w:sz w:val="21"/>
                <w:highlight w:val="none"/>
              </w:rPr>
            </w:pPr>
          </w:p>
          <w:p w14:paraId="06E13185">
            <w:pPr>
              <w:spacing w:line="249" w:lineRule="auto"/>
              <w:rPr>
                <w:rFonts w:ascii="Arial"/>
                <w:color w:val="auto"/>
                <w:sz w:val="21"/>
                <w:highlight w:val="none"/>
              </w:rPr>
            </w:pPr>
          </w:p>
          <w:p w14:paraId="1DA8DF7F">
            <w:pPr>
              <w:spacing w:line="249" w:lineRule="auto"/>
              <w:rPr>
                <w:rFonts w:ascii="Arial"/>
                <w:color w:val="auto"/>
                <w:sz w:val="21"/>
                <w:highlight w:val="none"/>
              </w:rPr>
            </w:pPr>
          </w:p>
          <w:p w14:paraId="52CDFF22">
            <w:pPr>
              <w:spacing w:line="250" w:lineRule="auto"/>
              <w:rPr>
                <w:rFonts w:ascii="Arial"/>
                <w:color w:val="auto"/>
                <w:sz w:val="21"/>
                <w:highlight w:val="none"/>
              </w:rPr>
            </w:pPr>
          </w:p>
          <w:p w14:paraId="594230CF">
            <w:pPr>
              <w:spacing w:line="250" w:lineRule="auto"/>
              <w:rPr>
                <w:rFonts w:ascii="Arial"/>
                <w:color w:val="auto"/>
                <w:sz w:val="21"/>
                <w:highlight w:val="none"/>
              </w:rPr>
            </w:pPr>
          </w:p>
          <w:p w14:paraId="1584C608">
            <w:pPr>
              <w:spacing w:line="250" w:lineRule="auto"/>
              <w:rPr>
                <w:rFonts w:ascii="Arial"/>
                <w:color w:val="auto"/>
                <w:sz w:val="21"/>
                <w:highlight w:val="none"/>
              </w:rPr>
            </w:pPr>
          </w:p>
          <w:p w14:paraId="2E726279">
            <w:pPr>
              <w:spacing w:line="250" w:lineRule="auto"/>
              <w:rPr>
                <w:rFonts w:ascii="Arial"/>
                <w:color w:val="auto"/>
                <w:sz w:val="21"/>
                <w:highlight w:val="none"/>
              </w:rPr>
            </w:pPr>
          </w:p>
          <w:p w14:paraId="578934C3">
            <w:pPr>
              <w:spacing w:line="250" w:lineRule="auto"/>
              <w:rPr>
                <w:rFonts w:ascii="Arial"/>
                <w:color w:val="auto"/>
                <w:sz w:val="21"/>
                <w:highlight w:val="none"/>
              </w:rPr>
            </w:pPr>
          </w:p>
          <w:p w14:paraId="5B1B3CEF">
            <w:pPr>
              <w:spacing w:line="250" w:lineRule="auto"/>
              <w:rPr>
                <w:rFonts w:ascii="Arial"/>
                <w:color w:val="auto"/>
                <w:sz w:val="21"/>
                <w:highlight w:val="none"/>
              </w:rPr>
            </w:pPr>
          </w:p>
          <w:p w14:paraId="0B64BD80">
            <w:pPr>
              <w:spacing w:line="250" w:lineRule="auto"/>
              <w:rPr>
                <w:rFonts w:ascii="Arial"/>
                <w:color w:val="auto"/>
                <w:sz w:val="21"/>
                <w:highlight w:val="none"/>
              </w:rPr>
            </w:pPr>
          </w:p>
          <w:p w14:paraId="7BD043F5">
            <w:pPr>
              <w:spacing w:line="250" w:lineRule="auto"/>
              <w:rPr>
                <w:rFonts w:ascii="Arial"/>
                <w:color w:val="auto"/>
                <w:sz w:val="21"/>
                <w:highlight w:val="none"/>
              </w:rPr>
            </w:pPr>
          </w:p>
          <w:p w14:paraId="3004F4D5">
            <w:pPr>
              <w:spacing w:line="250" w:lineRule="auto"/>
              <w:rPr>
                <w:rFonts w:ascii="Arial"/>
                <w:color w:val="auto"/>
                <w:sz w:val="21"/>
                <w:highlight w:val="none"/>
              </w:rPr>
            </w:pPr>
          </w:p>
          <w:p w14:paraId="5D292618">
            <w:pPr>
              <w:spacing w:line="250" w:lineRule="auto"/>
              <w:rPr>
                <w:rFonts w:ascii="Arial"/>
                <w:color w:val="auto"/>
                <w:sz w:val="21"/>
                <w:highlight w:val="none"/>
              </w:rPr>
            </w:pPr>
          </w:p>
          <w:p w14:paraId="58A6DC9D">
            <w:pPr>
              <w:spacing w:line="250" w:lineRule="auto"/>
              <w:rPr>
                <w:rFonts w:ascii="Arial"/>
                <w:color w:val="auto"/>
                <w:sz w:val="21"/>
                <w:highlight w:val="none"/>
              </w:rPr>
            </w:pPr>
          </w:p>
          <w:p w14:paraId="4A3BA6BE">
            <w:pPr>
              <w:spacing w:line="250" w:lineRule="auto"/>
              <w:rPr>
                <w:rFonts w:ascii="Arial"/>
                <w:color w:val="auto"/>
                <w:sz w:val="21"/>
                <w:highlight w:val="none"/>
              </w:rPr>
            </w:pPr>
          </w:p>
          <w:p w14:paraId="0BC8ED70">
            <w:pPr>
              <w:pStyle w:val="23"/>
              <w:spacing w:before="65" w:line="228" w:lineRule="auto"/>
              <w:ind w:left="162"/>
              <w:rPr>
                <w:color w:val="auto"/>
                <w:highlight w:val="none"/>
              </w:rPr>
            </w:pPr>
            <w:r>
              <w:rPr>
                <w:color w:val="auto"/>
                <w:spacing w:val="6"/>
                <w:highlight w:val="none"/>
              </w:rPr>
              <w:t>监理大</w:t>
            </w:r>
          </w:p>
          <w:p w14:paraId="6FA25EC7">
            <w:pPr>
              <w:pStyle w:val="23"/>
              <w:spacing w:before="131" w:line="231" w:lineRule="auto"/>
              <w:ind w:left="165"/>
              <w:rPr>
                <w:color w:val="auto"/>
                <w:highlight w:val="none"/>
              </w:rPr>
            </w:pPr>
            <w:r>
              <w:rPr>
                <w:color w:val="auto"/>
                <w:spacing w:val="5"/>
                <w:highlight w:val="none"/>
              </w:rPr>
              <w:t>纲（或</w:t>
            </w:r>
          </w:p>
          <w:p w14:paraId="7FA80903">
            <w:pPr>
              <w:pStyle w:val="23"/>
              <w:spacing w:before="131" w:line="229" w:lineRule="auto"/>
              <w:ind w:left="162"/>
              <w:rPr>
                <w:color w:val="auto"/>
                <w:highlight w:val="none"/>
              </w:rPr>
            </w:pPr>
            <w:r>
              <w:rPr>
                <w:color w:val="auto"/>
                <w:spacing w:val="6"/>
                <w:highlight w:val="none"/>
              </w:rPr>
              <w:t>监理方</w:t>
            </w:r>
          </w:p>
          <w:p w14:paraId="0CC46874">
            <w:pPr>
              <w:pStyle w:val="23"/>
              <w:spacing w:before="131" w:line="228" w:lineRule="auto"/>
              <w:ind w:left="163"/>
              <w:rPr>
                <w:color w:val="auto"/>
                <w:highlight w:val="none"/>
              </w:rPr>
            </w:pPr>
            <w:r>
              <w:rPr>
                <w:color w:val="auto"/>
                <w:spacing w:val="6"/>
                <w:highlight w:val="none"/>
              </w:rPr>
              <w:t>案）和</w:t>
            </w:r>
          </w:p>
          <w:p w14:paraId="32A47B64">
            <w:pPr>
              <w:pStyle w:val="23"/>
              <w:spacing w:before="132" w:line="228" w:lineRule="auto"/>
              <w:ind w:left="267"/>
              <w:rPr>
                <w:color w:val="auto"/>
                <w:highlight w:val="none"/>
              </w:rPr>
            </w:pPr>
            <w:r>
              <w:rPr>
                <w:color w:val="auto"/>
                <w:spacing w:val="4"/>
                <w:highlight w:val="none"/>
              </w:rPr>
              <w:t>措施</w:t>
            </w:r>
          </w:p>
        </w:tc>
        <w:tc>
          <w:tcPr>
            <w:tcW w:w="600" w:type="dxa"/>
            <w:gridSpan w:val="2"/>
            <w:vMerge w:val="restart"/>
            <w:vAlign w:val="top"/>
          </w:tcPr>
          <w:p w14:paraId="4AC4964B">
            <w:pPr>
              <w:rPr>
                <w:rFonts w:ascii="Arial"/>
                <w:color w:val="auto"/>
                <w:sz w:val="21"/>
                <w:highlight w:val="none"/>
              </w:rPr>
            </w:pPr>
          </w:p>
          <w:p w14:paraId="559B3B94">
            <w:pPr>
              <w:rPr>
                <w:rFonts w:ascii="Arial"/>
                <w:color w:val="auto"/>
                <w:sz w:val="21"/>
                <w:highlight w:val="none"/>
              </w:rPr>
            </w:pPr>
          </w:p>
          <w:p w14:paraId="79427A60">
            <w:pPr>
              <w:rPr>
                <w:rFonts w:ascii="Arial"/>
                <w:color w:val="auto"/>
                <w:sz w:val="21"/>
                <w:highlight w:val="none"/>
              </w:rPr>
            </w:pPr>
          </w:p>
          <w:p w14:paraId="3B52AA47">
            <w:pPr>
              <w:rPr>
                <w:rFonts w:ascii="Arial"/>
                <w:color w:val="auto"/>
                <w:sz w:val="21"/>
                <w:highlight w:val="none"/>
              </w:rPr>
            </w:pPr>
          </w:p>
          <w:p w14:paraId="5943CE4D">
            <w:pPr>
              <w:rPr>
                <w:rFonts w:ascii="Arial"/>
                <w:color w:val="auto"/>
                <w:sz w:val="21"/>
                <w:highlight w:val="none"/>
              </w:rPr>
            </w:pPr>
          </w:p>
          <w:p w14:paraId="24862676">
            <w:pPr>
              <w:rPr>
                <w:rFonts w:ascii="Arial"/>
                <w:color w:val="auto"/>
                <w:sz w:val="21"/>
                <w:highlight w:val="none"/>
              </w:rPr>
            </w:pPr>
          </w:p>
          <w:p w14:paraId="0573E48A">
            <w:pPr>
              <w:rPr>
                <w:rFonts w:ascii="Arial"/>
                <w:color w:val="auto"/>
                <w:sz w:val="21"/>
                <w:highlight w:val="none"/>
              </w:rPr>
            </w:pPr>
          </w:p>
          <w:p w14:paraId="2B4F2240">
            <w:pPr>
              <w:rPr>
                <w:rFonts w:ascii="Arial"/>
                <w:color w:val="auto"/>
                <w:sz w:val="21"/>
                <w:highlight w:val="none"/>
              </w:rPr>
            </w:pPr>
          </w:p>
          <w:p w14:paraId="7533F6F6">
            <w:pPr>
              <w:rPr>
                <w:rFonts w:ascii="Arial"/>
                <w:color w:val="auto"/>
                <w:sz w:val="21"/>
                <w:highlight w:val="none"/>
              </w:rPr>
            </w:pPr>
          </w:p>
          <w:p w14:paraId="0B9BCB0B">
            <w:pPr>
              <w:rPr>
                <w:rFonts w:ascii="Arial"/>
                <w:color w:val="auto"/>
                <w:sz w:val="21"/>
                <w:highlight w:val="none"/>
              </w:rPr>
            </w:pPr>
          </w:p>
          <w:p w14:paraId="5DAB6EA6">
            <w:pPr>
              <w:spacing w:line="241" w:lineRule="auto"/>
              <w:rPr>
                <w:rFonts w:ascii="Arial"/>
                <w:color w:val="auto"/>
                <w:sz w:val="21"/>
                <w:highlight w:val="none"/>
              </w:rPr>
            </w:pPr>
          </w:p>
          <w:p w14:paraId="2A6A236B">
            <w:pPr>
              <w:spacing w:line="241" w:lineRule="auto"/>
              <w:rPr>
                <w:rFonts w:ascii="Arial"/>
                <w:color w:val="auto"/>
                <w:sz w:val="21"/>
                <w:highlight w:val="none"/>
              </w:rPr>
            </w:pPr>
          </w:p>
          <w:p w14:paraId="33EF3024">
            <w:pPr>
              <w:spacing w:line="241" w:lineRule="auto"/>
              <w:rPr>
                <w:rFonts w:ascii="Arial"/>
                <w:color w:val="auto"/>
                <w:sz w:val="21"/>
                <w:highlight w:val="none"/>
              </w:rPr>
            </w:pPr>
          </w:p>
          <w:p w14:paraId="70D4AEFD">
            <w:pPr>
              <w:spacing w:line="241" w:lineRule="auto"/>
              <w:rPr>
                <w:rFonts w:ascii="Arial"/>
                <w:color w:val="auto"/>
                <w:sz w:val="21"/>
                <w:highlight w:val="none"/>
              </w:rPr>
            </w:pPr>
          </w:p>
          <w:p w14:paraId="41EC027C">
            <w:pPr>
              <w:spacing w:line="241" w:lineRule="auto"/>
              <w:rPr>
                <w:rFonts w:ascii="Arial"/>
                <w:color w:val="auto"/>
                <w:sz w:val="21"/>
                <w:highlight w:val="none"/>
              </w:rPr>
            </w:pPr>
          </w:p>
          <w:p w14:paraId="7957B1E5">
            <w:pPr>
              <w:spacing w:line="241" w:lineRule="auto"/>
              <w:rPr>
                <w:rFonts w:ascii="Arial"/>
                <w:color w:val="auto"/>
                <w:sz w:val="21"/>
                <w:highlight w:val="none"/>
              </w:rPr>
            </w:pPr>
          </w:p>
          <w:p w14:paraId="132FBBFF">
            <w:pPr>
              <w:spacing w:line="241" w:lineRule="auto"/>
              <w:rPr>
                <w:rFonts w:ascii="Arial"/>
                <w:color w:val="auto"/>
                <w:sz w:val="21"/>
                <w:highlight w:val="none"/>
              </w:rPr>
            </w:pPr>
          </w:p>
          <w:p w14:paraId="50BC5A6E">
            <w:pPr>
              <w:spacing w:line="241" w:lineRule="auto"/>
              <w:rPr>
                <w:rFonts w:ascii="Arial"/>
                <w:color w:val="auto"/>
                <w:sz w:val="21"/>
                <w:highlight w:val="none"/>
              </w:rPr>
            </w:pPr>
          </w:p>
          <w:p w14:paraId="4B9EC909">
            <w:pPr>
              <w:spacing w:line="241" w:lineRule="auto"/>
              <w:rPr>
                <w:rFonts w:ascii="Arial"/>
                <w:color w:val="auto"/>
                <w:sz w:val="21"/>
                <w:highlight w:val="none"/>
              </w:rPr>
            </w:pPr>
          </w:p>
          <w:p w14:paraId="3BD36118">
            <w:pPr>
              <w:spacing w:line="241" w:lineRule="auto"/>
              <w:rPr>
                <w:rFonts w:ascii="Arial"/>
                <w:color w:val="auto"/>
                <w:sz w:val="21"/>
                <w:highlight w:val="none"/>
              </w:rPr>
            </w:pPr>
          </w:p>
          <w:p w14:paraId="2AD2C8DE">
            <w:pPr>
              <w:pStyle w:val="23"/>
              <w:spacing w:before="65" w:line="354" w:lineRule="auto"/>
              <w:ind w:left="202" w:right="193" w:firstLine="12"/>
              <w:rPr>
                <w:color w:val="auto"/>
                <w:highlight w:val="none"/>
              </w:rPr>
            </w:pPr>
            <w:r>
              <w:rPr>
                <w:color w:val="auto"/>
                <w:spacing w:val="-7"/>
                <w:highlight w:val="none"/>
                <w:u w:val="single" w:color="auto"/>
              </w:rPr>
              <w:t>15</w:t>
            </w:r>
            <w:r>
              <w:rPr>
                <w:color w:val="auto"/>
                <w:spacing w:val="-2"/>
                <w:highlight w:val="none"/>
              </w:rPr>
              <w:t>分</w:t>
            </w:r>
          </w:p>
        </w:tc>
        <w:tc>
          <w:tcPr>
            <w:tcW w:w="1181" w:type="dxa"/>
            <w:vAlign w:val="top"/>
          </w:tcPr>
          <w:p w14:paraId="050FA668">
            <w:pPr>
              <w:spacing w:line="265" w:lineRule="auto"/>
              <w:rPr>
                <w:rFonts w:ascii="Arial"/>
                <w:color w:val="auto"/>
                <w:sz w:val="21"/>
                <w:highlight w:val="none"/>
              </w:rPr>
            </w:pPr>
          </w:p>
          <w:p w14:paraId="12950DFF">
            <w:pPr>
              <w:spacing w:line="265" w:lineRule="auto"/>
              <w:rPr>
                <w:rFonts w:ascii="Arial"/>
                <w:color w:val="auto"/>
                <w:sz w:val="21"/>
                <w:highlight w:val="none"/>
              </w:rPr>
            </w:pPr>
          </w:p>
          <w:p w14:paraId="337569F2">
            <w:pPr>
              <w:spacing w:line="265" w:lineRule="auto"/>
              <w:rPr>
                <w:rFonts w:ascii="Arial"/>
                <w:color w:val="auto"/>
                <w:sz w:val="21"/>
                <w:highlight w:val="none"/>
              </w:rPr>
            </w:pPr>
          </w:p>
          <w:p w14:paraId="78E99C9A">
            <w:pPr>
              <w:spacing w:line="266" w:lineRule="auto"/>
              <w:rPr>
                <w:rFonts w:ascii="Arial"/>
                <w:color w:val="auto"/>
                <w:sz w:val="21"/>
                <w:highlight w:val="none"/>
              </w:rPr>
            </w:pPr>
          </w:p>
          <w:p w14:paraId="59C5702B">
            <w:pPr>
              <w:pStyle w:val="23"/>
              <w:spacing w:before="65" w:line="228" w:lineRule="auto"/>
              <w:ind w:left="176"/>
              <w:rPr>
                <w:color w:val="auto"/>
                <w:highlight w:val="none"/>
              </w:rPr>
            </w:pPr>
            <w:r>
              <w:rPr>
                <w:color w:val="auto"/>
                <w:spacing w:val="7"/>
                <w:highlight w:val="none"/>
              </w:rPr>
              <w:t>质量和安</w:t>
            </w:r>
          </w:p>
          <w:p w14:paraId="7B0D01D4">
            <w:pPr>
              <w:pStyle w:val="23"/>
              <w:spacing w:before="52" w:line="236" w:lineRule="auto"/>
              <w:ind w:left="281"/>
              <w:rPr>
                <w:color w:val="auto"/>
                <w:highlight w:val="none"/>
              </w:rPr>
            </w:pPr>
            <w:r>
              <w:rPr>
                <w:color w:val="auto"/>
                <w:spacing w:val="6"/>
                <w:highlight w:val="none"/>
              </w:rPr>
              <w:t>全监理</w:t>
            </w:r>
          </w:p>
          <w:p w14:paraId="75E7F672">
            <w:pPr>
              <w:pStyle w:val="23"/>
              <w:spacing w:before="45" w:line="228" w:lineRule="auto"/>
              <w:ind w:left="212"/>
              <w:rPr>
                <w:color w:val="auto"/>
                <w:highlight w:val="none"/>
              </w:rPr>
            </w:pPr>
            <w:r>
              <w:rPr>
                <w:color w:val="auto"/>
                <w:spacing w:val="-2"/>
                <w:highlight w:val="none"/>
              </w:rPr>
              <w:t>（</w:t>
            </w:r>
            <w:r>
              <w:rPr>
                <w:color w:val="auto"/>
                <w:spacing w:val="-2"/>
                <w:highlight w:val="none"/>
                <w:u w:val="single" w:color="auto"/>
              </w:rPr>
              <w:t>5</w:t>
            </w:r>
            <w:r>
              <w:rPr>
                <w:color w:val="auto"/>
                <w:spacing w:val="-36"/>
                <w:highlight w:val="none"/>
                <w:u w:val="single" w:color="auto"/>
              </w:rPr>
              <w:t xml:space="preserve"> </w:t>
            </w:r>
            <w:r>
              <w:rPr>
                <w:color w:val="auto"/>
                <w:spacing w:val="-2"/>
                <w:highlight w:val="none"/>
              </w:rPr>
              <w:t>分）</w:t>
            </w:r>
          </w:p>
        </w:tc>
        <w:tc>
          <w:tcPr>
            <w:tcW w:w="3149" w:type="dxa"/>
            <w:vAlign w:val="top"/>
          </w:tcPr>
          <w:p w14:paraId="277FB96C">
            <w:pPr>
              <w:pStyle w:val="23"/>
              <w:spacing w:before="144" w:line="331" w:lineRule="auto"/>
              <w:ind w:left="114" w:right="107" w:firstLine="1"/>
              <w:rPr>
                <w:color w:val="auto"/>
                <w:highlight w:val="none"/>
              </w:rPr>
            </w:pPr>
            <w:r>
              <w:rPr>
                <w:color w:val="auto"/>
                <w:spacing w:val="21"/>
                <w:highlight w:val="none"/>
              </w:rPr>
              <w:t>质量和安全监理目标明确</w:t>
            </w:r>
            <w:r>
              <w:rPr>
                <w:color w:val="auto"/>
                <w:spacing w:val="-53"/>
                <w:highlight w:val="none"/>
              </w:rPr>
              <w:t xml:space="preserve"> </w:t>
            </w:r>
            <w:r>
              <w:rPr>
                <w:color w:val="auto"/>
                <w:spacing w:val="21"/>
                <w:highlight w:val="none"/>
              </w:rPr>
              <w:t>，且</w:t>
            </w:r>
            <w:r>
              <w:rPr>
                <w:color w:val="auto"/>
                <w:spacing w:val="24"/>
                <w:highlight w:val="none"/>
              </w:rPr>
              <w:t>完全响应广东省施工标准化和</w:t>
            </w:r>
            <w:r>
              <w:rPr>
                <w:color w:val="auto"/>
                <w:spacing w:val="15"/>
                <w:highlight w:val="none"/>
              </w:rPr>
              <w:t>安全标准化指南的得</w:t>
            </w:r>
            <w:r>
              <w:rPr>
                <w:color w:val="auto"/>
                <w:spacing w:val="-15"/>
                <w:highlight w:val="none"/>
              </w:rPr>
              <w:t xml:space="preserve"> </w:t>
            </w:r>
            <w:r>
              <w:rPr>
                <w:color w:val="auto"/>
                <w:spacing w:val="15"/>
                <w:highlight w:val="none"/>
                <w:u w:val="single" w:color="auto"/>
              </w:rPr>
              <w:t>3.0</w:t>
            </w:r>
            <w:r>
              <w:rPr>
                <w:color w:val="auto"/>
                <w:spacing w:val="-18"/>
                <w:highlight w:val="none"/>
                <w:u w:val="single" w:color="auto"/>
              </w:rPr>
              <w:t xml:space="preserve"> </w:t>
            </w:r>
            <w:r>
              <w:rPr>
                <w:color w:val="auto"/>
                <w:spacing w:val="15"/>
                <w:highlight w:val="none"/>
              </w:rPr>
              <w:t>分</w:t>
            </w:r>
            <w:r>
              <w:rPr>
                <w:color w:val="auto"/>
                <w:spacing w:val="-55"/>
                <w:highlight w:val="none"/>
              </w:rPr>
              <w:t xml:space="preserve"> </w:t>
            </w:r>
            <w:r>
              <w:rPr>
                <w:color w:val="auto"/>
                <w:spacing w:val="15"/>
                <w:highlight w:val="none"/>
              </w:rPr>
              <w:t>；</w:t>
            </w:r>
            <w:r>
              <w:rPr>
                <w:color w:val="auto"/>
                <w:spacing w:val="21"/>
                <w:highlight w:val="none"/>
              </w:rPr>
              <w:t>监理措施具体且有效</w:t>
            </w:r>
            <w:r>
              <w:rPr>
                <w:color w:val="auto"/>
                <w:spacing w:val="-51"/>
                <w:highlight w:val="none"/>
              </w:rPr>
              <w:t xml:space="preserve"> </w:t>
            </w:r>
            <w:r>
              <w:rPr>
                <w:color w:val="auto"/>
                <w:spacing w:val="21"/>
                <w:highlight w:val="none"/>
              </w:rPr>
              <w:t>，对质量</w:t>
            </w:r>
            <w:r>
              <w:rPr>
                <w:color w:val="auto"/>
                <w:spacing w:val="24"/>
                <w:highlight w:val="none"/>
              </w:rPr>
              <w:t>和安全问题所采取的对策及预</w:t>
            </w:r>
            <w:r>
              <w:rPr>
                <w:color w:val="auto"/>
                <w:spacing w:val="18"/>
                <w:highlight w:val="none"/>
              </w:rPr>
              <w:t>控方法合理可行的</w:t>
            </w:r>
            <w:r>
              <w:rPr>
                <w:color w:val="auto"/>
                <w:spacing w:val="-54"/>
                <w:highlight w:val="none"/>
              </w:rPr>
              <w:t xml:space="preserve"> </w:t>
            </w:r>
            <w:r>
              <w:rPr>
                <w:color w:val="auto"/>
                <w:spacing w:val="18"/>
                <w:highlight w:val="none"/>
              </w:rPr>
              <w:t>，</w:t>
            </w:r>
            <w:r>
              <w:rPr>
                <w:color w:val="auto"/>
                <w:spacing w:val="-58"/>
                <w:highlight w:val="none"/>
              </w:rPr>
              <w:t xml:space="preserve"> </w:t>
            </w:r>
            <w:r>
              <w:rPr>
                <w:color w:val="auto"/>
                <w:spacing w:val="18"/>
                <w:highlight w:val="none"/>
              </w:rPr>
              <w:t>响应广东</w:t>
            </w:r>
            <w:r>
              <w:rPr>
                <w:color w:val="auto"/>
                <w:spacing w:val="24"/>
                <w:highlight w:val="none"/>
              </w:rPr>
              <w:t>省施工标准化和安全标准化指</w:t>
            </w:r>
            <w:r>
              <w:rPr>
                <w:color w:val="auto"/>
                <w:spacing w:val="5"/>
                <w:highlight w:val="none"/>
              </w:rPr>
              <w:t>南程度，酌情加</w:t>
            </w:r>
            <w:r>
              <w:rPr>
                <w:color w:val="auto"/>
                <w:spacing w:val="-34"/>
                <w:highlight w:val="none"/>
                <w:u w:val="single"/>
              </w:rPr>
              <w:t xml:space="preserve"> </w:t>
            </w:r>
            <w:r>
              <w:rPr>
                <w:color w:val="auto"/>
                <w:spacing w:val="5"/>
                <w:highlight w:val="none"/>
                <w:u w:val="single"/>
              </w:rPr>
              <w:t>0-</w:t>
            </w:r>
            <w:r>
              <w:rPr>
                <w:color w:val="auto"/>
                <w:spacing w:val="5"/>
                <w:highlight w:val="none"/>
                <w:u w:val="single" w:color="auto"/>
              </w:rPr>
              <w:t>2.0</w:t>
            </w:r>
            <w:r>
              <w:rPr>
                <w:color w:val="auto"/>
                <w:spacing w:val="-36"/>
                <w:highlight w:val="none"/>
                <w:u w:val="single" w:color="auto"/>
              </w:rPr>
              <w:t xml:space="preserve"> </w:t>
            </w:r>
            <w:r>
              <w:rPr>
                <w:color w:val="auto"/>
                <w:spacing w:val="5"/>
                <w:highlight w:val="none"/>
              </w:rPr>
              <w:t>分；</w:t>
            </w:r>
          </w:p>
        </w:tc>
      </w:tr>
      <w:tr w14:paraId="3190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927" w:type="dxa"/>
            <w:vMerge w:val="continue"/>
            <w:vAlign w:val="center"/>
          </w:tcPr>
          <w:p w14:paraId="1467400F">
            <w:pPr>
              <w:jc w:val="center"/>
              <w:rPr>
                <w:rFonts w:ascii="Arial"/>
                <w:color w:val="auto"/>
                <w:sz w:val="21"/>
                <w:highlight w:val="none"/>
              </w:rPr>
            </w:pPr>
          </w:p>
        </w:tc>
        <w:tc>
          <w:tcPr>
            <w:tcW w:w="1173" w:type="dxa"/>
            <w:gridSpan w:val="3"/>
            <w:vMerge w:val="continue"/>
            <w:vAlign w:val="center"/>
          </w:tcPr>
          <w:p w14:paraId="39291BFC">
            <w:pPr>
              <w:jc w:val="center"/>
              <w:rPr>
                <w:rFonts w:ascii="Arial"/>
                <w:color w:val="auto"/>
                <w:sz w:val="21"/>
                <w:highlight w:val="none"/>
              </w:rPr>
            </w:pPr>
          </w:p>
        </w:tc>
        <w:tc>
          <w:tcPr>
            <w:tcW w:w="919" w:type="dxa"/>
            <w:vMerge w:val="continue"/>
            <w:vAlign w:val="top"/>
          </w:tcPr>
          <w:p w14:paraId="111D0555">
            <w:pPr>
              <w:rPr>
                <w:rFonts w:ascii="Arial"/>
                <w:color w:val="auto"/>
                <w:sz w:val="21"/>
                <w:highlight w:val="none"/>
              </w:rPr>
            </w:pPr>
          </w:p>
        </w:tc>
        <w:tc>
          <w:tcPr>
            <w:tcW w:w="946" w:type="dxa"/>
            <w:vMerge w:val="continue"/>
            <w:vAlign w:val="top"/>
          </w:tcPr>
          <w:p w14:paraId="2DCED88B">
            <w:pPr>
              <w:rPr>
                <w:rFonts w:ascii="Arial"/>
                <w:color w:val="auto"/>
                <w:sz w:val="21"/>
                <w:highlight w:val="none"/>
              </w:rPr>
            </w:pPr>
          </w:p>
        </w:tc>
        <w:tc>
          <w:tcPr>
            <w:tcW w:w="600" w:type="dxa"/>
            <w:gridSpan w:val="2"/>
            <w:vMerge w:val="continue"/>
            <w:vAlign w:val="top"/>
          </w:tcPr>
          <w:p w14:paraId="18531080">
            <w:pPr>
              <w:rPr>
                <w:rFonts w:ascii="Arial"/>
                <w:color w:val="auto"/>
                <w:sz w:val="21"/>
                <w:highlight w:val="none"/>
              </w:rPr>
            </w:pPr>
          </w:p>
        </w:tc>
        <w:tc>
          <w:tcPr>
            <w:tcW w:w="1181" w:type="dxa"/>
            <w:vAlign w:val="top"/>
          </w:tcPr>
          <w:p w14:paraId="3C541553">
            <w:pPr>
              <w:spacing w:line="331" w:lineRule="auto"/>
              <w:rPr>
                <w:rFonts w:ascii="Arial"/>
                <w:color w:val="auto"/>
                <w:sz w:val="21"/>
                <w:highlight w:val="none"/>
              </w:rPr>
            </w:pPr>
          </w:p>
          <w:p w14:paraId="7BCFF56D">
            <w:pPr>
              <w:spacing w:line="332" w:lineRule="auto"/>
              <w:rPr>
                <w:rFonts w:ascii="Arial"/>
                <w:color w:val="auto"/>
                <w:sz w:val="21"/>
                <w:highlight w:val="none"/>
              </w:rPr>
            </w:pPr>
          </w:p>
          <w:p w14:paraId="4363309E">
            <w:pPr>
              <w:pStyle w:val="23"/>
              <w:spacing w:before="65" w:line="354" w:lineRule="auto"/>
              <w:ind w:left="212" w:right="170" w:hanging="38"/>
              <w:rPr>
                <w:color w:val="auto"/>
                <w:highlight w:val="none"/>
              </w:rPr>
            </w:pPr>
            <w:r>
              <w:rPr>
                <w:color w:val="auto"/>
                <w:spacing w:val="7"/>
                <w:highlight w:val="none"/>
              </w:rPr>
              <w:t>进度监理</w:t>
            </w:r>
            <w:r>
              <w:rPr>
                <w:color w:val="auto"/>
                <w:spacing w:val="-2"/>
                <w:highlight w:val="none"/>
              </w:rPr>
              <w:t>（</w:t>
            </w:r>
            <w:r>
              <w:rPr>
                <w:color w:val="auto"/>
                <w:spacing w:val="-2"/>
                <w:highlight w:val="none"/>
                <w:u w:val="single" w:color="auto"/>
              </w:rPr>
              <w:t>5</w:t>
            </w:r>
            <w:r>
              <w:rPr>
                <w:color w:val="auto"/>
                <w:spacing w:val="-36"/>
                <w:highlight w:val="none"/>
                <w:u w:val="single" w:color="auto"/>
              </w:rPr>
              <w:t xml:space="preserve"> </w:t>
            </w:r>
            <w:r>
              <w:rPr>
                <w:color w:val="auto"/>
                <w:spacing w:val="-2"/>
                <w:highlight w:val="none"/>
              </w:rPr>
              <w:t>分）</w:t>
            </w:r>
          </w:p>
        </w:tc>
        <w:tc>
          <w:tcPr>
            <w:tcW w:w="3149" w:type="dxa"/>
            <w:vAlign w:val="top"/>
          </w:tcPr>
          <w:p w14:paraId="3631428F">
            <w:pPr>
              <w:pStyle w:val="23"/>
              <w:spacing w:before="165" w:line="323" w:lineRule="auto"/>
              <w:ind w:left="113" w:right="107"/>
              <w:jc w:val="both"/>
              <w:rPr>
                <w:color w:val="auto"/>
                <w:highlight w:val="none"/>
              </w:rPr>
            </w:pPr>
            <w:r>
              <w:rPr>
                <w:color w:val="auto"/>
                <w:spacing w:val="24"/>
                <w:highlight w:val="none"/>
              </w:rPr>
              <w:t>进度监理目标明确并满足招标</w:t>
            </w:r>
            <w:r>
              <w:rPr>
                <w:color w:val="auto"/>
                <w:spacing w:val="15"/>
                <w:highlight w:val="none"/>
              </w:rPr>
              <w:t>文件的要求得</w:t>
            </w:r>
            <w:r>
              <w:rPr>
                <w:color w:val="auto"/>
                <w:spacing w:val="-17"/>
                <w:highlight w:val="none"/>
              </w:rPr>
              <w:t xml:space="preserve"> </w:t>
            </w:r>
            <w:r>
              <w:rPr>
                <w:color w:val="auto"/>
                <w:spacing w:val="15"/>
                <w:highlight w:val="none"/>
                <w:u w:val="single" w:color="auto"/>
              </w:rPr>
              <w:t>3.0</w:t>
            </w:r>
            <w:r>
              <w:rPr>
                <w:color w:val="auto"/>
                <w:spacing w:val="-19"/>
                <w:highlight w:val="none"/>
                <w:u w:val="single" w:color="auto"/>
              </w:rPr>
              <w:t xml:space="preserve"> </w:t>
            </w:r>
            <w:r>
              <w:rPr>
                <w:color w:val="auto"/>
                <w:spacing w:val="15"/>
                <w:highlight w:val="none"/>
              </w:rPr>
              <w:t>分</w:t>
            </w:r>
            <w:r>
              <w:rPr>
                <w:color w:val="auto"/>
                <w:spacing w:val="-55"/>
                <w:highlight w:val="none"/>
              </w:rPr>
              <w:t xml:space="preserve"> </w:t>
            </w:r>
            <w:r>
              <w:rPr>
                <w:color w:val="auto"/>
                <w:spacing w:val="15"/>
                <w:highlight w:val="none"/>
              </w:rPr>
              <w:t>；监理措</w:t>
            </w:r>
            <w:r>
              <w:rPr>
                <w:color w:val="auto"/>
                <w:spacing w:val="21"/>
                <w:highlight w:val="none"/>
              </w:rPr>
              <w:t>施具体且有效</w:t>
            </w:r>
            <w:r>
              <w:rPr>
                <w:color w:val="auto"/>
                <w:spacing w:val="-51"/>
                <w:highlight w:val="none"/>
              </w:rPr>
              <w:t xml:space="preserve"> </w:t>
            </w:r>
            <w:r>
              <w:rPr>
                <w:color w:val="auto"/>
                <w:spacing w:val="21"/>
                <w:highlight w:val="none"/>
              </w:rPr>
              <w:t>，对保证工期所</w:t>
            </w:r>
            <w:r>
              <w:rPr>
                <w:color w:val="auto"/>
                <w:spacing w:val="24"/>
                <w:highlight w:val="none"/>
              </w:rPr>
              <w:t>采取的对策及预控方法合理可</w:t>
            </w:r>
            <w:r>
              <w:rPr>
                <w:color w:val="auto"/>
                <w:spacing w:val="5"/>
                <w:highlight w:val="none"/>
              </w:rPr>
              <w:t>行的，酌情加</w:t>
            </w:r>
            <w:r>
              <w:rPr>
                <w:color w:val="auto"/>
                <w:spacing w:val="-38"/>
                <w:highlight w:val="none"/>
              </w:rPr>
              <w:t xml:space="preserve"> </w:t>
            </w:r>
            <w:r>
              <w:rPr>
                <w:color w:val="auto"/>
                <w:spacing w:val="5"/>
                <w:highlight w:val="none"/>
                <w:u w:val="single" w:color="auto"/>
              </w:rPr>
              <w:t>0-2.0</w:t>
            </w:r>
            <w:r>
              <w:rPr>
                <w:color w:val="auto"/>
                <w:spacing w:val="-38"/>
                <w:highlight w:val="none"/>
                <w:u w:val="single" w:color="auto"/>
              </w:rPr>
              <w:t xml:space="preserve"> </w:t>
            </w:r>
            <w:r>
              <w:rPr>
                <w:color w:val="auto"/>
                <w:spacing w:val="5"/>
                <w:highlight w:val="none"/>
              </w:rPr>
              <w:t>分。</w:t>
            </w:r>
          </w:p>
        </w:tc>
      </w:tr>
      <w:tr w14:paraId="2051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927" w:type="dxa"/>
            <w:vMerge w:val="continue"/>
            <w:vAlign w:val="center"/>
          </w:tcPr>
          <w:p w14:paraId="51856E57">
            <w:pPr>
              <w:jc w:val="center"/>
              <w:rPr>
                <w:rFonts w:ascii="Arial"/>
                <w:color w:val="auto"/>
                <w:sz w:val="21"/>
                <w:highlight w:val="none"/>
              </w:rPr>
            </w:pPr>
          </w:p>
        </w:tc>
        <w:tc>
          <w:tcPr>
            <w:tcW w:w="1173" w:type="dxa"/>
            <w:gridSpan w:val="3"/>
            <w:vMerge w:val="continue"/>
            <w:vAlign w:val="center"/>
          </w:tcPr>
          <w:p w14:paraId="0CA7239F">
            <w:pPr>
              <w:jc w:val="center"/>
              <w:rPr>
                <w:rFonts w:ascii="Arial"/>
                <w:color w:val="auto"/>
                <w:sz w:val="21"/>
                <w:highlight w:val="none"/>
              </w:rPr>
            </w:pPr>
          </w:p>
        </w:tc>
        <w:tc>
          <w:tcPr>
            <w:tcW w:w="919" w:type="dxa"/>
            <w:vMerge w:val="continue"/>
            <w:vAlign w:val="top"/>
          </w:tcPr>
          <w:p w14:paraId="08342C39">
            <w:pPr>
              <w:rPr>
                <w:rFonts w:ascii="Arial"/>
                <w:color w:val="auto"/>
                <w:sz w:val="21"/>
                <w:highlight w:val="none"/>
              </w:rPr>
            </w:pPr>
          </w:p>
        </w:tc>
        <w:tc>
          <w:tcPr>
            <w:tcW w:w="946" w:type="dxa"/>
            <w:vMerge w:val="continue"/>
            <w:vAlign w:val="top"/>
          </w:tcPr>
          <w:p w14:paraId="680C377E">
            <w:pPr>
              <w:rPr>
                <w:rFonts w:ascii="Arial"/>
                <w:color w:val="auto"/>
                <w:sz w:val="21"/>
                <w:highlight w:val="none"/>
              </w:rPr>
            </w:pPr>
          </w:p>
        </w:tc>
        <w:tc>
          <w:tcPr>
            <w:tcW w:w="600" w:type="dxa"/>
            <w:gridSpan w:val="2"/>
            <w:vMerge w:val="continue"/>
            <w:vAlign w:val="top"/>
          </w:tcPr>
          <w:p w14:paraId="6AC216D3">
            <w:pPr>
              <w:rPr>
                <w:rFonts w:ascii="Arial"/>
                <w:color w:val="auto"/>
                <w:sz w:val="21"/>
                <w:highlight w:val="none"/>
              </w:rPr>
            </w:pPr>
          </w:p>
        </w:tc>
        <w:tc>
          <w:tcPr>
            <w:tcW w:w="1181" w:type="dxa"/>
            <w:vAlign w:val="top"/>
          </w:tcPr>
          <w:p w14:paraId="7858921E">
            <w:pPr>
              <w:spacing w:line="255" w:lineRule="auto"/>
              <w:rPr>
                <w:rFonts w:ascii="Arial"/>
                <w:color w:val="auto"/>
                <w:sz w:val="21"/>
                <w:highlight w:val="none"/>
              </w:rPr>
            </w:pPr>
          </w:p>
          <w:p w14:paraId="60720612">
            <w:pPr>
              <w:spacing w:line="256" w:lineRule="auto"/>
              <w:rPr>
                <w:rFonts w:ascii="Arial"/>
                <w:color w:val="auto"/>
                <w:sz w:val="21"/>
                <w:highlight w:val="none"/>
              </w:rPr>
            </w:pPr>
          </w:p>
          <w:p w14:paraId="55E4A47D">
            <w:pPr>
              <w:spacing w:line="256" w:lineRule="auto"/>
              <w:rPr>
                <w:rFonts w:ascii="Arial"/>
                <w:color w:val="auto"/>
                <w:sz w:val="21"/>
                <w:highlight w:val="none"/>
              </w:rPr>
            </w:pPr>
          </w:p>
          <w:p w14:paraId="20CF1DA8">
            <w:pPr>
              <w:spacing w:line="256" w:lineRule="auto"/>
              <w:rPr>
                <w:rFonts w:ascii="Arial"/>
                <w:color w:val="auto"/>
                <w:sz w:val="21"/>
                <w:highlight w:val="none"/>
              </w:rPr>
            </w:pPr>
          </w:p>
          <w:p w14:paraId="49362EC8">
            <w:pPr>
              <w:pStyle w:val="23"/>
              <w:spacing w:before="65" w:line="228" w:lineRule="auto"/>
              <w:ind w:left="187"/>
              <w:rPr>
                <w:color w:val="auto"/>
                <w:highlight w:val="none"/>
              </w:rPr>
            </w:pPr>
            <w:r>
              <w:rPr>
                <w:color w:val="auto"/>
                <w:spacing w:val="4"/>
                <w:highlight w:val="none"/>
              </w:rPr>
              <w:t>费用和合</w:t>
            </w:r>
          </w:p>
          <w:p w14:paraId="5DA4571E">
            <w:pPr>
              <w:pStyle w:val="23"/>
              <w:spacing w:before="131" w:line="230" w:lineRule="auto"/>
              <w:ind w:left="301"/>
              <w:rPr>
                <w:color w:val="auto"/>
                <w:highlight w:val="none"/>
              </w:rPr>
            </w:pPr>
            <w:r>
              <w:rPr>
                <w:color w:val="auto"/>
                <w:highlight w:val="none"/>
              </w:rPr>
              <w:t>同监理</w:t>
            </w:r>
          </w:p>
          <w:p w14:paraId="10A2409F">
            <w:pPr>
              <w:pStyle w:val="23"/>
              <w:spacing w:before="130" w:line="228" w:lineRule="auto"/>
              <w:ind w:left="212"/>
              <w:rPr>
                <w:color w:val="auto"/>
                <w:highlight w:val="none"/>
              </w:rPr>
            </w:pPr>
            <w:r>
              <w:rPr>
                <w:color w:val="auto"/>
                <w:spacing w:val="-2"/>
                <w:highlight w:val="none"/>
              </w:rPr>
              <w:t>（</w:t>
            </w:r>
            <w:r>
              <w:rPr>
                <w:color w:val="auto"/>
                <w:spacing w:val="-2"/>
                <w:highlight w:val="none"/>
                <w:u w:val="single" w:color="auto"/>
              </w:rPr>
              <w:t>3</w:t>
            </w:r>
            <w:r>
              <w:rPr>
                <w:color w:val="auto"/>
                <w:spacing w:val="-36"/>
                <w:highlight w:val="none"/>
                <w:u w:val="single" w:color="auto"/>
              </w:rPr>
              <w:t xml:space="preserve"> </w:t>
            </w:r>
            <w:r>
              <w:rPr>
                <w:color w:val="auto"/>
                <w:spacing w:val="-2"/>
                <w:highlight w:val="none"/>
              </w:rPr>
              <w:t>分）</w:t>
            </w:r>
          </w:p>
        </w:tc>
        <w:tc>
          <w:tcPr>
            <w:tcW w:w="3149" w:type="dxa"/>
            <w:vAlign w:val="top"/>
          </w:tcPr>
          <w:p w14:paraId="60A0D672">
            <w:pPr>
              <w:pStyle w:val="23"/>
              <w:spacing w:before="148" w:line="333" w:lineRule="auto"/>
              <w:ind w:left="114" w:right="107" w:firstLine="1"/>
              <w:jc w:val="both"/>
              <w:rPr>
                <w:color w:val="auto"/>
                <w:highlight w:val="none"/>
              </w:rPr>
            </w:pPr>
            <w:r>
              <w:rPr>
                <w:color w:val="auto"/>
                <w:spacing w:val="24"/>
                <w:highlight w:val="none"/>
              </w:rPr>
              <w:t>有工程计量与支付监理方面的具体管理方法和措施具体且有</w:t>
            </w:r>
            <w:r>
              <w:rPr>
                <w:color w:val="auto"/>
                <w:spacing w:val="18"/>
                <w:highlight w:val="none"/>
              </w:rPr>
              <w:t>效</w:t>
            </w:r>
            <w:r>
              <w:rPr>
                <w:color w:val="auto"/>
                <w:spacing w:val="-54"/>
                <w:highlight w:val="none"/>
              </w:rPr>
              <w:t xml:space="preserve"> </w:t>
            </w:r>
            <w:r>
              <w:rPr>
                <w:color w:val="auto"/>
                <w:spacing w:val="18"/>
                <w:highlight w:val="none"/>
              </w:rPr>
              <w:t>，有明确的变更管理</w:t>
            </w:r>
            <w:r>
              <w:rPr>
                <w:color w:val="auto"/>
                <w:spacing w:val="-58"/>
                <w:highlight w:val="none"/>
              </w:rPr>
              <w:t xml:space="preserve"> </w:t>
            </w:r>
            <w:r>
              <w:rPr>
                <w:color w:val="auto"/>
                <w:spacing w:val="18"/>
                <w:highlight w:val="none"/>
              </w:rPr>
              <w:t>、预防</w:t>
            </w:r>
            <w:r>
              <w:rPr>
                <w:color w:val="auto"/>
                <w:spacing w:val="21"/>
                <w:highlight w:val="none"/>
              </w:rPr>
              <w:t>索赔</w:t>
            </w:r>
            <w:r>
              <w:rPr>
                <w:color w:val="auto"/>
                <w:spacing w:val="-51"/>
                <w:highlight w:val="none"/>
              </w:rPr>
              <w:t xml:space="preserve"> </w:t>
            </w:r>
            <w:r>
              <w:rPr>
                <w:color w:val="auto"/>
                <w:spacing w:val="21"/>
                <w:highlight w:val="none"/>
              </w:rPr>
              <w:t>、减少合同纠纷的管理和</w:t>
            </w:r>
            <w:r>
              <w:rPr>
                <w:color w:val="auto"/>
                <w:spacing w:val="13"/>
                <w:highlight w:val="none"/>
              </w:rPr>
              <w:t xml:space="preserve">控制措施得 </w:t>
            </w:r>
            <w:r>
              <w:rPr>
                <w:color w:val="auto"/>
                <w:spacing w:val="13"/>
                <w:highlight w:val="none"/>
                <w:u w:val="single" w:color="auto"/>
              </w:rPr>
              <w:t>1.8</w:t>
            </w:r>
            <w:r>
              <w:rPr>
                <w:color w:val="auto"/>
                <w:spacing w:val="-18"/>
                <w:highlight w:val="none"/>
                <w:u w:val="single" w:color="auto"/>
              </w:rPr>
              <w:t xml:space="preserve"> </w:t>
            </w:r>
            <w:r>
              <w:rPr>
                <w:color w:val="auto"/>
                <w:spacing w:val="13"/>
                <w:highlight w:val="none"/>
              </w:rPr>
              <w:t>分</w:t>
            </w:r>
            <w:r>
              <w:rPr>
                <w:color w:val="auto"/>
                <w:spacing w:val="-55"/>
                <w:highlight w:val="none"/>
              </w:rPr>
              <w:t xml:space="preserve"> </w:t>
            </w:r>
            <w:r>
              <w:rPr>
                <w:color w:val="auto"/>
                <w:spacing w:val="13"/>
                <w:highlight w:val="none"/>
              </w:rPr>
              <w:t>；有合理可</w:t>
            </w:r>
            <w:r>
              <w:rPr>
                <w:color w:val="auto"/>
                <w:spacing w:val="24"/>
                <w:highlight w:val="none"/>
              </w:rPr>
              <w:t>行的控制超计量支付及提前计</w:t>
            </w:r>
            <w:r>
              <w:rPr>
                <w:color w:val="auto"/>
                <w:spacing w:val="21"/>
                <w:highlight w:val="none"/>
              </w:rPr>
              <w:t>量支付的预控方法的</w:t>
            </w:r>
            <w:r>
              <w:rPr>
                <w:color w:val="auto"/>
                <w:spacing w:val="-51"/>
                <w:highlight w:val="none"/>
              </w:rPr>
              <w:t xml:space="preserve"> </w:t>
            </w:r>
            <w:r>
              <w:rPr>
                <w:color w:val="auto"/>
                <w:spacing w:val="21"/>
                <w:highlight w:val="none"/>
              </w:rPr>
              <w:t>，酌情加</w:t>
            </w:r>
            <w:r>
              <w:rPr>
                <w:color w:val="auto"/>
                <w:spacing w:val="-1"/>
                <w:highlight w:val="none"/>
                <w:u w:val="single"/>
              </w:rPr>
              <w:t>0-</w:t>
            </w:r>
            <w:r>
              <w:rPr>
                <w:color w:val="auto"/>
                <w:spacing w:val="27"/>
                <w:highlight w:val="none"/>
                <w:u w:val="single"/>
              </w:rPr>
              <w:t xml:space="preserve"> </w:t>
            </w:r>
            <w:r>
              <w:rPr>
                <w:color w:val="auto"/>
                <w:spacing w:val="-1"/>
                <w:highlight w:val="none"/>
                <w:u w:val="single"/>
              </w:rPr>
              <w:t>1.2</w:t>
            </w:r>
            <w:r>
              <w:rPr>
                <w:color w:val="auto"/>
                <w:spacing w:val="-38"/>
                <w:highlight w:val="none"/>
                <w:u w:val="single"/>
              </w:rPr>
              <w:t xml:space="preserve"> </w:t>
            </w:r>
            <w:r>
              <w:rPr>
                <w:color w:val="auto"/>
                <w:spacing w:val="-1"/>
                <w:highlight w:val="none"/>
              </w:rPr>
              <w:t>分。</w:t>
            </w:r>
          </w:p>
        </w:tc>
      </w:tr>
      <w:tr w14:paraId="2BCD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27" w:type="dxa"/>
            <w:vMerge w:val="continue"/>
            <w:vAlign w:val="center"/>
          </w:tcPr>
          <w:p w14:paraId="7085CFCF">
            <w:pPr>
              <w:jc w:val="center"/>
              <w:rPr>
                <w:rFonts w:ascii="Arial"/>
                <w:color w:val="auto"/>
                <w:sz w:val="21"/>
                <w:highlight w:val="none"/>
              </w:rPr>
            </w:pPr>
          </w:p>
        </w:tc>
        <w:tc>
          <w:tcPr>
            <w:tcW w:w="1173" w:type="dxa"/>
            <w:gridSpan w:val="3"/>
            <w:vMerge w:val="continue"/>
            <w:vAlign w:val="center"/>
          </w:tcPr>
          <w:p w14:paraId="3F5D279A">
            <w:pPr>
              <w:jc w:val="center"/>
              <w:rPr>
                <w:rFonts w:ascii="Arial"/>
                <w:color w:val="auto"/>
                <w:sz w:val="21"/>
                <w:highlight w:val="none"/>
              </w:rPr>
            </w:pPr>
          </w:p>
        </w:tc>
        <w:tc>
          <w:tcPr>
            <w:tcW w:w="919" w:type="dxa"/>
            <w:vMerge w:val="continue"/>
            <w:vAlign w:val="top"/>
          </w:tcPr>
          <w:p w14:paraId="5140DAFB">
            <w:pPr>
              <w:rPr>
                <w:rFonts w:ascii="Arial"/>
                <w:color w:val="auto"/>
                <w:sz w:val="21"/>
                <w:highlight w:val="none"/>
              </w:rPr>
            </w:pPr>
          </w:p>
        </w:tc>
        <w:tc>
          <w:tcPr>
            <w:tcW w:w="946" w:type="dxa"/>
            <w:vMerge w:val="continue"/>
            <w:vAlign w:val="top"/>
          </w:tcPr>
          <w:p w14:paraId="47D80062">
            <w:pPr>
              <w:rPr>
                <w:rFonts w:ascii="Arial"/>
                <w:color w:val="auto"/>
                <w:sz w:val="21"/>
                <w:highlight w:val="none"/>
              </w:rPr>
            </w:pPr>
          </w:p>
        </w:tc>
        <w:tc>
          <w:tcPr>
            <w:tcW w:w="600" w:type="dxa"/>
            <w:gridSpan w:val="2"/>
            <w:vMerge w:val="continue"/>
            <w:vAlign w:val="top"/>
          </w:tcPr>
          <w:p w14:paraId="777CD51E">
            <w:pPr>
              <w:rPr>
                <w:rFonts w:ascii="Arial"/>
                <w:color w:val="auto"/>
                <w:sz w:val="21"/>
                <w:highlight w:val="none"/>
              </w:rPr>
            </w:pPr>
          </w:p>
        </w:tc>
        <w:tc>
          <w:tcPr>
            <w:tcW w:w="1181" w:type="dxa"/>
            <w:vAlign w:val="top"/>
          </w:tcPr>
          <w:p w14:paraId="28954408">
            <w:pPr>
              <w:spacing w:line="323" w:lineRule="auto"/>
              <w:rPr>
                <w:rFonts w:ascii="Arial"/>
                <w:color w:val="auto"/>
                <w:sz w:val="21"/>
                <w:highlight w:val="none"/>
              </w:rPr>
            </w:pPr>
          </w:p>
          <w:p w14:paraId="44693A40">
            <w:pPr>
              <w:spacing w:line="323" w:lineRule="auto"/>
              <w:rPr>
                <w:rFonts w:ascii="Arial"/>
                <w:color w:val="auto"/>
                <w:sz w:val="21"/>
                <w:highlight w:val="none"/>
              </w:rPr>
            </w:pPr>
          </w:p>
          <w:p w14:paraId="3EBE863E">
            <w:pPr>
              <w:pStyle w:val="23"/>
              <w:spacing w:before="65" w:line="352" w:lineRule="auto"/>
              <w:ind w:left="175" w:right="170" w:hanging="1"/>
              <w:jc w:val="both"/>
              <w:rPr>
                <w:color w:val="auto"/>
                <w:highlight w:val="none"/>
              </w:rPr>
            </w:pPr>
            <w:r>
              <w:rPr>
                <w:color w:val="auto"/>
                <w:spacing w:val="7"/>
                <w:highlight w:val="none"/>
              </w:rPr>
              <w:t>施工环境保护管理</w:t>
            </w:r>
            <w:r>
              <w:rPr>
                <w:color w:val="auto"/>
                <w:spacing w:val="12"/>
                <w:highlight w:val="none"/>
              </w:rPr>
              <w:t>（</w:t>
            </w:r>
            <w:r>
              <w:rPr>
                <w:color w:val="auto"/>
                <w:spacing w:val="-56"/>
                <w:highlight w:val="none"/>
              </w:rPr>
              <w:t xml:space="preserve"> </w:t>
            </w:r>
            <w:r>
              <w:rPr>
                <w:color w:val="auto"/>
                <w:spacing w:val="12"/>
                <w:highlight w:val="none"/>
                <w:u w:val="single" w:color="auto"/>
              </w:rPr>
              <w:t>2</w:t>
            </w:r>
            <w:r>
              <w:rPr>
                <w:color w:val="auto"/>
                <w:spacing w:val="12"/>
                <w:highlight w:val="none"/>
              </w:rPr>
              <w:t>分）</w:t>
            </w:r>
          </w:p>
        </w:tc>
        <w:tc>
          <w:tcPr>
            <w:tcW w:w="3149" w:type="dxa"/>
            <w:vAlign w:val="top"/>
          </w:tcPr>
          <w:p w14:paraId="036DD088">
            <w:pPr>
              <w:pStyle w:val="23"/>
              <w:spacing w:before="145" w:line="328" w:lineRule="auto"/>
              <w:ind w:left="115" w:right="107"/>
              <w:jc w:val="both"/>
              <w:rPr>
                <w:color w:val="auto"/>
                <w:spacing w:val="21"/>
                <w:highlight w:val="none"/>
              </w:rPr>
            </w:pPr>
            <w:r>
              <w:rPr>
                <w:color w:val="auto"/>
                <w:spacing w:val="21"/>
                <w:highlight w:val="none"/>
              </w:rPr>
              <w:t>有环保监理措施</w:t>
            </w:r>
            <w:r>
              <w:rPr>
                <w:color w:val="auto"/>
                <w:spacing w:val="-53"/>
                <w:highlight w:val="none"/>
              </w:rPr>
              <w:t xml:space="preserve"> </w:t>
            </w:r>
            <w:r>
              <w:rPr>
                <w:color w:val="auto"/>
                <w:spacing w:val="21"/>
                <w:highlight w:val="none"/>
              </w:rPr>
              <w:t>，且完全响应</w:t>
            </w:r>
            <w:r>
              <w:rPr>
                <w:color w:val="auto"/>
                <w:spacing w:val="24"/>
                <w:highlight w:val="none"/>
              </w:rPr>
              <w:t>广东省施工标准化和安全标准</w:t>
            </w:r>
            <w:r>
              <w:rPr>
                <w:color w:val="auto"/>
                <w:spacing w:val="13"/>
                <w:highlight w:val="none"/>
              </w:rPr>
              <w:t xml:space="preserve">化指南的得 </w:t>
            </w:r>
            <w:r>
              <w:rPr>
                <w:color w:val="auto"/>
                <w:spacing w:val="13"/>
                <w:highlight w:val="none"/>
                <w:u w:val="single" w:color="auto"/>
              </w:rPr>
              <w:t>1.2</w:t>
            </w:r>
            <w:r>
              <w:rPr>
                <w:color w:val="auto"/>
                <w:spacing w:val="-19"/>
                <w:highlight w:val="none"/>
                <w:u w:val="single" w:color="auto"/>
              </w:rPr>
              <w:t xml:space="preserve"> </w:t>
            </w:r>
            <w:r>
              <w:rPr>
                <w:color w:val="auto"/>
                <w:spacing w:val="13"/>
                <w:highlight w:val="none"/>
              </w:rPr>
              <w:t>分</w:t>
            </w:r>
            <w:r>
              <w:rPr>
                <w:color w:val="auto"/>
                <w:spacing w:val="-55"/>
                <w:highlight w:val="none"/>
              </w:rPr>
              <w:t xml:space="preserve"> </w:t>
            </w:r>
            <w:r>
              <w:rPr>
                <w:color w:val="auto"/>
                <w:spacing w:val="13"/>
                <w:highlight w:val="none"/>
              </w:rPr>
              <w:t>；环保监理</w:t>
            </w:r>
            <w:r>
              <w:rPr>
                <w:color w:val="auto"/>
                <w:spacing w:val="18"/>
                <w:highlight w:val="none"/>
              </w:rPr>
              <w:t>措施和方法具体且有效的</w:t>
            </w:r>
            <w:r>
              <w:rPr>
                <w:color w:val="auto"/>
                <w:spacing w:val="-57"/>
                <w:highlight w:val="none"/>
              </w:rPr>
              <w:t xml:space="preserve"> </w:t>
            </w:r>
            <w:r>
              <w:rPr>
                <w:color w:val="auto"/>
                <w:spacing w:val="18"/>
                <w:highlight w:val="none"/>
              </w:rPr>
              <w:t>，</w:t>
            </w:r>
            <w:r>
              <w:rPr>
                <w:color w:val="auto"/>
                <w:spacing w:val="-56"/>
                <w:highlight w:val="none"/>
              </w:rPr>
              <w:t xml:space="preserve"> </w:t>
            </w:r>
            <w:r>
              <w:rPr>
                <w:color w:val="auto"/>
                <w:spacing w:val="18"/>
                <w:highlight w:val="none"/>
              </w:rPr>
              <w:t>响</w:t>
            </w:r>
            <w:r>
              <w:rPr>
                <w:color w:val="auto"/>
                <w:spacing w:val="24"/>
                <w:highlight w:val="none"/>
              </w:rPr>
              <w:t>应广东省施工标准化和安全标</w:t>
            </w:r>
            <w:r>
              <w:rPr>
                <w:color w:val="auto"/>
                <w:spacing w:val="15"/>
                <w:highlight w:val="none"/>
              </w:rPr>
              <w:t>准化指南程度</w:t>
            </w:r>
            <w:r>
              <w:rPr>
                <w:color w:val="auto"/>
                <w:spacing w:val="-38"/>
                <w:highlight w:val="none"/>
              </w:rPr>
              <w:t xml:space="preserve"> </w:t>
            </w:r>
            <w:r>
              <w:rPr>
                <w:color w:val="auto"/>
                <w:spacing w:val="15"/>
                <w:highlight w:val="none"/>
              </w:rPr>
              <w:t>，</w:t>
            </w:r>
            <w:r>
              <w:rPr>
                <w:color w:val="auto"/>
                <w:spacing w:val="-56"/>
                <w:highlight w:val="none"/>
              </w:rPr>
              <w:t xml:space="preserve"> </w:t>
            </w:r>
            <w:r>
              <w:rPr>
                <w:color w:val="auto"/>
                <w:spacing w:val="15"/>
                <w:highlight w:val="none"/>
              </w:rPr>
              <w:t>酌情加</w:t>
            </w:r>
            <w:r>
              <w:rPr>
                <w:color w:val="auto"/>
                <w:spacing w:val="-11"/>
                <w:highlight w:val="none"/>
              </w:rPr>
              <w:t xml:space="preserve"> </w:t>
            </w:r>
            <w:r>
              <w:rPr>
                <w:color w:val="auto"/>
                <w:spacing w:val="15"/>
                <w:highlight w:val="none"/>
                <w:u w:val="single" w:color="auto"/>
              </w:rPr>
              <w:t>0-0.8</w:t>
            </w:r>
          </w:p>
          <w:p w14:paraId="0555D8AC">
            <w:pPr>
              <w:pStyle w:val="23"/>
              <w:spacing w:before="141" w:line="216" w:lineRule="auto"/>
              <w:ind w:left="118"/>
              <w:rPr>
                <w:color w:val="auto"/>
                <w:highlight w:val="none"/>
              </w:rPr>
            </w:pPr>
            <w:r>
              <w:rPr>
                <w:color w:val="auto"/>
                <w:spacing w:val="-1"/>
                <w:highlight w:val="none"/>
              </w:rPr>
              <w:t>分。</w:t>
            </w:r>
          </w:p>
        </w:tc>
      </w:tr>
      <w:tr w14:paraId="27BC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927" w:type="dxa"/>
            <w:vMerge w:val="continue"/>
            <w:vAlign w:val="center"/>
          </w:tcPr>
          <w:p w14:paraId="64B985B9">
            <w:pPr>
              <w:jc w:val="center"/>
              <w:rPr>
                <w:rFonts w:ascii="Arial"/>
                <w:color w:val="auto"/>
                <w:sz w:val="21"/>
                <w:highlight w:val="none"/>
              </w:rPr>
            </w:pPr>
          </w:p>
        </w:tc>
        <w:tc>
          <w:tcPr>
            <w:tcW w:w="1173" w:type="dxa"/>
            <w:gridSpan w:val="3"/>
            <w:vMerge w:val="continue"/>
            <w:vAlign w:val="center"/>
          </w:tcPr>
          <w:p w14:paraId="6DD4C2EF">
            <w:pPr>
              <w:jc w:val="center"/>
              <w:rPr>
                <w:rFonts w:ascii="Arial"/>
                <w:color w:val="auto"/>
                <w:sz w:val="21"/>
                <w:highlight w:val="none"/>
              </w:rPr>
            </w:pPr>
          </w:p>
        </w:tc>
        <w:tc>
          <w:tcPr>
            <w:tcW w:w="919" w:type="dxa"/>
            <w:vMerge w:val="continue"/>
            <w:vAlign w:val="top"/>
          </w:tcPr>
          <w:p w14:paraId="6C076B66">
            <w:pPr>
              <w:rPr>
                <w:rFonts w:ascii="Arial"/>
                <w:color w:val="auto"/>
                <w:sz w:val="21"/>
                <w:highlight w:val="none"/>
              </w:rPr>
            </w:pPr>
          </w:p>
        </w:tc>
        <w:tc>
          <w:tcPr>
            <w:tcW w:w="946" w:type="dxa"/>
            <w:vAlign w:val="top"/>
          </w:tcPr>
          <w:p w14:paraId="28DE24B5">
            <w:pPr>
              <w:pStyle w:val="23"/>
              <w:spacing w:before="139" w:line="227" w:lineRule="auto"/>
              <w:ind w:left="162"/>
              <w:rPr>
                <w:color w:val="auto"/>
                <w:highlight w:val="none"/>
              </w:rPr>
            </w:pPr>
            <w:r>
              <w:rPr>
                <w:color w:val="auto"/>
                <w:spacing w:val="6"/>
                <w:highlight w:val="none"/>
              </w:rPr>
              <w:t>本工程</w:t>
            </w:r>
          </w:p>
          <w:p w14:paraId="6127CA95">
            <w:pPr>
              <w:pStyle w:val="23"/>
              <w:spacing w:before="136" w:line="236" w:lineRule="auto"/>
              <w:ind w:left="162"/>
              <w:rPr>
                <w:color w:val="auto"/>
                <w:highlight w:val="none"/>
              </w:rPr>
            </w:pPr>
            <w:r>
              <w:rPr>
                <w:color w:val="auto"/>
                <w:spacing w:val="6"/>
                <w:highlight w:val="none"/>
              </w:rPr>
              <w:t>监理工</w:t>
            </w:r>
          </w:p>
          <w:p w14:paraId="5D805251">
            <w:pPr>
              <w:pStyle w:val="23"/>
              <w:spacing w:before="123" w:line="228" w:lineRule="auto"/>
              <w:ind w:left="162"/>
              <w:rPr>
                <w:color w:val="auto"/>
                <w:highlight w:val="none"/>
              </w:rPr>
            </w:pPr>
            <w:r>
              <w:rPr>
                <w:color w:val="auto"/>
                <w:spacing w:val="6"/>
                <w:highlight w:val="none"/>
              </w:rPr>
              <w:t>作的重</w:t>
            </w:r>
          </w:p>
          <w:p w14:paraId="1C9FA8FD">
            <w:pPr>
              <w:pStyle w:val="23"/>
              <w:spacing w:before="131" w:line="229" w:lineRule="auto"/>
              <w:ind w:left="172"/>
              <w:rPr>
                <w:color w:val="auto"/>
                <w:highlight w:val="none"/>
              </w:rPr>
            </w:pPr>
            <w:r>
              <w:rPr>
                <w:color w:val="auto"/>
                <w:spacing w:val="3"/>
                <w:highlight w:val="none"/>
              </w:rPr>
              <w:t>点与难</w:t>
            </w:r>
          </w:p>
          <w:p w14:paraId="15B094A2">
            <w:pPr>
              <w:pStyle w:val="23"/>
              <w:spacing w:before="133" w:line="215" w:lineRule="auto"/>
              <w:ind w:left="172"/>
              <w:rPr>
                <w:color w:val="auto"/>
                <w:highlight w:val="none"/>
              </w:rPr>
            </w:pPr>
            <w:r>
              <w:rPr>
                <w:color w:val="auto"/>
                <w:spacing w:val="3"/>
                <w:highlight w:val="none"/>
              </w:rPr>
              <w:t>点分析</w:t>
            </w:r>
          </w:p>
        </w:tc>
        <w:tc>
          <w:tcPr>
            <w:tcW w:w="600" w:type="dxa"/>
            <w:gridSpan w:val="2"/>
            <w:vAlign w:val="center"/>
          </w:tcPr>
          <w:p w14:paraId="664FCF8C">
            <w:pPr>
              <w:pStyle w:val="23"/>
              <w:spacing w:before="65" w:line="352" w:lineRule="auto"/>
              <w:ind w:left="202" w:right="193" w:firstLine="12"/>
              <w:jc w:val="center"/>
              <w:rPr>
                <w:color w:val="auto"/>
                <w:highlight w:val="none"/>
              </w:rPr>
            </w:pPr>
            <w:r>
              <w:rPr>
                <w:color w:val="auto"/>
                <w:spacing w:val="-7"/>
                <w:highlight w:val="none"/>
                <w:u w:val="single" w:color="auto"/>
              </w:rPr>
              <w:t>10</w:t>
            </w:r>
            <w:r>
              <w:rPr>
                <w:color w:val="auto"/>
                <w:spacing w:val="-2"/>
                <w:highlight w:val="none"/>
              </w:rPr>
              <w:t>分</w:t>
            </w:r>
          </w:p>
        </w:tc>
        <w:tc>
          <w:tcPr>
            <w:tcW w:w="4330" w:type="dxa"/>
            <w:gridSpan w:val="2"/>
            <w:vAlign w:val="top"/>
          </w:tcPr>
          <w:p w14:paraId="1F7A5D22">
            <w:pPr>
              <w:spacing w:line="243" w:lineRule="auto"/>
              <w:rPr>
                <w:rFonts w:ascii="Arial"/>
                <w:color w:val="auto"/>
                <w:sz w:val="21"/>
                <w:highlight w:val="none"/>
              </w:rPr>
            </w:pPr>
          </w:p>
          <w:p w14:paraId="06638CB2">
            <w:pPr>
              <w:spacing w:line="244" w:lineRule="auto"/>
              <w:rPr>
                <w:rFonts w:ascii="Arial"/>
                <w:color w:val="auto"/>
                <w:sz w:val="21"/>
                <w:highlight w:val="none"/>
              </w:rPr>
            </w:pPr>
          </w:p>
          <w:p w14:paraId="2342AD93">
            <w:pPr>
              <w:pStyle w:val="23"/>
              <w:spacing w:before="65" w:line="289" w:lineRule="auto"/>
              <w:ind w:left="114" w:right="107"/>
              <w:jc w:val="both"/>
              <w:rPr>
                <w:color w:val="auto"/>
                <w:highlight w:val="none"/>
              </w:rPr>
            </w:pPr>
            <w:r>
              <w:rPr>
                <w:color w:val="auto"/>
                <w:spacing w:val="13"/>
                <w:highlight w:val="none"/>
              </w:rPr>
              <w:t>有对工程重点、难点的分析得</w:t>
            </w:r>
            <w:r>
              <w:rPr>
                <w:color w:val="auto"/>
                <w:spacing w:val="-26"/>
                <w:highlight w:val="none"/>
              </w:rPr>
              <w:t xml:space="preserve"> </w:t>
            </w:r>
            <w:r>
              <w:rPr>
                <w:color w:val="auto"/>
                <w:spacing w:val="13"/>
                <w:highlight w:val="none"/>
                <w:u w:val="single" w:color="auto"/>
              </w:rPr>
              <w:t>6.0</w:t>
            </w:r>
            <w:r>
              <w:rPr>
                <w:color w:val="auto"/>
                <w:spacing w:val="-31"/>
                <w:highlight w:val="none"/>
                <w:u w:val="single" w:color="auto"/>
              </w:rPr>
              <w:t xml:space="preserve"> </w:t>
            </w:r>
            <w:r>
              <w:rPr>
                <w:color w:val="auto"/>
                <w:spacing w:val="13"/>
                <w:highlight w:val="none"/>
              </w:rPr>
              <w:t>分；分析</w:t>
            </w:r>
            <w:r>
              <w:rPr>
                <w:color w:val="auto"/>
                <w:spacing w:val="15"/>
                <w:highlight w:val="none"/>
              </w:rPr>
              <w:t>准确，且有合理可行的应对措施的，酌情加</w:t>
            </w:r>
            <w:r>
              <w:rPr>
                <w:color w:val="auto"/>
                <w:spacing w:val="2"/>
                <w:highlight w:val="none"/>
                <w:u w:val="single" w:color="auto"/>
              </w:rPr>
              <w:t>0-4.0</w:t>
            </w:r>
            <w:r>
              <w:rPr>
                <w:color w:val="auto"/>
                <w:spacing w:val="-38"/>
                <w:highlight w:val="none"/>
                <w:u w:val="single" w:color="auto"/>
              </w:rPr>
              <w:t xml:space="preserve"> </w:t>
            </w:r>
            <w:r>
              <w:rPr>
                <w:color w:val="auto"/>
                <w:spacing w:val="2"/>
                <w:highlight w:val="none"/>
              </w:rPr>
              <w:t>分。</w:t>
            </w:r>
          </w:p>
        </w:tc>
      </w:tr>
      <w:tr w14:paraId="4AE73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27" w:type="dxa"/>
            <w:vMerge w:val="continue"/>
            <w:vAlign w:val="center"/>
          </w:tcPr>
          <w:p w14:paraId="296D4FAB">
            <w:pPr>
              <w:jc w:val="center"/>
              <w:rPr>
                <w:rFonts w:ascii="Arial"/>
                <w:color w:val="auto"/>
                <w:sz w:val="21"/>
                <w:highlight w:val="none"/>
              </w:rPr>
            </w:pPr>
          </w:p>
        </w:tc>
        <w:tc>
          <w:tcPr>
            <w:tcW w:w="1173" w:type="dxa"/>
            <w:gridSpan w:val="3"/>
            <w:vMerge w:val="continue"/>
            <w:vAlign w:val="center"/>
          </w:tcPr>
          <w:p w14:paraId="2302C652">
            <w:pPr>
              <w:jc w:val="center"/>
              <w:rPr>
                <w:rFonts w:ascii="Arial"/>
                <w:color w:val="auto"/>
                <w:sz w:val="21"/>
                <w:highlight w:val="none"/>
              </w:rPr>
            </w:pPr>
          </w:p>
        </w:tc>
        <w:tc>
          <w:tcPr>
            <w:tcW w:w="919" w:type="dxa"/>
            <w:vMerge w:val="continue"/>
            <w:vAlign w:val="top"/>
          </w:tcPr>
          <w:p w14:paraId="54F9B4D4">
            <w:pPr>
              <w:rPr>
                <w:rFonts w:ascii="Arial"/>
                <w:color w:val="auto"/>
                <w:sz w:val="21"/>
                <w:highlight w:val="none"/>
              </w:rPr>
            </w:pPr>
          </w:p>
        </w:tc>
        <w:tc>
          <w:tcPr>
            <w:tcW w:w="946" w:type="dxa"/>
            <w:vAlign w:val="top"/>
          </w:tcPr>
          <w:p w14:paraId="3F69AF52">
            <w:pPr>
              <w:pStyle w:val="23"/>
              <w:spacing w:before="196" w:line="227" w:lineRule="auto"/>
              <w:ind w:left="160"/>
              <w:rPr>
                <w:color w:val="auto"/>
                <w:highlight w:val="none"/>
              </w:rPr>
            </w:pPr>
            <w:r>
              <w:rPr>
                <w:color w:val="auto"/>
                <w:spacing w:val="7"/>
                <w:highlight w:val="none"/>
              </w:rPr>
              <w:t>对本工</w:t>
            </w:r>
          </w:p>
          <w:p w14:paraId="4C10F913">
            <w:pPr>
              <w:pStyle w:val="23"/>
              <w:spacing w:before="132" w:line="308" w:lineRule="auto"/>
              <w:ind w:left="373" w:right="158" w:hanging="213"/>
              <w:rPr>
                <w:color w:val="auto"/>
                <w:highlight w:val="none"/>
              </w:rPr>
            </w:pPr>
            <w:r>
              <w:rPr>
                <w:color w:val="auto"/>
                <w:spacing w:val="7"/>
                <w:highlight w:val="none"/>
              </w:rPr>
              <w:t>程的建</w:t>
            </w:r>
            <w:r>
              <w:rPr>
                <w:color w:val="auto"/>
                <w:highlight w:val="none"/>
              </w:rPr>
              <w:t>议</w:t>
            </w:r>
          </w:p>
        </w:tc>
        <w:tc>
          <w:tcPr>
            <w:tcW w:w="600" w:type="dxa"/>
            <w:gridSpan w:val="2"/>
            <w:vAlign w:val="center"/>
          </w:tcPr>
          <w:p w14:paraId="4B250DA4">
            <w:pPr>
              <w:pStyle w:val="23"/>
              <w:spacing w:before="65" w:line="228" w:lineRule="auto"/>
              <w:ind w:left="134"/>
              <w:jc w:val="center"/>
              <w:rPr>
                <w:color w:val="auto"/>
                <w:highlight w:val="none"/>
              </w:rPr>
            </w:pPr>
            <w:r>
              <w:rPr>
                <w:color w:val="auto"/>
                <w:spacing w:val="-4"/>
                <w:highlight w:val="none"/>
                <w:u w:val="single" w:color="auto"/>
              </w:rPr>
              <w:t>5</w:t>
            </w:r>
            <w:r>
              <w:rPr>
                <w:color w:val="auto"/>
                <w:spacing w:val="-38"/>
                <w:highlight w:val="none"/>
                <w:u w:val="single" w:color="auto"/>
              </w:rPr>
              <w:t xml:space="preserve"> </w:t>
            </w:r>
            <w:r>
              <w:rPr>
                <w:color w:val="auto"/>
                <w:spacing w:val="-4"/>
                <w:highlight w:val="none"/>
              </w:rPr>
              <w:t>分</w:t>
            </w:r>
          </w:p>
        </w:tc>
        <w:tc>
          <w:tcPr>
            <w:tcW w:w="4330" w:type="dxa"/>
            <w:gridSpan w:val="2"/>
            <w:vAlign w:val="top"/>
          </w:tcPr>
          <w:p w14:paraId="007F080A">
            <w:pPr>
              <w:pStyle w:val="23"/>
              <w:spacing w:before="71" w:line="270" w:lineRule="auto"/>
              <w:ind w:left="114" w:right="108"/>
              <w:rPr>
                <w:color w:val="auto"/>
                <w:highlight w:val="none"/>
              </w:rPr>
            </w:pPr>
            <w:r>
              <w:rPr>
                <w:color w:val="auto"/>
                <w:spacing w:val="12"/>
                <w:highlight w:val="none"/>
              </w:rPr>
              <w:t>有对本工程的建议的</w:t>
            </w:r>
            <w:r>
              <w:rPr>
                <w:color w:val="auto"/>
                <w:spacing w:val="-10"/>
                <w:highlight w:val="none"/>
              </w:rPr>
              <w:t xml:space="preserve"> </w:t>
            </w:r>
            <w:r>
              <w:rPr>
                <w:color w:val="auto"/>
                <w:spacing w:val="12"/>
                <w:highlight w:val="none"/>
                <w:u w:val="single" w:color="auto"/>
              </w:rPr>
              <w:t>3.0</w:t>
            </w:r>
            <w:r>
              <w:rPr>
                <w:color w:val="auto"/>
                <w:spacing w:val="-28"/>
                <w:highlight w:val="none"/>
                <w:u w:val="single" w:color="auto"/>
              </w:rPr>
              <w:t xml:space="preserve"> </w:t>
            </w:r>
            <w:r>
              <w:rPr>
                <w:color w:val="auto"/>
                <w:spacing w:val="12"/>
                <w:highlight w:val="none"/>
              </w:rPr>
              <w:t>分；对管理模式、</w:t>
            </w:r>
            <w:r>
              <w:rPr>
                <w:color w:val="auto"/>
                <w:spacing w:val="15"/>
                <w:highlight w:val="none"/>
              </w:rPr>
              <w:t>工程质量、进度、投资控制、合同管理等方</w:t>
            </w:r>
            <w:r>
              <w:rPr>
                <w:color w:val="auto"/>
                <w:spacing w:val="1"/>
                <w:highlight w:val="none"/>
              </w:rPr>
              <w:t>面均</w:t>
            </w:r>
            <w:r>
              <w:rPr>
                <w:color w:val="auto"/>
                <w:spacing w:val="-46"/>
                <w:highlight w:val="none"/>
              </w:rPr>
              <w:t xml:space="preserve"> </w:t>
            </w:r>
            <w:r>
              <w:rPr>
                <w:color w:val="auto"/>
                <w:spacing w:val="1"/>
                <w:highlight w:val="none"/>
              </w:rPr>
              <w:t>提</w:t>
            </w:r>
            <w:r>
              <w:rPr>
                <w:color w:val="auto"/>
                <w:spacing w:val="-43"/>
                <w:highlight w:val="none"/>
              </w:rPr>
              <w:t xml:space="preserve"> </w:t>
            </w:r>
            <w:r>
              <w:rPr>
                <w:color w:val="auto"/>
                <w:spacing w:val="1"/>
                <w:highlight w:val="none"/>
              </w:rPr>
              <w:t>出合</w:t>
            </w:r>
            <w:r>
              <w:rPr>
                <w:color w:val="auto"/>
                <w:spacing w:val="-58"/>
                <w:highlight w:val="none"/>
              </w:rPr>
              <w:t xml:space="preserve"> </w:t>
            </w:r>
            <w:r>
              <w:rPr>
                <w:color w:val="auto"/>
                <w:spacing w:val="1"/>
                <w:highlight w:val="none"/>
              </w:rPr>
              <w:t>理</w:t>
            </w:r>
            <w:r>
              <w:rPr>
                <w:color w:val="auto"/>
                <w:spacing w:val="-57"/>
                <w:highlight w:val="none"/>
              </w:rPr>
              <w:t xml:space="preserve"> </w:t>
            </w:r>
            <w:r>
              <w:rPr>
                <w:color w:val="auto"/>
                <w:spacing w:val="1"/>
                <w:highlight w:val="none"/>
              </w:rPr>
              <w:t>可</w:t>
            </w:r>
            <w:r>
              <w:rPr>
                <w:color w:val="auto"/>
                <w:spacing w:val="-57"/>
                <w:highlight w:val="none"/>
              </w:rPr>
              <w:t xml:space="preserve"> </w:t>
            </w:r>
            <w:r>
              <w:rPr>
                <w:color w:val="auto"/>
                <w:spacing w:val="1"/>
                <w:highlight w:val="none"/>
              </w:rPr>
              <w:t>行</w:t>
            </w:r>
            <w:r>
              <w:rPr>
                <w:color w:val="auto"/>
                <w:spacing w:val="-44"/>
                <w:highlight w:val="none"/>
              </w:rPr>
              <w:t xml:space="preserve"> </w:t>
            </w:r>
            <w:r>
              <w:rPr>
                <w:color w:val="auto"/>
                <w:spacing w:val="1"/>
                <w:highlight w:val="none"/>
              </w:rPr>
              <w:t>的</w:t>
            </w:r>
            <w:r>
              <w:rPr>
                <w:color w:val="auto"/>
                <w:spacing w:val="-58"/>
                <w:highlight w:val="none"/>
              </w:rPr>
              <w:t xml:space="preserve"> </w:t>
            </w:r>
            <w:r>
              <w:rPr>
                <w:color w:val="auto"/>
                <w:spacing w:val="1"/>
                <w:highlight w:val="none"/>
              </w:rPr>
              <w:t>建</w:t>
            </w:r>
            <w:r>
              <w:rPr>
                <w:color w:val="auto"/>
                <w:spacing w:val="-57"/>
                <w:highlight w:val="none"/>
              </w:rPr>
              <w:t xml:space="preserve"> </w:t>
            </w:r>
            <w:r>
              <w:rPr>
                <w:color w:val="auto"/>
                <w:spacing w:val="1"/>
                <w:highlight w:val="none"/>
              </w:rPr>
              <w:t>议</w:t>
            </w:r>
            <w:r>
              <w:rPr>
                <w:color w:val="auto"/>
                <w:spacing w:val="-44"/>
                <w:highlight w:val="none"/>
              </w:rPr>
              <w:t xml:space="preserve"> </w:t>
            </w:r>
            <w:r>
              <w:rPr>
                <w:color w:val="auto"/>
                <w:spacing w:val="1"/>
                <w:highlight w:val="none"/>
              </w:rPr>
              <w:t>的</w:t>
            </w:r>
            <w:r>
              <w:rPr>
                <w:color w:val="auto"/>
                <w:spacing w:val="-44"/>
                <w:highlight w:val="none"/>
              </w:rPr>
              <w:t xml:space="preserve"> </w:t>
            </w:r>
            <w:r>
              <w:rPr>
                <w:color w:val="auto"/>
                <w:spacing w:val="1"/>
                <w:highlight w:val="none"/>
              </w:rPr>
              <w:t>，</w:t>
            </w:r>
            <w:r>
              <w:rPr>
                <w:color w:val="auto"/>
                <w:spacing w:val="-51"/>
                <w:highlight w:val="none"/>
              </w:rPr>
              <w:t xml:space="preserve"> </w:t>
            </w:r>
            <w:r>
              <w:rPr>
                <w:color w:val="auto"/>
                <w:spacing w:val="1"/>
                <w:highlight w:val="none"/>
              </w:rPr>
              <w:t>酌</w:t>
            </w:r>
            <w:r>
              <w:rPr>
                <w:color w:val="auto"/>
                <w:spacing w:val="-58"/>
                <w:highlight w:val="none"/>
              </w:rPr>
              <w:t xml:space="preserve"> </w:t>
            </w:r>
            <w:r>
              <w:rPr>
                <w:color w:val="auto"/>
                <w:spacing w:val="1"/>
                <w:highlight w:val="none"/>
              </w:rPr>
              <w:t xml:space="preserve">情加 </w:t>
            </w:r>
            <w:r>
              <w:rPr>
                <w:color w:val="auto"/>
                <w:spacing w:val="1"/>
                <w:highlight w:val="none"/>
                <w:u w:val="single" w:color="auto"/>
              </w:rPr>
              <w:t>0-</w:t>
            </w:r>
            <w:r>
              <w:rPr>
                <w:color w:val="auto"/>
                <w:highlight w:val="none"/>
                <w:u w:val="single" w:color="auto"/>
              </w:rPr>
              <w:t xml:space="preserve"> </w:t>
            </w:r>
            <w:r>
              <w:rPr>
                <w:color w:val="auto"/>
                <w:spacing w:val="1"/>
                <w:highlight w:val="none"/>
                <w:u w:val="single" w:color="auto"/>
              </w:rPr>
              <w:t>2.0</w:t>
            </w:r>
            <w:r>
              <w:rPr>
                <w:color w:val="auto"/>
                <w:spacing w:val="-38"/>
                <w:highlight w:val="none"/>
                <w:u w:val="single" w:color="auto"/>
              </w:rPr>
              <w:t xml:space="preserve"> </w:t>
            </w:r>
            <w:r>
              <w:rPr>
                <w:color w:val="auto"/>
                <w:spacing w:val="1"/>
                <w:highlight w:val="none"/>
              </w:rPr>
              <w:t>分。</w:t>
            </w:r>
          </w:p>
        </w:tc>
      </w:tr>
      <w:tr w14:paraId="7DBC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927" w:type="dxa"/>
            <w:tcBorders>
              <w:bottom w:val="single" w:color="auto" w:sz="4" w:space="0"/>
            </w:tcBorders>
            <w:vAlign w:val="center"/>
          </w:tcPr>
          <w:p w14:paraId="78C55ECE">
            <w:pPr>
              <w:pStyle w:val="23"/>
              <w:spacing w:before="65" w:line="268" w:lineRule="exact"/>
              <w:ind w:left="206"/>
              <w:jc w:val="center"/>
              <w:rPr>
                <w:color w:val="auto"/>
                <w:highlight w:val="none"/>
              </w:rPr>
            </w:pPr>
            <w:r>
              <w:rPr>
                <w:color w:val="auto"/>
                <w:spacing w:val="2"/>
                <w:position w:val="1"/>
                <w:highlight w:val="none"/>
              </w:rPr>
              <w:t>2.2.4</w:t>
            </w:r>
          </w:p>
          <w:p w14:paraId="68F97F9C">
            <w:pPr>
              <w:pStyle w:val="23"/>
              <w:spacing w:before="91" w:line="231" w:lineRule="auto"/>
              <w:ind w:left="346"/>
              <w:jc w:val="center"/>
              <w:rPr>
                <w:color w:val="auto"/>
                <w:highlight w:val="none"/>
              </w:rPr>
            </w:pPr>
            <w:r>
              <w:rPr>
                <w:color w:val="auto"/>
                <w:spacing w:val="-10"/>
                <w:highlight w:val="none"/>
              </w:rPr>
              <w:t>(2)</w:t>
            </w:r>
          </w:p>
        </w:tc>
        <w:tc>
          <w:tcPr>
            <w:tcW w:w="1173" w:type="dxa"/>
            <w:gridSpan w:val="3"/>
            <w:tcBorders>
              <w:bottom w:val="single" w:color="auto" w:sz="4" w:space="0"/>
            </w:tcBorders>
            <w:vAlign w:val="center"/>
          </w:tcPr>
          <w:p w14:paraId="111BE7CC">
            <w:pPr>
              <w:pStyle w:val="23"/>
              <w:spacing w:before="65" w:line="229" w:lineRule="auto"/>
              <w:ind w:left="171"/>
              <w:jc w:val="center"/>
              <w:rPr>
                <w:color w:val="auto"/>
                <w:highlight w:val="none"/>
              </w:rPr>
            </w:pPr>
            <w:r>
              <w:rPr>
                <w:color w:val="auto"/>
                <w:spacing w:val="6"/>
                <w:highlight w:val="none"/>
              </w:rPr>
              <w:t>主要人员</w:t>
            </w:r>
          </w:p>
        </w:tc>
        <w:tc>
          <w:tcPr>
            <w:tcW w:w="919" w:type="dxa"/>
            <w:tcBorders>
              <w:bottom w:val="single" w:color="auto" w:sz="4" w:space="0"/>
            </w:tcBorders>
            <w:vAlign w:val="top"/>
          </w:tcPr>
          <w:p w14:paraId="55F86C0B">
            <w:pPr>
              <w:spacing w:line="298" w:lineRule="auto"/>
              <w:rPr>
                <w:rFonts w:ascii="Arial"/>
                <w:color w:val="auto"/>
                <w:sz w:val="21"/>
                <w:highlight w:val="none"/>
              </w:rPr>
            </w:pPr>
          </w:p>
          <w:p w14:paraId="0E28FB61">
            <w:pPr>
              <w:spacing w:line="298" w:lineRule="auto"/>
              <w:rPr>
                <w:rFonts w:ascii="Arial"/>
                <w:color w:val="auto"/>
                <w:sz w:val="21"/>
                <w:highlight w:val="none"/>
              </w:rPr>
            </w:pPr>
          </w:p>
          <w:p w14:paraId="4C4C8282">
            <w:pPr>
              <w:spacing w:line="298" w:lineRule="auto"/>
              <w:rPr>
                <w:rFonts w:ascii="Arial"/>
                <w:color w:val="auto"/>
                <w:sz w:val="21"/>
                <w:highlight w:val="none"/>
              </w:rPr>
            </w:pPr>
          </w:p>
          <w:p w14:paraId="5A14FC43">
            <w:pPr>
              <w:spacing w:line="298" w:lineRule="auto"/>
              <w:rPr>
                <w:rFonts w:ascii="Arial"/>
                <w:color w:val="auto"/>
                <w:sz w:val="21"/>
                <w:highlight w:val="none"/>
              </w:rPr>
            </w:pPr>
          </w:p>
          <w:p w14:paraId="5156E4B8">
            <w:pPr>
              <w:pStyle w:val="23"/>
              <w:tabs>
                <w:tab w:val="left" w:pos="455"/>
              </w:tabs>
              <w:spacing w:before="65" w:line="244" w:lineRule="auto"/>
              <w:ind w:left="140"/>
              <w:rPr>
                <w:color w:val="auto"/>
                <w:sz w:val="10"/>
                <w:szCs w:val="10"/>
                <w:highlight w:val="none"/>
              </w:rPr>
            </w:pPr>
            <w:r>
              <w:rPr>
                <w:rFonts w:hint="eastAsia"/>
                <w:color w:val="auto"/>
                <w:position w:val="-2"/>
                <w:highlight w:val="none"/>
                <w:u w:val="single" w:color="auto"/>
                <w:lang w:val="en-US" w:eastAsia="zh-CN"/>
              </w:rPr>
              <w:t>20</w:t>
            </w:r>
            <w:r>
              <w:rPr>
                <w:color w:val="auto"/>
                <w:spacing w:val="-89"/>
                <w:position w:val="-2"/>
                <w:highlight w:val="none"/>
              </w:rPr>
              <w:t xml:space="preserve"> </w:t>
            </w:r>
            <w:r>
              <w:rPr>
                <w:color w:val="auto"/>
                <w:spacing w:val="2"/>
                <w:position w:val="-2"/>
                <w:highlight w:val="none"/>
              </w:rPr>
              <w:t>分</w:t>
            </w:r>
          </w:p>
        </w:tc>
        <w:tc>
          <w:tcPr>
            <w:tcW w:w="946" w:type="dxa"/>
            <w:tcBorders>
              <w:bottom w:val="single" w:color="auto" w:sz="4" w:space="0"/>
            </w:tcBorders>
            <w:vAlign w:val="top"/>
          </w:tcPr>
          <w:p w14:paraId="2DDF4023">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总监理</w:t>
            </w:r>
          </w:p>
          <w:p w14:paraId="574B9021">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工程师</w:t>
            </w:r>
          </w:p>
          <w:p w14:paraId="00D41E10">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或驻地</w:t>
            </w:r>
          </w:p>
          <w:p w14:paraId="6F0D144A">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监理工</w:t>
            </w:r>
          </w:p>
          <w:p w14:paraId="7168A1BF">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程师任</w:t>
            </w:r>
          </w:p>
          <w:p w14:paraId="031FB3BB">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职资格</w:t>
            </w:r>
          </w:p>
          <w:p w14:paraId="754A3F91">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与业绩</w:t>
            </w:r>
          </w:p>
        </w:tc>
        <w:tc>
          <w:tcPr>
            <w:tcW w:w="600" w:type="dxa"/>
            <w:gridSpan w:val="2"/>
            <w:tcBorders>
              <w:bottom w:val="single" w:color="auto" w:sz="4" w:space="0"/>
            </w:tcBorders>
            <w:vAlign w:val="center"/>
          </w:tcPr>
          <w:p w14:paraId="768B8C46">
            <w:pPr>
              <w:pStyle w:val="23"/>
              <w:spacing w:before="125" w:line="228" w:lineRule="auto"/>
              <w:ind w:left="164"/>
              <w:jc w:val="center"/>
              <w:rPr>
                <w:rFonts w:hint="default" w:ascii="宋体" w:hAnsi="宋体" w:eastAsia="宋体" w:cs="宋体"/>
                <w:color w:val="auto"/>
                <w:spacing w:val="6"/>
                <w:highlight w:val="none"/>
                <w:lang w:val="en-US" w:eastAsia="zh-CN"/>
              </w:rPr>
            </w:pPr>
            <w:r>
              <w:rPr>
                <w:rFonts w:hint="eastAsia" w:ascii="宋体" w:hAnsi="宋体" w:eastAsia="宋体" w:cs="宋体"/>
                <w:color w:val="auto"/>
                <w:spacing w:val="6"/>
                <w:highlight w:val="none"/>
                <w:lang w:val="en-US" w:eastAsia="zh-CN"/>
              </w:rPr>
              <w:t>20分</w:t>
            </w:r>
          </w:p>
        </w:tc>
        <w:tc>
          <w:tcPr>
            <w:tcW w:w="4330" w:type="dxa"/>
            <w:gridSpan w:val="2"/>
            <w:tcBorders>
              <w:bottom w:val="single" w:color="auto" w:sz="4" w:space="0"/>
            </w:tcBorders>
            <w:vAlign w:val="top"/>
          </w:tcPr>
          <w:p w14:paraId="2A743A99">
            <w:pPr>
              <w:pStyle w:val="23"/>
              <w:spacing w:before="125" w:line="228" w:lineRule="auto"/>
              <w:ind w:left="164"/>
              <w:rPr>
                <w:rFonts w:ascii="宋体" w:hAnsi="宋体" w:eastAsia="宋体" w:cs="宋体"/>
                <w:color w:val="auto"/>
                <w:spacing w:val="6"/>
                <w:highlight w:val="none"/>
              </w:rPr>
            </w:pPr>
          </w:p>
          <w:p w14:paraId="5C4541FB">
            <w:pPr>
              <w:pStyle w:val="23"/>
              <w:spacing w:before="125" w:line="228" w:lineRule="auto"/>
              <w:ind w:left="164"/>
              <w:rPr>
                <w:rFonts w:ascii="宋体" w:hAnsi="宋体" w:eastAsia="宋体" w:cs="宋体"/>
                <w:color w:val="auto"/>
                <w:spacing w:val="6"/>
                <w:highlight w:val="none"/>
              </w:rPr>
            </w:pPr>
          </w:p>
          <w:p w14:paraId="1EAF048A">
            <w:pPr>
              <w:pStyle w:val="23"/>
              <w:spacing w:before="125" w:line="228" w:lineRule="auto"/>
              <w:ind w:left="164"/>
              <w:rPr>
                <w:rFonts w:ascii="宋体" w:hAnsi="宋体" w:eastAsia="宋体" w:cs="宋体"/>
                <w:color w:val="auto"/>
                <w:spacing w:val="6"/>
                <w:highlight w:val="none"/>
              </w:rPr>
            </w:pPr>
          </w:p>
          <w:p w14:paraId="1D53BE4C">
            <w:pPr>
              <w:pStyle w:val="23"/>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监理人员符合资格审查要求的，得满分。</w:t>
            </w:r>
          </w:p>
        </w:tc>
      </w:tr>
      <w:tr w14:paraId="6299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27" w:type="dxa"/>
            <w:vMerge w:val="restart"/>
            <w:tcBorders>
              <w:top w:val="single" w:color="auto" w:sz="4" w:space="0"/>
              <w:left w:val="single" w:color="auto" w:sz="4" w:space="0"/>
            </w:tcBorders>
            <w:vAlign w:val="center"/>
          </w:tcPr>
          <w:p w14:paraId="166FFD03">
            <w:pPr>
              <w:pStyle w:val="23"/>
              <w:spacing w:before="65" w:line="268" w:lineRule="exact"/>
              <w:ind w:left="208"/>
              <w:jc w:val="center"/>
              <w:rPr>
                <w:color w:val="auto"/>
                <w:highlight w:val="none"/>
              </w:rPr>
            </w:pPr>
            <w:r>
              <w:rPr>
                <w:color w:val="auto"/>
                <w:spacing w:val="2"/>
                <w:position w:val="1"/>
                <w:highlight w:val="none"/>
              </w:rPr>
              <w:t>2.2.4</w:t>
            </w:r>
          </w:p>
          <w:p w14:paraId="4D70928E">
            <w:pPr>
              <w:pStyle w:val="23"/>
              <w:spacing w:before="113" w:line="231" w:lineRule="auto"/>
              <w:ind w:left="348"/>
              <w:jc w:val="center"/>
              <w:rPr>
                <w:color w:val="auto"/>
                <w:highlight w:val="none"/>
              </w:rPr>
            </w:pPr>
            <w:r>
              <w:rPr>
                <w:color w:val="auto"/>
                <w:spacing w:val="-10"/>
                <w:highlight w:val="none"/>
              </w:rPr>
              <w:t>(3)</w:t>
            </w:r>
          </w:p>
        </w:tc>
        <w:tc>
          <w:tcPr>
            <w:tcW w:w="1173" w:type="dxa"/>
            <w:gridSpan w:val="3"/>
            <w:vMerge w:val="restart"/>
            <w:tcBorders>
              <w:top w:val="single" w:color="auto" w:sz="4" w:space="0"/>
            </w:tcBorders>
            <w:vAlign w:val="center"/>
          </w:tcPr>
          <w:p w14:paraId="1915E11B">
            <w:pPr>
              <w:pStyle w:val="23"/>
              <w:spacing w:before="65" w:line="226" w:lineRule="auto"/>
              <w:ind w:left="274"/>
              <w:jc w:val="center"/>
              <w:rPr>
                <w:color w:val="auto"/>
                <w:highlight w:val="none"/>
              </w:rPr>
            </w:pPr>
            <w:r>
              <w:rPr>
                <w:color w:val="auto"/>
                <w:spacing w:val="7"/>
                <w:highlight w:val="none"/>
              </w:rPr>
              <w:t>评标价</w:t>
            </w:r>
          </w:p>
        </w:tc>
        <w:tc>
          <w:tcPr>
            <w:tcW w:w="919" w:type="dxa"/>
            <w:tcBorders>
              <w:top w:val="single" w:color="auto" w:sz="4" w:space="0"/>
              <w:bottom w:val="single" w:color="auto" w:sz="4" w:space="0"/>
            </w:tcBorders>
            <w:vAlign w:val="center"/>
          </w:tcPr>
          <w:p w14:paraId="49142F31">
            <w:pPr>
              <w:pStyle w:val="23"/>
              <w:spacing w:before="65" w:line="228" w:lineRule="auto"/>
              <w:ind w:left="244"/>
              <w:jc w:val="center"/>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c>
          <w:tcPr>
            <w:tcW w:w="5876" w:type="dxa"/>
            <w:gridSpan w:val="5"/>
            <w:tcBorders>
              <w:top w:val="single" w:color="auto" w:sz="4" w:space="0"/>
              <w:bottom w:val="single" w:color="auto" w:sz="4" w:space="0"/>
              <w:right w:val="single" w:color="auto" w:sz="4" w:space="0"/>
            </w:tcBorders>
            <w:vAlign w:val="top"/>
          </w:tcPr>
          <w:p w14:paraId="40A67C6A">
            <w:pPr>
              <w:pStyle w:val="23"/>
              <w:spacing w:before="36" w:line="226" w:lineRule="auto"/>
              <w:ind w:left="112"/>
              <w:rPr>
                <w:color w:val="auto"/>
                <w:highlight w:val="none"/>
              </w:rPr>
            </w:pPr>
            <w:r>
              <w:rPr>
                <w:color w:val="auto"/>
                <w:spacing w:val="8"/>
                <w:highlight w:val="none"/>
              </w:rPr>
              <w:t>评标价得分计算公式示例：</w:t>
            </w:r>
          </w:p>
          <w:p w14:paraId="4C148126">
            <w:pPr>
              <w:pStyle w:val="23"/>
              <w:spacing w:before="163" w:line="306" w:lineRule="auto"/>
              <w:ind w:left="113" w:right="136" w:firstLine="36"/>
              <w:rPr>
                <w:color w:val="auto"/>
                <w:highlight w:val="none"/>
              </w:rPr>
            </w:pPr>
            <w:r>
              <w:rPr>
                <w:color w:val="auto"/>
                <w:spacing w:val="17"/>
                <w:highlight w:val="none"/>
              </w:rPr>
              <w:t>(1)如果投标人的评标价&gt;评标基准价，则</w:t>
            </w:r>
            <w:r>
              <w:rPr>
                <w:color w:val="auto"/>
                <w:spacing w:val="16"/>
                <w:highlight w:val="none"/>
              </w:rPr>
              <w:t>评标价得分＝10-</w:t>
            </w:r>
            <w:r>
              <w:rPr>
                <w:color w:val="auto"/>
                <w:spacing w:val="5"/>
                <w:highlight w:val="none"/>
              </w:rPr>
              <w:t>偏差率×100× E</w:t>
            </w:r>
            <w:r>
              <w:rPr>
                <w:color w:val="auto"/>
                <w:spacing w:val="5"/>
                <w:position w:val="-3"/>
                <w:sz w:val="10"/>
                <w:szCs w:val="10"/>
                <w:highlight w:val="none"/>
              </w:rPr>
              <w:t>1</w:t>
            </w:r>
            <w:r>
              <w:rPr>
                <w:color w:val="auto"/>
                <w:spacing w:val="5"/>
                <w:highlight w:val="none"/>
              </w:rPr>
              <w:t>；</w:t>
            </w:r>
          </w:p>
          <w:p w14:paraId="6DC0839E">
            <w:pPr>
              <w:pStyle w:val="23"/>
              <w:spacing w:before="151" w:line="310" w:lineRule="auto"/>
              <w:ind w:left="113" w:right="136" w:firstLine="36"/>
              <w:rPr>
                <w:color w:val="auto"/>
                <w:highlight w:val="none"/>
              </w:rPr>
            </w:pPr>
            <w:r>
              <w:rPr>
                <w:color w:val="auto"/>
                <w:spacing w:val="13"/>
                <w:highlight w:val="none"/>
              </w:rPr>
              <w:t>(2)如果投标人的评标价≤评标基准价，则评标价得分＝10+</w:t>
            </w:r>
            <w:r>
              <w:rPr>
                <w:color w:val="auto"/>
                <w:spacing w:val="3"/>
                <w:highlight w:val="none"/>
              </w:rPr>
              <w:t>偏差率×</w:t>
            </w:r>
            <w:r>
              <w:rPr>
                <w:color w:val="auto"/>
                <w:spacing w:val="37"/>
                <w:highlight w:val="none"/>
              </w:rPr>
              <w:t xml:space="preserve"> </w:t>
            </w:r>
            <w:r>
              <w:rPr>
                <w:color w:val="auto"/>
                <w:spacing w:val="3"/>
                <w:highlight w:val="none"/>
              </w:rPr>
              <w:t>100× E</w:t>
            </w:r>
            <w:r>
              <w:rPr>
                <w:color w:val="auto"/>
                <w:spacing w:val="3"/>
                <w:position w:val="-2"/>
                <w:sz w:val="10"/>
                <w:szCs w:val="10"/>
                <w:highlight w:val="none"/>
              </w:rPr>
              <w:t>2</w:t>
            </w:r>
            <w:r>
              <w:rPr>
                <w:color w:val="auto"/>
                <w:spacing w:val="3"/>
                <w:highlight w:val="none"/>
              </w:rPr>
              <w:t>。</w:t>
            </w:r>
          </w:p>
          <w:p w14:paraId="39458FB8">
            <w:pPr>
              <w:pStyle w:val="23"/>
              <w:spacing w:before="146" w:line="358" w:lineRule="auto"/>
              <w:ind w:left="103" w:right="107" w:firstLine="10"/>
              <w:rPr>
                <w:color w:val="auto"/>
                <w:highlight w:val="none"/>
              </w:rPr>
            </w:pPr>
            <w:r>
              <w:rPr>
                <w:color w:val="auto"/>
                <w:spacing w:val="22"/>
                <w:highlight w:val="none"/>
              </w:rPr>
              <w:t>注</w:t>
            </w:r>
            <w:r>
              <w:rPr>
                <w:color w:val="auto"/>
                <w:spacing w:val="-45"/>
                <w:highlight w:val="none"/>
              </w:rPr>
              <w:t xml:space="preserve"> </w:t>
            </w:r>
            <w:r>
              <w:rPr>
                <w:color w:val="auto"/>
                <w:spacing w:val="22"/>
                <w:highlight w:val="none"/>
              </w:rPr>
              <w:t>：评标价得分计算保留小数点后四位</w:t>
            </w:r>
            <w:r>
              <w:rPr>
                <w:color w:val="auto"/>
                <w:spacing w:val="-55"/>
                <w:highlight w:val="none"/>
              </w:rPr>
              <w:t xml:space="preserve"> </w:t>
            </w:r>
            <w:r>
              <w:rPr>
                <w:color w:val="auto"/>
                <w:spacing w:val="22"/>
                <w:highlight w:val="none"/>
              </w:rPr>
              <w:t>，小数点后第五位</w:t>
            </w:r>
            <w:r>
              <w:rPr>
                <w:color w:val="auto"/>
                <w:spacing w:val="4"/>
                <w:highlight w:val="none"/>
              </w:rPr>
              <w:t>“</w:t>
            </w:r>
            <w:r>
              <w:rPr>
                <w:color w:val="auto"/>
                <w:spacing w:val="-69"/>
                <w:highlight w:val="none"/>
              </w:rPr>
              <w:t xml:space="preserve"> </w:t>
            </w:r>
            <w:r>
              <w:rPr>
                <w:color w:val="auto"/>
                <w:spacing w:val="4"/>
                <w:highlight w:val="none"/>
              </w:rPr>
              <w:t>四舍五入</w:t>
            </w:r>
            <w:r>
              <w:rPr>
                <w:color w:val="auto"/>
                <w:spacing w:val="-70"/>
                <w:highlight w:val="none"/>
              </w:rPr>
              <w:t xml:space="preserve"> </w:t>
            </w:r>
            <w:r>
              <w:rPr>
                <w:color w:val="auto"/>
                <w:spacing w:val="4"/>
                <w:highlight w:val="none"/>
              </w:rPr>
              <w:t>”。</w:t>
            </w:r>
          </w:p>
        </w:tc>
      </w:tr>
      <w:tr w14:paraId="7DD1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7" w:type="dxa"/>
            <w:vMerge w:val="continue"/>
            <w:tcBorders>
              <w:left w:val="single" w:color="auto" w:sz="4" w:space="0"/>
              <w:bottom w:val="single" w:color="auto" w:sz="4" w:space="0"/>
            </w:tcBorders>
            <w:vAlign w:val="center"/>
          </w:tcPr>
          <w:p w14:paraId="61C0A033">
            <w:pPr>
              <w:jc w:val="center"/>
              <w:rPr>
                <w:rFonts w:ascii="Arial"/>
                <w:color w:val="auto"/>
                <w:sz w:val="21"/>
                <w:highlight w:val="none"/>
              </w:rPr>
            </w:pPr>
          </w:p>
        </w:tc>
        <w:tc>
          <w:tcPr>
            <w:tcW w:w="1173" w:type="dxa"/>
            <w:gridSpan w:val="3"/>
            <w:vMerge w:val="continue"/>
            <w:tcBorders>
              <w:bottom w:val="single" w:color="auto" w:sz="4" w:space="0"/>
            </w:tcBorders>
            <w:vAlign w:val="center"/>
          </w:tcPr>
          <w:p w14:paraId="4D96B085">
            <w:pPr>
              <w:jc w:val="center"/>
              <w:rPr>
                <w:rFonts w:ascii="Arial"/>
                <w:color w:val="auto"/>
                <w:sz w:val="21"/>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0FD3CDA">
            <w:pPr>
              <w:pStyle w:val="23"/>
              <w:spacing w:before="65" w:line="354" w:lineRule="auto"/>
              <w:ind w:left="153" w:right="68" w:rightChars="0" w:firstLine="18"/>
              <w:jc w:val="center"/>
              <w:rPr>
                <w:color w:val="auto"/>
                <w:highlight w:val="none"/>
              </w:rPr>
            </w:pPr>
            <w:r>
              <w:rPr>
                <w:color w:val="auto"/>
                <w:spacing w:val="2"/>
                <w:highlight w:val="none"/>
              </w:rPr>
              <w:t>E</w:t>
            </w:r>
            <w:r>
              <w:rPr>
                <w:color w:val="auto"/>
                <w:spacing w:val="-39"/>
                <w:highlight w:val="none"/>
              </w:rPr>
              <w:t xml:space="preserve"> </w:t>
            </w:r>
            <w:r>
              <w:rPr>
                <w:color w:val="auto"/>
                <w:spacing w:val="2"/>
                <w:highlight w:val="none"/>
              </w:rPr>
              <w:t>值确</w:t>
            </w:r>
            <w:r>
              <w:rPr>
                <w:color w:val="auto"/>
                <w:spacing w:val="5"/>
                <w:highlight w:val="none"/>
              </w:rPr>
              <w:t>定方式</w:t>
            </w:r>
          </w:p>
        </w:tc>
        <w:tc>
          <w:tcPr>
            <w:tcW w:w="5876" w:type="dxa"/>
            <w:gridSpan w:val="5"/>
            <w:tcBorders>
              <w:top w:val="single" w:color="auto" w:sz="4" w:space="0"/>
              <w:left w:val="single" w:color="auto" w:sz="4" w:space="0"/>
              <w:bottom w:val="single" w:color="auto" w:sz="4" w:space="0"/>
              <w:right w:val="single" w:color="auto" w:sz="4" w:space="0"/>
            </w:tcBorders>
            <w:vAlign w:val="top"/>
          </w:tcPr>
          <w:p w14:paraId="38133827">
            <w:pPr>
              <w:pStyle w:val="23"/>
              <w:spacing w:before="16" w:line="237" w:lineRule="auto"/>
              <w:ind w:left="111"/>
              <w:rPr>
                <w:color w:val="auto"/>
                <w:highlight w:val="none"/>
              </w:rPr>
            </w:pPr>
            <w:r>
              <w:rPr>
                <w:b/>
                <w:bCs/>
                <w:color w:val="auto"/>
                <w:spacing w:val="8"/>
                <w:highlight w:val="none"/>
              </w:rPr>
              <w:t>E</w:t>
            </w:r>
            <w:r>
              <w:rPr>
                <w:color w:val="auto"/>
                <w:spacing w:val="-39"/>
                <w:highlight w:val="none"/>
              </w:rPr>
              <w:t xml:space="preserve"> </w:t>
            </w:r>
            <w:r>
              <w:rPr>
                <w:b/>
                <w:bCs/>
                <w:color w:val="auto"/>
                <w:spacing w:val="8"/>
                <w:highlight w:val="none"/>
              </w:rPr>
              <w:t>值确定方式</w:t>
            </w:r>
            <w:r>
              <w:rPr>
                <w:b/>
                <w:bCs/>
                <w:color w:val="auto"/>
                <w:spacing w:val="-5"/>
                <w:highlight w:val="none"/>
              </w:rPr>
              <w:t>：</w:t>
            </w:r>
          </w:p>
          <w:p w14:paraId="1AC1E32C">
            <w:pPr>
              <w:pStyle w:val="23"/>
              <w:spacing w:line="242" w:lineRule="auto"/>
              <w:ind w:left="114"/>
              <w:rPr>
                <w:b/>
                <w:bCs/>
                <w:color w:val="auto"/>
                <w:spacing w:val="4"/>
                <w:highlight w:val="none"/>
              </w:rPr>
            </w:pPr>
          </w:p>
          <w:p w14:paraId="5E88E4D5">
            <w:pPr>
              <w:pStyle w:val="23"/>
              <w:spacing w:line="242" w:lineRule="auto"/>
              <w:ind w:left="114"/>
              <w:rPr>
                <w:color w:val="auto"/>
                <w:highlight w:val="none"/>
              </w:rPr>
            </w:pPr>
            <w:r>
              <w:rPr>
                <w:color w:val="auto"/>
                <w:spacing w:val="4"/>
                <w:highlight w:val="none"/>
              </w:rPr>
              <w:t>E</w:t>
            </w:r>
            <w:r>
              <w:rPr>
                <w:color w:val="auto"/>
                <w:spacing w:val="4"/>
                <w:position w:val="-2"/>
                <w:sz w:val="10"/>
                <w:szCs w:val="10"/>
                <w:highlight w:val="none"/>
              </w:rPr>
              <w:t>1</w:t>
            </w:r>
            <w:r>
              <w:rPr>
                <w:color w:val="auto"/>
                <w:spacing w:val="4"/>
                <w:highlight w:val="none"/>
              </w:rPr>
              <w:t>=1.5，E</w:t>
            </w:r>
            <w:r>
              <w:rPr>
                <w:color w:val="auto"/>
                <w:spacing w:val="4"/>
                <w:position w:val="-2"/>
                <w:sz w:val="10"/>
                <w:szCs w:val="10"/>
                <w:highlight w:val="none"/>
              </w:rPr>
              <w:t>2</w:t>
            </w:r>
            <w:r>
              <w:rPr>
                <w:color w:val="auto"/>
                <w:spacing w:val="4"/>
                <w:highlight w:val="none"/>
              </w:rPr>
              <w:t>=0.5，</w:t>
            </w:r>
          </w:p>
        </w:tc>
      </w:tr>
      <w:tr w14:paraId="2058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vMerge w:val="restart"/>
            <w:tcBorders>
              <w:top w:val="single" w:color="auto" w:sz="4" w:space="0"/>
              <w:right w:val="single" w:color="auto" w:sz="4" w:space="0"/>
            </w:tcBorders>
            <w:vAlign w:val="center"/>
          </w:tcPr>
          <w:p w14:paraId="44AF73B2">
            <w:pPr>
              <w:pStyle w:val="23"/>
              <w:spacing w:before="65" w:line="351" w:lineRule="auto"/>
              <w:ind w:left="137" w:right="118" w:hanging="15"/>
              <w:jc w:val="center"/>
              <w:rPr>
                <w:color w:val="auto"/>
                <w:spacing w:val="4"/>
                <w:highlight w:val="none"/>
              </w:rPr>
            </w:pPr>
            <w:r>
              <w:rPr>
                <w:color w:val="auto"/>
                <w:spacing w:val="4"/>
                <w:highlight w:val="none"/>
              </w:rPr>
              <w:t>2.2.4</w:t>
            </w:r>
          </w:p>
          <w:p w14:paraId="10009957">
            <w:pPr>
              <w:pStyle w:val="23"/>
              <w:spacing w:before="65" w:line="351" w:lineRule="auto"/>
              <w:ind w:left="137" w:right="118" w:hanging="15"/>
              <w:jc w:val="center"/>
              <w:rPr>
                <w:color w:val="auto"/>
                <w:spacing w:val="4"/>
                <w:highlight w:val="none"/>
              </w:rPr>
            </w:pPr>
            <w:r>
              <w:rPr>
                <w:color w:val="auto"/>
                <w:spacing w:val="4"/>
                <w:highlight w:val="none"/>
              </w:rPr>
              <w:t>(4)</w:t>
            </w:r>
          </w:p>
        </w:tc>
        <w:tc>
          <w:tcPr>
            <w:tcW w:w="654" w:type="dxa"/>
            <w:gridSpan w:val="2"/>
            <w:vMerge w:val="restart"/>
            <w:tcBorders>
              <w:top w:val="single" w:color="auto" w:sz="4" w:space="0"/>
              <w:left w:val="single" w:color="auto" w:sz="4" w:space="0"/>
              <w:right w:val="single" w:color="auto" w:sz="4" w:space="0"/>
            </w:tcBorders>
            <w:vAlign w:val="center"/>
          </w:tcPr>
          <w:p w14:paraId="21F10E78">
            <w:pPr>
              <w:pStyle w:val="23"/>
              <w:spacing w:before="65" w:line="351" w:lineRule="auto"/>
              <w:ind w:left="137" w:right="118" w:hanging="15"/>
              <w:jc w:val="center"/>
              <w:rPr>
                <w:color w:val="auto"/>
                <w:spacing w:val="4"/>
                <w:highlight w:val="none"/>
              </w:rPr>
            </w:pPr>
          </w:p>
          <w:p w14:paraId="6995AC0B">
            <w:pPr>
              <w:pStyle w:val="23"/>
              <w:spacing w:before="65" w:line="351" w:lineRule="auto"/>
              <w:ind w:left="137" w:right="118" w:hanging="15"/>
              <w:jc w:val="center"/>
              <w:rPr>
                <w:color w:val="auto"/>
                <w:spacing w:val="4"/>
                <w:highlight w:val="none"/>
              </w:rPr>
            </w:pPr>
            <w:r>
              <w:rPr>
                <w:color w:val="auto"/>
                <w:spacing w:val="4"/>
                <w:highlight w:val="none"/>
              </w:rPr>
              <w:t>其他因素</w:t>
            </w:r>
          </w:p>
        </w:tc>
        <w:tc>
          <w:tcPr>
            <w:tcW w:w="519"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9D3B0FF">
            <w:pPr>
              <w:pStyle w:val="23"/>
              <w:spacing w:before="65" w:line="351" w:lineRule="auto"/>
              <w:ind w:left="137" w:right="118" w:hanging="15"/>
              <w:jc w:val="center"/>
              <w:rPr>
                <w:color w:val="auto"/>
                <w:spacing w:val="-4"/>
                <w:highlight w:val="none"/>
              </w:rPr>
            </w:pPr>
            <w:r>
              <w:rPr>
                <w:color w:val="auto"/>
                <w:spacing w:val="4"/>
                <w:highlight w:val="none"/>
              </w:rPr>
              <w:t>业 绩</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72FBA834">
            <w:pPr>
              <w:spacing w:line="245" w:lineRule="auto"/>
              <w:jc w:val="center"/>
              <w:rPr>
                <w:rFonts w:ascii="Arial"/>
                <w:color w:val="auto"/>
                <w:sz w:val="21"/>
                <w:highlight w:val="none"/>
              </w:rPr>
            </w:pPr>
          </w:p>
          <w:p w14:paraId="7C6CE557">
            <w:pPr>
              <w:pStyle w:val="23"/>
              <w:spacing w:before="65" w:line="228" w:lineRule="auto"/>
              <w:ind w:left="230"/>
              <w:jc w:val="center"/>
              <w:rPr>
                <w:color w:val="auto"/>
                <w:highlight w:val="none"/>
              </w:rPr>
            </w:pPr>
            <w:r>
              <w:rPr>
                <w:color w:val="auto"/>
                <w:spacing w:val="-1"/>
                <w:highlight w:val="none"/>
              </w:rPr>
              <w:t>25</w:t>
            </w:r>
            <w:r>
              <w:rPr>
                <w:color w:val="auto"/>
                <w:spacing w:val="-37"/>
                <w:highlight w:val="none"/>
              </w:rPr>
              <w:t xml:space="preserve"> </w:t>
            </w:r>
            <w:r>
              <w:rPr>
                <w:color w:val="auto"/>
                <w:spacing w:val="-1"/>
                <w:highlight w:val="none"/>
              </w:rPr>
              <w:t>分</w:t>
            </w:r>
          </w:p>
        </w:tc>
        <w:tc>
          <w:tcPr>
            <w:tcW w:w="946" w:type="dxa"/>
            <w:tcBorders>
              <w:top w:val="single" w:color="auto" w:sz="4" w:space="0"/>
              <w:left w:val="single" w:color="auto" w:sz="4" w:space="0"/>
              <w:bottom w:val="single" w:color="auto" w:sz="4" w:space="0"/>
            </w:tcBorders>
            <w:vAlign w:val="center"/>
          </w:tcPr>
          <w:p w14:paraId="531A6AAF">
            <w:pPr>
              <w:pStyle w:val="23"/>
              <w:keepNext w:val="0"/>
              <w:keepLines w:val="0"/>
              <w:pageBreakBefore w:val="0"/>
              <w:widowControl/>
              <w:kinsoku w:val="0"/>
              <w:wordWrap/>
              <w:overflowPunct/>
              <w:topLinePunct w:val="0"/>
              <w:autoSpaceDE w:val="0"/>
              <w:autoSpaceDN w:val="0"/>
              <w:bidi w:val="0"/>
              <w:adjustRightInd w:val="0"/>
              <w:snapToGrid w:val="0"/>
              <w:spacing w:line="282" w:lineRule="auto"/>
              <w:ind w:left="13" w:leftChars="6" w:right="34" w:firstLine="0" w:firstLineChars="0"/>
              <w:jc w:val="center"/>
              <w:textAlignment w:val="baseline"/>
              <w:rPr>
                <w:color w:val="auto"/>
                <w:highlight w:val="none"/>
              </w:rPr>
            </w:pPr>
            <w:r>
              <w:rPr>
                <w:color w:val="auto"/>
                <w:spacing w:val="6"/>
                <w:highlight w:val="none"/>
              </w:rPr>
              <w:t>基本要</w:t>
            </w:r>
            <w:r>
              <w:rPr>
                <w:color w:val="auto"/>
                <w:highlight w:val="none"/>
              </w:rPr>
              <w:t>求</w:t>
            </w:r>
          </w:p>
        </w:tc>
        <w:tc>
          <w:tcPr>
            <w:tcW w:w="581" w:type="dxa"/>
            <w:tcBorders>
              <w:top w:val="single" w:color="auto" w:sz="4" w:space="0"/>
              <w:bottom w:val="single" w:color="auto" w:sz="4" w:space="0"/>
            </w:tcBorders>
            <w:vAlign w:val="center"/>
          </w:tcPr>
          <w:p w14:paraId="1DA6AB0B">
            <w:pPr>
              <w:pStyle w:val="23"/>
              <w:keepNext w:val="0"/>
              <w:keepLines w:val="0"/>
              <w:pageBreakBefore w:val="0"/>
              <w:widowControl/>
              <w:kinsoku w:val="0"/>
              <w:wordWrap/>
              <w:overflowPunct/>
              <w:topLinePunct w:val="0"/>
              <w:autoSpaceDE w:val="0"/>
              <w:autoSpaceDN w:val="0"/>
              <w:bidi w:val="0"/>
              <w:adjustRightInd w:val="0"/>
              <w:snapToGrid w:val="0"/>
              <w:spacing w:line="282" w:lineRule="auto"/>
              <w:ind w:left="13" w:leftChars="6" w:right="34" w:firstLine="0" w:firstLineChars="0"/>
              <w:jc w:val="center"/>
              <w:textAlignment w:val="baseline"/>
              <w:rPr>
                <w:color w:val="auto"/>
                <w:highlight w:val="none"/>
              </w:rPr>
            </w:pPr>
            <w:r>
              <w:rPr>
                <w:color w:val="auto"/>
                <w:spacing w:val="-8"/>
                <w:highlight w:val="none"/>
                <w:u w:val="single" w:color="auto"/>
              </w:rPr>
              <w:t>15</w:t>
            </w:r>
            <w:r>
              <w:rPr>
                <w:color w:val="auto"/>
                <w:spacing w:val="-2"/>
                <w:highlight w:val="none"/>
              </w:rPr>
              <w:t>分</w:t>
            </w:r>
          </w:p>
        </w:tc>
        <w:tc>
          <w:tcPr>
            <w:tcW w:w="4349" w:type="dxa"/>
            <w:gridSpan w:val="3"/>
            <w:tcBorders>
              <w:top w:val="single" w:color="auto" w:sz="4" w:space="0"/>
              <w:bottom w:val="single" w:color="auto" w:sz="4" w:space="0"/>
            </w:tcBorders>
            <w:vAlign w:val="top"/>
          </w:tcPr>
          <w:p w14:paraId="5A21CBA0">
            <w:pPr>
              <w:pStyle w:val="23"/>
              <w:spacing w:before="144" w:line="282" w:lineRule="auto"/>
              <w:ind w:left="107" w:right="206" w:hanging="2"/>
              <w:rPr>
                <w:color w:val="auto"/>
                <w:highlight w:val="none"/>
              </w:rPr>
            </w:pPr>
            <w:r>
              <w:rPr>
                <w:color w:val="auto"/>
                <w:spacing w:val="6"/>
                <w:highlight w:val="none"/>
              </w:rPr>
              <w:t>满足招标文件附录</w:t>
            </w:r>
            <w:r>
              <w:rPr>
                <w:color w:val="auto"/>
                <w:spacing w:val="-27"/>
                <w:highlight w:val="none"/>
              </w:rPr>
              <w:t xml:space="preserve"> </w:t>
            </w:r>
            <w:r>
              <w:rPr>
                <w:color w:val="auto"/>
                <w:spacing w:val="6"/>
                <w:highlight w:val="none"/>
              </w:rPr>
              <w:t>2</w:t>
            </w:r>
            <w:r>
              <w:rPr>
                <w:color w:val="auto"/>
                <w:spacing w:val="-38"/>
                <w:highlight w:val="none"/>
              </w:rPr>
              <w:t xml:space="preserve"> </w:t>
            </w:r>
            <w:r>
              <w:rPr>
                <w:color w:val="auto"/>
                <w:spacing w:val="6"/>
                <w:highlight w:val="none"/>
              </w:rPr>
              <w:t>业绩最低要求的，得</w:t>
            </w:r>
            <w:r>
              <w:rPr>
                <w:color w:val="auto"/>
                <w:spacing w:val="-48"/>
                <w:highlight w:val="none"/>
              </w:rPr>
              <w:t xml:space="preserve"> </w:t>
            </w:r>
            <w:r>
              <w:rPr>
                <w:color w:val="auto"/>
                <w:spacing w:val="-76"/>
                <w:highlight w:val="none"/>
                <w:u w:val="single" w:color="auto"/>
              </w:rPr>
              <w:t xml:space="preserve"> </w:t>
            </w:r>
            <w:r>
              <w:rPr>
                <w:color w:val="auto"/>
                <w:spacing w:val="6"/>
                <w:highlight w:val="none"/>
                <w:u w:val="single" w:color="auto"/>
              </w:rPr>
              <w:t>15</w:t>
            </w:r>
            <w:r>
              <w:rPr>
                <w:color w:val="auto"/>
                <w:spacing w:val="-1"/>
                <w:highlight w:val="none"/>
              </w:rPr>
              <w:t>分。</w:t>
            </w:r>
          </w:p>
        </w:tc>
      </w:tr>
      <w:tr w14:paraId="6A9F5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vMerge w:val="continue"/>
            <w:tcBorders>
              <w:right w:val="single" w:color="auto" w:sz="4" w:space="0"/>
            </w:tcBorders>
            <w:vAlign w:val="center"/>
          </w:tcPr>
          <w:p w14:paraId="3F5A033F">
            <w:pPr>
              <w:jc w:val="center"/>
              <w:rPr>
                <w:rFonts w:ascii="Arial"/>
                <w:color w:val="auto"/>
                <w:sz w:val="21"/>
                <w:highlight w:val="none"/>
              </w:rPr>
            </w:pPr>
          </w:p>
        </w:tc>
        <w:tc>
          <w:tcPr>
            <w:tcW w:w="654" w:type="dxa"/>
            <w:gridSpan w:val="2"/>
            <w:vMerge w:val="continue"/>
            <w:tcBorders>
              <w:left w:val="single" w:color="auto" w:sz="4" w:space="0"/>
              <w:right w:val="single" w:color="auto" w:sz="4" w:space="0"/>
            </w:tcBorders>
            <w:vAlign w:val="center"/>
          </w:tcPr>
          <w:p w14:paraId="5615C634">
            <w:pPr>
              <w:jc w:val="center"/>
              <w:rPr>
                <w:rFonts w:ascii="Arial"/>
                <w:color w:val="auto"/>
                <w:sz w:val="21"/>
                <w:highlight w:val="none"/>
              </w:rPr>
            </w:pPr>
          </w:p>
        </w:tc>
        <w:tc>
          <w:tcPr>
            <w:tcW w:w="51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B8A0587">
            <w:pPr>
              <w:pStyle w:val="23"/>
              <w:spacing w:before="65" w:line="351" w:lineRule="auto"/>
              <w:ind w:left="137" w:right="118" w:hanging="15"/>
              <w:jc w:val="center"/>
              <w:rPr>
                <w:color w:val="auto"/>
                <w:spacing w:val="-4"/>
                <w:highlight w:val="none"/>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779709E7">
            <w:pPr>
              <w:jc w:val="center"/>
              <w:rPr>
                <w:rFonts w:ascii="Arial"/>
                <w:color w:val="auto"/>
                <w:sz w:val="21"/>
                <w:highlight w:val="none"/>
              </w:rPr>
            </w:pPr>
          </w:p>
        </w:tc>
        <w:tc>
          <w:tcPr>
            <w:tcW w:w="946" w:type="dxa"/>
            <w:tcBorders>
              <w:top w:val="single" w:color="auto" w:sz="4" w:space="0"/>
              <w:left w:val="single" w:color="auto" w:sz="4" w:space="0"/>
            </w:tcBorders>
            <w:vAlign w:val="center"/>
          </w:tcPr>
          <w:p w14:paraId="5BA15B55">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13" w:leftChars="6" w:right="34" w:firstLine="0" w:firstLineChars="0"/>
              <w:jc w:val="center"/>
              <w:textAlignment w:val="baseline"/>
              <w:rPr>
                <w:color w:val="auto"/>
                <w:highlight w:val="none"/>
              </w:rPr>
            </w:pPr>
            <w:r>
              <w:rPr>
                <w:color w:val="auto"/>
                <w:spacing w:val="3"/>
                <w:highlight w:val="none"/>
              </w:rPr>
              <w:t>路基</w:t>
            </w:r>
          </w:p>
          <w:p w14:paraId="5956437A">
            <w:pPr>
              <w:pStyle w:val="23"/>
              <w:keepNext w:val="0"/>
              <w:keepLines w:val="0"/>
              <w:pageBreakBefore w:val="0"/>
              <w:widowControl/>
              <w:kinsoku w:val="0"/>
              <w:wordWrap/>
              <w:overflowPunct/>
              <w:topLinePunct w:val="0"/>
              <w:autoSpaceDE w:val="0"/>
              <w:autoSpaceDN w:val="0"/>
              <w:bidi w:val="0"/>
              <w:adjustRightInd w:val="0"/>
              <w:snapToGrid w:val="0"/>
              <w:spacing w:line="214" w:lineRule="auto"/>
              <w:ind w:left="13" w:leftChars="6" w:right="34" w:firstLine="0" w:firstLineChars="0"/>
              <w:jc w:val="center"/>
              <w:textAlignment w:val="baseline"/>
              <w:rPr>
                <w:color w:val="auto"/>
                <w:highlight w:val="none"/>
              </w:rPr>
            </w:pPr>
            <w:r>
              <w:rPr>
                <w:color w:val="auto"/>
                <w:spacing w:val="3"/>
                <w:highlight w:val="none"/>
              </w:rPr>
              <w:t>工程</w:t>
            </w:r>
          </w:p>
        </w:tc>
        <w:tc>
          <w:tcPr>
            <w:tcW w:w="581" w:type="dxa"/>
            <w:tcBorders>
              <w:top w:val="single" w:color="auto" w:sz="4" w:space="0"/>
            </w:tcBorders>
            <w:vAlign w:val="center"/>
          </w:tcPr>
          <w:p w14:paraId="1306D347">
            <w:pPr>
              <w:pStyle w:val="23"/>
              <w:keepNext w:val="0"/>
              <w:keepLines w:val="0"/>
              <w:pageBreakBefore w:val="0"/>
              <w:widowControl/>
              <w:tabs>
                <w:tab w:val="left" w:pos="221"/>
              </w:tabs>
              <w:kinsoku w:val="0"/>
              <w:wordWrap/>
              <w:overflowPunct/>
              <w:topLinePunct w:val="0"/>
              <w:autoSpaceDE w:val="0"/>
              <w:autoSpaceDN w:val="0"/>
              <w:bidi w:val="0"/>
              <w:adjustRightInd w:val="0"/>
              <w:snapToGrid w:val="0"/>
              <w:spacing w:line="228" w:lineRule="auto"/>
              <w:ind w:left="13" w:leftChars="6" w:right="34" w:firstLine="0" w:firstLineChars="0"/>
              <w:jc w:val="center"/>
              <w:textAlignment w:val="baseline"/>
              <w:rPr>
                <w:color w:val="auto"/>
                <w:highlight w:val="none"/>
              </w:rPr>
            </w:pPr>
            <w:r>
              <w:rPr>
                <w:rFonts w:hint="eastAsia"/>
                <w:color w:val="auto"/>
                <w:highlight w:val="none"/>
                <w:u w:val="single" w:color="auto"/>
                <w:lang w:val="en-US" w:eastAsia="zh-CN"/>
              </w:rPr>
              <w:t>5</w:t>
            </w:r>
            <w:r>
              <w:rPr>
                <w:color w:val="auto"/>
                <w:highlight w:val="none"/>
              </w:rPr>
              <w:t>分</w:t>
            </w:r>
          </w:p>
        </w:tc>
        <w:tc>
          <w:tcPr>
            <w:tcW w:w="4349" w:type="dxa"/>
            <w:gridSpan w:val="3"/>
            <w:tcBorders>
              <w:top w:val="single" w:color="auto" w:sz="4" w:space="0"/>
            </w:tcBorders>
            <w:vAlign w:val="top"/>
          </w:tcPr>
          <w:p w14:paraId="5BE9B471">
            <w:pPr>
              <w:pStyle w:val="23"/>
              <w:spacing w:before="141" w:line="283" w:lineRule="auto"/>
              <w:ind w:left="115" w:right="153" w:hanging="10"/>
              <w:rPr>
                <w:color w:val="auto"/>
                <w:highlight w:val="none"/>
              </w:rPr>
            </w:pPr>
            <w:r>
              <w:rPr>
                <w:color w:val="auto"/>
                <w:spacing w:val="8"/>
                <w:highlight w:val="none"/>
              </w:rPr>
              <w:t>在满足业绩最低要求的基础上，每增加</w:t>
            </w:r>
            <w:r>
              <w:rPr>
                <w:color w:val="auto"/>
                <w:spacing w:val="8"/>
                <w:highlight w:val="yellow"/>
                <w:u w:val="single" w:color="auto"/>
              </w:rPr>
              <w:t xml:space="preserve"> </w:t>
            </w:r>
            <w:r>
              <w:rPr>
                <w:rFonts w:hint="eastAsia"/>
                <w:color w:val="auto"/>
                <w:spacing w:val="8"/>
                <w:highlight w:val="yellow"/>
                <w:u w:val="single" w:color="auto"/>
                <w:lang w:val="en-US" w:eastAsia="zh-CN"/>
              </w:rPr>
              <w:t>2</w:t>
            </w:r>
            <w:r>
              <w:rPr>
                <w:color w:val="auto"/>
                <w:spacing w:val="8"/>
                <w:highlight w:val="yellow"/>
                <w:u w:val="single" w:color="auto"/>
              </w:rPr>
              <w:t xml:space="preserve"> </w:t>
            </w:r>
            <w:r>
              <w:rPr>
                <w:color w:val="auto"/>
                <w:spacing w:val="-76"/>
                <w:highlight w:val="none"/>
              </w:rPr>
              <w:t xml:space="preserve"> </w:t>
            </w:r>
            <w:r>
              <w:rPr>
                <w:color w:val="auto"/>
                <w:highlight w:val="none"/>
              </w:rPr>
              <w:t xml:space="preserve">km </w:t>
            </w:r>
            <w:r>
              <w:rPr>
                <w:color w:val="auto"/>
                <w:spacing w:val="6"/>
                <w:highlight w:val="none"/>
              </w:rPr>
              <w:t>（尾数不计）加</w:t>
            </w:r>
            <w:r>
              <w:rPr>
                <w:color w:val="auto"/>
                <w:spacing w:val="6"/>
                <w:highlight w:val="none"/>
                <w:u w:val="single" w:color="auto"/>
              </w:rPr>
              <w:t xml:space="preserve"> </w:t>
            </w:r>
            <w:r>
              <w:rPr>
                <w:rFonts w:hint="eastAsia"/>
                <w:color w:val="auto"/>
                <w:spacing w:val="6"/>
                <w:highlight w:val="none"/>
                <w:u w:val="single" w:color="auto"/>
                <w:lang w:val="en-US" w:eastAsia="zh-CN"/>
              </w:rPr>
              <w:t>1</w:t>
            </w:r>
            <w:r>
              <w:rPr>
                <w:color w:val="auto"/>
                <w:spacing w:val="-85"/>
                <w:highlight w:val="none"/>
              </w:rPr>
              <w:t xml:space="preserve"> </w:t>
            </w:r>
            <w:r>
              <w:rPr>
                <w:color w:val="auto"/>
                <w:spacing w:val="6"/>
                <w:highlight w:val="none"/>
              </w:rPr>
              <w:t>分，最多加</w:t>
            </w:r>
            <w:r>
              <w:rPr>
                <w:color w:val="auto"/>
                <w:spacing w:val="6"/>
                <w:highlight w:val="none"/>
                <w:u w:val="single" w:color="auto"/>
              </w:rPr>
              <w:t xml:space="preserve"> </w:t>
            </w:r>
            <w:r>
              <w:rPr>
                <w:rFonts w:hint="eastAsia"/>
                <w:color w:val="auto"/>
                <w:spacing w:val="6"/>
                <w:highlight w:val="none"/>
                <w:u w:val="single" w:color="auto"/>
                <w:lang w:val="en-US" w:eastAsia="zh-CN"/>
              </w:rPr>
              <w:t>5</w:t>
            </w:r>
            <w:r>
              <w:rPr>
                <w:color w:val="auto"/>
                <w:spacing w:val="6"/>
                <w:highlight w:val="none"/>
                <w:u w:val="single" w:color="auto"/>
              </w:rPr>
              <w:t xml:space="preserve"> </w:t>
            </w:r>
            <w:r>
              <w:rPr>
                <w:color w:val="auto"/>
                <w:spacing w:val="-89"/>
                <w:highlight w:val="none"/>
              </w:rPr>
              <w:t xml:space="preserve"> </w:t>
            </w:r>
            <w:r>
              <w:rPr>
                <w:color w:val="auto"/>
                <w:spacing w:val="6"/>
                <w:highlight w:val="none"/>
              </w:rPr>
              <w:t>分</w:t>
            </w:r>
          </w:p>
        </w:tc>
      </w:tr>
      <w:tr w14:paraId="262F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27" w:type="dxa"/>
            <w:vMerge w:val="continue"/>
            <w:tcBorders>
              <w:right w:val="single" w:color="auto" w:sz="4" w:space="0"/>
            </w:tcBorders>
            <w:vAlign w:val="center"/>
          </w:tcPr>
          <w:p w14:paraId="6CBA7884">
            <w:pPr>
              <w:jc w:val="center"/>
              <w:rPr>
                <w:rFonts w:ascii="Arial"/>
                <w:color w:val="auto"/>
                <w:sz w:val="21"/>
                <w:highlight w:val="none"/>
              </w:rPr>
            </w:pPr>
          </w:p>
        </w:tc>
        <w:tc>
          <w:tcPr>
            <w:tcW w:w="654" w:type="dxa"/>
            <w:gridSpan w:val="2"/>
            <w:vMerge w:val="continue"/>
            <w:tcBorders>
              <w:left w:val="single" w:color="auto" w:sz="4" w:space="0"/>
              <w:right w:val="single" w:color="auto" w:sz="4" w:space="0"/>
            </w:tcBorders>
            <w:vAlign w:val="center"/>
          </w:tcPr>
          <w:p w14:paraId="2EEBE7BB">
            <w:pPr>
              <w:jc w:val="center"/>
              <w:rPr>
                <w:rFonts w:ascii="Arial"/>
                <w:color w:val="auto"/>
                <w:sz w:val="21"/>
                <w:highlight w:val="none"/>
              </w:rPr>
            </w:pPr>
          </w:p>
        </w:tc>
        <w:tc>
          <w:tcPr>
            <w:tcW w:w="519"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1707188">
            <w:pPr>
              <w:pStyle w:val="23"/>
              <w:spacing w:before="65" w:line="351" w:lineRule="auto"/>
              <w:ind w:left="137" w:right="118" w:hanging="15"/>
              <w:jc w:val="center"/>
              <w:rPr>
                <w:color w:val="auto"/>
                <w:spacing w:val="-4"/>
                <w:highlight w:val="none"/>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74F4F16D">
            <w:pPr>
              <w:jc w:val="center"/>
              <w:rPr>
                <w:rFonts w:ascii="Arial"/>
                <w:color w:val="auto"/>
                <w:sz w:val="21"/>
                <w:highlight w:val="none"/>
              </w:rPr>
            </w:pPr>
          </w:p>
        </w:tc>
        <w:tc>
          <w:tcPr>
            <w:tcW w:w="946" w:type="dxa"/>
            <w:tcBorders>
              <w:left w:val="single" w:color="auto" w:sz="4" w:space="0"/>
            </w:tcBorders>
            <w:vAlign w:val="center"/>
          </w:tcPr>
          <w:p w14:paraId="4DB0845F">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13" w:leftChars="6" w:right="34" w:firstLine="0" w:firstLineChars="0"/>
              <w:jc w:val="center"/>
              <w:textAlignment w:val="baseline"/>
              <w:rPr>
                <w:color w:val="auto"/>
                <w:highlight w:val="none"/>
              </w:rPr>
            </w:pPr>
            <w:r>
              <w:rPr>
                <w:color w:val="auto"/>
                <w:spacing w:val="3"/>
                <w:highlight w:val="none"/>
              </w:rPr>
              <w:t>路面</w:t>
            </w:r>
          </w:p>
          <w:p w14:paraId="79E9A5E7">
            <w:pPr>
              <w:pStyle w:val="23"/>
              <w:keepNext w:val="0"/>
              <w:keepLines w:val="0"/>
              <w:pageBreakBefore w:val="0"/>
              <w:widowControl/>
              <w:kinsoku w:val="0"/>
              <w:wordWrap/>
              <w:overflowPunct/>
              <w:topLinePunct w:val="0"/>
              <w:autoSpaceDE w:val="0"/>
              <w:autoSpaceDN w:val="0"/>
              <w:bidi w:val="0"/>
              <w:adjustRightInd w:val="0"/>
              <w:snapToGrid w:val="0"/>
              <w:spacing w:line="214" w:lineRule="auto"/>
              <w:ind w:left="13" w:leftChars="6" w:right="34" w:firstLine="0" w:firstLineChars="0"/>
              <w:jc w:val="center"/>
              <w:textAlignment w:val="baseline"/>
              <w:rPr>
                <w:color w:val="auto"/>
                <w:highlight w:val="none"/>
              </w:rPr>
            </w:pPr>
            <w:r>
              <w:rPr>
                <w:color w:val="auto"/>
                <w:spacing w:val="3"/>
                <w:highlight w:val="none"/>
              </w:rPr>
              <w:t>工程</w:t>
            </w:r>
          </w:p>
        </w:tc>
        <w:tc>
          <w:tcPr>
            <w:tcW w:w="581" w:type="dxa"/>
            <w:vAlign w:val="center"/>
          </w:tcPr>
          <w:p w14:paraId="63AF8F4B">
            <w:pPr>
              <w:pStyle w:val="23"/>
              <w:keepNext w:val="0"/>
              <w:keepLines w:val="0"/>
              <w:pageBreakBefore w:val="0"/>
              <w:widowControl/>
              <w:tabs>
                <w:tab w:val="left" w:pos="240"/>
              </w:tabs>
              <w:kinsoku w:val="0"/>
              <w:wordWrap/>
              <w:overflowPunct/>
              <w:topLinePunct w:val="0"/>
              <w:autoSpaceDE w:val="0"/>
              <w:autoSpaceDN w:val="0"/>
              <w:bidi w:val="0"/>
              <w:adjustRightInd w:val="0"/>
              <w:snapToGrid w:val="0"/>
              <w:spacing w:line="228" w:lineRule="auto"/>
              <w:ind w:left="13" w:leftChars="6" w:right="34" w:firstLine="0" w:firstLineChars="0"/>
              <w:jc w:val="center"/>
              <w:textAlignment w:val="baseline"/>
              <w:rPr>
                <w:color w:val="auto"/>
                <w:highlight w:val="none"/>
              </w:rPr>
            </w:pPr>
            <w:r>
              <w:rPr>
                <w:rFonts w:hint="eastAsia"/>
                <w:color w:val="auto"/>
                <w:highlight w:val="none"/>
                <w:u w:val="single" w:color="auto"/>
                <w:lang w:val="en-US" w:eastAsia="zh-CN"/>
              </w:rPr>
              <w:t>5</w:t>
            </w:r>
            <w:r>
              <w:rPr>
                <w:color w:val="auto"/>
                <w:highlight w:val="none"/>
              </w:rPr>
              <w:t>分</w:t>
            </w:r>
          </w:p>
        </w:tc>
        <w:tc>
          <w:tcPr>
            <w:tcW w:w="4349" w:type="dxa"/>
            <w:gridSpan w:val="3"/>
            <w:vAlign w:val="top"/>
          </w:tcPr>
          <w:p w14:paraId="076320BA">
            <w:pPr>
              <w:pStyle w:val="23"/>
              <w:spacing w:before="141" w:line="283" w:lineRule="auto"/>
              <w:ind w:left="115" w:right="153" w:hanging="10"/>
              <w:rPr>
                <w:color w:val="auto"/>
                <w:highlight w:val="none"/>
              </w:rPr>
            </w:pPr>
            <w:r>
              <w:rPr>
                <w:color w:val="auto"/>
                <w:spacing w:val="8"/>
                <w:highlight w:val="none"/>
              </w:rPr>
              <w:t>在满足业绩最低要求的基础上，每增加</w:t>
            </w:r>
            <w:r>
              <w:rPr>
                <w:color w:val="auto"/>
                <w:spacing w:val="8"/>
                <w:highlight w:val="yellow"/>
                <w:u w:val="single" w:color="auto"/>
              </w:rPr>
              <w:t xml:space="preserve"> </w:t>
            </w:r>
            <w:r>
              <w:rPr>
                <w:rFonts w:hint="eastAsia"/>
                <w:color w:val="auto"/>
                <w:spacing w:val="8"/>
                <w:highlight w:val="yellow"/>
                <w:u w:val="single" w:color="auto"/>
                <w:lang w:val="en-US" w:eastAsia="zh-CN"/>
              </w:rPr>
              <w:t>2</w:t>
            </w:r>
            <w:r>
              <w:rPr>
                <w:color w:val="auto"/>
                <w:spacing w:val="8"/>
                <w:highlight w:val="yellow"/>
                <w:u w:val="single" w:color="auto"/>
              </w:rPr>
              <w:t xml:space="preserve"> </w:t>
            </w:r>
            <w:r>
              <w:rPr>
                <w:color w:val="auto"/>
                <w:highlight w:val="none"/>
              </w:rPr>
              <w:t xml:space="preserve">km </w:t>
            </w:r>
            <w:r>
              <w:rPr>
                <w:color w:val="auto"/>
                <w:spacing w:val="6"/>
                <w:highlight w:val="none"/>
              </w:rPr>
              <w:t>（尾数不计）加</w:t>
            </w:r>
            <w:r>
              <w:rPr>
                <w:color w:val="auto"/>
                <w:spacing w:val="6"/>
                <w:highlight w:val="none"/>
                <w:u w:val="single" w:color="auto"/>
              </w:rPr>
              <w:t xml:space="preserve"> </w:t>
            </w:r>
            <w:r>
              <w:rPr>
                <w:rFonts w:hint="eastAsia"/>
                <w:color w:val="auto"/>
                <w:spacing w:val="6"/>
                <w:highlight w:val="none"/>
                <w:u w:val="single" w:color="auto"/>
                <w:lang w:val="en-US" w:eastAsia="zh-CN"/>
              </w:rPr>
              <w:t>1</w:t>
            </w:r>
            <w:r>
              <w:rPr>
                <w:color w:val="auto"/>
                <w:spacing w:val="6"/>
                <w:highlight w:val="none"/>
                <w:u w:val="single" w:color="auto"/>
              </w:rPr>
              <w:t xml:space="preserve"> </w:t>
            </w:r>
            <w:r>
              <w:rPr>
                <w:color w:val="auto"/>
                <w:spacing w:val="-85"/>
                <w:highlight w:val="none"/>
              </w:rPr>
              <w:t xml:space="preserve"> </w:t>
            </w:r>
            <w:r>
              <w:rPr>
                <w:color w:val="auto"/>
                <w:spacing w:val="6"/>
                <w:highlight w:val="none"/>
              </w:rPr>
              <w:t>分，最多加</w:t>
            </w:r>
            <w:r>
              <w:rPr>
                <w:color w:val="auto"/>
                <w:spacing w:val="6"/>
                <w:highlight w:val="none"/>
                <w:u w:val="single" w:color="auto"/>
              </w:rPr>
              <w:t xml:space="preserve"> </w:t>
            </w:r>
            <w:r>
              <w:rPr>
                <w:rFonts w:hint="eastAsia"/>
                <w:color w:val="auto"/>
                <w:spacing w:val="6"/>
                <w:highlight w:val="none"/>
                <w:u w:val="single" w:color="auto"/>
                <w:lang w:val="en-US" w:eastAsia="zh-CN"/>
              </w:rPr>
              <w:t>5</w:t>
            </w:r>
            <w:r>
              <w:rPr>
                <w:color w:val="auto"/>
                <w:spacing w:val="6"/>
                <w:highlight w:val="none"/>
                <w:u w:val="single" w:color="auto"/>
              </w:rPr>
              <w:t xml:space="preserve"> </w:t>
            </w:r>
            <w:r>
              <w:rPr>
                <w:color w:val="auto"/>
                <w:spacing w:val="-89"/>
                <w:highlight w:val="none"/>
              </w:rPr>
              <w:t xml:space="preserve"> </w:t>
            </w:r>
            <w:r>
              <w:rPr>
                <w:color w:val="auto"/>
                <w:spacing w:val="6"/>
                <w:highlight w:val="none"/>
              </w:rPr>
              <w:t>分</w:t>
            </w:r>
          </w:p>
        </w:tc>
      </w:tr>
      <w:tr w14:paraId="5A2C9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927" w:type="dxa"/>
            <w:vMerge w:val="continue"/>
            <w:tcBorders>
              <w:right w:val="single" w:color="auto" w:sz="4" w:space="0"/>
            </w:tcBorders>
            <w:vAlign w:val="center"/>
          </w:tcPr>
          <w:p w14:paraId="0E4B50ED">
            <w:pPr>
              <w:jc w:val="center"/>
              <w:rPr>
                <w:rFonts w:ascii="Arial"/>
                <w:color w:val="auto"/>
                <w:sz w:val="21"/>
                <w:highlight w:val="none"/>
              </w:rPr>
            </w:pPr>
          </w:p>
        </w:tc>
        <w:tc>
          <w:tcPr>
            <w:tcW w:w="654" w:type="dxa"/>
            <w:gridSpan w:val="2"/>
            <w:vMerge w:val="continue"/>
            <w:tcBorders>
              <w:left w:val="single" w:color="auto" w:sz="4" w:space="0"/>
              <w:bottom w:val="single" w:color="auto" w:sz="4" w:space="0"/>
              <w:right w:val="single" w:color="auto" w:sz="4" w:space="0"/>
            </w:tcBorders>
            <w:vAlign w:val="center"/>
          </w:tcPr>
          <w:p w14:paraId="52DAC2A8">
            <w:pPr>
              <w:jc w:val="center"/>
              <w:rPr>
                <w:rFonts w:ascii="Arial"/>
                <w:color w:val="auto"/>
                <w:sz w:val="21"/>
                <w:highlight w:val="none"/>
              </w:rPr>
            </w:pPr>
          </w:p>
        </w:tc>
        <w:tc>
          <w:tcPr>
            <w:tcW w:w="519" w:type="dxa"/>
            <w:tcBorders>
              <w:top w:val="single" w:color="auto" w:sz="4" w:space="0"/>
              <w:left w:val="single" w:color="auto" w:sz="4" w:space="0"/>
              <w:bottom w:val="single" w:color="auto" w:sz="4" w:space="0"/>
              <w:right w:val="single" w:color="auto" w:sz="4" w:space="0"/>
            </w:tcBorders>
            <w:textDirection w:val="tbRlV"/>
            <w:vAlign w:val="center"/>
          </w:tcPr>
          <w:p w14:paraId="1B261E4F">
            <w:pPr>
              <w:pStyle w:val="23"/>
              <w:spacing w:before="65" w:line="351" w:lineRule="auto"/>
              <w:ind w:left="265" w:right="268" w:firstLine="3"/>
              <w:jc w:val="center"/>
              <w:rPr>
                <w:color w:val="auto"/>
                <w:highlight w:val="none"/>
              </w:rPr>
            </w:pPr>
            <w:r>
              <w:rPr>
                <w:color w:val="auto"/>
                <w:spacing w:val="3"/>
                <w:highlight w:val="none"/>
              </w:rPr>
              <w:t>履 约 信 誉</w:t>
            </w:r>
          </w:p>
        </w:tc>
        <w:tc>
          <w:tcPr>
            <w:tcW w:w="919" w:type="dxa"/>
            <w:tcBorders>
              <w:top w:val="single" w:color="auto" w:sz="4" w:space="0"/>
              <w:left w:val="single" w:color="auto" w:sz="4" w:space="0"/>
              <w:bottom w:val="single" w:color="auto" w:sz="4" w:space="0"/>
              <w:right w:val="single" w:color="auto" w:sz="4" w:space="0"/>
            </w:tcBorders>
            <w:vAlign w:val="center"/>
          </w:tcPr>
          <w:p w14:paraId="5A462197">
            <w:pPr>
              <w:pStyle w:val="23"/>
              <w:tabs>
                <w:tab w:val="left" w:pos="452"/>
              </w:tabs>
              <w:spacing w:before="65" w:line="244" w:lineRule="auto"/>
              <w:ind w:left="138"/>
              <w:jc w:val="center"/>
              <w:rPr>
                <w:color w:val="auto"/>
                <w:sz w:val="10"/>
                <w:szCs w:val="10"/>
                <w:highlight w:val="none"/>
              </w:rPr>
            </w:pPr>
            <w:r>
              <w:rPr>
                <w:rFonts w:hint="eastAsia"/>
                <w:color w:val="auto"/>
                <w:position w:val="-2"/>
                <w:highlight w:val="none"/>
                <w:u w:val="single" w:color="auto"/>
                <w:lang w:val="en-US" w:eastAsia="zh-CN"/>
              </w:rPr>
              <w:t>15</w:t>
            </w:r>
            <w:r>
              <w:rPr>
                <w:color w:val="auto"/>
                <w:spacing w:val="-89"/>
                <w:position w:val="-2"/>
                <w:highlight w:val="none"/>
              </w:rPr>
              <w:t xml:space="preserve"> </w:t>
            </w:r>
            <w:r>
              <w:rPr>
                <w:color w:val="auto"/>
                <w:spacing w:val="2"/>
                <w:position w:val="-2"/>
                <w:highlight w:val="none"/>
              </w:rPr>
              <w:t>分</w:t>
            </w:r>
          </w:p>
        </w:tc>
        <w:tc>
          <w:tcPr>
            <w:tcW w:w="946" w:type="dxa"/>
            <w:tcBorders>
              <w:left w:val="single" w:color="auto" w:sz="4" w:space="0"/>
            </w:tcBorders>
            <w:vAlign w:val="center"/>
          </w:tcPr>
          <w:p w14:paraId="4D2C45E9">
            <w:pPr>
              <w:pStyle w:val="23"/>
              <w:spacing w:before="65" w:line="351" w:lineRule="auto"/>
              <w:ind w:left="265" w:right="268" w:firstLine="3"/>
              <w:jc w:val="center"/>
              <w:rPr>
                <w:color w:val="auto"/>
                <w:highlight w:val="none"/>
              </w:rPr>
            </w:pPr>
            <w:r>
              <w:rPr>
                <w:color w:val="auto"/>
                <w:spacing w:val="3"/>
                <w:highlight w:val="none"/>
              </w:rPr>
              <w:t>履约</w:t>
            </w:r>
            <w:r>
              <w:rPr>
                <w:color w:val="auto"/>
                <w:spacing w:val="4"/>
                <w:highlight w:val="none"/>
              </w:rPr>
              <w:t>信誉</w:t>
            </w:r>
          </w:p>
        </w:tc>
        <w:tc>
          <w:tcPr>
            <w:tcW w:w="581" w:type="dxa"/>
            <w:vAlign w:val="center"/>
          </w:tcPr>
          <w:p w14:paraId="7DAC11CF">
            <w:pPr>
              <w:spacing w:line="250" w:lineRule="auto"/>
              <w:jc w:val="center"/>
              <w:rPr>
                <w:color w:val="auto"/>
                <w:sz w:val="10"/>
                <w:szCs w:val="10"/>
                <w:highlight w:val="none"/>
              </w:rPr>
            </w:pPr>
            <w:r>
              <w:rPr>
                <w:rFonts w:hint="eastAsia" w:ascii="宋体" w:hAnsi="宋体" w:eastAsia="宋体" w:cs="宋体"/>
                <w:snapToGrid w:val="0"/>
                <w:color w:val="auto"/>
                <w:kern w:val="0"/>
                <w:position w:val="-2"/>
                <w:sz w:val="20"/>
                <w:szCs w:val="20"/>
                <w:highlight w:val="none"/>
                <w:u w:val="single" w:color="auto"/>
                <w:lang w:val="en-US" w:eastAsia="zh-CN" w:bidi="ar-SA"/>
              </w:rPr>
              <w:t>15分</w:t>
            </w:r>
          </w:p>
        </w:tc>
        <w:tc>
          <w:tcPr>
            <w:tcW w:w="4349" w:type="dxa"/>
            <w:gridSpan w:val="3"/>
            <w:vAlign w:val="center"/>
          </w:tcPr>
          <w:p w14:paraId="0C0F5425">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1.信用等级分值（ 10 分）</w:t>
            </w:r>
          </w:p>
          <w:p w14:paraId="5813CB8D">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0"/>
                <w:highlight w:val="none"/>
              </w:rPr>
            </w:pPr>
            <w:r>
              <w:rPr>
                <w:color w:val="auto"/>
                <w:spacing w:val="0"/>
                <w:highlight w:val="none"/>
              </w:rPr>
              <w:t>AA、A、B、C 级单位的信用等级分得分分别为10、9.5、8.9、7.3分。</w:t>
            </w:r>
          </w:p>
          <w:p w14:paraId="63143188">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0"/>
                <w:highlight w:val="none"/>
              </w:rPr>
              <w:t>注：信用等级的确定原则遵循投标人须知前附表10.2款的规定。以联合体形式投标的，按联合体成员中等级较低的计算</w:t>
            </w:r>
            <w:r>
              <w:rPr>
                <w:color w:val="auto"/>
                <w:spacing w:val="8"/>
                <w:highlight w:val="none"/>
              </w:rPr>
              <w:t>。</w:t>
            </w:r>
          </w:p>
          <w:p w14:paraId="4E571E37">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2. 履约情况（5 分）</w:t>
            </w:r>
          </w:p>
          <w:p w14:paraId="6B274388">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若没出现下述情形得满分；</w:t>
            </w:r>
          </w:p>
          <w:p w14:paraId="7B332D2F">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投标人因公路工程（含附属设施）质量、安全事故被：</w:t>
            </w:r>
          </w:p>
          <w:p w14:paraId="40D8799B">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（1）交通运输部行政处罚、且在处罚信息公示期内的，扣 2 分/次。</w:t>
            </w:r>
          </w:p>
          <w:p w14:paraId="213D0B14">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（2）广东省交通运输厅行政处罚、且在处罚信息公示期内的，扣 1 分/次。</w:t>
            </w:r>
          </w:p>
          <w:p w14:paraId="455F7011">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（3）（项目涉及各地级以上市）市交通运输局行政处罚、且在处罚信息公示期内的，扣 0.5 分/次。如该项目涉及多个地级以上市的均应扣分 。</w:t>
            </w:r>
          </w:p>
          <w:p w14:paraId="1F9CEA6E">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注：1.处罚信息公示期，是指行政机关将行政处罚决定信息通过信用中国向社会公开的期限； 以投标文件递交截止日 0 时是否位于处罚信息公示期，来判定是否影响相关投标人的履约情况得分，投标文件递交截止日 0 时在处罚信息公示期内应予 以扣分 、否则不予扣分。</w:t>
            </w:r>
          </w:p>
          <w:p w14:paraId="2085BC45">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2.同一事项同时被多个部门行政处罚只按最高的扣分计算 1 次。</w:t>
            </w:r>
          </w:p>
          <w:p w14:paraId="01675171">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3.第 2（3）条款“项目涉及各地级以上市 ”指：本项目（以立项为单位）涉及多个地市，如投标人所投某个标段</w:t>
            </w:r>
            <w:r>
              <w:rPr>
                <w:color w:val="auto"/>
                <w:spacing w:val="8"/>
                <w:highlight w:val="none"/>
              </w:rPr>
              <w:tab/>
            </w:r>
            <w:r>
              <w:rPr>
                <w:color w:val="auto"/>
                <w:spacing w:val="8"/>
                <w:highlight w:val="none"/>
              </w:rPr>
              <w:t>（仅涉及部分地市） ，该标段履约情况按项目（以立项为单位）涉及各地市交通运输局相关行政处罚均应包含。如某项目涉及 A、B、C 三个地级以上市，但标段 3 仅涉及 A 市，该条款履约情况应为 A、B、C 三个地级以上市交通运输局相关行政处罚（而非仅A市交通运输局相关行政处罚） ，且在招标文件编制时明确为“A、B、C 市交通运输局行政处罚、且在处罚信息公示期内的 ”。</w:t>
            </w:r>
          </w:p>
          <w:p w14:paraId="6BD9BB03">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left"/>
              <w:textAlignment w:val="baseline"/>
              <w:rPr>
                <w:color w:val="auto"/>
                <w:spacing w:val="8"/>
                <w:highlight w:val="none"/>
              </w:rPr>
            </w:pPr>
            <w:r>
              <w:rPr>
                <w:color w:val="auto"/>
                <w:spacing w:val="8"/>
                <w:highlight w:val="none"/>
              </w:rPr>
              <w:t>4.如果扣完本项分值，可以从总分中扣。 以联合体形式投标的，若各联合体成员任何一方或均存在上述情形的，对联合体各成员进行累计扣分。</w:t>
            </w:r>
          </w:p>
        </w:tc>
      </w:tr>
      <w:tr w14:paraId="3F0A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895" w:type="dxa"/>
            <w:gridSpan w:val="10"/>
            <w:vAlign w:val="top"/>
          </w:tcPr>
          <w:p w14:paraId="1CC328D7">
            <w:pPr>
              <w:pStyle w:val="23"/>
              <w:spacing w:before="45" w:line="228" w:lineRule="auto"/>
              <w:ind w:left="126"/>
              <w:rPr>
                <w:color w:val="auto"/>
                <w:highlight w:val="none"/>
              </w:rPr>
            </w:pPr>
            <w:bookmarkStart w:id="300" w:name="bookmark132"/>
            <w:bookmarkEnd w:id="300"/>
            <w:bookmarkStart w:id="301" w:name="bookmark131"/>
            <w:bookmarkEnd w:id="301"/>
            <w:r>
              <w:rPr>
                <w:b/>
                <w:bCs/>
                <w:color w:val="auto"/>
                <w:spacing w:val="6"/>
                <w:highlight w:val="none"/>
              </w:rPr>
              <w:t>需要补充的其他内容</w:t>
            </w:r>
          </w:p>
        </w:tc>
      </w:tr>
      <w:tr w14:paraId="3ACE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236" w:type="dxa"/>
            <w:gridSpan w:val="2"/>
            <w:vAlign w:val="top"/>
          </w:tcPr>
          <w:p w14:paraId="7BCA5647">
            <w:pPr>
              <w:pStyle w:val="23"/>
              <w:spacing w:before="72" w:line="228" w:lineRule="auto"/>
              <w:ind w:left="311"/>
              <w:rPr>
                <w:color w:val="auto"/>
                <w:highlight w:val="none"/>
              </w:rPr>
            </w:pPr>
            <w:r>
              <w:rPr>
                <w:color w:val="auto"/>
                <w:spacing w:val="6"/>
                <w:highlight w:val="none"/>
              </w:rPr>
              <w:t>条款号</w:t>
            </w:r>
          </w:p>
        </w:tc>
        <w:tc>
          <w:tcPr>
            <w:tcW w:w="7659" w:type="dxa"/>
            <w:gridSpan w:val="8"/>
            <w:vAlign w:val="top"/>
          </w:tcPr>
          <w:p w14:paraId="06A1AA2A">
            <w:pPr>
              <w:pStyle w:val="23"/>
              <w:spacing w:before="72" w:line="228" w:lineRule="auto"/>
              <w:ind w:left="2992"/>
              <w:rPr>
                <w:color w:val="auto"/>
                <w:highlight w:val="none"/>
              </w:rPr>
            </w:pPr>
            <w:r>
              <w:rPr>
                <w:color w:val="auto"/>
                <w:spacing w:val="8"/>
                <w:highlight w:val="none"/>
              </w:rPr>
              <w:t>补充或修改的内容</w:t>
            </w:r>
          </w:p>
        </w:tc>
      </w:tr>
      <w:tr w14:paraId="7198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36" w:type="dxa"/>
            <w:gridSpan w:val="2"/>
            <w:vAlign w:val="center"/>
          </w:tcPr>
          <w:p w14:paraId="52CABCBE">
            <w:pPr>
              <w:pStyle w:val="23"/>
              <w:keepNext w:val="0"/>
              <w:keepLines w:val="0"/>
              <w:pageBreakBefore w:val="0"/>
              <w:widowControl/>
              <w:kinsoku w:val="0"/>
              <w:wordWrap/>
              <w:overflowPunct/>
              <w:topLinePunct w:val="0"/>
              <w:autoSpaceDE w:val="0"/>
              <w:autoSpaceDN w:val="0"/>
              <w:bidi w:val="0"/>
              <w:adjustRightInd w:val="0"/>
              <w:snapToGrid w:val="0"/>
              <w:spacing w:line="268" w:lineRule="exact"/>
              <w:ind w:left="0" w:firstLine="0" w:firstLineChars="0"/>
              <w:jc w:val="center"/>
              <w:textAlignment w:val="baseline"/>
              <w:rPr>
                <w:rFonts w:hint="default" w:eastAsia="宋体"/>
                <w:color w:val="auto"/>
                <w:spacing w:val="2"/>
                <w:position w:val="1"/>
                <w:highlight w:val="none"/>
                <w:lang w:val="en-US" w:eastAsia="zh-CN"/>
              </w:rPr>
            </w:pPr>
            <w:r>
              <w:rPr>
                <w:rFonts w:hint="eastAsia"/>
                <w:color w:val="auto"/>
                <w:spacing w:val="2"/>
                <w:position w:val="1"/>
                <w:highlight w:val="none"/>
                <w:lang w:val="en-US" w:eastAsia="zh-CN"/>
              </w:rPr>
              <w:t>1.1</w:t>
            </w:r>
          </w:p>
        </w:tc>
        <w:tc>
          <w:tcPr>
            <w:tcW w:w="7659" w:type="dxa"/>
            <w:gridSpan w:val="8"/>
            <w:vAlign w:val="center"/>
          </w:tcPr>
          <w:p w14:paraId="1645982D">
            <w:pPr>
              <w:pStyle w:val="23"/>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color w:val="auto"/>
                <w:spacing w:val="6"/>
                <w:highlight w:val="none"/>
              </w:rPr>
            </w:pPr>
            <w:r>
              <w:rPr>
                <w:rFonts w:hint="eastAsia"/>
                <w:color w:val="auto"/>
                <w:spacing w:val="6"/>
                <w:highlight w:val="none"/>
              </w:rPr>
              <w:t>评标办法前附表正文1.1项内容修改如下：</w:t>
            </w:r>
          </w:p>
          <w:p w14:paraId="2E30072A">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1.1 评标方法</w:t>
            </w:r>
          </w:p>
          <w:p w14:paraId="1005E7CF">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color w:val="auto"/>
                <w:spacing w:val="6"/>
                <w:highlight w:val="none"/>
              </w:rPr>
            </w:pPr>
            <w:r>
              <w:rPr>
                <w:rFonts w:hint="eastAsia"/>
                <w:color w:val="auto"/>
                <w:spacing w:val="6"/>
                <w:highlight w:val="none"/>
              </w:rPr>
              <w:t>本次评标采用双信封的综合评估法。评标委员会对满足招标文件实质性要求的投标文件，按照本章第 2.2 款规定的评分标准进行打分，并将得分前5名不排序（按企业统一社会信用代码后4位由大到小排位）的投标人作为定标候选人推荐给招标人，但投标报价低于其成本的除外。综合评分相等时，评标委员会应按照评标办法前附表规定的优先次序推荐</w:t>
            </w:r>
            <w:r>
              <w:rPr>
                <w:rFonts w:hint="eastAsia"/>
                <w:color w:val="auto"/>
                <w:spacing w:val="6"/>
                <w:highlight w:val="none"/>
                <w:lang w:val="en-US" w:eastAsia="zh-CN"/>
              </w:rPr>
              <w:t>定</w:t>
            </w:r>
            <w:r>
              <w:rPr>
                <w:rFonts w:hint="eastAsia"/>
                <w:color w:val="auto"/>
                <w:spacing w:val="6"/>
                <w:highlight w:val="none"/>
              </w:rPr>
              <w:t>标候选人。</w:t>
            </w:r>
          </w:p>
        </w:tc>
      </w:tr>
      <w:tr w14:paraId="07091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236" w:type="dxa"/>
            <w:gridSpan w:val="2"/>
            <w:vAlign w:val="center"/>
          </w:tcPr>
          <w:p w14:paraId="063BEA1E">
            <w:pPr>
              <w:pStyle w:val="23"/>
              <w:keepNext w:val="0"/>
              <w:keepLines w:val="0"/>
              <w:pageBreakBefore w:val="0"/>
              <w:widowControl/>
              <w:kinsoku w:val="0"/>
              <w:wordWrap/>
              <w:overflowPunct/>
              <w:topLinePunct w:val="0"/>
              <w:autoSpaceDE w:val="0"/>
              <w:autoSpaceDN w:val="0"/>
              <w:bidi w:val="0"/>
              <w:adjustRightInd w:val="0"/>
              <w:snapToGrid w:val="0"/>
              <w:spacing w:line="268" w:lineRule="exact"/>
              <w:ind w:left="0" w:firstLine="0" w:firstLineChars="0"/>
              <w:jc w:val="center"/>
              <w:textAlignment w:val="baseline"/>
              <w:rPr>
                <w:rFonts w:hint="default"/>
                <w:color w:val="auto"/>
                <w:spacing w:val="2"/>
                <w:position w:val="1"/>
                <w:highlight w:val="none"/>
                <w:lang w:val="en-US" w:eastAsia="zh-CN"/>
              </w:rPr>
            </w:pPr>
            <w:r>
              <w:rPr>
                <w:rFonts w:hint="eastAsia"/>
                <w:color w:val="auto"/>
                <w:spacing w:val="2"/>
                <w:position w:val="1"/>
                <w:highlight w:val="none"/>
                <w:lang w:val="en-US" w:eastAsia="zh-CN"/>
              </w:rPr>
              <w:t>1.3</w:t>
            </w:r>
          </w:p>
        </w:tc>
        <w:tc>
          <w:tcPr>
            <w:tcW w:w="7659" w:type="dxa"/>
            <w:gridSpan w:val="8"/>
            <w:vAlign w:val="center"/>
          </w:tcPr>
          <w:p w14:paraId="21B0BAFD">
            <w:pPr>
              <w:pStyle w:val="23"/>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color w:val="auto"/>
                <w:spacing w:val="6"/>
                <w:highlight w:val="none"/>
              </w:rPr>
            </w:pPr>
            <w:r>
              <w:rPr>
                <w:rFonts w:hint="eastAsia"/>
                <w:color w:val="auto"/>
                <w:spacing w:val="6"/>
                <w:highlight w:val="none"/>
              </w:rPr>
              <w:t>评标办法前附表正文1.</w:t>
            </w:r>
            <w:r>
              <w:rPr>
                <w:rFonts w:hint="eastAsia"/>
                <w:color w:val="auto"/>
                <w:spacing w:val="6"/>
                <w:highlight w:val="none"/>
                <w:lang w:val="en-US" w:eastAsia="zh-CN"/>
              </w:rPr>
              <w:t>3</w:t>
            </w:r>
            <w:r>
              <w:rPr>
                <w:rFonts w:hint="eastAsia"/>
                <w:color w:val="auto"/>
                <w:spacing w:val="6"/>
                <w:highlight w:val="none"/>
              </w:rPr>
              <w:t>项内容修改如下：</w:t>
            </w:r>
          </w:p>
          <w:p w14:paraId="4877C8D0">
            <w:pPr>
              <w:keepNext w:val="0"/>
              <w:keepLines w:val="0"/>
              <w:pageBreakBefore w:val="0"/>
              <w:widowControl/>
              <w:kinsoku w:val="0"/>
              <w:wordWrap/>
              <w:overflowPunct/>
              <w:topLinePunct w:val="0"/>
              <w:autoSpaceDE w:val="0"/>
              <w:autoSpaceDN w:val="0"/>
              <w:bidi w:val="0"/>
              <w:adjustRightInd w:val="0"/>
              <w:snapToGrid w:val="0"/>
              <w:spacing w:before="78" w:line="320" w:lineRule="exact"/>
              <w:ind w:left="18"/>
              <w:textAlignment w:val="baseline"/>
              <w:outlineLvl w:val="1"/>
              <w:rPr>
                <w:rFonts w:hint="eastAsia" w:ascii="宋体" w:hAnsi="宋体" w:eastAsia="宋体" w:cs="宋体"/>
                <w:snapToGrid w:val="0"/>
                <w:color w:val="auto"/>
                <w:spacing w:val="6"/>
                <w:kern w:val="0"/>
                <w:sz w:val="20"/>
                <w:szCs w:val="20"/>
                <w:highlight w:val="none"/>
                <w:lang w:val="en-US" w:eastAsia="en-US" w:bidi="ar-SA"/>
              </w:rPr>
            </w:pPr>
            <w:bookmarkStart w:id="302" w:name="_Toc27061"/>
            <w:bookmarkStart w:id="303" w:name="_Toc17372"/>
            <w:r>
              <w:rPr>
                <w:rFonts w:hint="eastAsia" w:ascii="宋体" w:hAnsi="宋体" w:eastAsia="宋体" w:cs="宋体"/>
                <w:snapToGrid w:val="0"/>
                <w:color w:val="auto"/>
                <w:spacing w:val="6"/>
                <w:kern w:val="0"/>
                <w:sz w:val="20"/>
                <w:szCs w:val="20"/>
                <w:highlight w:val="none"/>
                <w:lang w:val="en-US" w:eastAsia="en-US" w:bidi="ar-SA"/>
              </w:rPr>
              <w:t>1.3 评审工作程序</w:t>
            </w:r>
            <w:bookmarkEnd w:id="302"/>
            <w:bookmarkEnd w:id="303"/>
          </w:p>
          <w:p w14:paraId="2A10794F">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（一）第一个信封（商务及技术文件）：</w:t>
            </w:r>
          </w:p>
          <w:p w14:paraId="3069233A">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l、初步评审：包括形式评审与响应性评审、资格评审；</w:t>
            </w:r>
          </w:p>
          <w:p w14:paraId="36F67093">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2、详细评审（评审打分）：评标委员会首先对通过初步评审的投标文件第一个信封（商务及技术文件）进行详细评审，对投标人的监理实施方案、主要人员、其他因素等分别评审打分。</w:t>
            </w:r>
          </w:p>
          <w:p w14:paraId="44C0F25C">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（二）第二个信封（报价文件）：</w:t>
            </w:r>
          </w:p>
          <w:p w14:paraId="27F71528">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1、初步评审：</w:t>
            </w:r>
          </w:p>
          <w:p w14:paraId="38B2CB03">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（1）只有投标文件第一个信封通过详细评审的投标人才能继续参加第二信封报价文件的形式评审与响应性评审；</w:t>
            </w:r>
          </w:p>
          <w:p w14:paraId="2C155333">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（2）报价算术性修正。</w:t>
            </w:r>
          </w:p>
          <w:p w14:paraId="6BF86428">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2、详细评审：计算评标基准价、评标价得分及综合得分：</w:t>
            </w:r>
          </w:p>
          <w:p w14:paraId="6D91859C">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（三）投标文件相关信息的核查。</w:t>
            </w:r>
          </w:p>
          <w:p w14:paraId="2788B4DB">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w:t>
            </w:r>
            <w:r>
              <w:rPr>
                <w:rFonts w:hint="eastAsia"/>
                <w:color w:val="auto"/>
                <w:spacing w:val="6"/>
                <w:highlight w:val="none"/>
                <w:lang w:val="en-US" w:eastAsia="zh-CN"/>
              </w:rPr>
              <w:t>四</w:t>
            </w:r>
            <w:r>
              <w:rPr>
                <w:rFonts w:hint="eastAsia"/>
                <w:color w:val="auto"/>
                <w:spacing w:val="6"/>
                <w:highlight w:val="none"/>
              </w:rPr>
              <w:t>）投标文件的澄清和说明(如有)。</w:t>
            </w:r>
          </w:p>
          <w:p w14:paraId="5C1943CF">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（五）按评标办法规定推荐</w:t>
            </w:r>
            <w:r>
              <w:rPr>
                <w:rFonts w:hint="eastAsia"/>
                <w:color w:val="auto"/>
                <w:spacing w:val="6"/>
                <w:highlight w:val="none"/>
                <w:lang w:val="en-US" w:eastAsia="zh-CN"/>
              </w:rPr>
              <w:t>定</w:t>
            </w:r>
            <w:r>
              <w:rPr>
                <w:rFonts w:hint="eastAsia"/>
                <w:color w:val="auto"/>
                <w:spacing w:val="6"/>
                <w:highlight w:val="none"/>
              </w:rPr>
              <w:t>标候选人，编写评标报告。</w:t>
            </w:r>
          </w:p>
        </w:tc>
      </w:tr>
      <w:tr w14:paraId="22E9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236" w:type="dxa"/>
            <w:gridSpan w:val="2"/>
            <w:vAlign w:val="center"/>
          </w:tcPr>
          <w:p w14:paraId="00F76C80">
            <w:pPr>
              <w:pStyle w:val="23"/>
              <w:keepNext w:val="0"/>
              <w:keepLines w:val="0"/>
              <w:pageBreakBefore w:val="0"/>
              <w:widowControl/>
              <w:kinsoku w:val="0"/>
              <w:wordWrap/>
              <w:overflowPunct/>
              <w:topLinePunct w:val="0"/>
              <w:autoSpaceDE w:val="0"/>
              <w:autoSpaceDN w:val="0"/>
              <w:bidi w:val="0"/>
              <w:adjustRightInd w:val="0"/>
              <w:snapToGrid w:val="0"/>
              <w:spacing w:line="268" w:lineRule="exact"/>
              <w:ind w:left="0" w:firstLine="0" w:firstLineChars="0"/>
              <w:jc w:val="center"/>
              <w:textAlignment w:val="baseline"/>
              <w:rPr>
                <w:color w:val="auto"/>
                <w:highlight w:val="none"/>
              </w:rPr>
            </w:pPr>
            <w:r>
              <w:rPr>
                <w:color w:val="auto"/>
                <w:spacing w:val="2"/>
                <w:position w:val="1"/>
                <w:highlight w:val="none"/>
              </w:rPr>
              <w:t>3.2.3</w:t>
            </w:r>
          </w:p>
        </w:tc>
        <w:tc>
          <w:tcPr>
            <w:tcW w:w="7659" w:type="dxa"/>
            <w:gridSpan w:val="8"/>
            <w:vAlign w:val="center"/>
          </w:tcPr>
          <w:p w14:paraId="6A078368">
            <w:pPr>
              <w:pStyle w:val="23"/>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color w:val="auto"/>
                <w:highlight w:val="none"/>
              </w:rPr>
            </w:pPr>
            <w:r>
              <w:rPr>
                <w:color w:val="auto"/>
                <w:spacing w:val="6"/>
                <w:highlight w:val="none"/>
              </w:rPr>
              <w:t>3.2.3</w:t>
            </w:r>
            <w:r>
              <w:rPr>
                <w:color w:val="auto"/>
                <w:spacing w:val="-28"/>
                <w:highlight w:val="none"/>
              </w:rPr>
              <w:t xml:space="preserve"> </w:t>
            </w:r>
            <w:r>
              <w:rPr>
                <w:color w:val="auto"/>
                <w:spacing w:val="6"/>
                <w:highlight w:val="none"/>
              </w:rPr>
              <w:t>款明确取消其中</w:t>
            </w:r>
            <w:r>
              <w:rPr>
                <w:color w:val="auto"/>
                <w:spacing w:val="-21"/>
                <w:highlight w:val="none"/>
              </w:rPr>
              <w:t xml:space="preserve"> </w:t>
            </w:r>
            <w:r>
              <w:rPr>
                <w:color w:val="auto"/>
                <w:spacing w:val="6"/>
                <w:highlight w:val="none"/>
              </w:rPr>
              <w:t>1</w:t>
            </w:r>
            <w:r>
              <w:rPr>
                <w:color w:val="auto"/>
                <w:spacing w:val="-36"/>
                <w:highlight w:val="none"/>
              </w:rPr>
              <w:t xml:space="preserve"> </w:t>
            </w:r>
            <w:r>
              <w:rPr>
                <w:color w:val="auto"/>
                <w:spacing w:val="6"/>
                <w:highlight w:val="none"/>
              </w:rPr>
              <w:t>名评委所有评分的办法明确为：办法</w:t>
            </w:r>
            <w:r>
              <w:rPr>
                <w:color w:val="auto"/>
                <w:spacing w:val="-97"/>
                <w:highlight w:val="none"/>
              </w:rPr>
              <w:t xml:space="preserve"> </w:t>
            </w:r>
            <w:r>
              <w:rPr>
                <w:color w:val="auto"/>
                <w:spacing w:val="6"/>
                <w:highlight w:val="none"/>
                <w:u w:val="single" w:color="auto"/>
              </w:rPr>
              <w:t xml:space="preserve">  </w:t>
            </w:r>
            <w:r>
              <w:rPr>
                <w:rFonts w:hint="eastAsia"/>
                <w:color w:val="auto"/>
                <w:spacing w:val="6"/>
                <w:highlight w:val="none"/>
                <w:u w:val="single" w:color="auto"/>
                <w:lang w:val="en-US" w:eastAsia="zh-CN"/>
              </w:rPr>
              <w:t xml:space="preserve">一 </w:t>
            </w:r>
            <w:r>
              <w:rPr>
                <w:color w:val="auto"/>
                <w:spacing w:val="6"/>
                <w:highlight w:val="none"/>
                <w:u w:val="single" w:color="auto"/>
              </w:rPr>
              <w:t xml:space="preserve">  </w:t>
            </w:r>
            <w:r>
              <w:rPr>
                <w:color w:val="auto"/>
                <w:spacing w:val="6"/>
                <w:highlight w:val="none"/>
              </w:rPr>
              <w:t>。</w:t>
            </w:r>
          </w:p>
        </w:tc>
      </w:tr>
      <w:tr w14:paraId="3B9F1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36" w:type="dxa"/>
            <w:gridSpan w:val="2"/>
            <w:vAlign w:val="center"/>
          </w:tcPr>
          <w:p w14:paraId="4FC977F5">
            <w:pPr>
              <w:pStyle w:val="23"/>
              <w:keepNext w:val="0"/>
              <w:keepLines w:val="0"/>
              <w:pageBreakBefore w:val="0"/>
              <w:widowControl/>
              <w:kinsoku w:val="0"/>
              <w:wordWrap/>
              <w:overflowPunct/>
              <w:topLinePunct w:val="0"/>
              <w:autoSpaceDE w:val="0"/>
              <w:autoSpaceDN w:val="0"/>
              <w:bidi w:val="0"/>
              <w:adjustRightInd w:val="0"/>
              <w:snapToGrid w:val="0"/>
              <w:spacing w:line="268" w:lineRule="exact"/>
              <w:ind w:left="0" w:firstLine="0" w:firstLineChars="0"/>
              <w:jc w:val="center"/>
              <w:textAlignment w:val="baseline"/>
              <w:rPr>
                <w:rFonts w:hint="default" w:eastAsia="宋体"/>
                <w:color w:val="auto"/>
                <w:spacing w:val="2"/>
                <w:position w:val="1"/>
                <w:highlight w:val="none"/>
                <w:lang w:val="en-US" w:eastAsia="zh-CN"/>
              </w:rPr>
            </w:pPr>
            <w:r>
              <w:rPr>
                <w:rFonts w:hint="eastAsia"/>
                <w:color w:val="auto"/>
                <w:spacing w:val="2"/>
                <w:position w:val="1"/>
                <w:highlight w:val="none"/>
                <w:lang w:val="en-US" w:eastAsia="zh-CN"/>
              </w:rPr>
              <w:t>3.9</w:t>
            </w:r>
          </w:p>
        </w:tc>
        <w:tc>
          <w:tcPr>
            <w:tcW w:w="7659" w:type="dxa"/>
            <w:gridSpan w:val="8"/>
            <w:vAlign w:val="center"/>
          </w:tcPr>
          <w:p w14:paraId="410F7E69">
            <w:pPr>
              <w:pStyle w:val="23"/>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color w:val="auto"/>
                <w:spacing w:val="6"/>
                <w:highlight w:val="none"/>
              </w:rPr>
            </w:pPr>
            <w:r>
              <w:rPr>
                <w:rFonts w:hint="eastAsia"/>
                <w:color w:val="auto"/>
                <w:spacing w:val="6"/>
                <w:highlight w:val="none"/>
              </w:rPr>
              <w:t>评标办法前附表正文</w:t>
            </w:r>
            <w:r>
              <w:rPr>
                <w:rFonts w:hint="eastAsia"/>
                <w:color w:val="auto"/>
                <w:spacing w:val="6"/>
                <w:highlight w:val="none"/>
                <w:lang w:val="en-US" w:eastAsia="zh-CN"/>
              </w:rPr>
              <w:t>3</w:t>
            </w:r>
            <w:r>
              <w:rPr>
                <w:rFonts w:hint="eastAsia"/>
                <w:color w:val="auto"/>
                <w:spacing w:val="6"/>
                <w:highlight w:val="none"/>
              </w:rPr>
              <w:t>.</w:t>
            </w:r>
            <w:r>
              <w:rPr>
                <w:rFonts w:hint="eastAsia"/>
                <w:color w:val="auto"/>
                <w:spacing w:val="6"/>
                <w:highlight w:val="none"/>
                <w:lang w:val="en-US" w:eastAsia="zh-CN"/>
              </w:rPr>
              <w:t>9</w:t>
            </w:r>
            <w:r>
              <w:rPr>
                <w:rFonts w:hint="eastAsia"/>
                <w:color w:val="auto"/>
                <w:spacing w:val="6"/>
                <w:highlight w:val="none"/>
              </w:rPr>
              <w:t>项内容修改如下：</w:t>
            </w:r>
          </w:p>
          <w:p w14:paraId="0B5A5EF7">
            <w:pPr>
              <w:pStyle w:val="23"/>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color w:val="auto"/>
                <w:spacing w:val="6"/>
                <w:highlight w:val="none"/>
              </w:rPr>
            </w:pPr>
            <w:r>
              <w:rPr>
                <w:rFonts w:hint="eastAsia"/>
                <w:color w:val="auto"/>
                <w:spacing w:val="6"/>
                <w:highlight w:val="none"/>
              </w:rPr>
              <w:t>3.9 评标结果</w:t>
            </w:r>
          </w:p>
          <w:p w14:paraId="2F9B81D5">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3.9.1 除第二章“投标人须知 ”前附表授权直接确定中标人外，评标委员会按照得分按企业统一社会信用代码后4位由大到小排位推荐定标候选人</w:t>
            </w:r>
            <w:r>
              <w:rPr>
                <w:rFonts w:hint="eastAsia"/>
                <w:color w:val="auto"/>
                <w:spacing w:val="6"/>
                <w:highlight w:val="none"/>
                <w:lang w:eastAsia="zh-CN"/>
              </w:rPr>
              <w:t>，</w:t>
            </w:r>
            <w:r>
              <w:rPr>
                <w:rFonts w:hint="eastAsia" w:ascii="宋体" w:hAnsi="宋体" w:eastAsia="宋体" w:cs="宋体"/>
                <w:b w:val="0"/>
                <w:bCs w:val="0"/>
                <w:color w:val="auto"/>
                <w:spacing w:val="9"/>
                <w:sz w:val="21"/>
                <w:szCs w:val="21"/>
                <w:highlight w:val="none"/>
                <w:lang w:eastAsia="zh-CN"/>
              </w:rPr>
              <w:t>并对每个定标候选人的优势、风险等评审情况进行说明。定标候选人得分只作为评标委员会的推荐依据，不作为定标委员会对中标候选人排序的依据。</w:t>
            </w:r>
          </w:p>
          <w:p w14:paraId="2EEE43F6">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3.9.2 评标委员会完成评标后，应向招标人提交评标报告。</w:t>
            </w:r>
          </w:p>
          <w:p w14:paraId="2EB9987E">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3.9.3 通过第一个信封商务和技术文件评审的投标人少于 3 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w:t>
            </w:r>
            <w:r>
              <w:rPr>
                <w:rFonts w:hint="eastAsia"/>
                <w:color w:val="auto"/>
                <w:spacing w:val="6"/>
                <w:highlight w:val="none"/>
                <w:lang w:val="en-US" w:eastAsia="zh-CN"/>
              </w:rPr>
              <w:t>定</w:t>
            </w:r>
            <w:r>
              <w:rPr>
                <w:rFonts w:hint="eastAsia"/>
                <w:color w:val="auto"/>
                <w:spacing w:val="6"/>
                <w:highlight w:val="none"/>
              </w:rPr>
              <w:t>标候选人。</w:t>
            </w:r>
          </w:p>
          <w:p w14:paraId="3AEF5165">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3.9.4 通过第一个信封商务和技术文件评审的投标人在 3 个及以上的，招标人应当按照招标文件规定的程序进行第二个信封报价文件开标；在对报价文件进行评审后，有效投标不足 3 个的，评标委员会可以否决全部投标。未否决全部投标的，评标委员会应当在评标报告中阐明理由并推荐</w:t>
            </w:r>
            <w:r>
              <w:rPr>
                <w:rFonts w:hint="eastAsia"/>
                <w:color w:val="auto"/>
                <w:spacing w:val="6"/>
                <w:highlight w:val="none"/>
                <w:lang w:val="en-US" w:eastAsia="zh-CN"/>
              </w:rPr>
              <w:t>定</w:t>
            </w:r>
            <w:r>
              <w:rPr>
                <w:rFonts w:hint="eastAsia"/>
                <w:color w:val="auto"/>
                <w:spacing w:val="6"/>
                <w:highlight w:val="none"/>
              </w:rPr>
              <w:t>标候选人。</w:t>
            </w:r>
          </w:p>
          <w:p w14:paraId="7087BD94">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3.9.5 如果发生无法确定推荐</w:t>
            </w:r>
            <w:r>
              <w:rPr>
                <w:rFonts w:hint="eastAsia"/>
                <w:color w:val="auto"/>
                <w:spacing w:val="6"/>
                <w:highlight w:val="none"/>
                <w:lang w:val="en-US" w:eastAsia="zh-CN"/>
              </w:rPr>
              <w:t>定</w:t>
            </w:r>
            <w:r>
              <w:rPr>
                <w:rFonts w:hint="eastAsia"/>
                <w:color w:val="auto"/>
                <w:spacing w:val="6"/>
                <w:highlight w:val="none"/>
              </w:rPr>
              <w:t>标候选人的其他意外情况，评标委员会可建议招标人重新招标。</w:t>
            </w:r>
          </w:p>
          <w:p w14:paraId="54906936">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3.9.6 本招标文件规定的否决投标条款包含在以下条款：</w:t>
            </w:r>
          </w:p>
          <w:p w14:paraId="4EC2F2C7">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（1）投标人须知前附表后附录资格审查条件；</w:t>
            </w:r>
          </w:p>
          <w:p w14:paraId="23A61471">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（2）投标人须知 1.4.3 项、1.4.4 项、1.4.5 项、1.12.2 项、3.4.2 项、3.5 项、 3.6.1 项；</w:t>
            </w:r>
          </w:p>
          <w:p w14:paraId="23218D52">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rFonts w:hint="eastAsia"/>
                <w:color w:val="auto"/>
                <w:spacing w:val="6"/>
                <w:highlight w:val="none"/>
              </w:rPr>
            </w:pPr>
            <w:r>
              <w:rPr>
                <w:rFonts w:hint="eastAsia"/>
                <w:color w:val="auto"/>
                <w:spacing w:val="6"/>
                <w:highlight w:val="none"/>
              </w:rPr>
              <w:t>（3）本评标办法的否决条款。</w:t>
            </w:r>
          </w:p>
          <w:p w14:paraId="01892054">
            <w:pPr>
              <w:pStyle w:val="23"/>
              <w:keepNext w:val="0"/>
              <w:keepLines w:val="0"/>
              <w:pageBreakBefore w:val="0"/>
              <w:widowControl/>
              <w:kinsoku w:val="0"/>
              <w:wordWrap/>
              <w:overflowPunct/>
              <w:topLinePunct w:val="0"/>
              <w:autoSpaceDE w:val="0"/>
              <w:autoSpaceDN w:val="0"/>
              <w:bidi w:val="0"/>
              <w:adjustRightInd w:val="0"/>
              <w:snapToGrid w:val="0"/>
              <w:spacing w:line="320" w:lineRule="exact"/>
              <w:ind w:left="0" w:firstLine="424" w:firstLineChars="200"/>
              <w:jc w:val="both"/>
              <w:textAlignment w:val="baseline"/>
              <w:rPr>
                <w:color w:val="auto"/>
                <w:spacing w:val="6"/>
                <w:highlight w:val="none"/>
              </w:rPr>
            </w:pPr>
          </w:p>
        </w:tc>
      </w:tr>
    </w:tbl>
    <w:p w14:paraId="0DEC840E">
      <w:pPr>
        <w:spacing w:line="220" w:lineRule="auto"/>
        <w:rPr>
          <w:rFonts w:ascii="宋体" w:hAnsi="宋体" w:eastAsia="宋体" w:cs="宋体"/>
          <w:color w:val="auto"/>
          <w:sz w:val="18"/>
          <w:szCs w:val="18"/>
          <w:highlight w:val="none"/>
        </w:rPr>
        <w:sectPr>
          <w:footerReference r:id="rId21" w:type="default"/>
          <w:pgSz w:w="11906" w:h="16839"/>
          <w:pgMar w:top="1416" w:right="1701" w:bottom="1297" w:left="1304" w:header="0" w:footer="1067" w:gutter="0"/>
          <w:pgNumType w:fmt="decimal"/>
          <w:cols w:space="720" w:num="1"/>
        </w:sectPr>
      </w:pPr>
      <w:bookmarkStart w:id="304" w:name="bookmark133"/>
      <w:bookmarkEnd w:id="304"/>
    </w:p>
    <w:p w14:paraId="0828E820">
      <w:pPr>
        <w:spacing w:before="63" w:line="224" w:lineRule="auto"/>
        <w:ind w:left="302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评标办法正文</w:t>
      </w:r>
    </w:p>
    <w:p w14:paraId="1422A010">
      <w:pPr>
        <w:spacing w:before="270" w:line="221" w:lineRule="auto"/>
        <w:ind w:left="30"/>
        <w:outlineLvl w:val="0"/>
        <w:rPr>
          <w:rFonts w:ascii="宋体" w:hAnsi="宋体" w:eastAsia="宋体" w:cs="宋体"/>
          <w:color w:val="auto"/>
          <w:sz w:val="28"/>
          <w:szCs w:val="28"/>
          <w:highlight w:val="none"/>
        </w:rPr>
      </w:pPr>
      <w:bookmarkStart w:id="305" w:name="_Toc8415"/>
      <w:bookmarkStart w:id="306" w:name="_Toc15327"/>
      <w:r>
        <w:rPr>
          <w:rFonts w:ascii="宋体" w:hAnsi="宋体" w:eastAsia="宋体" w:cs="宋体"/>
          <w:b/>
          <w:bCs/>
          <w:color w:val="auto"/>
          <w:spacing w:val="-7"/>
          <w:sz w:val="28"/>
          <w:szCs w:val="28"/>
          <w:highlight w:val="none"/>
        </w:rPr>
        <w:t>1.</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7"/>
          <w:sz w:val="28"/>
          <w:szCs w:val="28"/>
          <w:highlight w:val="none"/>
        </w:rPr>
        <w:t>评标方法</w:t>
      </w:r>
      <w:bookmarkEnd w:id="305"/>
      <w:bookmarkEnd w:id="306"/>
    </w:p>
    <w:p w14:paraId="351C8F1E">
      <w:pPr>
        <w:spacing w:line="266" w:lineRule="auto"/>
        <w:rPr>
          <w:rFonts w:ascii="Arial"/>
          <w:color w:val="auto"/>
          <w:sz w:val="21"/>
          <w:highlight w:val="none"/>
        </w:rPr>
      </w:pPr>
    </w:p>
    <w:p w14:paraId="58CAFAB0">
      <w:pPr>
        <w:spacing w:before="78" w:line="220" w:lineRule="auto"/>
        <w:ind w:left="26"/>
        <w:outlineLvl w:val="1"/>
        <w:rPr>
          <w:rFonts w:ascii="宋体" w:hAnsi="宋体" w:eastAsia="宋体" w:cs="宋体"/>
          <w:color w:val="auto"/>
          <w:sz w:val="24"/>
          <w:szCs w:val="24"/>
          <w:highlight w:val="none"/>
        </w:rPr>
      </w:pPr>
      <w:bookmarkStart w:id="307" w:name="_Toc18716"/>
      <w:bookmarkStart w:id="308" w:name="_Toc28771"/>
      <w:bookmarkStart w:id="309" w:name="_Toc22095"/>
      <w:bookmarkStart w:id="310" w:name="_Toc15937"/>
      <w:r>
        <w:rPr>
          <w:rFonts w:ascii="宋体" w:hAnsi="宋体" w:eastAsia="宋体" w:cs="宋体"/>
          <w:b/>
          <w:bCs/>
          <w:color w:val="auto"/>
          <w:spacing w:val="-7"/>
          <w:sz w:val="24"/>
          <w:szCs w:val="24"/>
          <w:highlight w:val="none"/>
        </w:rPr>
        <w:t>1.1</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7"/>
          <w:sz w:val="24"/>
          <w:szCs w:val="24"/>
          <w:highlight w:val="none"/>
        </w:rPr>
        <w:t>评标方法</w:t>
      </w:r>
      <w:bookmarkEnd w:id="307"/>
      <w:bookmarkEnd w:id="308"/>
      <w:bookmarkEnd w:id="309"/>
      <w:bookmarkEnd w:id="310"/>
    </w:p>
    <w:p w14:paraId="5A711D04">
      <w:pPr>
        <w:spacing w:before="51" w:line="360" w:lineRule="auto"/>
        <w:ind w:left="9"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本次评标采用双信封的综合评估法。评标委员会对满足招标文件实质性要求的投</w:t>
      </w:r>
      <w:r>
        <w:rPr>
          <w:rFonts w:ascii="宋体" w:hAnsi="宋体" w:eastAsia="宋体" w:cs="宋体"/>
          <w:color w:val="auto"/>
          <w:spacing w:val="4"/>
          <w:sz w:val="24"/>
          <w:szCs w:val="24"/>
          <w:highlight w:val="none"/>
        </w:rPr>
        <w:t>标文件，按照本章第</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2.2</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款规定的评分标准进行打分，并按得分由高</w:t>
      </w:r>
      <w:r>
        <w:rPr>
          <w:rFonts w:ascii="宋体" w:hAnsi="宋体" w:eastAsia="宋体" w:cs="宋体"/>
          <w:color w:val="auto"/>
          <w:spacing w:val="3"/>
          <w:sz w:val="24"/>
          <w:szCs w:val="24"/>
          <w:highlight w:val="none"/>
        </w:rPr>
        <w:t>到低顺序推荐中</w:t>
      </w:r>
      <w:r>
        <w:rPr>
          <w:rFonts w:ascii="宋体" w:hAnsi="宋体" w:eastAsia="宋体" w:cs="宋体"/>
          <w:color w:val="auto"/>
          <w:spacing w:val="5"/>
          <w:sz w:val="24"/>
          <w:szCs w:val="24"/>
          <w:highlight w:val="none"/>
        </w:rPr>
        <w:t>标候选人，但投标报价低于其成本的除外。综合评分相等时，评标委员会</w:t>
      </w:r>
      <w:r>
        <w:rPr>
          <w:rFonts w:ascii="宋体" w:hAnsi="宋体" w:eastAsia="宋体" w:cs="宋体"/>
          <w:color w:val="auto"/>
          <w:spacing w:val="4"/>
          <w:sz w:val="24"/>
          <w:szCs w:val="24"/>
          <w:highlight w:val="none"/>
        </w:rPr>
        <w:t>应按照评标</w:t>
      </w:r>
      <w:r>
        <w:rPr>
          <w:rFonts w:ascii="宋体" w:hAnsi="宋体" w:eastAsia="宋体" w:cs="宋体"/>
          <w:color w:val="auto"/>
          <w:spacing w:val="-1"/>
          <w:sz w:val="24"/>
          <w:szCs w:val="24"/>
          <w:highlight w:val="none"/>
        </w:rPr>
        <w:t>办法前附表规定的优先次序推荐中标候选人或确定中标人。</w:t>
      </w:r>
    </w:p>
    <w:p w14:paraId="42005E4E">
      <w:pPr>
        <w:spacing w:before="137" w:line="220" w:lineRule="auto"/>
        <w:ind w:left="26"/>
        <w:outlineLvl w:val="1"/>
        <w:rPr>
          <w:rFonts w:ascii="宋体" w:hAnsi="宋体" w:eastAsia="宋体" w:cs="宋体"/>
          <w:color w:val="auto"/>
          <w:sz w:val="24"/>
          <w:szCs w:val="24"/>
          <w:highlight w:val="none"/>
        </w:rPr>
      </w:pPr>
      <w:bookmarkStart w:id="311" w:name="_Toc27624"/>
      <w:bookmarkStart w:id="312" w:name="_Toc4898"/>
      <w:bookmarkStart w:id="313" w:name="_Toc27353"/>
      <w:bookmarkStart w:id="314" w:name="_Toc7588"/>
      <w:r>
        <w:rPr>
          <w:rFonts w:ascii="宋体" w:hAnsi="宋体" w:eastAsia="宋体" w:cs="宋体"/>
          <w:b/>
          <w:bCs/>
          <w:color w:val="auto"/>
          <w:spacing w:val="-7"/>
          <w:sz w:val="24"/>
          <w:szCs w:val="24"/>
          <w:highlight w:val="none"/>
        </w:rPr>
        <w:t>1.2</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7"/>
          <w:sz w:val="24"/>
          <w:szCs w:val="24"/>
          <w:highlight w:val="none"/>
        </w:rPr>
        <w:t>评标组织</w:t>
      </w:r>
      <w:bookmarkEnd w:id="311"/>
      <w:bookmarkEnd w:id="312"/>
      <w:bookmarkEnd w:id="313"/>
      <w:bookmarkEnd w:id="314"/>
    </w:p>
    <w:p w14:paraId="4528E392">
      <w:pPr>
        <w:spacing w:before="53" w:line="220"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1.2.1</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协助工作组</w:t>
      </w:r>
    </w:p>
    <w:p w14:paraId="6CCC4F53">
      <w:pPr>
        <w:spacing w:before="181" w:line="359" w:lineRule="auto"/>
        <w:ind w:left="8"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招标人可在评标工作开始前成立协助工作组，选派熟悉招标工作、政治素质高的人员组成，协助评标委员会工作。协助工作组人员的具体数量由招标人视评</w:t>
      </w:r>
      <w:r>
        <w:rPr>
          <w:rFonts w:ascii="宋体" w:hAnsi="宋体" w:eastAsia="宋体" w:cs="宋体"/>
          <w:color w:val="auto"/>
          <w:spacing w:val="4"/>
          <w:sz w:val="24"/>
          <w:szCs w:val="24"/>
          <w:highlight w:val="none"/>
        </w:rPr>
        <w:t>标工作量</w:t>
      </w:r>
      <w:r>
        <w:rPr>
          <w:rFonts w:ascii="宋体" w:hAnsi="宋体" w:eastAsia="宋体" w:cs="宋体"/>
          <w:color w:val="auto"/>
          <w:spacing w:val="-4"/>
          <w:sz w:val="24"/>
          <w:szCs w:val="24"/>
          <w:highlight w:val="none"/>
        </w:rPr>
        <w:t>确定。</w:t>
      </w:r>
    </w:p>
    <w:p w14:paraId="1B0CF348">
      <w:pPr>
        <w:spacing w:before="1" w:line="218"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招标人可以协助评标委员会开展下列工作并提供相关信息：</w:t>
      </w:r>
    </w:p>
    <w:p w14:paraId="2D99785F">
      <w:pPr>
        <w:spacing w:before="181"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（1）根据招标文件，编制评标使用的相应表格；</w:t>
      </w:r>
    </w:p>
    <w:p w14:paraId="2CC90CA1">
      <w:pPr>
        <w:spacing w:before="183" w:line="218"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（2）对投标报价进行算术性校核；</w:t>
      </w:r>
    </w:p>
    <w:p w14:paraId="2C1BD94E">
      <w:pPr>
        <w:spacing w:before="182" w:line="290" w:lineRule="auto"/>
        <w:ind w:left="12"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（3）以评标标准和方法为依据，列出投标文件相对于招标文件的所有偏差，并进</w:t>
      </w:r>
      <w:r>
        <w:rPr>
          <w:rFonts w:ascii="宋体" w:hAnsi="宋体" w:eastAsia="宋体" w:cs="宋体"/>
          <w:color w:val="auto"/>
          <w:spacing w:val="-3"/>
          <w:sz w:val="24"/>
          <w:szCs w:val="24"/>
          <w:highlight w:val="none"/>
        </w:rPr>
        <w:t>行归类汇总；</w:t>
      </w:r>
    </w:p>
    <w:p w14:paraId="23A2766A">
      <w:pPr>
        <w:spacing w:before="146" w:line="321" w:lineRule="auto"/>
        <w:ind w:left="10"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（4）查询全国公路建设市场监督管理系统</w:t>
      </w:r>
      <w:r>
        <w:rPr>
          <w:rFonts w:ascii="宋体" w:hAnsi="宋体" w:eastAsia="宋体" w:cs="宋体"/>
          <w:color w:val="auto"/>
          <w:spacing w:val="-26"/>
          <w:position w:val="12"/>
          <w:sz w:val="12"/>
          <w:szCs w:val="12"/>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67"/>
          <w:sz w:val="24"/>
          <w:szCs w:val="24"/>
          <w:highlight w:val="none"/>
        </w:rPr>
        <w:t xml:space="preserve"> </w:t>
      </w:r>
      <w:r>
        <w:rPr>
          <w:rFonts w:ascii="宋体" w:hAnsi="宋体" w:eastAsia="宋体" w:cs="宋体"/>
          <w:color w:val="auto"/>
          <w:spacing w:val="2"/>
          <w:sz w:val="24"/>
          <w:szCs w:val="24"/>
          <w:highlight w:val="none"/>
        </w:rPr>
        <w:t>对投标人的资质、业绩、主</w:t>
      </w:r>
      <w:r>
        <w:rPr>
          <w:rFonts w:ascii="宋体" w:hAnsi="宋体" w:eastAsia="宋体" w:cs="宋体"/>
          <w:color w:val="auto"/>
          <w:spacing w:val="1"/>
          <w:sz w:val="24"/>
          <w:szCs w:val="24"/>
          <w:highlight w:val="none"/>
        </w:rPr>
        <w:t>要人员</w:t>
      </w:r>
      <w:r>
        <w:rPr>
          <w:rFonts w:ascii="宋体" w:hAnsi="宋体" w:eastAsia="宋体" w:cs="宋体"/>
          <w:color w:val="auto"/>
          <w:spacing w:val="5"/>
          <w:sz w:val="24"/>
          <w:szCs w:val="24"/>
          <w:highlight w:val="none"/>
        </w:rPr>
        <w:t>资历和目前在岗情况、信用等级进行核实（如有）。在投标截止当天查</w:t>
      </w:r>
      <w:r>
        <w:rPr>
          <w:rFonts w:ascii="宋体" w:hAnsi="宋体" w:eastAsia="宋体" w:cs="宋体"/>
          <w:color w:val="auto"/>
          <w:spacing w:val="4"/>
          <w:sz w:val="24"/>
          <w:szCs w:val="24"/>
          <w:highlight w:val="none"/>
        </w:rPr>
        <w:t>询投标人在信</w:t>
      </w:r>
      <w:r>
        <w:rPr>
          <w:rFonts w:ascii="宋体" w:hAnsi="宋体" w:eastAsia="宋体" w:cs="宋体"/>
          <w:color w:val="auto"/>
          <w:spacing w:val="-1"/>
          <w:sz w:val="24"/>
          <w:szCs w:val="24"/>
          <w:highlight w:val="none"/>
        </w:rPr>
        <w:t>用中国中的行政处罚公示信息，并提交评标委员会。</w:t>
      </w:r>
    </w:p>
    <w:p w14:paraId="7A83B400">
      <w:pPr>
        <w:spacing w:before="184" w:line="359" w:lineRule="auto"/>
        <w:ind w:left="7"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招标人不得对投标文件作出任何评价，不得故意遗漏或者片面摘录，不得在评标</w:t>
      </w:r>
      <w:r>
        <w:rPr>
          <w:rFonts w:ascii="宋体" w:hAnsi="宋体" w:eastAsia="宋体" w:cs="宋体"/>
          <w:color w:val="auto"/>
          <w:spacing w:val="-1"/>
          <w:sz w:val="24"/>
          <w:szCs w:val="24"/>
          <w:highlight w:val="none"/>
        </w:rPr>
        <w:t>委员会对所有偏差定性之前透露存有偏差的投标人名称。</w:t>
      </w:r>
    </w:p>
    <w:p w14:paraId="0C2C9887">
      <w:pPr>
        <w:spacing w:before="1" w:line="218"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1.2.2</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评标委员会</w:t>
      </w:r>
    </w:p>
    <w:p w14:paraId="046F0558">
      <w:pPr>
        <w:spacing w:before="184" w:line="359" w:lineRule="auto"/>
        <w:ind w:left="9"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评标委员会由招标人按国家、广东省等的有关规定依法组建。评标委员人数参见</w:t>
      </w:r>
      <w:r>
        <w:rPr>
          <w:rFonts w:ascii="宋体" w:hAnsi="宋体" w:eastAsia="宋体" w:cs="宋体"/>
          <w:color w:val="auto"/>
          <w:sz w:val="24"/>
          <w:szCs w:val="24"/>
          <w:highlight w:val="none"/>
        </w:rPr>
        <w:t>本招标文件“投标人须知前附表第6.1.1</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款</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”。评标委员会的主要工作内容包括：</w:t>
      </w:r>
    </w:p>
    <w:p w14:paraId="4BD068A8">
      <w:pPr>
        <w:spacing w:before="2" w:line="288" w:lineRule="auto"/>
        <w:ind w:left="9"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（1）评标委员会开始评标工作之前，首先听取招标人、协助工作组关于工程情况</w:t>
      </w:r>
      <w:r>
        <w:rPr>
          <w:rFonts w:ascii="宋体" w:hAnsi="宋体" w:eastAsia="宋体" w:cs="宋体"/>
          <w:color w:val="auto"/>
          <w:sz w:val="24"/>
          <w:szCs w:val="24"/>
          <w:highlight w:val="none"/>
        </w:rPr>
        <w:t>和辅助工作的说明，并认真研读招标文件，获取评</w:t>
      </w:r>
      <w:r>
        <w:rPr>
          <w:rFonts w:ascii="宋体" w:hAnsi="宋体" w:eastAsia="宋体" w:cs="宋体"/>
          <w:color w:val="auto"/>
          <w:spacing w:val="-1"/>
          <w:sz w:val="24"/>
          <w:szCs w:val="24"/>
          <w:highlight w:val="none"/>
        </w:rPr>
        <w:t>标所需的重要信息和数据；</w:t>
      </w:r>
    </w:p>
    <w:p w14:paraId="3EB5F22E">
      <w:pPr>
        <w:spacing w:before="182" w:line="219" w:lineRule="auto"/>
        <w:ind w:left="499"/>
        <w:rPr>
          <w:rFonts w:ascii="宋体" w:hAnsi="宋体" w:eastAsia="宋体" w:cs="宋体"/>
          <w:color w:val="auto"/>
          <w:sz w:val="24"/>
          <w:szCs w:val="24"/>
          <w:highlight w:val="none"/>
        </w:rPr>
      </w:pPr>
      <w:bookmarkStart w:id="315" w:name="bookmark136"/>
      <w:bookmarkEnd w:id="315"/>
      <w:r>
        <w:rPr>
          <w:rFonts w:ascii="宋体" w:hAnsi="宋体" w:eastAsia="宋体" w:cs="宋体"/>
          <w:color w:val="auto"/>
          <w:spacing w:val="-1"/>
          <w:sz w:val="24"/>
          <w:szCs w:val="24"/>
          <w:highlight w:val="none"/>
        </w:rPr>
        <w:t>（2）对协助工作组提供的评标工作用表和评标内容进行核查。</w:t>
      </w:r>
    </w:p>
    <w:p w14:paraId="6CD44E1B">
      <w:pPr>
        <w:spacing w:line="258" w:lineRule="auto"/>
        <w:rPr>
          <w:rFonts w:ascii="Arial"/>
          <w:color w:val="auto"/>
          <w:sz w:val="21"/>
          <w:highlight w:val="none"/>
        </w:rPr>
      </w:pPr>
    </w:p>
    <w:p w14:paraId="671B6DDC">
      <w:pPr>
        <w:spacing w:line="220" w:lineRule="auto"/>
        <w:rPr>
          <w:rFonts w:ascii="宋体" w:hAnsi="宋体" w:eastAsia="宋体" w:cs="宋体"/>
          <w:color w:val="auto"/>
          <w:sz w:val="18"/>
          <w:szCs w:val="18"/>
          <w:highlight w:val="none"/>
        </w:rPr>
        <w:sectPr>
          <w:footerReference r:id="rId22" w:type="default"/>
          <w:pgSz w:w="11906" w:h="16839"/>
          <w:pgMar w:top="1403" w:right="1417" w:bottom="1297" w:left="1417" w:header="0" w:footer="1066" w:gutter="0"/>
          <w:pgNumType w:fmt="decimal"/>
          <w:cols w:space="720" w:num="1"/>
        </w:sectPr>
      </w:pPr>
    </w:p>
    <w:p w14:paraId="68BB3F77">
      <w:pPr>
        <w:spacing w:before="48"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（3）按照以下</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1.3</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款程序进行各项评审工作。</w:t>
      </w:r>
    </w:p>
    <w:p w14:paraId="2D718BEF">
      <w:pPr>
        <w:spacing w:line="245" w:lineRule="auto"/>
        <w:rPr>
          <w:rFonts w:ascii="Arial"/>
          <w:color w:val="auto"/>
          <w:sz w:val="21"/>
          <w:highlight w:val="none"/>
        </w:rPr>
      </w:pPr>
    </w:p>
    <w:p w14:paraId="08CD0586">
      <w:pPr>
        <w:spacing w:before="78" w:line="220" w:lineRule="auto"/>
        <w:ind w:left="18"/>
        <w:outlineLvl w:val="1"/>
        <w:rPr>
          <w:rFonts w:ascii="宋体" w:hAnsi="宋体" w:eastAsia="宋体" w:cs="宋体"/>
          <w:color w:val="auto"/>
          <w:sz w:val="24"/>
          <w:szCs w:val="24"/>
          <w:highlight w:val="none"/>
        </w:rPr>
      </w:pPr>
      <w:bookmarkStart w:id="316" w:name="_Toc20558"/>
      <w:bookmarkStart w:id="317" w:name="_Toc26677"/>
      <w:bookmarkStart w:id="318" w:name="_Toc21759"/>
      <w:bookmarkStart w:id="319" w:name="_Toc117"/>
      <w:r>
        <w:rPr>
          <w:rFonts w:ascii="宋体" w:hAnsi="宋体" w:eastAsia="宋体" w:cs="宋体"/>
          <w:b/>
          <w:bCs/>
          <w:color w:val="auto"/>
          <w:spacing w:val="-6"/>
          <w:sz w:val="24"/>
          <w:szCs w:val="24"/>
          <w:highlight w:val="none"/>
        </w:rPr>
        <w:t>1.3</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6"/>
          <w:sz w:val="24"/>
          <w:szCs w:val="24"/>
          <w:highlight w:val="none"/>
        </w:rPr>
        <w:t>评审工作程序</w:t>
      </w:r>
      <w:bookmarkEnd w:id="316"/>
      <w:bookmarkEnd w:id="317"/>
      <w:bookmarkEnd w:id="318"/>
      <w:bookmarkEnd w:id="319"/>
    </w:p>
    <w:p w14:paraId="13FBA181">
      <w:pPr>
        <w:spacing w:before="50"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（一）第一个信封（商务及技术文件</w:t>
      </w:r>
      <w:r>
        <w:rPr>
          <w:rFonts w:ascii="宋体" w:hAnsi="宋体" w:eastAsia="宋体" w:cs="宋体"/>
          <w:color w:val="auto"/>
          <w:spacing w:val="5"/>
          <w:sz w:val="24"/>
          <w:szCs w:val="24"/>
          <w:highlight w:val="none"/>
        </w:rPr>
        <w:t>）：</w:t>
      </w:r>
    </w:p>
    <w:p w14:paraId="1F2EBDBE">
      <w:pPr>
        <w:spacing w:before="183"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l、初步评审：包括形式评审与响应性评审、资格评审；</w:t>
      </w:r>
    </w:p>
    <w:p w14:paraId="0A4E8534">
      <w:pPr>
        <w:spacing w:before="182" w:line="312" w:lineRule="auto"/>
        <w:ind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2、详细评审（评审打分</w:t>
      </w:r>
      <w:r>
        <w:rPr>
          <w:rFonts w:ascii="宋体" w:hAnsi="宋体" w:eastAsia="宋体" w:cs="宋体"/>
          <w:color w:val="auto"/>
          <w:spacing w:val="12"/>
          <w:sz w:val="24"/>
          <w:szCs w:val="24"/>
          <w:highlight w:val="none"/>
        </w:rPr>
        <w:t>）：</w:t>
      </w:r>
      <w:r>
        <w:rPr>
          <w:rFonts w:ascii="宋体" w:hAnsi="宋体" w:eastAsia="宋体" w:cs="宋体"/>
          <w:color w:val="auto"/>
          <w:spacing w:val="1"/>
          <w:sz w:val="24"/>
          <w:szCs w:val="24"/>
          <w:highlight w:val="none"/>
        </w:rPr>
        <w:t>评标委员会首先对通过初步评审的投标文件第一个信</w:t>
      </w:r>
      <w:r>
        <w:rPr>
          <w:rFonts w:ascii="宋体" w:hAnsi="宋体" w:eastAsia="宋体" w:cs="宋体"/>
          <w:color w:val="auto"/>
          <w:spacing w:val="5"/>
          <w:sz w:val="24"/>
          <w:szCs w:val="24"/>
          <w:highlight w:val="none"/>
        </w:rPr>
        <w:t>封（商务及技术文件）进行详细评审，对投标人的监理实施方案、主要人员、</w:t>
      </w:r>
      <w:r>
        <w:rPr>
          <w:rFonts w:ascii="宋体" w:hAnsi="宋体" w:eastAsia="宋体" w:cs="宋体"/>
          <w:color w:val="auto"/>
          <w:spacing w:val="4"/>
          <w:sz w:val="24"/>
          <w:szCs w:val="24"/>
          <w:highlight w:val="none"/>
        </w:rPr>
        <w:t>其他因</w:t>
      </w:r>
      <w:r>
        <w:rPr>
          <w:rFonts w:ascii="宋体" w:hAnsi="宋体" w:eastAsia="宋体" w:cs="宋体"/>
          <w:color w:val="auto"/>
          <w:spacing w:val="-1"/>
          <w:sz w:val="24"/>
          <w:szCs w:val="24"/>
          <w:highlight w:val="none"/>
        </w:rPr>
        <w:t>素等分别评审打分。</w:t>
      </w:r>
    </w:p>
    <w:p w14:paraId="0007BBE7">
      <w:pPr>
        <w:spacing w:before="182"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（二）第二个信封（报价文件</w:t>
      </w:r>
      <w:r>
        <w:rPr>
          <w:rFonts w:ascii="宋体" w:hAnsi="宋体" w:eastAsia="宋体" w:cs="宋体"/>
          <w:color w:val="auto"/>
          <w:spacing w:val="2"/>
          <w:sz w:val="24"/>
          <w:szCs w:val="24"/>
          <w:highlight w:val="none"/>
        </w:rPr>
        <w:t>）：</w:t>
      </w:r>
    </w:p>
    <w:p w14:paraId="42828E03">
      <w:pPr>
        <w:spacing w:before="182" w:line="219" w:lineRule="auto"/>
        <w:ind w:left="6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1、初步评审：</w:t>
      </w:r>
    </w:p>
    <w:p w14:paraId="79860363">
      <w:pPr>
        <w:spacing w:before="183" w:line="289" w:lineRule="auto"/>
        <w:ind w:left="2"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（1）只有投标文件第一个信封通过详细评审的投标人才能继续参加第二信封报价</w:t>
      </w:r>
      <w:r>
        <w:rPr>
          <w:rFonts w:ascii="宋体" w:hAnsi="宋体" w:eastAsia="宋体" w:cs="宋体"/>
          <w:color w:val="auto"/>
          <w:spacing w:val="-1"/>
          <w:sz w:val="24"/>
          <w:szCs w:val="24"/>
          <w:highlight w:val="none"/>
        </w:rPr>
        <w:t>文件的形式评审与响应性评审；</w:t>
      </w:r>
    </w:p>
    <w:p w14:paraId="293E794E">
      <w:pPr>
        <w:spacing w:before="182"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（2）报价算术性修正。</w:t>
      </w:r>
    </w:p>
    <w:p w14:paraId="212B7828">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2、详细评审：计算评标基准价、评标价得分及综合得分：</w:t>
      </w:r>
    </w:p>
    <w:p w14:paraId="61B2FB6C">
      <w:pPr>
        <w:spacing w:before="18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（三）投标文件相关信息的核查。</w:t>
      </w:r>
    </w:p>
    <w:p w14:paraId="4260B51A">
      <w:pPr>
        <w:spacing w:before="183" w:line="219" w:lineRule="auto"/>
        <w:ind w:left="5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(四)投标文件的澄清和说明(如有)。</w:t>
      </w:r>
    </w:p>
    <w:p w14:paraId="7D458B3D">
      <w:pPr>
        <w:spacing w:before="180"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（五）按评标办法规定推荐中标候选人，编写评标报告。</w:t>
      </w:r>
    </w:p>
    <w:p w14:paraId="17BDA856">
      <w:pPr>
        <w:spacing w:before="190" w:line="221" w:lineRule="auto"/>
        <w:ind w:left="5"/>
        <w:outlineLvl w:val="0"/>
        <w:rPr>
          <w:rFonts w:ascii="宋体" w:hAnsi="宋体" w:eastAsia="宋体" w:cs="宋体"/>
          <w:color w:val="auto"/>
          <w:sz w:val="28"/>
          <w:szCs w:val="28"/>
          <w:highlight w:val="none"/>
        </w:rPr>
      </w:pPr>
      <w:bookmarkStart w:id="320" w:name="_Toc21251"/>
      <w:bookmarkStart w:id="321" w:name="_Toc7546"/>
      <w:r>
        <w:rPr>
          <w:rFonts w:ascii="宋体" w:hAnsi="宋体" w:eastAsia="宋体" w:cs="宋体"/>
          <w:b/>
          <w:bCs/>
          <w:color w:val="auto"/>
          <w:spacing w:val="-4"/>
          <w:sz w:val="28"/>
          <w:szCs w:val="28"/>
          <w:highlight w:val="none"/>
        </w:rPr>
        <w:t>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评审标准</w:t>
      </w:r>
      <w:bookmarkEnd w:id="320"/>
      <w:bookmarkEnd w:id="321"/>
    </w:p>
    <w:p w14:paraId="502697F9">
      <w:pPr>
        <w:spacing w:line="266" w:lineRule="auto"/>
        <w:rPr>
          <w:rFonts w:ascii="Arial"/>
          <w:color w:val="auto"/>
          <w:sz w:val="21"/>
          <w:highlight w:val="none"/>
        </w:rPr>
      </w:pPr>
    </w:p>
    <w:p w14:paraId="36B1092E">
      <w:pPr>
        <w:spacing w:before="79" w:line="219" w:lineRule="auto"/>
        <w:ind w:left="3"/>
        <w:outlineLvl w:val="1"/>
        <w:rPr>
          <w:rFonts w:ascii="宋体" w:hAnsi="宋体" w:eastAsia="宋体" w:cs="宋体"/>
          <w:color w:val="auto"/>
          <w:sz w:val="24"/>
          <w:szCs w:val="24"/>
          <w:highlight w:val="none"/>
        </w:rPr>
      </w:pPr>
      <w:bookmarkStart w:id="322" w:name="_Toc25581"/>
      <w:bookmarkStart w:id="323" w:name="_Toc8597"/>
      <w:bookmarkStart w:id="324" w:name="_Toc15114"/>
      <w:bookmarkStart w:id="325" w:name="_Toc23263"/>
      <w:r>
        <w:rPr>
          <w:rFonts w:ascii="宋体" w:hAnsi="宋体" w:eastAsia="宋体" w:cs="宋体"/>
          <w:b/>
          <w:bCs/>
          <w:color w:val="auto"/>
          <w:spacing w:val="-3"/>
          <w:sz w:val="24"/>
          <w:szCs w:val="24"/>
          <w:highlight w:val="none"/>
        </w:rPr>
        <w:t>2.1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初步评审标准</w:t>
      </w:r>
      <w:bookmarkEnd w:id="322"/>
      <w:bookmarkEnd w:id="323"/>
      <w:bookmarkEnd w:id="324"/>
      <w:bookmarkEnd w:id="325"/>
    </w:p>
    <w:p w14:paraId="3FFA0899">
      <w:pPr>
        <w:spacing w:before="51"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2.1.1 形式评审标准：见评标办法前附表。</w:t>
      </w:r>
    </w:p>
    <w:p w14:paraId="71F549D5">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2.1.2 资格评审标准：见评标办法前附表</w:t>
      </w:r>
      <w:r>
        <w:rPr>
          <w:rFonts w:ascii="宋体" w:hAnsi="宋体" w:eastAsia="宋体" w:cs="宋体"/>
          <w:color w:val="auto"/>
          <w:spacing w:val="-1"/>
          <w:sz w:val="24"/>
          <w:szCs w:val="24"/>
          <w:highlight w:val="none"/>
        </w:rPr>
        <w:t>（适用于未进行资格预审的）。</w:t>
      </w:r>
    </w:p>
    <w:p w14:paraId="3CBFAC68">
      <w:pPr>
        <w:spacing w:before="183" w:line="289" w:lineRule="auto"/>
        <w:ind w:left="12" w:firstLine="47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2.1.2 资格评审标准：见资格预审文件第三章“</w:t>
      </w:r>
      <w:r>
        <w:rPr>
          <w:rFonts w:ascii="宋体" w:hAnsi="宋体" w:eastAsia="宋体" w:cs="宋体"/>
          <w:color w:val="auto"/>
          <w:spacing w:val="-81"/>
          <w:sz w:val="24"/>
          <w:szCs w:val="24"/>
          <w:highlight w:val="none"/>
        </w:rPr>
        <w:t xml:space="preserve"> </w:t>
      </w:r>
      <w:r>
        <w:rPr>
          <w:rFonts w:ascii="宋体" w:hAnsi="宋体" w:eastAsia="宋体" w:cs="宋体"/>
          <w:color w:val="auto"/>
          <w:spacing w:val="9"/>
          <w:sz w:val="24"/>
          <w:szCs w:val="24"/>
          <w:highlight w:val="none"/>
        </w:rPr>
        <w:t>资格审查办法</w:t>
      </w:r>
      <w:r>
        <w:rPr>
          <w:rFonts w:ascii="宋体" w:hAnsi="宋体" w:eastAsia="宋体" w:cs="宋体"/>
          <w:color w:val="auto"/>
          <w:spacing w:val="-74"/>
          <w:sz w:val="24"/>
          <w:szCs w:val="24"/>
          <w:highlight w:val="none"/>
        </w:rPr>
        <w:t xml:space="preserve"> </w:t>
      </w:r>
      <w:r>
        <w:rPr>
          <w:rFonts w:ascii="宋体" w:hAnsi="宋体" w:eastAsia="宋体" w:cs="宋体"/>
          <w:color w:val="auto"/>
          <w:spacing w:val="9"/>
          <w:sz w:val="24"/>
          <w:szCs w:val="24"/>
          <w:highlight w:val="none"/>
        </w:rPr>
        <w:t>”详细审查标准</w:t>
      </w:r>
      <w:r>
        <w:rPr>
          <w:rFonts w:ascii="宋体" w:hAnsi="宋体" w:eastAsia="宋体" w:cs="宋体"/>
          <w:color w:val="auto"/>
          <w:spacing w:val="-2"/>
          <w:sz w:val="24"/>
          <w:szCs w:val="24"/>
          <w:highlight w:val="none"/>
        </w:rPr>
        <w:t>（适用于已进行资格预审的）。</w:t>
      </w:r>
    </w:p>
    <w:p w14:paraId="5C004BF4">
      <w:pPr>
        <w:spacing w:before="182"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2.1.3 响应性评审标准：见评标办法前附表。</w:t>
      </w:r>
    </w:p>
    <w:p w14:paraId="073B0352">
      <w:pPr>
        <w:spacing w:line="246" w:lineRule="auto"/>
        <w:rPr>
          <w:rFonts w:ascii="Arial"/>
          <w:color w:val="auto"/>
          <w:sz w:val="21"/>
          <w:highlight w:val="none"/>
        </w:rPr>
      </w:pPr>
    </w:p>
    <w:p w14:paraId="68A16F7D">
      <w:pPr>
        <w:spacing w:before="79" w:line="219" w:lineRule="auto"/>
        <w:ind w:left="3"/>
        <w:outlineLvl w:val="1"/>
        <w:rPr>
          <w:rFonts w:ascii="宋体" w:hAnsi="宋体" w:eastAsia="宋体" w:cs="宋体"/>
          <w:color w:val="auto"/>
          <w:sz w:val="24"/>
          <w:szCs w:val="24"/>
          <w:highlight w:val="none"/>
        </w:rPr>
      </w:pPr>
      <w:bookmarkStart w:id="326" w:name="_Toc30904"/>
      <w:bookmarkStart w:id="327" w:name="_Toc23303"/>
      <w:bookmarkStart w:id="328" w:name="_Toc27330"/>
      <w:bookmarkStart w:id="329" w:name="_Toc16096"/>
      <w:r>
        <w:rPr>
          <w:rFonts w:ascii="宋体" w:hAnsi="宋体" w:eastAsia="宋体" w:cs="宋体"/>
          <w:b/>
          <w:bCs/>
          <w:color w:val="auto"/>
          <w:spacing w:val="-3"/>
          <w:sz w:val="24"/>
          <w:szCs w:val="24"/>
          <w:highlight w:val="none"/>
        </w:rPr>
        <w:t>2.2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分值构成与评分标准</w:t>
      </w:r>
      <w:bookmarkEnd w:id="326"/>
      <w:bookmarkEnd w:id="327"/>
      <w:bookmarkEnd w:id="328"/>
      <w:bookmarkEnd w:id="329"/>
    </w:p>
    <w:p w14:paraId="593A34B5">
      <w:pPr>
        <w:spacing w:before="51"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2.2.1 分值构成</w:t>
      </w:r>
    </w:p>
    <w:p w14:paraId="333B46D8">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（1）技术建议书：见评标办法前附表；</w:t>
      </w:r>
    </w:p>
    <w:p w14:paraId="13E2CCD6">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（2）主要人员：见评标办法前附表；</w:t>
      </w:r>
    </w:p>
    <w:p w14:paraId="0293F0CA">
      <w:pPr>
        <w:spacing w:before="184"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（3）评标价：见评标办法前附表；</w:t>
      </w:r>
    </w:p>
    <w:p w14:paraId="73BA293C">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（4）其他评分因素：见评标办法前附表。</w:t>
      </w:r>
    </w:p>
    <w:p w14:paraId="3690FA7F">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 评标基准价计算</w:t>
      </w:r>
    </w:p>
    <w:p w14:paraId="09BD717F">
      <w:pPr>
        <w:spacing w:line="218" w:lineRule="auto"/>
        <w:rPr>
          <w:rFonts w:ascii="宋体" w:hAnsi="宋体" w:eastAsia="宋体" w:cs="宋体"/>
          <w:color w:val="auto"/>
          <w:sz w:val="24"/>
          <w:szCs w:val="24"/>
          <w:highlight w:val="none"/>
        </w:rPr>
        <w:sectPr>
          <w:footerReference r:id="rId23" w:type="default"/>
          <w:pgSz w:w="11906" w:h="16839"/>
          <w:pgMar w:top="1405" w:right="1418" w:bottom="1297" w:left="1424" w:header="0" w:footer="1066" w:gutter="0"/>
          <w:pgNumType w:fmt="decimal"/>
          <w:cols w:space="720" w:num="1"/>
        </w:sectPr>
      </w:pPr>
    </w:p>
    <w:p w14:paraId="0B893E6C">
      <w:pPr>
        <w:spacing w:before="47" w:line="218"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评标基准价计算方法：见评标办法前附表。</w:t>
      </w:r>
    </w:p>
    <w:p w14:paraId="1672FFA1">
      <w:pPr>
        <w:spacing w:before="182" w:line="218" w:lineRule="auto"/>
        <w:ind w:left="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2.2.3 评标价的偏差率计算</w:t>
      </w:r>
    </w:p>
    <w:p w14:paraId="7DD76CAA">
      <w:pPr>
        <w:spacing w:before="184" w:line="218"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评标价的偏差率计算公式：见评标办法前附表。</w:t>
      </w:r>
    </w:p>
    <w:p w14:paraId="64691A94">
      <w:pPr>
        <w:spacing w:before="182" w:line="220"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2.2.4 评分标准</w:t>
      </w:r>
    </w:p>
    <w:p w14:paraId="1E53CFB9">
      <w:pPr>
        <w:spacing w:before="181"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（1）技术建议书评分标准：见评标办法前附表；</w:t>
      </w:r>
    </w:p>
    <w:p w14:paraId="633E9610">
      <w:pPr>
        <w:spacing w:before="181"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（2）主要人员评分标准：见评标办法前附表；</w:t>
      </w:r>
    </w:p>
    <w:p w14:paraId="65D01239">
      <w:pPr>
        <w:spacing w:before="183" w:line="218"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（3）评标价评分标准：见评标办法前附表；</w:t>
      </w:r>
    </w:p>
    <w:p w14:paraId="522029D4">
      <w:pPr>
        <w:spacing w:before="182"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（4）其他因素评分标准：见评标办法前附表。</w:t>
      </w:r>
    </w:p>
    <w:p w14:paraId="5516409F">
      <w:pPr>
        <w:spacing w:before="189" w:line="221" w:lineRule="auto"/>
        <w:ind w:left="19"/>
        <w:outlineLvl w:val="0"/>
        <w:rPr>
          <w:rFonts w:ascii="宋体" w:hAnsi="宋体" w:eastAsia="宋体" w:cs="宋体"/>
          <w:color w:val="auto"/>
          <w:sz w:val="28"/>
          <w:szCs w:val="28"/>
          <w:highlight w:val="none"/>
        </w:rPr>
      </w:pPr>
      <w:bookmarkStart w:id="330" w:name="_Toc443"/>
      <w:bookmarkStart w:id="331" w:name="_Toc23095"/>
      <w:r>
        <w:rPr>
          <w:rFonts w:ascii="宋体" w:hAnsi="宋体" w:eastAsia="宋体" w:cs="宋体"/>
          <w:b/>
          <w:bCs/>
          <w:color w:val="auto"/>
          <w:spacing w:val="-5"/>
          <w:sz w:val="28"/>
          <w:szCs w:val="28"/>
          <w:highlight w:val="none"/>
        </w:rPr>
        <w:t>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评标程序</w:t>
      </w:r>
      <w:bookmarkEnd w:id="330"/>
      <w:bookmarkEnd w:id="331"/>
    </w:p>
    <w:p w14:paraId="40DBB304">
      <w:pPr>
        <w:spacing w:line="266" w:lineRule="auto"/>
        <w:rPr>
          <w:rFonts w:ascii="Arial"/>
          <w:color w:val="auto"/>
          <w:sz w:val="21"/>
          <w:highlight w:val="none"/>
        </w:rPr>
      </w:pPr>
    </w:p>
    <w:p w14:paraId="73A80F84">
      <w:pPr>
        <w:spacing w:before="79" w:line="219" w:lineRule="auto"/>
        <w:ind w:left="16"/>
        <w:outlineLvl w:val="1"/>
        <w:rPr>
          <w:rFonts w:ascii="宋体" w:hAnsi="宋体" w:eastAsia="宋体" w:cs="宋体"/>
          <w:color w:val="auto"/>
          <w:sz w:val="24"/>
          <w:szCs w:val="24"/>
          <w:highlight w:val="none"/>
        </w:rPr>
      </w:pPr>
      <w:bookmarkStart w:id="332" w:name="_Toc11992"/>
      <w:bookmarkStart w:id="333" w:name="_Toc11759"/>
      <w:bookmarkStart w:id="334" w:name="_Toc20856"/>
      <w:bookmarkStart w:id="335" w:name="_Toc26503"/>
      <w:r>
        <w:rPr>
          <w:rFonts w:ascii="宋体" w:hAnsi="宋体" w:eastAsia="宋体" w:cs="宋体"/>
          <w:b/>
          <w:bCs/>
          <w:color w:val="auto"/>
          <w:spacing w:val="-3"/>
          <w:sz w:val="24"/>
          <w:szCs w:val="24"/>
          <w:highlight w:val="none"/>
        </w:rPr>
        <w:t>3.1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第一个信封初步评审</w:t>
      </w:r>
      <w:bookmarkEnd w:id="332"/>
      <w:bookmarkEnd w:id="333"/>
      <w:bookmarkEnd w:id="334"/>
      <w:bookmarkEnd w:id="335"/>
    </w:p>
    <w:p w14:paraId="553530F1">
      <w:pPr>
        <w:spacing w:before="52" w:line="324" w:lineRule="auto"/>
        <w:ind w:left="12" w:right="2" w:firstLine="48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3.1.1 评标委员会可以要求投标人提交第二章“投标人须知</w:t>
      </w:r>
      <w:r>
        <w:rPr>
          <w:rFonts w:ascii="宋体" w:hAnsi="宋体" w:eastAsia="宋体" w:cs="宋体"/>
          <w:color w:val="auto"/>
          <w:spacing w:val="-74"/>
          <w:sz w:val="24"/>
          <w:szCs w:val="24"/>
          <w:highlight w:val="none"/>
        </w:rPr>
        <w:t xml:space="preserve"> </w:t>
      </w:r>
      <w:r>
        <w:rPr>
          <w:rFonts w:ascii="宋体" w:hAnsi="宋体" w:eastAsia="宋体" w:cs="宋体"/>
          <w:color w:val="auto"/>
          <w:spacing w:val="8"/>
          <w:sz w:val="24"/>
          <w:szCs w:val="24"/>
          <w:highlight w:val="none"/>
        </w:rPr>
        <w:t>”第</w:t>
      </w:r>
      <w:r>
        <w:rPr>
          <w:rFonts w:ascii="宋体" w:hAnsi="宋体" w:eastAsia="宋体" w:cs="宋体"/>
          <w:color w:val="auto"/>
          <w:spacing w:val="-29"/>
          <w:sz w:val="24"/>
          <w:szCs w:val="24"/>
          <w:highlight w:val="none"/>
        </w:rPr>
        <w:t xml:space="preserve"> </w:t>
      </w:r>
      <w:r>
        <w:rPr>
          <w:rFonts w:ascii="宋体" w:hAnsi="宋体" w:eastAsia="宋体" w:cs="宋体"/>
          <w:color w:val="auto"/>
          <w:spacing w:val="8"/>
          <w:sz w:val="24"/>
          <w:szCs w:val="24"/>
          <w:highlight w:val="none"/>
        </w:rPr>
        <w:t>3.5.1</w:t>
      </w:r>
      <w:r>
        <w:rPr>
          <w:rFonts w:ascii="宋体" w:hAnsi="宋体" w:eastAsia="宋体" w:cs="宋体"/>
          <w:color w:val="auto"/>
          <w:spacing w:val="-33"/>
          <w:sz w:val="24"/>
          <w:szCs w:val="24"/>
          <w:highlight w:val="none"/>
        </w:rPr>
        <w:t xml:space="preserve"> </w:t>
      </w:r>
      <w:r>
        <w:rPr>
          <w:rFonts w:ascii="宋体" w:hAnsi="宋体" w:eastAsia="宋体" w:cs="宋体"/>
          <w:color w:val="auto"/>
          <w:spacing w:val="8"/>
          <w:sz w:val="24"/>
          <w:szCs w:val="24"/>
          <w:highlight w:val="none"/>
        </w:rPr>
        <w:t>项至第</w:t>
      </w:r>
      <w:r>
        <w:rPr>
          <w:rFonts w:ascii="宋体" w:hAnsi="宋体" w:eastAsia="宋体" w:cs="宋体"/>
          <w:color w:val="auto"/>
          <w:spacing w:val="-1"/>
          <w:sz w:val="24"/>
          <w:szCs w:val="24"/>
          <w:highlight w:val="none"/>
        </w:rPr>
        <w:t>3.5.5</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项规定的有关证明和证件的原件，以便核验。评标委员会依据本章第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款规定</w:t>
      </w:r>
      <w:r>
        <w:rPr>
          <w:rFonts w:ascii="宋体" w:hAnsi="宋体" w:eastAsia="宋体" w:cs="宋体"/>
          <w:color w:val="auto"/>
          <w:spacing w:val="5"/>
          <w:sz w:val="24"/>
          <w:szCs w:val="24"/>
          <w:highlight w:val="none"/>
        </w:rPr>
        <w:t>的标准对投标文件第一个信封（商务及技术文件）进行初步评审。有一项</w:t>
      </w:r>
      <w:r>
        <w:rPr>
          <w:rFonts w:ascii="宋体" w:hAnsi="宋体" w:eastAsia="宋体" w:cs="宋体"/>
          <w:color w:val="auto"/>
          <w:spacing w:val="4"/>
          <w:sz w:val="24"/>
          <w:szCs w:val="24"/>
          <w:highlight w:val="none"/>
        </w:rPr>
        <w:t>不符合评审</w:t>
      </w:r>
      <w:r>
        <w:rPr>
          <w:rFonts w:ascii="宋体" w:hAnsi="宋体" w:eastAsia="宋体" w:cs="宋体"/>
          <w:color w:val="auto"/>
          <w:spacing w:val="-1"/>
          <w:sz w:val="24"/>
          <w:szCs w:val="24"/>
          <w:highlight w:val="none"/>
        </w:rPr>
        <w:t>标准的，评标委员会应否决其投标。（适用于未进行资格预审的）</w:t>
      </w:r>
    </w:p>
    <w:p w14:paraId="51AEC2E6">
      <w:pPr>
        <w:spacing w:before="182" w:line="324" w:lineRule="auto"/>
        <w:ind w:left="10" w:right="2"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3.1.1 评标委员会依据本章第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2.1.1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2.1.3</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项规定的评审标准对投标文件</w:t>
      </w:r>
      <w:r>
        <w:rPr>
          <w:rFonts w:ascii="宋体" w:hAnsi="宋体" w:eastAsia="宋体" w:cs="宋体"/>
          <w:color w:val="auto"/>
          <w:spacing w:val="5"/>
          <w:sz w:val="24"/>
          <w:szCs w:val="24"/>
          <w:highlight w:val="none"/>
        </w:rPr>
        <w:t>第一个信封（商务及技术文件）进行初步评审。有一项不符合评审标准的，评</w:t>
      </w:r>
      <w:r>
        <w:rPr>
          <w:rFonts w:ascii="宋体" w:hAnsi="宋体" w:eastAsia="宋体" w:cs="宋体"/>
          <w:color w:val="auto"/>
          <w:spacing w:val="4"/>
          <w:sz w:val="24"/>
          <w:szCs w:val="24"/>
          <w:highlight w:val="none"/>
        </w:rPr>
        <w:t>标委员</w:t>
      </w:r>
      <w:r>
        <w:rPr>
          <w:rFonts w:ascii="宋体" w:hAnsi="宋体" w:eastAsia="宋体" w:cs="宋体"/>
          <w:color w:val="auto"/>
          <w:spacing w:val="5"/>
          <w:sz w:val="24"/>
          <w:szCs w:val="24"/>
          <w:highlight w:val="none"/>
        </w:rPr>
        <w:t>会应否决其投标。当投标人资格预审申请文件的内容发生重大变化时，评标委</w:t>
      </w:r>
      <w:r>
        <w:rPr>
          <w:rFonts w:ascii="宋体" w:hAnsi="宋体" w:eastAsia="宋体" w:cs="宋体"/>
          <w:color w:val="auto"/>
          <w:spacing w:val="4"/>
          <w:sz w:val="24"/>
          <w:szCs w:val="24"/>
          <w:highlight w:val="none"/>
        </w:rPr>
        <w:t>员会依</w:t>
      </w:r>
      <w:r>
        <w:rPr>
          <w:rFonts w:ascii="宋体" w:hAnsi="宋体" w:eastAsia="宋体" w:cs="宋体"/>
          <w:color w:val="auto"/>
          <w:spacing w:val="-1"/>
          <w:sz w:val="24"/>
          <w:szCs w:val="24"/>
          <w:highlight w:val="none"/>
        </w:rPr>
        <w:t>据本章第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2.1.2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项规定的标准对其更新资料进行评审。（适用于已进行资格预审的）</w:t>
      </w:r>
    </w:p>
    <w:p w14:paraId="751D2FF6">
      <w:pPr>
        <w:spacing w:line="248" w:lineRule="auto"/>
        <w:rPr>
          <w:rFonts w:ascii="Arial"/>
          <w:color w:val="auto"/>
          <w:sz w:val="21"/>
          <w:highlight w:val="none"/>
        </w:rPr>
      </w:pPr>
    </w:p>
    <w:p w14:paraId="1781F73F">
      <w:pPr>
        <w:spacing w:before="79" w:line="219" w:lineRule="auto"/>
        <w:ind w:left="16"/>
        <w:outlineLvl w:val="1"/>
        <w:rPr>
          <w:rFonts w:ascii="宋体" w:hAnsi="宋体" w:eastAsia="宋体" w:cs="宋体"/>
          <w:color w:val="auto"/>
          <w:sz w:val="24"/>
          <w:szCs w:val="24"/>
          <w:highlight w:val="none"/>
        </w:rPr>
      </w:pPr>
      <w:bookmarkStart w:id="336" w:name="_Toc687"/>
      <w:bookmarkStart w:id="337" w:name="_Toc12167"/>
      <w:bookmarkStart w:id="338" w:name="_Toc31257"/>
      <w:bookmarkStart w:id="339" w:name="_Toc15799"/>
      <w:r>
        <w:rPr>
          <w:rFonts w:ascii="宋体" w:hAnsi="宋体" w:eastAsia="宋体" w:cs="宋体"/>
          <w:b/>
          <w:bCs/>
          <w:color w:val="auto"/>
          <w:spacing w:val="-3"/>
          <w:sz w:val="24"/>
          <w:szCs w:val="24"/>
          <w:highlight w:val="none"/>
        </w:rPr>
        <w:t>3.2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第一个信封详细评审</w:t>
      </w:r>
      <w:bookmarkEnd w:id="336"/>
      <w:bookmarkEnd w:id="337"/>
      <w:bookmarkEnd w:id="338"/>
      <w:bookmarkEnd w:id="339"/>
    </w:p>
    <w:p w14:paraId="4FFAEA23">
      <w:pPr>
        <w:spacing w:before="51" w:line="359" w:lineRule="auto"/>
        <w:ind w:left="14" w:firstLine="4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3.2.1 评标委员会按本章第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2.2</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款规定的量化因素和</w:t>
      </w:r>
      <w:r>
        <w:rPr>
          <w:rFonts w:ascii="宋体" w:hAnsi="宋体" w:eastAsia="宋体" w:cs="宋体"/>
          <w:color w:val="auto"/>
          <w:spacing w:val="3"/>
          <w:sz w:val="24"/>
          <w:szCs w:val="24"/>
          <w:highlight w:val="none"/>
        </w:rPr>
        <w:t>分值进行打分，并计算出各</w:t>
      </w:r>
      <w:r>
        <w:rPr>
          <w:rFonts w:ascii="宋体" w:hAnsi="宋体" w:eastAsia="宋体" w:cs="宋体"/>
          <w:color w:val="auto"/>
          <w:spacing w:val="-2"/>
          <w:sz w:val="24"/>
          <w:szCs w:val="24"/>
          <w:highlight w:val="none"/>
        </w:rPr>
        <w:t>投标人的商务和技术得分。</w:t>
      </w:r>
    </w:p>
    <w:p w14:paraId="09CF819F">
      <w:pPr>
        <w:spacing w:before="2" w:line="289" w:lineRule="auto"/>
        <w:ind w:left="12" w:right="2"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2.2.4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项（1）</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目规定的评审因素和分值对技</w:t>
      </w:r>
      <w:r>
        <w:rPr>
          <w:rFonts w:ascii="宋体" w:hAnsi="宋体" w:eastAsia="宋体" w:cs="宋体"/>
          <w:color w:val="auto"/>
          <w:spacing w:val="1"/>
          <w:sz w:val="24"/>
          <w:szCs w:val="24"/>
          <w:highlight w:val="none"/>
        </w:rPr>
        <w:t>术建议书部分计算出</w:t>
      </w:r>
      <w:r>
        <w:rPr>
          <w:rFonts w:ascii="宋体" w:hAnsi="宋体" w:eastAsia="宋体" w:cs="宋体"/>
          <w:color w:val="auto"/>
          <w:spacing w:val="-4"/>
          <w:sz w:val="24"/>
          <w:szCs w:val="24"/>
          <w:highlight w:val="none"/>
        </w:rPr>
        <w:t>得分</w:t>
      </w:r>
      <w:r>
        <w:rPr>
          <w:rFonts w:ascii="宋体" w:hAnsi="宋体" w:eastAsia="宋体" w:cs="宋体"/>
          <w:color w:val="auto"/>
          <w:spacing w:val="-56"/>
          <w:sz w:val="24"/>
          <w:szCs w:val="24"/>
          <w:highlight w:val="none"/>
        </w:rPr>
        <w:t xml:space="preserve"> </w:t>
      </w:r>
      <w:r>
        <w:rPr>
          <w:rFonts w:ascii="宋体" w:hAnsi="宋体" w:eastAsia="宋体" w:cs="宋体"/>
          <w:color w:val="auto"/>
          <w:spacing w:val="-4"/>
          <w:sz w:val="24"/>
          <w:szCs w:val="24"/>
          <w:highlight w:val="none"/>
        </w:rPr>
        <w:t>A；</w:t>
      </w:r>
    </w:p>
    <w:p w14:paraId="38720F75">
      <w:pPr>
        <w:spacing w:before="180" w:line="290" w:lineRule="auto"/>
        <w:ind w:left="14" w:right="2"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2.2.4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项（2）</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目规定的评审因素和分值对主</w:t>
      </w:r>
      <w:r>
        <w:rPr>
          <w:rFonts w:ascii="宋体" w:hAnsi="宋体" w:eastAsia="宋体" w:cs="宋体"/>
          <w:color w:val="auto"/>
          <w:spacing w:val="1"/>
          <w:sz w:val="24"/>
          <w:szCs w:val="24"/>
          <w:highlight w:val="none"/>
        </w:rPr>
        <w:t>要人员部分计算出得</w:t>
      </w:r>
      <w:r>
        <w:rPr>
          <w:rFonts w:ascii="宋体" w:hAnsi="宋体" w:eastAsia="宋体" w:cs="宋体"/>
          <w:color w:val="auto"/>
          <w:spacing w:val="15"/>
          <w:sz w:val="24"/>
          <w:szCs w:val="24"/>
          <w:highlight w:val="none"/>
        </w:rPr>
        <w:t>分B；</w:t>
      </w:r>
    </w:p>
    <w:p w14:paraId="2CA1E35D">
      <w:pPr>
        <w:spacing w:before="180" w:line="219" w:lineRule="auto"/>
        <w:ind w:right="14"/>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（3）按本章第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3"/>
          <w:sz w:val="24"/>
          <w:szCs w:val="24"/>
          <w:highlight w:val="none"/>
        </w:rPr>
        <w:t>2.2.4</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项（4）</w:t>
      </w:r>
      <w:r>
        <w:rPr>
          <w:rFonts w:ascii="宋体" w:hAnsi="宋体" w:eastAsia="宋体" w:cs="宋体"/>
          <w:color w:val="auto"/>
          <w:spacing w:val="-65"/>
          <w:sz w:val="24"/>
          <w:szCs w:val="24"/>
          <w:highlight w:val="none"/>
        </w:rPr>
        <w:t xml:space="preserve"> </w:t>
      </w:r>
      <w:r>
        <w:rPr>
          <w:rFonts w:ascii="宋体" w:hAnsi="宋体" w:eastAsia="宋体" w:cs="宋体"/>
          <w:color w:val="auto"/>
          <w:spacing w:val="-3"/>
          <w:sz w:val="24"/>
          <w:szCs w:val="24"/>
          <w:highlight w:val="none"/>
        </w:rPr>
        <w:t>目规定的评审因素和分值对其他部分计算出得分</w:t>
      </w:r>
      <w:r>
        <w:rPr>
          <w:rFonts w:ascii="宋体" w:hAnsi="宋体" w:eastAsia="宋体" w:cs="宋体"/>
          <w:color w:val="auto"/>
          <w:spacing w:val="-55"/>
          <w:sz w:val="24"/>
          <w:szCs w:val="24"/>
          <w:highlight w:val="none"/>
        </w:rPr>
        <w:t xml:space="preserve"> </w:t>
      </w:r>
      <w:r>
        <w:rPr>
          <w:rFonts w:ascii="宋体" w:hAnsi="宋体" w:eastAsia="宋体" w:cs="宋体"/>
          <w:color w:val="auto"/>
          <w:spacing w:val="-3"/>
          <w:sz w:val="24"/>
          <w:szCs w:val="24"/>
          <w:highlight w:val="none"/>
        </w:rPr>
        <w:t>D。</w:t>
      </w:r>
    </w:p>
    <w:p w14:paraId="0FBFD4C3">
      <w:pPr>
        <w:spacing w:before="183" w:line="290" w:lineRule="auto"/>
        <w:ind w:right="2" w:firstLine="496"/>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3.2.2 投标人的商务和技术得分分值计算保留小数点后四位，小数点后第五位</w:t>
      </w:r>
      <w:r>
        <w:rPr>
          <w:rFonts w:ascii="宋体" w:hAnsi="宋体" w:eastAsia="宋体" w:cs="宋体"/>
          <w:color w:val="auto"/>
          <w:spacing w:val="-5"/>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pacing w:val="-5"/>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w:t>
      </w:r>
    </w:p>
    <w:p w14:paraId="5FB7910B">
      <w:pPr>
        <w:spacing w:before="180" w:line="219"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3.2.3 投标人的商务和技术得分=A+B+D。</w:t>
      </w:r>
    </w:p>
    <w:p w14:paraId="29D4744F">
      <w:pPr>
        <w:spacing w:before="180" w:line="219" w:lineRule="auto"/>
        <w:ind w:left="5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除履约信誉得分外，投标文件第一信封各评分因素细分项得分均不应低于其权重</w:t>
      </w:r>
    </w:p>
    <w:p w14:paraId="04147AC5">
      <w:pPr>
        <w:spacing w:line="219" w:lineRule="auto"/>
        <w:rPr>
          <w:rFonts w:ascii="宋体" w:hAnsi="宋体" w:eastAsia="宋体" w:cs="宋体"/>
          <w:color w:val="auto"/>
          <w:sz w:val="24"/>
          <w:szCs w:val="24"/>
          <w:highlight w:val="none"/>
        </w:rPr>
        <w:sectPr>
          <w:footerReference r:id="rId24" w:type="default"/>
          <w:pgSz w:w="11906" w:h="16839"/>
          <w:pgMar w:top="1405" w:right="1415" w:bottom="1297" w:left="1413" w:header="0" w:footer="1067" w:gutter="0"/>
          <w:pgNumType w:fmt="decimal"/>
          <w:cols w:space="720" w:num="1"/>
        </w:sectPr>
      </w:pPr>
    </w:p>
    <w:p w14:paraId="6B626E02">
      <w:pPr>
        <w:spacing w:before="47" w:line="218" w:lineRule="auto"/>
        <w:ind w:left="14"/>
        <w:rPr>
          <w:rFonts w:ascii="宋体" w:hAnsi="宋体" w:eastAsia="宋体" w:cs="宋体"/>
          <w:color w:val="auto"/>
          <w:sz w:val="24"/>
          <w:szCs w:val="24"/>
          <w:highlight w:val="none"/>
        </w:rPr>
      </w:pPr>
      <w:bookmarkStart w:id="340" w:name="bookmark137"/>
      <w:bookmarkEnd w:id="340"/>
      <w:r>
        <w:rPr>
          <w:rFonts w:ascii="宋体" w:hAnsi="宋体" w:eastAsia="宋体" w:cs="宋体"/>
          <w:color w:val="auto"/>
          <w:spacing w:val="1"/>
          <w:sz w:val="24"/>
          <w:szCs w:val="24"/>
          <w:highlight w:val="none"/>
        </w:rPr>
        <w:t>分的60%，评分低于权重分值</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60%的，评标委员会成员应当在评标报告中作</w:t>
      </w:r>
      <w:r>
        <w:rPr>
          <w:rFonts w:ascii="宋体" w:hAnsi="宋体" w:eastAsia="宋体" w:cs="宋体"/>
          <w:color w:val="auto"/>
          <w:sz w:val="24"/>
          <w:szCs w:val="24"/>
          <w:highlight w:val="none"/>
        </w:rPr>
        <w:t>出说明。</w:t>
      </w:r>
    </w:p>
    <w:p w14:paraId="7E1E0F20">
      <w:pPr>
        <w:spacing w:before="184" w:line="359" w:lineRule="auto"/>
        <w:ind w:right="162" w:firstLine="49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评标委员会人数为</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9</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人时，计算投标人技术得分时:首先在评委技术评分中，采用</w:t>
      </w:r>
      <w:r>
        <w:rPr>
          <w:rFonts w:ascii="宋体" w:hAnsi="宋体" w:eastAsia="宋体" w:cs="宋体"/>
          <w:color w:val="auto"/>
          <w:spacing w:val="5"/>
          <w:sz w:val="24"/>
          <w:szCs w:val="24"/>
          <w:highlight w:val="none"/>
        </w:rPr>
        <w:t>取消同一评委对同一标段各投标人评分总分的差值最大的</w:t>
      </w:r>
      <w:r>
        <w:rPr>
          <w:rFonts w:ascii="宋体" w:hAnsi="宋体" w:eastAsia="宋体" w:cs="宋体"/>
          <w:color w:val="auto"/>
          <w:spacing w:val="-25"/>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41"/>
          <w:sz w:val="24"/>
          <w:szCs w:val="24"/>
          <w:highlight w:val="none"/>
        </w:rPr>
        <w:t xml:space="preserve"> </w:t>
      </w:r>
      <w:r>
        <w:rPr>
          <w:rFonts w:ascii="宋体" w:hAnsi="宋体" w:eastAsia="宋体" w:cs="宋体"/>
          <w:color w:val="auto"/>
          <w:spacing w:val="5"/>
          <w:sz w:val="24"/>
          <w:szCs w:val="24"/>
          <w:highlight w:val="none"/>
        </w:rPr>
        <w:t>名评委评分</w:t>
      </w:r>
      <w:r>
        <w:rPr>
          <w:rFonts w:ascii="宋体" w:hAnsi="宋体" w:eastAsia="宋体" w:cs="宋体"/>
          <w:color w:val="auto"/>
          <w:spacing w:val="4"/>
          <w:sz w:val="24"/>
          <w:szCs w:val="24"/>
          <w:highlight w:val="none"/>
        </w:rPr>
        <w:t>分值（若有</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2名或以上评委技术评分总分差值最大值相等时，则取消其中</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名评委的所有</w:t>
      </w:r>
      <w:r>
        <w:rPr>
          <w:rFonts w:ascii="宋体" w:hAnsi="宋体" w:eastAsia="宋体" w:cs="宋体"/>
          <w:color w:val="auto"/>
          <w:spacing w:val="3"/>
          <w:sz w:val="24"/>
          <w:szCs w:val="24"/>
          <w:highlight w:val="none"/>
        </w:rPr>
        <w:t>评分，具</w:t>
      </w:r>
      <w:r>
        <w:rPr>
          <w:rFonts w:ascii="宋体" w:hAnsi="宋体" w:eastAsia="宋体" w:cs="宋体"/>
          <w:color w:val="auto"/>
          <w:spacing w:val="5"/>
          <w:sz w:val="24"/>
          <w:szCs w:val="24"/>
          <w:highlight w:val="none"/>
        </w:rPr>
        <w:t>体办法如下</w:t>
      </w:r>
      <w:r>
        <w:rPr>
          <w:rFonts w:ascii="宋体" w:hAnsi="宋体" w:eastAsia="宋体" w:cs="宋体"/>
          <w:color w:val="auto"/>
          <w:spacing w:val="14"/>
          <w:sz w:val="24"/>
          <w:szCs w:val="24"/>
          <w:highlight w:val="none"/>
        </w:rPr>
        <w:t>），</w:t>
      </w:r>
      <w:r>
        <w:rPr>
          <w:rFonts w:ascii="宋体" w:hAnsi="宋体" w:eastAsia="宋体" w:cs="宋体"/>
          <w:color w:val="auto"/>
          <w:spacing w:val="5"/>
          <w:sz w:val="24"/>
          <w:szCs w:val="24"/>
          <w:highlight w:val="none"/>
        </w:rPr>
        <w:t>再对各评分因素细分项[ 评分因素</w:t>
      </w:r>
      <w:r>
        <w:rPr>
          <w:rFonts w:ascii="宋体" w:hAnsi="宋体" w:eastAsia="宋体" w:cs="宋体"/>
          <w:color w:val="auto"/>
          <w:spacing w:val="4"/>
          <w:sz w:val="24"/>
          <w:szCs w:val="24"/>
          <w:highlight w:val="none"/>
        </w:rPr>
        <w:t>细分项是指“监理大纲（或监理方</w:t>
      </w:r>
      <w:r>
        <w:rPr>
          <w:rFonts w:ascii="宋体" w:hAnsi="宋体" w:eastAsia="宋体" w:cs="宋体"/>
          <w:color w:val="auto"/>
          <w:spacing w:val="2"/>
          <w:sz w:val="24"/>
          <w:szCs w:val="24"/>
          <w:highlight w:val="none"/>
        </w:rPr>
        <w:t>案）和措施</w:t>
      </w:r>
      <w:r>
        <w:rPr>
          <w:rFonts w:ascii="宋体" w:hAnsi="宋体" w:eastAsia="宋体" w:cs="宋体"/>
          <w:color w:val="auto"/>
          <w:spacing w:val="-77"/>
          <w:sz w:val="24"/>
          <w:szCs w:val="24"/>
          <w:highlight w:val="none"/>
        </w:rPr>
        <w:t xml:space="preserve"> </w:t>
      </w:r>
      <w:r>
        <w:rPr>
          <w:rFonts w:ascii="宋体" w:hAnsi="宋体" w:eastAsia="宋体" w:cs="宋体"/>
          <w:color w:val="auto"/>
          <w:spacing w:val="2"/>
          <w:sz w:val="24"/>
          <w:szCs w:val="24"/>
          <w:highlight w:val="none"/>
        </w:rPr>
        <w:t>”、“本工程监理工作的重点与难点分析</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”、“对本工程的建议</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”三项，</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“监理大纲（或监理方案）和措施</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”中的质量和安全监理、进度监理、费用和合同监</w:t>
      </w:r>
      <w:r>
        <w:rPr>
          <w:rFonts w:ascii="宋体" w:hAnsi="宋体" w:eastAsia="宋体" w:cs="宋体"/>
          <w:color w:val="auto"/>
          <w:spacing w:val="2"/>
          <w:sz w:val="24"/>
          <w:szCs w:val="24"/>
          <w:highlight w:val="none"/>
        </w:rPr>
        <w:t>理、、施工环境保护管理不属于细分项。]中取消一个最高、一个最低分后计算</w:t>
      </w:r>
      <w:r>
        <w:rPr>
          <w:rFonts w:ascii="宋体" w:hAnsi="宋体" w:eastAsia="宋体" w:cs="宋体"/>
          <w:color w:val="auto"/>
          <w:spacing w:val="1"/>
          <w:sz w:val="24"/>
          <w:szCs w:val="24"/>
          <w:highlight w:val="none"/>
        </w:rPr>
        <w:t>其算术</w:t>
      </w:r>
      <w:r>
        <w:rPr>
          <w:rFonts w:ascii="宋体" w:hAnsi="宋体" w:eastAsia="宋体" w:cs="宋体"/>
          <w:color w:val="auto"/>
          <w:spacing w:val="5"/>
          <w:sz w:val="24"/>
          <w:szCs w:val="24"/>
          <w:highlight w:val="none"/>
        </w:rPr>
        <w:t>平均值的和为投标人的最终技术得分，平均值计算保留小数点后四位，小数点后第五</w:t>
      </w:r>
      <w:r>
        <w:rPr>
          <w:rFonts w:ascii="宋体" w:hAnsi="宋体" w:eastAsia="宋体" w:cs="宋体"/>
          <w:color w:val="auto"/>
          <w:spacing w:val="-4"/>
          <w:sz w:val="24"/>
          <w:szCs w:val="24"/>
          <w:highlight w:val="none"/>
        </w:rPr>
        <w:t>位“</w:t>
      </w:r>
      <w:r>
        <w:rPr>
          <w:rFonts w:ascii="宋体" w:hAnsi="宋体" w:eastAsia="宋体" w:cs="宋体"/>
          <w:color w:val="auto"/>
          <w:spacing w:val="-86"/>
          <w:sz w:val="24"/>
          <w:szCs w:val="24"/>
          <w:highlight w:val="none"/>
        </w:rPr>
        <w:t xml:space="preserve"> </w:t>
      </w:r>
      <w:r>
        <w:rPr>
          <w:rFonts w:ascii="宋体" w:hAnsi="宋体" w:eastAsia="宋体" w:cs="宋体"/>
          <w:color w:val="auto"/>
          <w:spacing w:val="-4"/>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p>
    <w:p w14:paraId="0A08405D">
      <w:pPr>
        <w:spacing w:line="219" w:lineRule="auto"/>
        <w:ind w:left="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取消其中</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名评委所有评分的办法[ 办法一、办法</w:t>
      </w:r>
      <w:r>
        <w:rPr>
          <w:rFonts w:ascii="宋体" w:hAnsi="宋体" w:eastAsia="宋体" w:cs="宋体"/>
          <w:color w:val="auto"/>
          <w:spacing w:val="-2"/>
          <w:sz w:val="24"/>
          <w:szCs w:val="24"/>
          <w:highlight w:val="none"/>
        </w:rPr>
        <w:t>二任选一个。]</w:t>
      </w:r>
    </w:p>
    <w:p w14:paraId="0ED66AB2">
      <w:pPr>
        <w:spacing w:before="181" w:line="359" w:lineRule="auto"/>
        <w:ind w:left="10" w:right="160"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办法一：依次按照以下流程</w:t>
      </w:r>
      <w:r>
        <w:rPr>
          <w:rFonts w:ascii="宋体" w:hAnsi="宋体" w:eastAsia="宋体" w:cs="宋体"/>
          <w:color w:val="auto"/>
          <w:spacing w:val="-23"/>
          <w:sz w:val="24"/>
          <w:szCs w:val="24"/>
          <w:highlight w:val="none"/>
        </w:rPr>
        <w:t>，（</w:t>
      </w:r>
      <w:r>
        <w:rPr>
          <w:rFonts w:ascii="宋体" w:hAnsi="宋体" w:eastAsia="宋体" w:cs="宋体"/>
          <w:color w:val="auto"/>
          <w:spacing w:val="3"/>
          <w:sz w:val="24"/>
          <w:szCs w:val="24"/>
          <w:highlight w:val="none"/>
        </w:rPr>
        <w:t>1）对比上述出现技术评分总分差值最大值相等的</w:t>
      </w:r>
      <w:r>
        <w:rPr>
          <w:rFonts w:ascii="宋体" w:hAnsi="宋体" w:eastAsia="宋体" w:cs="宋体"/>
          <w:color w:val="auto"/>
          <w:spacing w:val="5"/>
          <w:sz w:val="24"/>
          <w:szCs w:val="24"/>
          <w:highlight w:val="none"/>
        </w:rPr>
        <w:t>评委的次分差值（次分差值＝某一评委技术评分总分的最高分－该评委技术评</w:t>
      </w:r>
      <w:r>
        <w:rPr>
          <w:rFonts w:ascii="宋体" w:hAnsi="宋体" w:eastAsia="宋体" w:cs="宋体"/>
          <w:color w:val="auto"/>
          <w:spacing w:val="4"/>
          <w:sz w:val="24"/>
          <w:szCs w:val="24"/>
          <w:highlight w:val="none"/>
        </w:rPr>
        <w:t>分总分</w:t>
      </w:r>
      <w:r>
        <w:rPr>
          <w:rFonts w:ascii="宋体" w:hAnsi="宋体" w:eastAsia="宋体" w:cs="宋体"/>
          <w:color w:val="auto"/>
          <w:spacing w:val="2"/>
          <w:sz w:val="24"/>
          <w:szCs w:val="24"/>
          <w:highlight w:val="none"/>
        </w:rPr>
        <w:t>的次低分</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取消次分差值最大的评委所有评分</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2）如次分差值仍相同，则按随机</w:t>
      </w:r>
      <w:r>
        <w:rPr>
          <w:rFonts w:ascii="宋体" w:hAnsi="宋体" w:eastAsia="宋体" w:cs="宋体"/>
          <w:color w:val="auto"/>
          <w:spacing w:val="4"/>
          <w:sz w:val="24"/>
          <w:szCs w:val="24"/>
          <w:highlight w:val="none"/>
        </w:rPr>
        <w:t>抽取的方式选定取消</w:t>
      </w:r>
      <w:r>
        <w:rPr>
          <w:rFonts w:ascii="宋体" w:hAnsi="宋体" w:eastAsia="宋体" w:cs="宋体"/>
          <w:color w:val="auto"/>
          <w:spacing w:val="-2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名评委评分。示例</w:t>
      </w:r>
      <w:r>
        <w:rPr>
          <w:rFonts w:ascii="宋体" w:hAnsi="宋体" w:eastAsia="宋体" w:cs="宋体"/>
          <w:color w:val="auto"/>
          <w:spacing w:val="-65"/>
          <w:sz w:val="24"/>
          <w:szCs w:val="24"/>
          <w:highlight w:val="none"/>
        </w:rPr>
        <w:t xml:space="preserve"> </w:t>
      </w:r>
      <w:r>
        <w:rPr>
          <w:rFonts w:ascii="宋体" w:hAnsi="宋体" w:eastAsia="宋体" w:cs="宋体"/>
          <w:color w:val="auto"/>
          <w:spacing w:val="4"/>
          <w:sz w:val="24"/>
          <w:szCs w:val="24"/>
          <w:highlight w:val="none"/>
        </w:rPr>
        <w:t>:同一评委对</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5</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名投标人技术评分总分分别</w:t>
      </w:r>
      <w:r>
        <w:rPr>
          <w:rFonts w:ascii="宋体" w:hAnsi="宋体" w:eastAsia="宋体" w:cs="宋体"/>
          <w:color w:val="auto"/>
          <w:spacing w:val="3"/>
          <w:sz w:val="24"/>
          <w:szCs w:val="24"/>
          <w:highlight w:val="none"/>
        </w:rPr>
        <w:t>为:27.3（最高分)、27.1、26.5、26.1（次低分）、25.5（最低分</w:t>
      </w:r>
      <w:r>
        <w:rPr>
          <w:rFonts w:ascii="宋体" w:hAnsi="宋体" w:eastAsia="宋体" w:cs="宋体"/>
          <w:color w:val="auto"/>
          <w:spacing w:val="22"/>
          <w:sz w:val="24"/>
          <w:szCs w:val="24"/>
          <w:highlight w:val="none"/>
        </w:rPr>
        <w:t>），</w:t>
      </w:r>
      <w:r>
        <w:rPr>
          <w:rFonts w:ascii="宋体" w:hAnsi="宋体" w:eastAsia="宋体" w:cs="宋体"/>
          <w:color w:val="auto"/>
          <w:spacing w:val="3"/>
          <w:sz w:val="24"/>
          <w:szCs w:val="24"/>
          <w:highlight w:val="none"/>
        </w:rPr>
        <w:t>则其最大差值</w:t>
      </w:r>
      <w:r>
        <w:rPr>
          <w:rFonts w:ascii="宋体" w:hAnsi="宋体" w:eastAsia="宋体" w:cs="宋体"/>
          <w:color w:val="auto"/>
          <w:spacing w:val="-2"/>
          <w:sz w:val="24"/>
          <w:szCs w:val="24"/>
          <w:highlight w:val="none"/>
        </w:rPr>
        <w:t>为</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1.8、次大差值为</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27.3-26.1=1.2）。</w:t>
      </w:r>
    </w:p>
    <w:p w14:paraId="21B04D63">
      <w:pPr>
        <w:spacing w:line="218" w:lineRule="auto"/>
        <w:ind w:left="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办法二：按随机抽取的方式选定取消</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名评委评分。</w:t>
      </w:r>
    </w:p>
    <w:p w14:paraId="49815281">
      <w:pPr>
        <w:spacing w:before="185" w:line="359" w:lineRule="auto"/>
        <w:ind w:left="14" w:right="163"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评标委员会人数为</w:t>
      </w:r>
      <w:r>
        <w:rPr>
          <w:rFonts w:ascii="宋体" w:hAnsi="宋体" w:eastAsia="宋体" w:cs="宋体"/>
          <w:color w:val="auto"/>
          <w:spacing w:val="-43"/>
          <w:sz w:val="24"/>
          <w:szCs w:val="24"/>
          <w:highlight w:val="none"/>
        </w:rPr>
        <w:t xml:space="preserve"> </w:t>
      </w:r>
      <w:r>
        <w:rPr>
          <w:rFonts w:ascii="宋体" w:hAnsi="宋体" w:eastAsia="宋体" w:cs="宋体"/>
          <w:color w:val="auto"/>
          <w:spacing w:val="1"/>
          <w:sz w:val="24"/>
          <w:szCs w:val="24"/>
          <w:highlight w:val="none"/>
        </w:rPr>
        <w:t>7</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人时，计算投标人技术得分时:各评分因素细分项</w:t>
      </w:r>
      <w:r>
        <w:rPr>
          <w:rFonts w:ascii="宋体" w:hAnsi="宋体" w:eastAsia="宋体" w:cs="宋体"/>
          <w:color w:val="auto"/>
          <w:sz w:val="24"/>
          <w:szCs w:val="24"/>
          <w:highlight w:val="none"/>
        </w:rPr>
        <w:t>中取消一个</w:t>
      </w:r>
      <w:r>
        <w:rPr>
          <w:rFonts w:ascii="宋体" w:hAnsi="宋体" w:eastAsia="宋体" w:cs="宋体"/>
          <w:color w:val="auto"/>
          <w:spacing w:val="5"/>
          <w:sz w:val="24"/>
          <w:szCs w:val="24"/>
          <w:highlight w:val="none"/>
        </w:rPr>
        <w:t>最高、一个最低分后计算算术平均值的和为投标人的最终技术得分，</w:t>
      </w:r>
      <w:r>
        <w:rPr>
          <w:rFonts w:ascii="宋体" w:hAnsi="宋体" w:eastAsia="宋体" w:cs="宋体"/>
          <w:color w:val="auto"/>
          <w:spacing w:val="4"/>
          <w:sz w:val="24"/>
          <w:szCs w:val="24"/>
          <w:highlight w:val="none"/>
        </w:rPr>
        <w:t>平均值计算保留</w:t>
      </w:r>
      <w:r>
        <w:rPr>
          <w:rFonts w:ascii="宋体" w:hAnsi="宋体" w:eastAsia="宋体" w:cs="宋体"/>
          <w:color w:val="auto"/>
          <w:spacing w:val="-4"/>
          <w:sz w:val="24"/>
          <w:szCs w:val="24"/>
          <w:highlight w:val="none"/>
        </w:rPr>
        <w:t>小数点后四位，小数点后第五位“</w:t>
      </w:r>
      <w:r>
        <w:rPr>
          <w:rFonts w:ascii="宋体" w:hAnsi="宋体" w:eastAsia="宋体" w:cs="宋体"/>
          <w:color w:val="auto"/>
          <w:spacing w:val="-78"/>
          <w:sz w:val="24"/>
          <w:szCs w:val="24"/>
          <w:highlight w:val="none"/>
        </w:rPr>
        <w:t xml:space="preserve"> </w:t>
      </w:r>
      <w:r>
        <w:rPr>
          <w:rFonts w:ascii="宋体" w:hAnsi="宋体" w:eastAsia="宋体" w:cs="宋体"/>
          <w:color w:val="auto"/>
          <w:spacing w:val="-4"/>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p>
    <w:p w14:paraId="2F2E5B0B">
      <w:pPr>
        <w:spacing w:before="1" w:line="218" w:lineRule="auto"/>
        <w:ind w:left="5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以上评标委员会人数以实际参与评审的评标委</w:t>
      </w:r>
      <w:r>
        <w:rPr>
          <w:rFonts w:ascii="宋体" w:hAnsi="宋体" w:eastAsia="宋体" w:cs="宋体"/>
          <w:color w:val="auto"/>
          <w:spacing w:val="-2"/>
          <w:sz w:val="24"/>
          <w:szCs w:val="24"/>
          <w:highlight w:val="none"/>
        </w:rPr>
        <w:t>员会人数数量为准。</w:t>
      </w:r>
    </w:p>
    <w:p w14:paraId="36F9E17A">
      <w:pPr>
        <w:spacing w:line="246" w:lineRule="auto"/>
        <w:rPr>
          <w:rFonts w:ascii="Arial"/>
          <w:color w:val="auto"/>
          <w:sz w:val="21"/>
          <w:highlight w:val="none"/>
        </w:rPr>
      </w:pPr>
    </w:p>
    <w:p w14:paraId="4DFD4934">
      <w:pPr>
        <w:spacing w:before="78" w:line="219" w:lineRule="auto"/>
        <w:ind w:left="16"/>
        <w:outlineLvl w:val="1"/>
        <w:rPr>
          <w:rFonts w:ascii="宋体" w:hAnsi="宋体" w:eastAsia="宋体" w:cs="宋体"/>
          <w:color w:val="auto"/>
          <w:sz w:val="24"/>
          <w:szCs w:val="24"/>
          <w:highlight w:val="none"/>
        </w:rPr>
      </w:pPr>
      <w:bookmarkStart w:id="341" w:name="_Toc10420"/>
      <w:bookmarkStart w:id="342" w:name="_Toc16754"/>
      <w:bookmarkStart w:id="343" w:name="_Toc12838"/>
      <w:bookmarkStart w:id="344" w:name="_Toc17607"/>
      <w:r>
        <w:rPr>
          <w:rFonts w:ascii="宋体" w:hAnsi="宋体" w:eastAsia="宋体" w:cs="宋体"/>
          <w:b/>
          <w:bCs/>
          <w:color w:val="auto"/>
          <w:spacing w:val="-3"/>
          <w:sz w:val="24"/>
          <w:szCs w:val="24"/>
          <w:highlight w:val="none"/>
        </w:rPr>
        <w:t>3.3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第二个信封开标</w:t>
      </w:r>
      <w:bookmarkEnd w:id="341"/>
      <w:bookmarkEnd w:id="342"/>
      <w:bookmarkEnd w:id="343"/>
      <w:bookmarkEnd w:id="344"/>
    </w:p>
    <w:p w14:paraId="13EE295C">
      <w:pPr>
        <w:spacing w:before="51" w:line="361" w:lineRule="auto"/>
        <w:ind w:left="11"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第一个信封（商务及技术文件）评审结束后，招标人将按照第二章“投标人须知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4"/>
          <w:sz w:val="24"/>
          <w:szCs w:val="24"/>
          <w:highlight w:val="none"/>
        </w:rPr>
        <w:t>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5.1</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款规定的时间和地点对通过投标文件第一个信封（商务及技</w:t>
      </w:r>
      <w:r>
        <w:rPr>
          <w:rFonts w:ascii="宋体" w:hAnsi="宋体" w:eastAsia="宋体" w:cs="宋体"/>
          <w:color w:val="auto"/>
          <w:spacing w:val="3"/>
          <w:sz w:val="24"/>
          <w:szCs w:val="24"/>
          <w:highlight w:val="none"/>
        </w:rPr>
        <w:t>术文件）评审的投</w:t>
      </w:r>
      <w:r>
        <w:rPr>
          <w:rFonts w:ascii="宋体" w:hAnsi="宋体" w:eastAsia="宋体" w:cs="宋体"/>
          <w:color w:val="auto"/>
          <w:spacing w:val="-1"/>
          <w:sz w:val="24"/>
          <w:szCs w:val="24"/>
          <w:highlight w:val="none"/>
        </w:rPr>
        <w:t>标文件第二个信封（报价文件）进行开标。</w:t>
      </w:r>
    </w:p>
    <w:p w14:paraId="15235C17">
      <w:pPr>
        <w:spacing w:before="136" w:line="219" w:lineRule="auto"/>
        <w:ind w:left="16"/>
        <w:outlineLvl w:val="1"/>
        <w:rPr>
          <w:rFonts w:ascii="宋体" w:hAnsi="宋体" w:eastAsia="宋体" w:cs="宋体"/>
          <w:color w:val="auto"/>
          <w:sz w:val="24"/>
          <w:szCs w:val="24"/>
          <w:highlight w:val="none"/>
        </w:rPr>
      </w:pPr>
      <w:bookmarkStart w:id="345" w:name="bookmark138"/>
      <w:bookmarkEnd w:id="345"/>
      <w:bookmarkStart w:id="346" w:name="_Toc19819"/>
      <w:bookmarkStart w:id="347" w:name="_Toc24685"/>
      <w:bookmarkStart w:id="348" w:name="_Toc591"/>
      <w:bookmarkStart w:id="349" w:name="_Toc17635"/>
      <w:r>
        <w:rPr>
          <w:rFonts w:ascii="宋体" w:hAnsi="宋体" w:eastAsia="宋体" w:cs="宋体"/>
          <w:b/>
          <w:bCs/>
          <w:color w:val="auto"/>
          <w:spacing w:val="-3"/>
          <w:sz w:val="24"/>
          <w:szCs w:val="24"/>
          <w:highlight w:val="none"/>
        </w:rPr>
        <w:t>3.4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第二个信封初步评审</w:t>
      </w:r>
      <w:bookmarkEnd w:id="346"/>
      <w:bookmarkEnd w:id="347"/>
      <w:bookmarkEnd w:id="348"/>
      <w:bookmarkEnd w:id="349"/>
    </w:p>
    <w:p w14:paraId="6E16D723">
      <w:pPr>
        <w:spacing w:before="53" w:line="219" w:lineRule="auto"/>
        <w:ind w:left="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3.4.1 评标委员会依据本章第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2.1.1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2.1.3</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项规定的评审标准对投标文件</w:t>
      </w:r>
    </w:p>
    <w:p w14:paraId="73C434C5">
      <w:pPr>
        <w:spacing w:line="232" w:lineRule="auto"/>
        <w:rPr>
          <w:rFonts w:ascii="宋体" w:hAnsi="宋体" w:eastAsia="宋体" w:cs="宋体"/>
          <w:color w:val="auto"/>
          <w:sz w:val="18"/>
          <w:szCs w:val="18"/>
          <w:highlight w:val="none"/>
        </w:rPr>
        <w:sectPr>
          <w:footerReference r:id="rId25" w:type="default"/>
          <w:pgSz w:w="11906" w:h="16839"/>
          <w:pgMar w:top="1405" w:right="1255" w:bottom="1297" w:left="1413" w:header="0" w:footer="1066" w:gutter="0"/>
          <w:pgNumType w:fmt="decimal"/>
          <w:cols w:space="720" w:num="1"/>
        </w:sectPr>
      </w:pPr>
    </w:p>
    <w:p w14:paraId="0BC8C9A2">
      <w:pPr>
        <w:spacing w:before="48" w:line="359" w:lineRule="auto"/>
        <w:ind w:left="15" w:right="128" w:hanging="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第二个信封（报价文件）进行初步评审。有一项不符合评审标准的，评标委</w:t>
      </w:r>
      <w:r>
        <w:rPr>
          <w:rFonts w:ascii="宋体" w:hAnsi="宋体" w:eastAsia="宋体" w:cs="宋体"/>
          <w:color w:val="auto"/>
          <w:spacing w:val="4"/>
          <w:sz w:val="24"/>
          <w:szCs w:val="24"/>
          <w:highlight w:val="none"/>
        </w:rPr>
        <w:t>员会应否</w:t>
      </w:r>
      <w:r>
        <w:rPr>
          <w:rFonts w:ascii="宋体" w:hAnsi="宋体" w:eastAsia="宋体" w:cs="宋体"/>
          <w:color w:val="auto"/>
          <w:spacing w:val="-4"/>
          <w:sz w:val="24"/>
          <w:szCs w:val="24"/>
          <w:highlight w:val="none"/>
        </w:rPr>
        <w:t>决其投标。</w:t>
      </w:r>
    </w:p>
    <w:p w14:paraId="532D12DF">
      <w:pPr>
        <w:spacing w:before="2" w:line="358" w:lineRule="auto"/>
        <w:ind w:left="13" w:right="12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3.4.2 投标报价有算术错误的，评标委员会按以</w:t>
      </w:r>
      <w:r>
        <w:rPr>
          <w:rFonts w:ascii="宋体" w:hAnsi="宋体" w:eastAsia="宋体" w:cs="宋体"/>
          <w:color w:val="auto"/>
          <w:spacing w:val="4"/>
          <w:sz w:val="24"/>
          <w:szCs w:val="24"/>
          <w:highlight w:val="none"/>
        </w:rPr>
        <w:t>下原则对投标报价进行修正，修</w:t>
      </w:r>
      <w:r>
        <w:rPr>
          <w:rFonts w:ascii="宋体" w:hAnsi="宋体" w:eastAsia="宋体" w:cs="宋体"/>
          <w:color w:val="auto"/>
          <w:spacing w:val="5"/>
          <w:sz w:val="24"/>
          <w:szCs w:val="24"/>
          <w:highlight w:val="none"/>
        </w:rPr>
        <w:t>正的价格经投标人书面确认后具有约束力。投标人不接受修正价</w:t>
      </w:r>
      <w:r>
        <w:rPr>
          <w:rFonts w:ascii="宋体" w:hAnsi="宋体" w:eastAsia="宋体" w:cs="宋体"/>
          <w:color w:val="auto"/>
          <w:spacing w:val="4"/>
          <w:sz w:val="24"/>
          <w:szCs w:val="24"/>
          <w:highlight w:val="none"/>
        </w:rPr>
        <w:t>格的，评标委员会应</w:t>
      </w:r>
      <w:r>
        <w:rPr>
          <w:rFonts w:ascii="宋体" w:hAnsi="宋体" w:eastAsia="宋体" w:cs="宋体"/>
          <w:color w:val="auto"/>
          <w:spacing w:val="-3"/>
          <w:sz w:val="24"/>
          <w:szCs w:val="24"/>
          <w:highlight w:val="none"/>
        </w:rPr>
        <w:t>否决其投标。</w:t>
      </w:r>
    </w:p>
    <w:p w14:paraId="12FB896D">
      <w:pPr>
        <w:spacing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（1）投标文件中的大写金额与小写金额不一致的，以大写金额为准；</w:t>
      </w:r>
    </w:p>
    <w:p w14:paraId="26E25FF0">
      <w:pPr>
        <w:spacing w:before="182" w:line="288" w:lineRule="auto"/>
        <w:ind w:left="10" w:right="128"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（2）总价金额与依据单价计算出的结果不一致的，以单价金额为准修正总价，但</w:t>
      </w:r>
      <w:r>
        <w:rPr>
          <w:rFonts w:ascii="宋体" w:hAnsi="宋体" w:eastAsia="宋体" w:cs="宋体"/>
          <w:color w:val="auto"/>
          <w:spacing w:val="-1"/>
          <w:sz w:val="24"/>
          <w:szCs w:val="24"/>
          <w:highlight w:val="none"/>
        </w:rPr>
        <w:t>单价金额小数点有明显错误的除外；</w:t>
      </w:r>
    </w:p>
    <w:p w14:paraId="3AD043C8">
      <w:pPr>
        <w:spacing w:before="185" w:line="288" w:lineRule="auto"/>
        <w:ind w:left="20" w:right="128"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（3）当单价与数量相乘不等于合价时，以单价计算为准，如果单价有明显的小数</w:t>
      </w:r>
      <w:r>
        <w:rPr>
          <w:rFonts w:ascii="宋体" w:hAnsi="宋体" w:eastAsia="宋体" w:cs="宋体"/>
          <w:color w:val="auto"/>
          <w:spacing w:val="-1"/>
          <w:sz w:val="24"/>
          <w:szCs w:val="24"/>
          <w:highlight w:val="none"/>
        </w:rPr>
        <w:t>点位置差错，应以标出的合价为准，同时对单价予以修正；</w:t>
      </w:r>
    </w:p>
    <w:p w14:paraId="73905B19">
      <w:pPr>
        <w:spacing w:before="184" w:line="218"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（4）当各子目的合价累计不等于总价时，应以各子目合价累计数为准，修正总价。</w:t>
      </w:r>
    </w:p>
    <w:p w14:paraId="07214661">
      <w:pPr>
        <w:spacing w:before="183" w:line="290" w:lineRule="auto"/>
        <w:ind w:left="9" w:right="128"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3.4.3 修正后的最终投标报价若超过最高投标限价（如有</w:t>
      </w:r>
      <w:r>
        <w:rPr>
          <w:rFonts w:ascii="宋体" w:hAnsi="宋体" w:eastAsia="宋体" w:cs="宋体"/>
          <w:color w:val="auto"/>
          <w:spacing w:val="16"/>
          <w:sz w:val="24"/>
          <w:szCs w:val="24"/>
          <w:highlight w:val="none"/>
        </w:rPr>
        <w:t>），</w:t>
      </w:r>
      <w:r>
        <w:rPr>
          <w:rFonts w:ascii="宋体" w:hAnsi="宋体" w:eastAsia="宋体" w:cs="宋体"/>
          <w:color w:val="auto"/>
          <w:spacing w:val="4"/>
          <w:sz w:val="24"/>
          <w:szCs w:val="24"/>
          <w:highlight w:val="none"/>
        </w:rPr>
        <w:t>评标委员会应否决</w:t>
      </w:r>
      <w:r>
        <w:rPr>
          <w:rFonts w:ascii="宋体" w:hAnsi="宋体" w:eastAsia="宋体" w:cs="宋体"/>
          <w:color w:val="auto"/>
          <w:spacing w:val="-3"/>
          <w:sz w:val="24"/>
          <w:szCs w:val="24"/>
          <w:highlight w:val="none"/>
        </w:rPr>
        <w:t>其投标。</w:t>
      </w:r>
    </w:p>
    <w:p w14:paraId="2614FD52">
      <w:pPr>
        <w:spacing w:before="181" w:line="289" w:lineRule="auto"/>
        <w:ind w:left="8" w:right="12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3.4.4 修正后的最终投标报价仅作为签订合同的</w:t>
      </w:r>
      <w:r>
        <w:rPr>
          <w:rFonts w:ascii="宋体" w:hAnsi="宋体" w:eastAsia="宋体" w:cs="宋体"/>
          <w:color w:val="auto"/>
          <w:spacing w:val="4"/>
          <w:sz w:val="24"/>
          <w:szCs w:val="24"/>
          <w:highlight w:val="none"/>
        </w:rPr>
        <w:t>一个依据，不参与评标价得分的</w:t>
      </w:r>
      <w:r>
        <w:rPr>
          <w:rFonts w:ascii="宋体" w:hAnsi="宋体" w:eastAsia="宋体" w:cs="宋体"/>
          <w:color w:val="auto"/>
          <w:spacing w:val="-4"/>
          <w:sz w:val="24"/>
          <w:szCs w:val="24"/>
          <w:highlight w:val="none"/>
        </w:rPr>
        <w:t>计算。</w:t>
      </w:r>
    </w:p>
    <w:p w14:paraId="00D0BCD0">
      <w:pPr>
        <w:spacing w:line="245" w:lineRule="auto"/>
        <w:rPr>
          <w:rFonts w:ascii="Arial"/>
          <w:color w:val="auto"/>
          <w:sz w:val="21"/>
          <w:highlight w:val="none"/>
        </w:rPr>
      </w:pPr>
    </w:p>
    <w:p w14:paraId="7D46FE1F">
      <w:pPr>
        <w:spacing w:before="78" w:line="219" w:lineRule="auto"/>
        <w:ind w:left="13"/>
        <w:outlineLvl w:val="1"/>
        <w:rPr>
          <w:rFonts w:ascii="宋体" w:hAnsi="宋体" w:eastAsia="宋体" w:cs="宋体"/>
          <w:color w:val="auto"/>
          <w:sz w:val="24"/>
          <w:szCs w:val="24"/>
          <w:highlight w:val="none"/>
        </w:rPr>
      </w:pPr>
      <w:bookmarkStart w:id="350" w:name="_Toc32318"/>
      <w:bookmarkStart w:id="351" w:name="_Toc11538"/>
      <w:bookmarkStart w:id="352" w:name="_Toc9695"/>
      <w:bookmarkStart w:id="353" w:name="_Toc32540"/>
      <w:r>
        <w:rPr>
          <w:rFonts w:ascii="宋体" w:hAnsi="宋体" w:eastAsia="宋体" w:cs="宋体"/>
          <w:b/>
          <w:bCs/>
          <w:color w:val="auto"/>
          <w:spacing w:val="-3"/>
          <w:sz w:val="24"/>
          <w:szCs w:val="24"/>
          <w:highlight w:val="none"/>
        </w:rPr>
        <w:t>3.5</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第二个信封详细评审</w:t>
      </w:r>
      <w:bookmarkEnd w:id="350"/>
      <w:bookmarkEnd w:id="351"/>
      <w:bookmarkEnd w:id="352"/>
      <w:bookmarkEnd w:id="353"/>
    </w:p>
    <w:p w14:paraId="293560D1">
      <w:pPr>
        <w:spacing w:before="54" w:line="288" w:lineRule="auto"/>
        <w:ind w:left="28" w:right="128"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3.5.1 评标委员会按本章第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1"/>
          <w:sz w:val="24"/>
          <w:szCs w:val="24"/>
          <w:highlight w:val="none"/>
        </w:rPr>
        <w:t>2.2.4</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项（3）</w:t>
      </w:r>
      <w:r>
        <w:rPr>
          <w:rFonts w:ascii="宋体" w:hAnsi="宋体" w:eastAsia="宋体" w:cs="宋体"/>
          <w:color w:val="auto"/>
          <w:spacing w:val="-60"/>
          <w:sz w:val="24"/>
          <w:szCs w:val="24"/>
          <w:highlight w:val="none"/>
        </w:rPr>
        <w:t xml:space="preserve"> </w:t>
      </w:r>
      <w:r>
        <w:rPr>
          <w:rFonts w:ascii="宋体" w:hAnsi="宋体" w:eastAsia="宋体" w:cs="宋体"/>
          <w:color w:val="auto"/>
          <w:spacing w:val="-1"/>
          <w:sz w:val="24"/>
          <w:szCs w:val="24"/>
          <w:highlight w:val="none"/>
        </w:rPr>
        <w:t>目规定的评审因素和分值对评标价计算</w:t>
      </w:r>
      <w:r>
        <w:rPr>
          <w:rFonts w:ascii="宋体" w:hAnsi="宋体" w:eastAsia="宋体" w:cs="宋体"/>
          <w:color w:val="auto"/>
          <w:spacing w:val="-2"/>
          <w:sz w:val="24"/>
          <w:szCs w:val="24"/>
          <w:highlight w:val="none"/>
        </w:rPr>
        <w:t>出得分</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C。评标价得分分值计算保留小数点后四位，小数点后第五位“</w:t>
      </w:r>
      <w:r>
        <w:rPr>
          <w:rFonts w:ascii="宋体" w:hAnsi="宋体" w:eastAsia="宋体" w:cs="宋体"/>
          <w:color w:val="auto"/>
          <w:spacing w:val="-89"/>
          <w:sz w:val="24"/>
          <w:szCs w:val="24"/>
          <w:highlight w:val="none"/>
        </w:rPr>
        <w:t xml:space="preserve"> </w:t>
      </w:r>
      <w:r>
        <w:rPr>
          <w:rFonts w:ascii="宋体" w:hAnsi="宋体" w:eastAsia="宋体" w:cs="宋体"/>
          <w:color w:val="auto"/>
          <w:spacing w:val="-2"/>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6EE2F16E">
      <w:pPr>
        <w:spacing w:before="183"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 投标人综合得分=投标人的商务和技术得分+C。</w:t>
      </w:r>
    </w:p>
    <w:p w14:paraId="328BEE41">
      <w:pPr>
        <w:spacing w:before="182" w:line="324" w:lineRule="auto"/>
        <w:ind w:left="9" w:right="128"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3.5.3 评标委员会发现投标人的报价明显低于其</w:t>
      </w:r>
      <w:r>
        <w:rPr>
          <w:rFonts w:ascii="宋体" w:hAnsi="宋体" w:eastAsia="宋体" w:cs="宋体"/>
          <w:color w:val="auto"/>
          <w:spacing w:val="4"/>
          <w:sz w:val="24"/>
          <w:szCs w:val="24"/>
          <w:highlight w:val="none"/>
        </w:rPr>
        <w:t>他投标报价，使得其投标报价可</w:t>
      </w:r>
      <w:r>
        <w:rPr>
          <w:rFonts w:ascii="宋体" w:hAnsi="宋体" w:eastAsia="宋体" w:cs="宋体"/>
          <w:color w:val="auto"/>
          <w:spacing w:val="5"/>
          <w:sz w:val="24"/>
          <w:szCs w:val="24"/>
          <w:highlight w:val="none"/>
        </w:rPr>
        <w:t>能低于其个别成本的，应要求该投标人作出书面说明并提供相应的证明材</w:t>
      </w:r>
      <w:r>
        <w:rPr>
          <w:rFonts w:ascii="宋体" w:hAnsi="宋体" w:eastAsia="宋体" w:cs="宋体"/>
          <w:color w:val="auto"/>
          <w:spacing w:val="4"/>
          <w:sz w:val="24"/>
          <w:szCs w:val="24"/>
          <w:highlight w:val="none"/>
        </w:rPr>
        <w:t>料。投标人</w:t>
      </w:r>
      <w:r>
        <w:rPr>
          <w:rFonts w:ascii="宋体" w:hAnsi="宋体" w:eastAsia="宋体" w:cs="宋体"/>
          <w:color w:val="auto"/>
          <w:spacing w:val="5"/>
          <w:sz w:val="24"/>
          <w:szCs w:val="24"/>
          <w:highlight w:val="none"/>
        </w:rPr>
        <w:t>不能合理说明或不能提供相应证明材料的，评标委员会应认定该投标人以</w:t>
      </w:r>
      <w:r>
        <w:rPr>
          <w:rFonts w:ascii="宋体" w:hAnsi="宋体" w:eastAsia="宋体" w:cs="宋体"/>
          <w:color w:val="auto"/>
          <w:spacing w:val="4"/>
          <w:sz w:val="24"/>
          <w:szCs w:val="24"/>
          <w:highlight w:val="none"/>
        </w:rPr>
        <w:t>低于成本报</w:t>
      </w:r>
      <w:r>
        <w:rPr>
          <w:rFonts w:ascii="宋体" w:hAnsi="宋体" w:eastAsia="宋体" w:cs="宋体"/>
          <w:color w:val="auto"/>
          <w:spacing w:val="-1"/>
          <w:sz w:val="24"/>
          <w:szCs w:val="24"/>
          <w:highlight w:val="none"/>
        </w:rPr>
        <w:t>价竞标，并否决其投标。</w:t>
      </w:r>
    </w:p>
    <w:p w14:paraId="4BD35CF1">
      <w:pPr>
        <w:spacing w:line="247" w:lineRule="auto"/>
        <w:rPr>
          <w:rFonts w:ascii="Arial"/>
          <w:color w:val="auto"/>
          <w:sz w:val="21"/>
          <w:highlight w:val="none"/>
        </w:rPr>
      </w:pPr>
    </w:p>
    <w:p w14:paraId="0D36B034">
      <w:pPr>
        <w:spacing w:before="79" w:line="219" w:lineRule="auto"/>
        <w:ind w:left="13"/>
        <w:outlineLvl w:val="1"/>
        <w:rPr>
          <w:rFonts w:ascii="宋体" w:hAnsi="宋体" w:eastAsia="宋体" w:cs="宋体"/>
          <w:color w:val="auto"/>
          <w:sz w:val="24"/>
          <w:szCs w:val="24"/>
          <w:highlight w:val="none"/>
        </w:rPr>
      </w:pPr>
      <w:bookmarkStart w:id="354" w:name="_Toc454"/>
      <w:bookmarkStart w:id="355" w:name="_Toc24"/>
      <w:bookmarkStart w:id="356" w:name="_Toc26125"/>
      <w:bookmarkStart w:id="357" w:name="_Toc2479"/>
      <w:r>
        <w:rPr>
          <w:rFonts w:ascii="宋体" w:hAnsi="宋体" w:eastAsia="宋体" w:cs="宋体"/>
          <w:b/>
          <w:bCs/>
          <w:color w:val="auto"/>
          <w:spacing w:val="-3"/>
          <w:sz w:val="24"/>
          <w:szCs w:val="24"/>
          <w:highlight w:val="none"/>
        </w:rPr>
        <w:t>3.6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投标文件相关信息的核查</w:t>
      </w:r>
      <w:bookmarkEnd w:id="354"/>
      <w:bookmarkEnd w:id="355"/>
      <w:bookmarkEnd w:id="356"/>
      <w:bookmarkEnd w:id="357"/>
    </w:p>
    <w:p w14:paraId="74A98925">
      <w:pPr>
        <w:spacing w:before="14" w:line="364" w:lineRule="auto"/>
        <w:ind w:left="14" w:right="125" w:firstLine="47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3.6.1 在评标过程中，评标委员会应查询交通运输主管部门“公路建设市场监督</w:t>
      </w:r>
      <w:r>
        <w:rPr>
          <w:rFonts w:ascii="宋体" w:hAnsi="宋体" w:eastAsia="宋体" w:cs="宋体"/>
          <w:color w:val="auto"/>
          <w:spacing w:val="4"/>
          <w:sz w:val="24"/>
          <w:szCs w:val="24"/>
          <w:highlight w:val="none"/>
        </w:rPr>
        <w:t>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”，对投标人的资质、业绩、主要人员资历和目前在</w:t>
      </w:r>
      <w:r>
        <w:rPr>
          <w:rFonts w:ascii="宋体" w:hAnsi="宋体" w:eastAsia="宋体" w:cs="宋体"/>
          <w:color w:val="auto"/>
          <w:spacing w:val="3"/>
          <w:sz w:val="24"/>
          <w:szCs w:val="24"/>
          <w:highlight w:val="none"/>
        </w:rPr>
        <w:t>岗情况、信用等级等信</w:t>
      </w:r>
      <w:r>
        <w:rPr>
          <w:rFonts w:ascii="宋体" w:hAnsi="宋体" w:eastAsia="宋体" w:cs="宋体"/>
          <w:color w:val="auto"/>
          <w:spacing w:val="5"/>
          <w:sz w:val="24"/>
          <w:szCs w:val="24"/>
          <w:highlight w:val="none"/>
        </w:rPr>
        <w:t>息进行核实。若投标文件载明的信息与交通运输主管部门“公</w:t>
      </w:r>
      <w:r>
        <w:rPr>
          <w:rFonts w:ascii="宋体" w:hAnsi="宋体" w:eastAsia="宋体" w:cs="宋体"/>
          <w:color w:val="auto"/>
          <w:spacing w:val="4"/>
          <w:sz w:val="24"/>
          <w:szCs w:val="24"/>
          <w:highlight w:val="none"/>
        </w:rPr>
        <w:t>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”发布的信息不符，使得投标人的资格条件不符合招标文件规定的</w:t>
      </w:r>
      <w:r>
        <w:rPr>
          <w:rFonts w:ascii="宋体" w:hAnsi="宋体" w:eastAsia="宋体" w:cs="宋体"/>
          <w:color w:val="auto"/>
          <w:spacing w:val="3"/>
          <w:sz w:val="24"/>
          <w:szCs w:val="24"/>
          <w:highlight w:val="none"/>
        </w:rPr>
        <w:t>，评标委员会应</w:t>
      </w:r>
      <w:bookmarkStart w:id="358" w:name="bookmark139"/>
      <w:bookmarkEnd w:id="358"/>
      <w:r>
        <w:rPr>
          <w:rFonts w:ascii="宋体" w:hAnsi="宋体" w:eastAsia="宋体" w:cs="宋体"/>
          <w:color w:val="auto"/>
          <w:spacing w:val="-3"/>
          <w:sz w:val="24"/>
          <w:szCs w:val="24"/>
          <w:highlight w:val="none"/>
        </w:rPr>
        <w:t>否决其投标。</w:t>
      </w:r>
    </w:p>
    <w:p w14:paraId="27043016">
      <w:pPr>
        <w:spacing w:line="220" w:lineRule="auto"/>
        <w:rPr>
          <w:rFonts w:ascii="宋体" w:hAnsi="宋体" w:eastAsia="宋体" w:cs="宋体"/>
          <w:color w:val="auto"/>
          <w:sz w:val="18"/>
          <w:szCs w:val="18"/>
          <w:highlight w:val="none"/>
        </w:rPr>
        <w:sectPr>
          <w:footerReference r:id="rId26" w:type="default"/>
          <w:pgSz w:w="11906" w:h="16839"/>
          <w:pgMar w:top="1405" w:right="1289" w:bottom="1297" w:left="1417" w:header="0" w:footer="1067" w:gutter="0"/>
          <w:pgNumType w:fmt="decimal"/>
          <w:cols w:space="720" w:num="1"/>
        </w:sectPr>
      </w:pPr>
    </w:p>
    <w:p w14:paraId="5285E3F9">
      <w:pPr>
        <w:spacing w:before="47" w:line="359" w:lineRule="auto"/>
        <w:ind w:firstLine="485"/>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3.6.2 评标委员会应对在评标过程中发现的投标</w:t>
      </w:r>
      <w:r>
        <w:rPr>
          <w:rFonts w:ascii="宋体" w:hAnsi="宋体" w:eastAsia="宋体" w:cs="宋体"/>
          <w:color w:val="auto"/>
          <w:spacing w:val="4"/>
          <w:sz w:val="24"/>
          <w:szCs w:val="24"/>
          <w:highlight w:val="none"/>
        </w:rPr>
        <w:t>人与投标人之间、投标人与招标</w:t>
      </w:r>
      <w:r>
        <w:rPr>
          <w:rFonts w:ascii="宋体" w:hAnsi="宋体" w:eastAsia="宋体" w:cs="宋体"/>
          <w:color w:val="auto"/>
          <w:spacing w:val="5"/>
          <w:sz w:val="24"/>
          <w:szCs w:val="24"/>
          <w:highlight w:val="none"/>
        </w:rPr>
        <w:t>人之间存在的串通投标的情形进行评审和认定。投标人存在串通投标、弄虚作</w:t>
      </w:r>
      <w:r>
        <w:rPr>
          <w:rFonts w:ascii="宋体" w:hAnsi="宋体" w:eastAsia="宋体" w:cs="宋体"/>
          <w:color w:val="auto"/>
          <w:spacing w:val="4"/>
          <w:sz w:val="24"/>
          <w:szCs w:val="24"/>
          <w:highlight w:val="none"/>
        </w:rPr>
        <w:t>假、行</w:t>
      </w:r>
      <w:r>
        <w:rPr>
          <w:rFonts w:ascii="宋体" w:hAnsi="宋体" w:eastAsia="宋体" w:cs="宋体"/>
          <w:color w:val="auto"/>
          <w:spacing w:val="-1"/>
          <w:sz w:val="24"/>
          <w:szCs w:val="24"/>
          <w:highlight w:val="none"/>
        </w:rPr>
        <w:t>贿等违法行为的，评标委员会应否决其投标。</w:t>
      </w:r>
    </w:p>
    <w:p w14:paraId="174EB03A">
      <w:pPr>
        <w:spacing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（1）有下列情形之一的，属于投标人相互串通投标：</w:t>
      </w:r>
    </w:p>
    <w:p w14:paraId="63726EED">
      <w:pPr>
        <w:spacing w:before="181"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a.投标人之间协商投标报价等投标文件的实质性内容；</w:t>
      </w:r>
    </w:p>
    <w:p w14:paraId="7DC5ADCB">
      <w:pPr>
        <w:spacing w:before="182" w:line="220"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b.投标人之间约定中标人；</w:t>
      </w:r>
    </w:p>
    <w:p w14:paraId="322F24C9">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c.投标人之间约定部分投标人放弃投标或中标；</w:t>
      </w:r>
    </w:p>
    <w:p w14:paraId="197ED793">
      <w:pPr>
        <w:spacing w:before="179" w:line="219" w:lineRule="auto"/>
        <w:ind w:left="485"/>
        <w:rPr>
          <w:rFonts w:ascii="宋体" w:hAnsi="宋体" w:eastAsia="宋体" w:cs="宋体"/>
          <w:color w:val="auto"/>
          <w:sz w:val="24"/>
          <w:szCs w:val="24"/>
          <w:highlight w:val="none"/>
        </w:rPr>
      </w:pPr>
      <w:r>
        <w:rPr>
          <w:rFonts w:ascii="宋体" w:hAnsi="宋体" w:eastAsia="宋体" w:cs="宋体"/>
          <w:color w:val="auto"/>
          <w:sz w:val="24"/>
          <w:szCs w:val="24"/>
          <w:highlight w:val="none"/>
        </w:rPr>
        <w:t>d.属于同一集团、协会、商会等组织成员</w:t>
      </w:r>
      <w:r>
        <w:rPr>
          <w:rFonts w:ascii="宋体" w:hAnsi="宋体" w:eastAsia="宋体" w:cs="宋体"/>
          <w:color w:val="auto"/>
          <w:spacing w:val="-1"/>
          <w:sz w:val="24"/>
          <w:szCs w:val="24"/>
          <w:highlight w:val="none"/>
        </w:rPr>
        <w:t>的投标人按照该组织要求协同投标；</w:t>
      </w:r>
    </w:p>
    <w:p w14:paraId="005A76A6">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e.投标人之间为谋取中标或排斥特定投标人而采取的其他联合行动。</w:t>
      </w:r>
    </w:p>
    <w:p w14:paraId="37EC87A7">
      <w:pPr>
        <w:spacing w:before="182"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（2）有下列情形之一的，视为投标人相互串通投标：</w:t>
      </w:r>
    </w:p>
    <w:p w14:paraId="549A4081">
      <w:pPr>
        <w:spacing w:before="18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a.不同投标人的投标文件由同一单位或个人编制；</w:t>
      </w:r>
    </w:p>
    <w:p w14:paraId="5A23F685">
      <w:pPr>
        <w:spacing w:before="181"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b.不同投标人委托同一单位或个人办理投标事宜；</w:t>
      </w:r>
    </w:p>
    <w:p w14:paraId="3247E8FC">
      <w:pPr>
        <w:spacing w:before="183"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c.不同投标人的投标文件载明的项目管理成员为同一人；</w:t>
      </w:r>
    </w:p>
    <w:p w14:paraId="321AFFEE">
      <w:pPr>
        <w:spacing w:before="183"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d.不同投标人的投标文件异常一致或投标报价呈规律性差异；</w:t>
      </w:r>
    </w:p>
    <w:p w14:paraId="4926921C">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e.不同投标人的投标文件相互混装；</w:t>
      </w:r>
    </w:p>
    <w:p w14:paraId="27B3A2E6">
      <w:pPr>
        <w:spacing w:before="183"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f.不同投标人的投标保证金从同一单位或个人的账户转出。</w:t>
      </w:r>
    </w:p>
    <w:p w14:paraId="4868DA67">
      <w:pPr>
        <w:spacing w:before="180" w:line="214"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g.广东省实施《中华人民共和国招标投标法》办法第十六条规定的情形。</w:t>
      </w:r>
    </w:p>
    <w:p w14:paraId="7424CB46">
      <w:pPr>
        <w:spacing w:before="188"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（3）有下列情形之一的，属于招标人与投标人串通投标：</w:t>
      </w:r>
    </w:p>
    <w:p w14:paraId="1A6A671D">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a.招标人在开标前开启投标文件并将有关信息泄露给其他投标人；</w:t>
      </w:r>
    </w:p>
    <w:p w14:paraId="2A56B82E">
      <w:pPr>
        <w:spacing w:before="182" w:line="219" w:lineRule="auto"/>
        <w:ind w:left="477"/>
        <w:rPr>
          <w:rFonts w:ascii="宋体" w:hAnsi="宋体" w:eastAsia="宋体" w:cs="宋体"/>
          <w:color w:val="auto"/>
          <w:sz w:val="24"/>
          <w:szCs w:val="24"/>
          <w:highlight w:val="none"/>
        </w:rPr>
      </w:pPr>
      <w:r>
        <w:rPr>
          <w:rFonts w:ascii="宋体" w:hAnsi="宋体" w:eastAsia="宋体" w:cs="宋体"/>
          <w:color w:val="auto"/>
          <w:sz w:val="24"/>
          <w:szCs w:val="24"/>
          <w:highlight w:val="none"/>
        </w:rPr>
        <w:t>b.招标人直接或间接向投标人泄露标底、评标委员</w:t>
      </w:r>
      <w:r>
        <w:rPr>
          <w:rFonts w:ascii="宋体" w:hAnsi="宋体" w:eastAsia="宋体" w:cs="宋体"/>
          <w:color w:val="auto"/>
          <w:spacing w:val="-1"/>
          <w:sz w:val="24"/>
          <w:szCs w:val="24"/>
          <w:highlight w:val="none"/>
        </w:rPr>
        <w:t>会成员等信息；</w:t>
      </w:r>
    </w:p>
    <w:p w14:paraId="2B51B961">
      <w:pPr>
        <w:spacing w:before="181"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c.招标人明示或暗示投标人压低或抬高投标报价；</w:t>
      </w:r>
    </w:p>
    <w:p w14:paraId="5052DFF9">
      <w:pPr>
        <w:spacing w:before="185"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d.招标人授意投标人撤换、修改投标文件；</w:t>
      </w:r>
    </w:p>
    <w:p w14:paraId="570F4781">
      <w:pPr>
        <w:spacing w:before="180"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e.招标人明示或暗示投标人为特定投标人中标提供方便；</w:t>
      </w:r>
    </w:p>
    <w:p w14:paraId="4E786C64">
      <w:pPr>
        <w:spacing w:before="18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f.招标人与投标人为谋求特定投标人中标而采取的其他串通行为。</w:t>
      </w:r>
    </w:p>
    <w:p w14:paraId="51B6A3E6">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（4）投标人有下列情形之一的，属于弄虚作假的行为：</w:t>
      </w:r>
    </w:p>
    <w:p w14:paraId="4DB521F9">
      <w:pPr>
        <w:spacing w:before="181"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a.使用通过受让或租借等方式获取的资格、资质证书投标；</w:t>
      </w:r>
    </w:p>
    <w:p w14:paraId="43BDF944">
      <w:pPr>
        <w:spacing w:before="182"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b.使用伪造、变造的许可证件；</w:t>
      </w:r>
    </w:p>
    <w:p w14:paraId="38C4CFB2">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c.提供虚假的业绩；</w:t>
      </w:r>
    </w:p>
    <w:p w14:paraId="604D432C">
      <w:pPr>
        <w:spacing w:before="181"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d.提供虚假的项目负责人或主要技术人员简历、劳动关系证明；</w:t>
      </w:r>
    </w:p>
    <w:p w14:paraId="66CD0D85">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e.提供虚假的信用状况；</w:t>
      </w:r>
    </w:p>
    <w:p w14:paraId="629D2ACC">
      <w:pPr>
        <w:spacing w:line="219" w:lineRule="auto"/>
        <w:rPr>
          <w:rFonts w:ascii="宋体" w:hAnsi="宋体" w:eastAsia="宋体" w:cs="宋体"/>
          <w:color w:val="auto"/>
          <w:sz w:val="24"/>
          <w:szCs w:val="24"/>
          <w:highlight w:val="none"/>
        </w:rPr>
        <w:sectPr>
          <w:footerReference r:id="rId27" w:type="default"/>
          <w:pgSz w:w="11906" w:h="16839"/>
          <w:pgMar w:top="1405" w:right="1418" w:bottom="1297" w:left="1424" w:header="0" w:footer="1067" w:gutter="0"/>
          <w:pgNumType w:fmt="decimal"/>
          <w:cols w:space="720" w:num="1"/>
        </w:sectPr>
      </w:pPr>
    </w:p>
    <w:p w14:paraId="5095F28E">
      <w:pPr>
        <w:spacing w:before="47"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f.其他弄虚作假的行为。</w:t>
      </w:r>
    </w:p>
    <w:p w14:paraId="6750D256">
      <w:pPr>
        <w:spacing w:before="182" w:line="324" w:lineRule="auto"/>
        <w:ind w:left="2" w:right="8"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3.6.3</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依法必须进行招标的项目，除第一中标候</w:t>
      </w:r>
      <w:r>
        <w:rPr>
          <w:rFonts w:ascii="宋体" w:hAnsi="宋体" w:eastAsia="宋体" w:cs="宋体"/>
          <w:color w:val="auto"/>
          <w:spacing w:val="-1"/>
          <w:sz w:val="24"/>
          <w:szCs w:val="24"/>
          <w:highlight w:val="none"/>
        </w:rPr>
        <w:t>选人或者中标人，其他投标人存在</w:t>
      </w:r>
      <w:r>
        <w:rPr>
          <w:rFonts w:ascii="宋体" w:hAnsi="宋体" w:eastAsia="宋体" w:cs="宋体"/>
          <w:color w:val="auto"/>
          <w:spacing w:val="5"/>
          <w:sz w:val="24"/>
          <w:szCs w:val="24"/>
          <w:highlight w:val="none"/>
        </w:rPr>
        <w:t>串通投标、弄虚作假、行贿情形且在评标过程中未被发现的，视为对中</w:t>
      </w:r>
      <w:r>
        <w:rPr>
          <w:rFonts w:ascii="宋体" w:hAnsi="宋体" w:eastAsia="宋体" w:cs="宋体"/>
          <w:color w:val="auto"/>
          <w:spacing w:val="4"/>
          <w:sz w:val="24"/>
          <w:szCs w:val="24"/>
          <w:highlight w:val="none"/>
        </w:rPr>
        <w:t>标结果没有造</w:t>
      </w:r>
      <w:r>
        <w:rPr>
          <w:rFonts w:ascii="宋体" w:hAnsi="宋体" w:eastAsia="宋体" w:cs="宋体"/>
          <w:color w:val="auto"/>
          <w:spacing w:val="5"/>
          <w:sz w:val="24"/>
          <w:szCs w:val="24"/>
          <w:highlight w:val="none"/>
        </w:rPr>
        <w:t>成实质性影响，招标人可以依法继续开展招标活动。投标人的违法行为</w:t>
      </w:r>
      <w:r>
        <w:rPr>
          <w:rFonts w:ascii="宋体" w:hAnsi="宋体" w:eastAsia="宋体" w:cs="宋体"/>
          <w:color w:val="auto"/>
          <w:spacing w:val="4"/>
          <w:sz w:val="24"/>
          <w:szCs w:val="24"/>
          <w:highlight w:val="none"/>
        </w:rPr>
        <w:t>由行政监督部</w:t>
      </w:r>
      <w:r>
        <w:rPr>
          <w:rFonts w:ascii="宋体" w:hAnsi="宋体" w:eastAsia="宋体" w:cs="宋体"/>
          <w:color w:val="auto"/>
          <w:spacing w:val="-2"/>
          <w:sz w:val="24"/>
          <w:szCs w:val="24"/>
          <w:highlight w:val="none"/>
        </w:rPr>
        <w:t>门依法处理。</w:t>
      </w:r>
    </w:p>
    <w:p w14:paraId="3548420B">
      <w:pPr>
        <w:spacing w:line="246" w:lineRule="auto"/>
        <w:rPr>
          <w:rFonts w:ascii="Arial"/>
          <w:color w:val="auto"/>
          <w:sz w:val="21"/>
          <w:highlight w:val="none"/>
        </w:rPr>
      </w:pPr>
    </w:p>
    <w:p w14:paraId="20574AAC">
      <w:pPr>
        <w:spacing w:before="78" w:line="219" w:lineRule="auto"/>
        <w:ind w:left="5"/>
        <w:outlineLvl w:val="1"/>
        <w:rPr>
          <w:rFonts w:ascii="宋体" w:hAnsi="宋体" w:eastAsia="宋体" w:cs="宋体"/>
          <w:color w:val="auto"/>
          <w:sz w:val="24"/>
          <w:szCs w:val="24"/>
          <w:highlight w:val="none"/>
        </w:rPr>
      </w:pPr>
      <w:bookmarkStart w:id="359" w:name="_Toc27038"/>
      <w:bookmarkStart w:id="360" w:name="_Toc21279"/>
      <w:bookmarkStart w:id="361" w:name="_Toc20884"/>
      <w:bookmarkStart w:id="362" w:name="_Toc31904"/>
      <w:r>
        <w:rPr>
          <w:rFonts w:ascii="宋体" w:hAnsi="宋体" w:eastAsia="宋体" w:cs="宋体"/>
          <w:b/>
          <w:bCs/>
          <w:color w:val="auto"/>
          <w:spacing w:val="-3"/>
          <w:sz w:val="24"/>
          <w:szCs w:val="24"/>
          <w:highlight w:val="none"/>
        </w:rPr>
        <w:t>3.7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投标文件的澄清和说明</w:t>
      </w:r>
      <w:bookmarkEnd w:id="359"/>
      <w:bookmarkEnd w:id="360"/>
      <w:bookmarkEnd w:id="361"/>
      <w:bookmarkEnd w:id="362"/>
    </w:p>
    <w:p w14:paraId="171160BD">
      <w:pPr>
        <w:spacing w:before="51" w:line="312" w:lineRule="auto"/>
        <w:ind w:right="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3.7.1 在评标过程中，评标委员会可以要求投标</w:t>
      </w:r>
      <w:r>
        <w:rPr>
          <w:rFonts w:ascii="宋体" w:hAnsi="宋体" w:eastAsia="宋体" w:cs="宋体"/>
          <w:color w:val="auto"/>
          <w:spacing w:val="4"/>
          <w:sz w:val="24"/>
          <w:szCs w:val="24"/>
          <w:highlight w:val="none"/>
        </w:rPr>
        <w:t>人对投标文件中含义不明确的内</w:t>
      </w:r>
      <w:r>
        <w:rPr>
          <w:rFonts w:ascii="宋体" w:hAnsi="宋体" w:eastAsia="宋体" w:cs="宋体"/>
          <w:color w:val="auto"/>
          <w:spacing w:val="5"/>
          <w:sz w:val="24"/>
          <w:szCs w:val="24"/>
          <w:highlight w:val="none"/>
        </w:rPr>
        <w:t>容、明显文字或计算错误进行书面澄清或说明。评标委员会不接受投标人主</w:t>
      </w:r>
      <w:r>
        <w:rPr>
          <w:rFonts w:ascii="宋体" w:hAnsi="宋体" w:eastAsia="宋体" w:cs="宋体"/>
          <w:color w:val="auto"/>
          <w:spacing w:val="4"/>
          <w:sz w:val="24"/>
          <w:szCs w:val="24"/>
          <w:highlight w:val="none"/>
        </w:rPr>
        <w:t>动提出的</w:t>
      </w:r>
      <w:r>
        <w:rPr>
          <w:rFonts w:ascii="宋体" w:hAnsi="宋体" w:eastAsia="宋体" w:cs="宋体"/>
          <w:color w:val="auto"/>
          <w:sz w:val="24"/>
          <w:szCs w:val="24"/>
          <w:highlight w:val="none"/>
        </w:rPr>
        <w:t>澄清、说明。投标人不按评标委员会要求澄清或说明的，评</w:t>
      </w:r>
      <w:r>
        <w:rPr>
          <w:rFonts w:ascii="宋体" w:hAnsi="宋体" w:eastAsia="宋体" w:cs="宋体"/>
          <w:color w:val="auto"/>
          <w:spacing w:val="-1"/>
          <w:sz w:val="24"/>
          <w:szCs w:val="24"/>
          <w:highlight w:val="none"/>
        </w:rPr>
        <w:t>标委员会应否决其投标。</w:t>
      </w:r>
    </w:p>
    <w:p w14:paraId="39D2264A">
      <w:pPr>
        <w:spacing w:before="184" w:line="288" w:lineRule="auto"/>
        <w:ind w:left="3" w:right="8"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3.7.2 澄清和说明不得超出投标文件的范围或改</w:t>
      </w:r>
      <w:r>
        <w:rPr>
          <w:rFonts w:ascii="宋体" w:hAnsi="宋体" w:eastAsia="宋体" w:cs="宋体"/>
          <w:color w:val="auto"/>
          <w:spacing w:val="4"/>
          <w:sz w:val="24"/>
          <w:szCs w:val="24"/>
          <w:highlight w:val="none"/>
        </w:rPr>
        <w:t>变投标文件的实质性内容（算术</w:t>
      </w:r>
      <w:r>
        <w:rPr>
          <w:rFonts w:ascii="宋体" w:hAnsi="宋体" w:eastAsia="宋体" w:cs="宋体"/>
          <w:color w:val="auto"/>
          <w:sz w:val="24"/>
          <w:szCs w:val="24"/>
          <w:highlight w:val="none"/>
        </w:rPr>
        <w:t>性错误的修正除外）。投标人的书面澄清、</w:t>
      </w:r>
      <w:r>
        <w:rPr>
          <w:rFonts w:ascii="宋体" w:hAnsi="宋体" w:eastAsia="宋体" w:cs="宋体"/>
          <w:color w:val="auto"/>
          <w:spacing w:val="-1"/>
          <w:sz w:val="24"/>
          <w:szCs w:val="24"/>
          <w:highlight w:val="none"/>
        </w:rPr>
        <w:t>说明属于投标文件的组成部分。</w:t>
      </w:r>
    </w:p>
    <w:p w14:paraId="0E3195F1">
      <w:pPr>
        <w:spacing w:before="185" w:line="288" w:lineRule="auto"/>
        <w:ind w:left="3"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3.7.3 评标委员会不得暗示或诱导投标人作出</w:t>
      </w:r>
      <w:r>
        <w:rPr>
          <w:rFonts w:ascii="宋体" w:hAnsi="宋体" w:eastAsia="宋体" w:cs="宋体"/>
          <w:color w:val="auto"/>
          <w:spacing w:val="-2"/>
          <w:sz w:val="24"/>
          <w:szCs w:val="24"/>
          <w:highlight w:val="none"/>
        </w:rPr>
        <w:t>澄清、说明，对投标人提交的澄清、</w:t>
      </w:r>
      <w:r>
        <w:rPr>
          <w:rFonts w:ascii="宋体" w:hAnsi="宋体" w:eastAsia="宋体" w:cs="宋体"/>
          <w:color w:val="auto"/>
          <w:sz w:val="24"/>
          <w:szCs w:val="24"/>
          <w:highlight w:val="none"/>
        </w:rPr>
        <w:t>说明有疑问的，可以要求投标人进一步澄清或说明</w:t>
      </w:r>
      <w:r>
        <w:rPr>
          <w:rFonts w:ascii="宋体" w:hAnsi="宋体" w:eastAsia="宋体" w:cs="宋体"/>
          <w:color w:val="auto"/>
          <w:spacing w:val="-1"/>
          <w:sz w:val="24"/>
          <w:szCs w:val="24"/>
          <w:highlight w:val="none"/>
        </w:rPr>
        <w:t>，直至满足评标委员会的要求。</w:t>
      </w:r>
    </w:p>
    <w:p w14:paraId="1B188C9F">
      <w:pPr>
        <w:spacing w:before="185" w:line="289" w:lineRule="auto"/>
        <w:ind w:right="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3.7.4 凡超出招标文件规定的或给委托人带来未</w:t>
      </w:r>
      <w:r>
        <w:rPr>
          <w:rFonts w:ascii="宋体" w:hAnsi="宋体" w:eastAsia="宋体" w:cs="宋体"/>
          <w:color w:val="auto"/>
          <w:spacing w:val="4"/>
          <w:sz w:val="24"/>
          <w:szCs w:val="24"/>
          <w:highlight w:val="none"/>
        </w:rPr>
        <w:t>曾要求的利益的变化、偏差或其</w:t>
      </w:r>
      <w:r>
        <w:rPr>
          <w:rFonts w:ascii="宋体" w:hAnsi="宋体" w:eastAsia="宋体" w:cs="宋体"/>
          <w:color w:val="auto"/>
          <w:spacing w:val="-1"/>
          <w:sz w:val="24"/>
          <w:szCs w:val="24"/>
          <w:highlight w:val="none"/>
        </w:rPr>
        <w:t>他因素在评标时不予考虑。</w:t>
      </w:r>
    </w:p>
    <w:p w14:paraId="47635BC6">
      <w:pPr>
        <w:spacing w:line="246" w:lineRule="auto"/>
        <w:rPr>
          <w:rFonts w:ascii="Arial"/>
          <w:color w:val="auto"/>
          <w:sz w:val="21"/>
          <w:highlight w:val="none"/>
        </w:rPr>
      </w:pPr>
    </w:p>
    <w:p w14:paraId="76E3D0F6">
      <w:pPr>
        <w:spacing w:before="78" w:line="219" w:lineRule="auto"/>
        <w:ind w:left="5"/>
        <w:outlineLvl w:val="1"/>
        <w:rPr>
          <w:rFonts w:ascii="宋体" w:hAnsi="宋体" w:eastAsia="宋体" w:cs="宋体"/>
          <w:color w:val="auto"/>
          <w:sz w:val="24"/>
          <w:szCs w:val="24"/>
          <w:highlight w:val="none"/>
        </w:rPr>
      </w:pPr>
      <w:bookmarkStart w:id="363" w:name="_Toc931"/>
      <w:bookmarkStart w:id="364" w:name="_Toc1136"/>
      <w:bookmarkStart w:id="365" w:name="_Toc22360"/>
      <w:bookmarkStart w:id="366" w:name="_Toc9266"/>
      <w:r>
        <w:rPr>
          <w:rFonts w:ascii="宋体" w:hAnsi="宋体" w:eastAsia="宋体" w:cs="宋体"/>
          <w:b/>
          <w:bCs/>
          <w:color w:val="auto"/>
          <w:spacing w:val="-3"/>
          <w:sz w:val="24"/>
          <w:szCs w:val="24"/>
          <w:highlight w:val="none"/>
        </w:rPr>
        <w:t>3.8</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不得否决投标的情形</w:t>
      </w:r>
      <w:bookmarkEnd w:id="363"/>
      <w:bookmarkEnd w:id="364"/>
      <w:bookmarkEnd w:id="365"/>
      <w:bookmarkEnd w:id="366"/>
    </w:p>
    <w:p w14:paraId="351D7801">
      <w:pPr>
        <w:spacing w:before="50" w:line="361" w:lineRule="auto"/>
        <w:ind w:right="8" w:firstLine="483"/>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投标文件存在第二章“投标人须知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”第</w:t>
      </w:r>
      <w:r>
        <w:rPr>
          <w:rFonts w:ascii="宋体" w:hAnsi="宋体" w:eastAsia="宋体" w:cs="宋体"/>
          <w:color w:val="auto"/>
          <w:spacing w:val="-30"/>
          <w:sz w:val="24"/>
          <w:szCs w:val="24"/>
          <w:highlight w:val="none"/>
        </w:rPr>
        <w:t xml:space="preserve"> </w:t>
      </w:r>
      <w:r>
        <w:rPr>
          <w:rFonts w:ascii="宋体" w:hAnsi="宋体" w:eastAsia="宋体" w:cs="宋体"/>
          <w:color w:val="auto"/>
          <w:sz w:val="24"/>
          <w:szCs w:val="24"/>
          <w:highlight w:val="none"/>
        </w:rPr>
        <w:t>1.</w:t>
      </w:r>
      <w:r>
        <w:rPr>
          <w:rFonts w:ascii="宋体" w:hAnsi="宋体" w:eastAsia="宋体" w:cs="宋体"/>
          <w:color w:val="auto"/>
          <w:spacing w:val="-1"/>
          <w:sz w:val="24"/>
          <w:szCs w:val="24"/>
          <w:highlight w:val="none"/>
        </w:rPr>
        <w:t>12.3</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项所列情形的，均视为细微偏差，</w:t>
      </w:r>
      <w:r>
        <w:rPr>
          <w:rFonts w:ascii="宋体" w:hAnsi="宋体" w:eastAsia="宋体" w:cs="宋体"/>
          <w:color w:val="auto"/>
          <w:sz w:val="24"/>
          <w:szCs w:val="24"/>
          <w:highlight w:val="none"/>
        </w:rPr>
        <w:t>评标委员会不得否决投标人的投标，应按照第二章“投标</w:t>
      </w:r>
      <w:r>
        <w:rPr>
          <w:rFonts w:ascii="宋体" w:hAnsi="宋体" w:eastAsia="宋体" w:cs="宋体"/>
          <w:color w:val="auto"/>
          <w:spacing w:val="-1"/>
          <w:sz w:val="24"/>
          <w:szCs w:val="24"/>
          <w:highlight w:val="none"/>
        </w:rPr>
        <w:t>人须知</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”第</w:t>
      </w:r>
      <w:r>
        <w:rPr>
          <w:rFonts w:ascii="宋体" w:hAnsi="宋体" w:eastAsia="宋体" w:cs="宋体"/>
          <w:color w:val="auto"/>
          <w:spacing w:val="-30"/>
          <w:sz w:val="24"/>
          <w:szCs w:val="24"/>
          <w:highlight w:val="none"/>
        </w:rPr>
        <w:t xml:space="preserve"> </w:t>
      </w:r>
      <w:r>
        <w:rPr>
          <w:rFonts w:ascii="宋体" w:hAnsi="宋体" w:eastAsia="宋体" w:cs="宋体"/>
          <w:color w:val="auto"/>
          <w:spacing w:val="-1"/>
          <w:sz w:val="24"/>
          <w:szCs w:val="24"/>
          <w:highlight w:val="none"/>
        </w:rPr>
        <w:t>1.12.4</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项规定的</w:t>
      </w:r>
      <w:r>
        <w:rPr>
          <w:rFonts w:ascii="宋体" w:hAnsi="宋体" w:eastAsia="宋体" w:cs="宋体"/>
          <w:color w:val="auto"/>
          <w:spacing w:val="-2"/>
          <w:sz w:val="24"/>
          <w:szCs w:val="24"/>
          <w:highlight w:val="none"/>
        </w:rPr>
        <w:t>原则处理。</w:t>
      </w:r>
    </w:p>
    <w:p w14:paraId="3BF7D5A7">
      <w:pPr>
        <w:spacing w:before="136" w:line="220" w:lineRule="auto"/>
        <w:ind w:left="5"/>
        <w:outlineLvl w:val="1"/>
        <w:rPr>
          <w:rFonts w:ascii="宋体" w:hAnsi="宋体" w:eastAsia="宋体" w:cs="宋体"/>
          <w:color w:val="auto"/>
          <w:sz w:val="24"/>
          <w:szCs w:val="24"/>
          <w:highlight w:val="none"/>
        </w:rPr>
      </w:pPr>
      <w:bookmarkStart w:id="367" w:name="_Toc2480"/>
      <w:bookmarkStart w:id="368" w:name="_Toc5981"/>
      <w:bookmarkStart w:id="369" w:name="_Toc24121"/>
      <w:bookmarkStart w:id="370" w:name="_Toc5826"/>
      <w:r>
        <w:rPr>
          <w:rFonts w:ascii="宋体" w:hAnsi="宋体" w:eastAsia="宋体" w:cs="宋体"/>
          <w:b/>
          <w:bCs/>
          <w:color w:val="auto"/>
          <w:spacing w:val="-4"/>
          <w:sz w:val="24"/>
          <w:szCs w:val="24"/>
          <w:highlight w:val="none"/>
        </w:rPr>
        <w:t>3.9</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评标结果</w:t>
      </w:r>
      <w:bookmarkEnd w:id="367"/>
      <w:bookmarkEnd w:id="368"/>
      <w:bookmarkEnd w:id="369"/>
      <w:bookmarkEnd w:id="370"/>
    </w:p>
    <w:p w14:paraId="322C83DD">
      <w:pPr>
        <w:spacing w:before="51" w:line="289" w:lineRule="auto"/>
        <w:ind w:left="1" w:right="8"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3.9.1 除第二章“投标人须知</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”前附表授权直</w:t>
      </w:r>
      <w:r>
        <w:rPr>
          <w:rFonts w:ascii="宋体" w:hAnsi="宋体" w:eastAsia="宋体" w:cs="宋体"/>
          <w:color w:val="auto"/>
          <w:spacing w:val="3"/>
          <w:sz w:val="24"/>
          <w:szCs w:val="24"/>
          <w:highlight w:val="none"/>
        </w:rPr>
        <w:t>接确定中标人外，评标委员会按照</w:t>
      </w:r>
      <w:r>
        <w:rPr>
          <w:rFonts w:ascii="宋体" w:hAnsi="宋体" w:eastAsia="宋体" w:cs="宋体"/>
          <w:color w:val="auto"/>
          <w:spacing w:val="-1"/>
          <w:sz w:val="24"/>
          <w:szCs w:val="24"/>
          <w:highlight w:val="none"/>
        </w:rPr>
        <w:t>得分由高到低的顺序推荐中标候选人，并标明排序。</w:t>
      </w:r>
    </w:p>
    <w:p w14:paraId="67075C33">
      <w:pPr>
        <w:spacing w:before="184"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3.9.2 评标委员会完成评标后，应向招标人提交评标报告。</w:t>
      </w:r>
    </w:p>
    <w:p w14:paraId="16D46CEE">
      <w:pPr>
        <w:spacing w:before="183" w:line="331" w:lineRule="auto"/>
        <w:ind w:right="8"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通过第一个信封商务和技术文件评审的投标人少于</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个的，评标委员会可以</w:t>
      </w:r>
      <w:r>
        <w:rPr>
          <w:rFonts w:ascii="宋体" w:hAnsi="宋体" w:eastAsia="宋体" w:cs="宋体"/>
          <w:color w:val="auto"/>
          <w:spacing w:val="5"/>
          <w:sz w:val="24"/>
          <w:szCs w:val="24"/>
          <w:highlight w:val="none"/>
        </w:rPr>
        <w:t>否决全部投标；未否决全部投标的，评标委员会应当在评标报告中阐明理由，</w:t>
      </w:r>
      <w:r>
        <w:rPr>
          <w:rFonts w:ascii="宋体" w:hAnsi="宋体" w:eastAsia="宋体" w:cs="宋体"/>
          <w:color w:val="auto"/>
          <w:spacing w:val="4"/>
          <w:sz w:val="24"/>
          <w:szCs w:val="24"/>
          <w:highlight w:val="none"/>
        </w:rPr>
        <w:t>招标人</w:t>
      </w:r>
      <w:r>
        <w:rPr>
          <w:rFonts w:ascii="宋体" w:hAnsi="宋体" w:eastAsia="宋体" w:cs="宋体"/>
          <w:color w:val="auto"/>
          <w:spacing w:val="5"/>
          <w:sz w:val="24"/>
          <w:szCs w:val="24"/>
          <w:highlight w:val="none"/>
        </w:rPr>
        <w:t>应当按照招标文件规定的程序进行第二个信封报价开标，但评标委员会在进行</w:t>
      </w:r>
      <w:r>
        <w:rPr>
          <w:rFonts w:ascii="宋体" w:hAnsi="宋体" w:eastAsia="宋体" w:cs="宋体"/>
          <w:color w:val="auto"/>
          <w:spacing w:val="4"/>
          <w:sz w:val="24"/>
          <w:szCs w:val="24"/>
          <w:highlight w:val="none"/>
        </w:rPr>
        <w:t>报价评</w:t>
      </w:r>
      <w:r>
        <w:rPr>
          <w:rFonts w:ascii="宋体" w:hAnsi="宋体" w:eastAsia="宋体" w:cs="宋体"/>
          <w:color w:val="auto"/>
          <w:spacing w:val="5"/>
          <w:sz w:val="24"/>
          <w:szCs w:val="24"/>
          <w:highlight w:val="none"/>
        </w:rPr>
        <w:t>审时仍有权否决全部投标；评标委员会未在报价文件评审时否决全部投标的，</w:t>
      </w:r>
      <w:r>
        <w:rPr>
          <w:rFonts w:ascii="宋体" w:hAnsi="宋体" w:eastAsia="宋体" w:cs="宋体"/>
          <w:color w:val="auto"/>
          <w:spacing w:val="4"/>
          <w:sz w:val="24"/>
          <w:szCs w:val="24"/>
          <w:highlight w:val="none"/>
        </w:rPr>
        <w:t>应当在</w:t>
      </w:r>
      <w:r>
        <w:rPr>
          <w:rFonts w:ascii="宋体" w:hAnsi="宋体" w:eastAsia="宋体" w:cs="宋体"/>
          <w:color w:val="auto"/>
          <w:spacing w:val="-1"/>
          <w:sz w:val="24"/>
          <w:szCs w:val="24"/>
          <w:highlight w:val="none"/>
        </w:rPr>
        <w:t>评标报告中阐明理由并推荐中标候选人。</w:t>
      </w:r>
    </w:p>
    <w:p w14:paraId="5B34499D">
      <w:pPr>
        <w:spacing w:before="183" w:line="288" w:lineRule="auto"/>
        <w:ind w:left="2" w:right="5"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3.9.4</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通过第一个信封商务和技术文件评审的投标人在</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个及以上的，招标人应当</w:t>
      </w:r>
      <w:r>
        <w:rPr>
          <w:rFonts w:ascii="宋体" w:hAnsi="宋体" w:eastAsia="宋体" w:cs="宋体"/>
          <w:color w:val="auto"/>
          <w:spacing w:val="5"/>
          <w:sz w:val="24"/>
          <w:szCs w:val="24"/>
          <w:highlight w:val="none"/>
        </w:rPr>
        <w:t>按照招标文件规定的程序进行第二个信封报价文件开标；在</w:t>
      </w:r>
      <w:r>
        <w:rPr>
          <w:rFonts w:ascii="宋体" w:hAnsi="宋体" w:eastAsia="宋体" w:cs="宋体"/>
          <w:color w:val="auto"/>
          <w:spacing w:val="4"/>
          <w:sz w:val="24"/>
          <w:szCs w:val="24"/>
          <w:highlight w:val="none"/>
        </w:rPr>
        <w:t>对报价文件进行评审后，</w:t>
      </w:r>
    </w:p>
    <w:p w14:paraId="550EA974">
      <w:pPr>
        <w:spacing w:line="288" w:lineRule="auto"/>
        <w:rPr>
          <w:rFonts w:ascii="宋体" w:hAnsi="宋体" w:eastAsia="宋体" w:cs="宋体"/>
          <w:color w:val="auto"/>
          <w:sz w:val="24"/>
          <w:szCs w:val="24"/>
          <w:highlight w:val="none"/>
        </w:rPr>
        <w:sectPr>
          <w:footerReference r:id="rId28" w:type="default"/>
          <w:pgSz w:w="11906" w:h="16839"/>
          <w:pgMar w:top="1405" w:right="1409" w:bottom="1297" w:left="1424" w:header="0" w:footer="1066" w:gutter="0"/>
          <w:pgNumType w:fmt="decimal"/>
          <w:cols w:space="720" w:num="1"/>
        </w:sectPr>
      </w:pPr>
    </w:p>
    <w:p w14:paraId="39A46B66">
      <w:pPr>
        <w:spacing w:before="48" w:line="359" w:lineRule="auto"/>
        <w:ind w:firstLine="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有效投标不足</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个的，评标委员会可以否决全部投标。未否决全部投标的，</w:t>
      </w:r>
      <w:r>
        <w:rPr>
          <w:rFonts w:ascii="宋体" w:hAnsi="宋体" w:eastAsia="宋体" w:cs="宋体"/>
          <w:color w:val="auto"/>
          <w:spacing w:val="3"/>
          <w:sz w:val="24"/>
          <w:szCs w:val="24"/>
          <w:highlight w:val="none"/>
        </w:rPr>
        <w:t>评标委员</w:t>
      </w:r>
      <w:r>
        <w:rPr>
          <w:rFonts w:ascii="宋体" w:hAnsi="宋体" w:eastAsia="宋体" w:cs="宋体"/>
          <w:color w:val="auto"/>
          <w:spacing w:val="-1"/>
          <w:sz w:val="24"/>
          <w:szCs w:val="24"/>
          <w:highlight w:val="none"/>
        </w:rPr>
        <w:t>会应当在评标报告中阐明理由并推荐中标候选人。</w:t>
      </w:r>
    </w:p>
    <w:p w14:paraId="7AABB942">
      <w:pPr>
        <w:spacing w:line="359" w:lineRule="auto"/>
        <w:ind w:left="2"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3.9.5</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如果发生无法确定推荐中标候选人的</w:t>
      </w:r>
      <w:r>
        <w:rPr>
          <w:rFonts w:ascii="宋体" w:hAnsi="宋体" w:eastAsia="宋体" w:cs="宋体"/>
          <w:color w:val="auto"/>
          <w:spacing w:val="-1"/>
          <w:sz w:val="24"/>
          <w:szCs w:val="24"/>
          <w:highlight w:val="none"/>
        </w:rPr>
        <w:t>其他意外情况，评标委员会可建议招标</w:t>
      </w:r>
      <w:r>
        <w:rPr>
          <w:rFonts w:ascii="宋体" w:hAnsi="宋体" w:eastAsia="宋体" w:cs="宋体"/>
          <w:color w:val="auto"/>
          <w:spacing w:val="-2"/>
          <w:sz w:val="24"/>
          <w:szCs w:val="24"/>
          <w:highlight w:val="none"/>
        </w:rPr>
        <w:t>人重新招标。</w:t>
      </w:r>
    </w:p>
    <w:p w14:paraId="4B7A5D4B">
      <w:pPr>
        <w:spacing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3.9.6</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本招标文件规定的否决投标条款包含在以下条款：</w:t>
      </w:r>
    </w:p>
    <w:p w14:paraId="1A636FFE">
      <w:pPr>
        <w:spacing w:before="180"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（1）投标人须知前附表后附录资格审查条件；</w:t>
      </w:r>
    </w:p>
    <w:p w14:paraId="1AE08A4C">
      <w:pPr>
        <w:spacing w:before="184" w:line="289" w:lineRule="auto"/>
        <w:ind w:left="5" w:right="39"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（2）投标人须知</w:t>
      </w:r>
      <w:r>
        <w:rPr>
          <w:rFonts w:ascii="宋体" w:hAnsi="宋体" w:eastAsia="宋体" w:cs="宋体"/>
          <w:color w:val="auto"/>
          <w:spacing w:val="-31"/>
          <w:sz w:val="24"/>
          <w:szCs w:val="24"/>
          <w:highlight w:val="none"/>
        </w:rPr>
        <w:t xml:space="preserve"> </w:t>
      </w:r>
      <w:r>
        <w:rPr>
          <w:rFonts w:ascii="宋体" w:hAnsi="宋体" w:eastAsia="宋体" w:cs="宋体"/>
          <w:color w:val="auto"/>
          <w:spacing w:val="-3"/>
          <w:sz w:val="24"/>
          <w:szCs w:val="24"/>
          <w:highlight w:val="none"/>
        </w:rPr>
        <w:t>1.4.3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项、1.4.4</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项、1.4.5</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项、1.12.2</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项、3.4.2</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项、3.5</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3.6.1</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w:t>
      </w:r>
    </w:p>
    <w:p w14:paraId="3B03E754">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（3）本评标办法的否决条款。</w:t>
      </w:r>
    </w:p>
    <w:p w14:paraId="3423B66E">
      <w:pPr>
        <w:spacing w:line="219" w:lineRule="auto"/>
        <w:rPr>
          <w:rFonts w:ascii="宋体" w:hAnsi="宋体" w:eastAsia="宋体" w:cs="宋体"/>
          <w:color w:val="auto"/>
          <w:sz w:val="24"/>
          <w:szCs w:val="24"/>
          <w:highlight w:val="none"/>
        </w:rPr>
        <w:sectPr>
          <w:footerReference r:id="rId29" w:type="default"/>
          <w:pgSz w:w="11906" w:h="16839"/>
          <w:pgMar w:top="1405" w:right="1418" w:bottom="1297" w:left="1424" w:header="0" w:footer="1067" w:gutter="0"/>
          <w:pgNumType w:fmt="decimal"/>
          <w:cols w:space="720" w:num="1"/>
        </w:sectPr>
      </w:pPr>
    </w:p>
    <w:p w14:paraId="5B90D7F4">
      <w:pPr>
        <w:spacing w:before="64" w:line="223" w:lineRule="auto"/>
        <w:ind w:left="2250"/>
        <w:outlineLvl w:val="0"/>
        <w:rPr>
          <w:rFonts w:hint="eastAsia" w:ascii="宋体" w:hAnsi="宋体" w:eastAsia="宋体" w:cs="宋体"/>
          <w:b/>
          <w:bCs/>
          <w:color w:val="auto"/>
          <w:spacing w:val="6"/>
          <w:sz w:val="31"/>
          <w:szCs w:val="31"/>
          <w:highlight w:val="none"/>
          <w:lang w:val="en-US" w:eastAsia="zh-CN"/>
        </w:rPr>
      </w:pPr>
      <w:bookmarkStart w:id="371" w:name="_Toc30875"/>
      <w:r>
        <w:rPr>
          <w:rFonts w:hint="eastAsia" w:ascii="宋体" w:hAnsi="宋体" w:eastAsia="宋体" w:cs="宋体"/>
          <w:b/>
          <w:bCs/>
          <w:color w:val="auto"/>
          <w:spacing w:val="6"/>
          <w:sz w:val="31"/>
          <w:szCs w:val="31"/>
          <w:highlight w:val="none"/>
          <w:lang w:val="en-US" w:eastAsia="zh-CN"/>
        </w:rPr>
        <w:t>第二节 定标办法(票决数量法)</w:t>
      </w:r>
      <w:bookmarkEnd w:id="371"/>
    </w:p>
    <w:p w14:paraId="5B0AFC77">
      <w:pPr>
        <w:pStyle w:val="5"/>
        <w:jc w:val="both"/>
        <w:rPr>
          <w:rFonts w:hint="default"/>
          <w:color w:val="auto"/>
          <w:sz w:val="21"/>
          <w:szCs w:val="18"/>
          <w:highlight w:val="none"/>
          <w:lang w:val="en-US" w:eastAsia="zh-CN"/>
        </w:rPr>
      </w:pPr>
      <w:r>
        <w:rPr>
          <w:rFonts w:hint="eastAsia"/>
          <w:b/>
          <w:bCs/>
          <w:color w:val="auto"/>
          <w:sz w:val="22"/>
          <w:szCs w:val="28"/>
          <w:highlight w:val="none"/>
          <w:lang w:val="en-US" w:eastAsia="zh-CN"/>
        </w:rPr>
        <w:t>定标办法前附表</w:t>
      </w:r>
    </w:p>
    <w:tbl>
      <w:tblPr>
        <w:tblStyle w:val="22"/>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1336"/>
        <w:gridCol w:w="6916"/>
      </w:tblGrid>
      <w:tr w14:paraId="0F00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2370" w:type="dxa"/>
            <w:gridSpan w:val="2"/>
            <w:vAlign w:val="top"/>
          </w:tcPr>
          <w:p w14:paraId="378B18E2">
            <w:pPr>
              <w:pStyle w:val="23"/>
              <w:spacing w:before="35" w:line="228" w:lineRule="auto"/>
              <w:ind w:left="877"/>
              <w:rPr>
                <w:color w:val="auto"/>
                <w:highlight w:val="none"/>
              </w:rPr>
            </w:pPr>
            <w:r>
              <w:rPr>
                <w:b/>
                <w:bCs/>
                <w:color w:val="auto"/>
                <w:spacing w:val="5"/>
                <w:highlight w:val="none"/>
              </w:rPr>
              <w:t>条款号</w:t>
            </w:r>
          </w:p>
        </w:tc>
        <w:tc>
          <w:tcPr>
            <w:tcW w:w="6916" w:type="dxa"/>
            <w:vAlign w:val="top"/>
          </w:tcPr>
          <w:p w14:paraId="61703F29">
            <w:pPr>
              <w:pStyle w:val="23"/>
              <w:spacing w:before="35" w:line="228" w:lineRule="auto"/>
              <w:ind w:left="2496"/>
              <w:rPr>
                <w:color w:val="auto"/>
                <w:highlight w:val="none"/>
              </w:rPr>
            </w:pPr>
            <w:r>
              <w:rPr>
                <w:b/>
                <w:bCs/>
                <w:color w:val="auto"/>
                <w:spacing w:val="11"/>
                <w:highlight w:val="none"/>
              </w:rPr>
              <w:t>评审标准</w:t>
            </w:r>
          </w:p>
        </w:tc>
      </w:tr>
      <w:tr w14:paraId="58EF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1034" w:type="dxa"/>
            <w:vAlign w:val="center"/>
          </w:tcPr>
          <w:p w14:paraId="2CC63787">
            <w:pPr>
              <w:pStyle w:val="23"/>
              <w:spacing w:before="65" w:line="270" w:lineRule="exact"/>
              <w:jc w:val="center"/>
              <w:rPr>
                <w:color w:val="auto"/>
                <w:highlight w:val="none"/>
              </w:rPr>
            </w:pPr>
            <w:r>
              <w:rPr>
                <w:color w:val="auto"/>
                <w:position w:val="1"/>
                <w:highlight w:val="none"/>
              </w:rPr>
              <w:t>1</w:t>
            </w:r>
          </w:p>
        </w:tc>
        <w:tc>
          <w:tcPr>
            <w:tcW w:w="1336" w:type="dxa"/>
            <w:vAlign w:val="center"/>
          </w:tcPr>
          <w:p w14:paraId="4D9DE13E">
            <w:pPr>
              <w:pStyle w:val="23"/>
              <w:spacing w:before="65" w:line="228" w:lineRule="auto"/>
              <w:jc w:val="center"/>
              <w:rPr>
                <w:rFonts w:hint="default" w:eastAsia="宋体"/>
                <w:color w:val="auto"/>
                <w:highlight w:val="none"/>
                <w:lang w:val="en-US" w:eastAsia="zh-CN"/>
              </w:rPr>
            </w:pPr>
            <w:r>
              <w:rPr>
                <w:rFonts w:hint="eastAsia"/>
                <w:color w:val="auto"/>
                <w:highlight w:val="none"/>
                <w:lang w:val="en-US" w:eastAsia="zh-CN"/>
              </w:rPr>
              <w:t>定标方法</w:t>
            </w:r>
          </w:p>
        </w:tc>
        <w:tc>
          <w:tcPr>
            <w:tcW w:w="6916" w:type="dxa"/>
            <w:vAlign w:val="center"/>
          </w:tcPr>
          <w:p w14:paraId="55E504B1">
            <w:pPr>
              <w:pStyle w:val="23"/>
              <w:keepNext w:val="0"/>
              <w:keepLines w:val="0"/>
              <w:pageBreakBefore w:val="0"/>
              <w:widowControl/>
              <w:kinsoku w:val="0"/>
              <w:wordWrap/>
              <w:overflowPunct/>
              <w:topLinePunct w:val="0"/>
              <w:autoSpaceDE w:val="0"/>
              <w:autoSpaceDN w:val="0"/>
              <w:bidi w:val="0"/>
              <w:adjustRightInd w:val="0"/>
              <w:snapToGrid w:val="0"/>
              <w:spacing w:before="10" w:line="228" w:lineRule="auto"/>
              <w:ind w:left="408" w:right="105" w:rightChars="50" w:firstLine="400" w:firstLineChars="200"/>
              <w:jc w:val="both"/>
              <w:textAlignment w:val="baseline"/>
              <w:rPr>
                <w:color w:val="auto"/>
                <w:highlight w:val="none"/>
              </w:rPr>
            </w:pPr>
            <w:r>
              <w:rPr>
                <w:rFonts w:hint="eastAsia"/>
                <w:color w:val="auto"/>
                <w:highlight w:val="none"/>
              </w:rPr>
              <w:t>定标委员会根据定标因素对定标候选人进行评审比较后，每名定标委员会成员有且仅有投出1票的权利，1票只能投1名定标候选人，进行票决排名确定一名中标候选人，即各定标委员会成员对定标候选人进行投票，得票最高的即为中标候选人。当最高得票相同时，对得票最高的定标候选人再次进行记名投票，直至选出一名中标候选人。票决采用记名方式并注明投票理由。</w:t>
            </w:r>
          </w:p>
        </w:tc>
      </w:tr>
      <w:tr w14:paraId="258B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1" w:hRule="atLeast"/>
        </w:trPr>
        <w:tc>
          <w:tcPr>
            <w:tcW w:w="1034" w:type="dxa"/>
            <w:vAlign w:val="center"/>
          </w:tcPr>
          <w:p w14:paraId="51AA9D0A">
            <w:pPr>
              <w:pStyle w:val="23"/>
              <w:spacing w:before="140" w:line="267" w:lineRule="exact"/>
              <w:ind w:left="261"/>
              <w:jc w:val="center"/>
              <w:rPr>
                <w:rFonts w:hint="eastAsia" w:eastAsia="宋体"/>
                <w:color w:val="auto"/>
                <w:highlight w:val="none"/>
                <w:lang w:val="en-US" w:eastAsia="zh-CN"/>
              </w:rPr>
            </w:pPr>
            <w:r>
              <w:rPr>
                <w:rFonts w:hint="eastAsia"/>
                <w:color w:val="auto"/>
                <w:highlight w:val="none"/>
                <w:lang w:val="en-US" w:eastAsia="zh-CN"/>
              </w:rPr>
              <w:t>3</w:t>
            </w:r>
          </w:p>
        </w:tc>
        <w:tc>
          <w:tcPr>
            <w:tcW w:w="1336" w:type="dxa"/>
            <w:vAlign w:val="center"/>
          </w:tcPr>
          <w:p w14:paraId="54C0CBBC">
            <w:pPr>
              <w:pStyle w:val="23"/>
              <w:spacing w:before="65" w:line="228" w:lineRule="auto"/>
              <w:jc w:val="center"/>
              <w:rPr>
                <w:color w:val="auto"/>
                <w:sz w:val="10"/>
                <w:szCs w:val="10"/>
                <w:highlight w:val="none"/>
              </w:rPr>
            </w:pPr>
            <w:r>
              <w:rPr>
                <w:rFonts w:hint="eastAsia"/>
                <w:color w:val="auto"/>
                <w:highlight w:val="none"/>
              </w:rPr>
              <w:t>定标评审标准</w:t>
            </w:r>
          </w:p>
        </w:tc>
        <w:tc>
          <w:tcPr>
            <w:tcW w:w="6916" w:type="dxa"/>
            <w:vAlign w:val="center"/>
          </w:tcPr>
          <w:p w14:paraId="3CC09E06">
            <w:pPr>
              <w:pStyle w:val="23"/>
              <w:spacing w:before="33" w:line="228" w:lineRule="auto"/>
              <w:ind w:left="533"/>
              <w:jc w:val="both"/>
              <w:rPr>
                <w:color w:val="auto"/>
                <w:highlight w:val="none"/>
              </w:rPr>
            </w:pPr>
            <w:r>
              <w:rPr>
                <w:rFonts w:hint="eastAsia"/>
                <w:b/>
                <w:bCs/>
                <w:color w:val="auto"/>
                <w:spacing w:val="7"/>
                <w:highlight w:val="none"/>
                <w:lang w:val="en-US" w:eastAsia="zh-CN"/>
              </w:rPr>
              <w:t>定标因素</w:t>
            </w:r>
            <w:r>
              <w:rPr>
                <w:b/>
                <w:bCs/>
                <w:color w:val="auto"/>
                <w:spacing w:val="7"/>
                <w:highlight w:val="none"/>
              </w:rPr>
              <w:t>：</w:t>
            </w:r>
          </w:p>
          <w:p w14:paraId="2FA93F6A">
            <w:pPr>
              <w:pStyle w:val="23"/>
              <w:spacing w:before="163" w:line="302" w:lineRule="auto"/>
              <w:ind w:left="114" w:right="109" w:firstLine="429"/>
              <w:jc w:val="both"/>
              <w:rPr>
                <w:rFonts w:hint="eastAsia"/>
                <w:color w:val="auto"/>
                <w:highlight w:val="none"/>
              </w:rPr>
            </w:pPr>
            <w:r>
              <w:rPr>
                <w:rFonts w:hint="eastAsia"/>
                <w:color w:val="auto"/>
                <w:highlight w:val="none"/>
              </w:rPr>
              <w:t>在同等条件下，择优的定标因素和相对标准有以下几个方面：</w:t>
            </w:r>
          </w:p>
          <w:p w14:paraId="141B480A">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（1）拟派团队管理能力与水平（履约能力）</w:t>
            </w:r>
          </w:p>
          <w:p w14:paraId="5C77C8E4">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相对标准：拟派团队管理能力与水平（履约能力）强的定标候选人优于拟派团队管理能力与水平（履约能力）一般的定标候选人。</w:t>
            </w:r>
          </w:p>
          <w:p w14:paraId="36FD4669">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（2）企业实力</w:t>
            </w:r>
          </w:p>
          <w:p w14:paraId="489FE1D6">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相对标准：企业监理类似工程项目业绩及获奖多的定标候选人优于项目业绩及获奖一般的定标候选人。</w:t>
            </w:r>
          </w:p>
          <w:p w14:paraId="1A40F47D">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（3）企业信誉</w:t>
            </w:r>
          </w:p>
          <w:p w14:paraId="5AD98F93">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相对标准：企业信誉评价好的定标候选人优于企业信誉评价一般的定标候选人。</w:t>
            </w:r>
          </w:p>
          <w:p w14:paraId="2E58F33B">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（4）评标报告</w:t>
            </w:r>
          </w:p>
          <w:p w14:paraId="1D175B2E">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52B27B8C">
            <w:pPr>
              <w:pStyle w:val="23"/>
              <w:spacing w:before="163" w:line="302" w:lineRule="auto"/>
              <w:ind w:left="114" w:right="109" w:firstLine="429"/>
              <w:jc w:val="both"/>
              <w:rPr>
                <w:rFonts w:hint="eastAsia" w:ascii="宋体" w:hAnsi="宋体" w:eastAsia="宋体" w:cs="宋体"/>
                <w:color w:val="auto"/>
                <w:highlight w:val="none"/>
              </w:rPr>
            </w:pPr>
            <w:r>
              <w:rPr>
                <w:rFonts w:hint="eastAsia" w:ascii="宋体" w:hAnsi="宋体" w:eastAsia="宋体" w:cs="宋体"/>
                <w:color w:val="auto"/>
                <w:highlight w:val="none"/>
              </w:rPr>
              <w:t>（5）技术方案</w:t>
            </w:r>
          </w:p>
          <w:p w14:paraId="4248FC6D">
            <w:pPr>
              <w:pStyle w:val="23"/>
              <w:spacing w:before="163" w:line="302" w:lineRule="auto"/>
              <w:ind w:left="114" w:right="109" w:firstLine="429"/>
              <w:jc w:val="both"/>
              <w:rPr>
                <w:color w:val="auto"/>
                <w:highlight w:val="none"/>
              </w:rPr>
            </w:pPr>
            <w:r>
              <w:rPr>
                <w:rFonts w:hint="eastAsia" w:ascii="宋体" w:hAnsi="宋体" w:eastAsia="宋体" w:cs="宋体"/>
                <w:color w:val="auto"/>
                <w:highlight w:val="none"/>
              </w:rPr>
              <w:t>技术方案针对性强、内容科学合理且符合项目实际的定标候选人优于技术方案针对性不足、内容一般的定标候选人。</w:t>
            </w:r>
          </w:p>
        </w:tc>
      </w:tr>
    </w:tbl>
    <w:p w14:paraId="2959B572">
      <w:pPr>
        <w:rPr>
          <w:rFonts w:hint="eastAsia"/>
          <w:color w:val="auto"/>
          <w:highlight w:val="none"/>
          <w:lang w:val="en-US" w:eastAsia="zh-CN"/>
        </w:rPr>
      </w:pPr>
    </w:p>
    <w:p w14:paraId="523ABF99">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F86D2C3">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定标办法正文</w:t>
      </w:r>
    </w:p>
    <w:p w14:paraId="435ACF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 定标方法</w:t>
      </w:r>
    </w:p>
    <w:p w14:paraId="5379AA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次定标采用采用票决数量法。定标委员会根据定标因素对定标候选人进行评审比较后，定标委员会成员对定标候选人进行记名投票，得票最高的即为中标候选人。票数相同时，定标委员会按定标办法前附表规定的确定中标候选人。</w:t>
      </w:r>
    </w:p>
    <w:p w14:paraId="1053BD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 定标委员会</w:t>
      </w:r>
    </w:p>
    <w:p w14:paraId="2FFBFB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2.1定标委员会由招标人组建并确定定标组长。定标委员会开始定标前，首先听取招标人或招标代理机构关于工程情况，并认真研读招标文件，了解和熟悉招标文件规定的定标方法、定标因素等。</w:t>
      </w:r>
    </w:p>
    <w:p w14:paraId="62D960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2.2 参与定标会议的工作人员不参与定标的决策，无表决权，只协助定标委员会进行资料整理等事务性工作。</w:t>
      </w:r>
    </w:p>
    <w:p w14:paraId="4B5EE6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 定标评审标准：见定标办法前附表</w:t>
      </w:r>
    </w:p>
    <w:p w14:paraId="1AAFED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 定标程序</w:t>
      </w:r>
    </w:p>
    <w:p w14:paraId="44F6DB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（1）项目情况介绍</w:t>
      </w:r>
    </w:p>
    <w:p w14:paraId="27778D9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招标人代表介绍项目的概况、招标要求和评标情况，以及定标方法与定标工作规则等，不得发表具有倾向性的言论。</w:t>
      </w:r>
    </w:p>
    <w:p w14:paraId="767678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（2）审阅定标资料</w:t>
      </w:r>
    </w:p>
    <w:p w14:paraId="02621B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定标委员会成员按定标因素对对各定标候选人的定标佐证资料进行审阅，审阅内容主要是定标工作规则所规定的定标因素，聚焦于项目需求与候选人能力的匹配度。</w:t>
      </w:r>
    </w:p>
    <w:p w14:paraId="4DD643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（3）疑问澄清</w:t>
      </w:r>
    </w:p>
    <w:p w14:paraId="7D674C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委员会有疑问的，可以向招标人代表进行提问。招标人代表向定标委员会反馈的信息中不得有明示或暗示中标单位的内容。定标委员会的提问应在定标会议现场提出，招标人代表应在定标会议现场作出答复，由招标人或招标代理机构做好书面记录，并由提问和答复双方在书面记录上签字。提问和答复不得改变招标文件、投标文件和评标的实质性内容。</w:t>
      </w:r>
    </w:p>
    <w:p w14:paraId="57FF9A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（4）投票，收票，点票和汇总</w:t>
      </w:r>
    </w:p>
    <w:p w14:paraId="59CD83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委员会成员按照票决定标法程序，根据公平、公正、择优原则，独立完成票决后，统一由定标工作人员收集、清点，并对票数进行汇总排名。得票相同且影响中标人确定的，可由定标委员会对总票数相同的单位进行再次票决确定排序。</w:t>
      </w:r>
    </w:p>
    <w:p w14:paraId="21386E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（5）公布结果和出具定标报告</w:t>
      </w:r>
    </w:p>
    <w:p w14:paraId="13A407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点票工作完成后，定标委员会组长汇总定标结果，编制定标报告，确定中标人，全体成员签名。</w:t>
      </w:r>
    </w:p>
    <w:p w14:paraId="39563E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（6）全程监督</w:t>
      </w:r>
    </w:p>
    <w:p w14:paraId="742BC7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招标监督小组对集体议定的全过程进行监督，确保程序合规、讨论充分、记录完整，结论形成过程公正、透明。</w:t>
      </w:r>
    </w:p>
    <w:p w14:paraId="67E029CC">
      <w:pPr>
        <w:spacing w:line="244" w:lineRule="auto"/>
        <w:rPr>
          <w:rFonts w:ascii="Arial"/>
          <w:color w:val="auto"/>
          <w:sz w:val="21"/>
          <w:highlight w:val="none"/>
        </w:rPr>
      </w:pPr>
    </w:p>
    <w:p w14:paraId="1A052419">
      <w:pPr>
        <w:spacing w:line="244" w:lineRule="auto"/>
        <w:rPr>
          <w:rFonts w:ascii="Arial"/>
          <w:color w:val="auto"/>
          <w:sz w:val="21"/>
          <w:highlight w:val="none"/>
        </w:rPr>
      </w:pPr>
    </w:p>
    <w:p w14:paraId="21B7ED1B">
      <w:pPr>
        <w:spacing w:line="244" w:lineRule="auto"/>
        <w:rPr>
          <w:rFonts w:ascii="Arial"/>
          <w:color w:val="auto"/>
          <w:sz w:val="21"/>
          <w:highlight w:val="none"/>
        </w:rPr>
      </w:pPr>
    </w:p>
    <w:p w14:paraId="16C9290C">
      <w:pPr>
        <w:spacing w:line="244" w:lineRule="auto"/>
        <w:rPr>
          <w:rFonts w:ascii="Arial"/>
          <w:color w:val="auto"/>
          <w:sz w:val="21"/>
          <w:highlight w:val="none"/>
        </w:rPr>
      </w:pPr>
    </w:p>
    <w:p w14:paraId="02BF5BF4">
      <w:pPr>
        <w:spacing w:line="244" w:lineRule="auto"/>
        <w:rPr>
          <w:rFonts w:ascii="Arial"/>
          <w:color w:val="auto"/>
          <w:sz w:val="21"/>
          <w:highlight w:val="none"/>
        </w:rPr>
      </w:pPr>
    </w:p>
    <w:p w14:paraId="45ADF1E5">
      <w:pPr>
        <w:spacing w:line="244" w:lineRule="auto"/>
        <w:rPr>
          <w:rFonts w:ascii="Arial"/>
          <w:color w:val="auto"/>
          <w:sz w:val="21"/>
          <w:highlight w:val="none"/>
        </w:rPr>
      </w:pPr>
    </w:p>
    <w:p w14:paraId="2F1DF03C">
      <w:pPr>
        <w:spacing w:line="244" w:lineRule="auto"/>
        <w:rPr>
          <w:rFonts w:ascii="Arial"/>
          <w:color w:val="auto"/>
          <w:sz w:val="21"/>
          <w:highlight w:val="none"/>
        </w:rPr>
      </w:pPr>
    </w:p>
    <w:p w14:paraId="14CF8626">
      <w:pPr>
        <w:spacing w:line="244" w:lineRule="auto"/>
        <w:rPr>
          <w:rFonts w:ascii="Arial"/>
          <w:color w:val="auto"/>
          <w:sz w:val="21"/>
          <w:highlight w:val="none"/>
        </w:rPr>
      </w:pPr>
    </w:p>
    <w:p w14:paraId="532EF2F2">
      <w:pPr>
        <w:spacing w:line="244" w:lineRule="auto"/>
        <w:rPr>
          <w:rFonts w:ascii="Arial"/>
          <w:color w:val="auto"/>
          <w:sz w:val="21"/>
          <w:highlight w:val="none"/>
        </w:rPr>
      </w:pPr>
    </w:p>
    <w:p w14:paraId="595537A1">
      <w:pPr>
        <w:spacing w:line="244" w:lineRule="auto"/>
        <w:rPr>
          <w:rFonts w:ascii="Arial"/>
          <w:color w:val="auto"/>
          <w:sz w:val="21"/>
          <w:highlight w:val="none"/>
        </w:rPr>
      </w:pPr>
    </w:p>
    <w:p w14:paraId="21C1C4CE">
      <w:pPr>
        <w:spacing w:line="244" w:lineRule="auto"/>
        <w:rPr>
          <w:rFonts w:ascii="Arial"/>
          <w:color w:val="auto"/>
          <w:sz w:val="21"/>
          <w:highlight w:val="none"/>
        </w:rPr>
      </w:pPr>
    </w:p>
    <w:p w14:paraId="1E66777B">
      <w:pPr>
        <w:spacing w:line="244" w:lineRule="auto"/>
        <w:rPr>
          <w:rFonts w:ascii="Arial"/>
          <w:color w:val="auto"/>
          <w:sz w:val="21"/>
          <w:highlight w:val="none"/>
        </w:rPr>
      </w:pPr>
    </w:p>
    <w:p w14:paraId="18F751ED">
      <w:pPr>
        <w:spacing w:line="245" w:lineRule="auto"/>
        <w:rPr>
          <w:rFonts w:ascii="Arial"/>
          <w:color w:val="auto"/>
          <w:sz w:val="21"/>
          <w:highlight w:val="none"/>
        </w:rPr>
      </w:pPr>
    </w:p>
    <w:p w14:paraId="52FCCD3D">
      <w:pPr>
        <w:spacing w:line="245" w:lineRule="auto"/>
        <w:rPr>
          <w:rFonts w:ascii="Arial"/>
          <w:color w:val="auto"/>
          <w:sz w:val="21"/>
          <w:highlight w:val="none"/>
        </w:rPr>
      </w:pPr>
    </w:p>
    <w:p w14:paraId="0DB9BA00">
      <w:pPr>
        <w:spacing w:line="245" w:lineRule="auto"/>
        <w:rPr>
          <w:rFonts w:ascii="Arial"/>
          <w:color w:val="auto"/>
          <w:sz w:val="21"/>
          <w:highlight w:val="none"/>
        </w:rPr>
      </w:pPr>
    </w:p>
    <w:p w14:paraId="799BD927">
      <w:pPr>
        <w:spacing w:line="245" w:lineRule="auto"/>
        <w:rPr>
          <w:rFonts w:ascii="Arial"/>
          <w:color w:val="auto"/>
          <w:sz w:val="21"/>
          <w:highlight w:val="none"/>
        </w:rPr>
      </w:pPr>
    </w:p>
    <w:p w14:paraId="337BDA49">
      <w:pPr>
        <w:spacing w:line="245" w:lineRule="auto"/>
        <w:rPr>
          <w:rFonts w:ascii="Arial"/>
          <w:color w:val="auto"/>
          <w:sz w:val="21"/>
          <w:highlight w:val="none"/>
        </w:rPr>
      </w:pPr>
    </w:p>
    <w:p w14:paraId="2F1BAEFD">
      <w:pPr>
        <w:rPr>
          <w:rFonts w:ascii="宋体" w:hAnsi="宋体" w:eastAsia="宋体" w:cs="宋体"/>
          <w:b/>
          <w:bCs/>
          <w:color w:val="auto"/>
          <w:spacing w:val="-5"/>
          <w:sz w:val="52"/>
          <w:szCs w:val="52"/>
          <w:highlight w:val="none"/>
        </w:rPr>
      </w:pPr>
      <w:bookmarkStart w:id="372" w:name="bookmark140"/>
      <w:bookmarkEnd w:id="372"/>
      <w:r>
        <w:rPr>
          <w:rFonts w:ascii="宋体" w:hAnsi="宋体" w:eastAsia="宋体" w:cs="宋体"/>
          <w:b/>
          <w:bCs/>
          <w:color w:val="auto"/>
          <w:spacing w:val="-5"/>
          <w:sz w:val="52"/>
          <w:szCs w:val="52"/>
          <w:highlight w:val="none"/>
        </w:rPr>
        <w:br w:type="page"/>
      </w:r>
    </w:p>
    <w:p w14:paraId="0B7FE7C7">
      <w:pPr>
        <w:spacing w:before="169" w:line="219" w:lineRule="auto"/>
        <w:ind w:left="1316"/>
        <w:outlineLvl w:val="0"/>
        <w:rPr>
          <w:rFonts w:ascii="宋体" w:hAnsi="宋体" w:eastAsia="宋体" w:cs="宋体"/>
          <w:b/>
          <w:bCs/>
          <w:color w:val="auto"/>
          <w:spacing w:val="-5"/>
          <w:sz w:val="52"/>
          <w:szCs w:val="52"/>
          <w:highlight w:val="none"/>
        </w:rPr>
      </w:pPr>
      <w:bookmarkStart w:id="373" w:name="_Toc3909"/>
    </w:p>
    <w:p w14:paraId="7E099CFE">
      <w:pPr>
        <w:spacing w:before="169" w:line="219" w:lineRule="auto"/>
        <w:ind w:left="1316"/>
        <w:outlineLvl w:val="0"/>
        <w:rPr>
          <w:rFonts w:ascii="宋体" w:hAnsi="宋体" w:eastAsia="宋体" w:cs="宋体"/>
          <w:b/>
          <w:bCs/>
          <w:color w:val="auto"/>
          <w:spacing w:val="-5"/>
          <w:sz w:val="52"/>
          <w:szCs w:val="52"/>
          <w:highlight w:val="none"/>
        </w:rPr>
      </w:pPr>
    </w:p>
    <w:p w14:paraId="7A30C029">
      <w:pPr>
        <w:pStyle w:val="2"/>
        <w:rPr>
          <w:rFonts w:ascii="宋体" w:hAnsi="宋体" w:eastAsia="宋体" w:cs="宋体"/>
          <w:b/>
          <w:bCs/>
          <w:color w:val="auto"/>
          <w:spacing w:val="-5"/>
          <w:sz w:val="52"/>
          <w:szCs w:val="52"/>
          <w:highlight w:val="none"/>
        </w:rPr>
      </w:pPr>
    </w:p>
    <w:p w14:paraId="4778B55D">
      <w:pPr>
        <w:pStyle w:val="2"/>
        <w:rPr>
          <w:rFonts w:ascii="宋体" w:hAnsi="宋体" w:eastAsia="宋体" w:cs="宋体"/>
          <w:b/>
          <w:bCs/>
          <w:color w:val="auto"/>
          <w:spacing w:val="-5"/>
          <w:sz w:val="52"/>
          <w:szCs w:val="52"/>
          <w:highlight w:val="none"/>
        </w:rPr>
      </w:pPr>
    </w:p>
    <w:p w14:paraId="36E739C0">
      <w:pPr>
        <w:pStyle w:val="2"/>
        <w:rPr>
          <w:rFonts w:ascii="宋体" w:hAnsi="宋体" w:eastAsia="宋体" w:cs="宋体"/>
          <w:b/>
          <w:bCs/>
          <w:color w:val="auto"/>
          <w:spacing w:val="-5"/>
          <w:sz w:val="52"/>
          <w:szCs w:val="52"/>
          <w:highlight w:val="none"/>
        </w:rPr>
      </w:pPr>
    </w:p>
    <w:p w14:paraId="04E4DFB5">
      <w:pPr>
        <w:pStyle w:val="2"/>
        <w:rPr>
          <w:rFonts w:ascii="宋体" w:hAnsi="宋体" w:eastAsia="宋体" w:cs="宋体"/>
          <w:b/>
          <w:bCs/>
          <w:color w:val="auto"/>
          <w:spacing w:val="-5"/>
          <w:sz w:val="52"/>
          <w:szCs w:val="52"/>
          <w:highlight w:val="none"/>
        </w:rPr>
      </w:pPr>
    </w:p>
    <w:p w14:paraId="16B16278">
      <w:pPr>
        <w:pStyle w:val="2"/>
        <w:rPr>
          <w:rFonts w:ascii="宋体" w:hAnsi="宋体" w:eastAsia="宋体" w:cs="宋体"/>
          <w:b/>
          <w:bCs/>
          <w:color w:val="auto"/>
          <w:spacing w:val="-5"/>
          <w:sz w:val="52"/>
          <w:szCs w:val="52"/>
          <w:highlight w:val="none"/>
        </w:rPr>
      </w:pPr>
    </w:p>
    <w:p w14:paraId="489AC7F8">
      <w:pPr>
        <w:spacing w:before="169" w:line="219" w:lineRule="auto"/>
        <w:ind w:left="1316"/>
        <w:outlineLvl w:val="0"/>
        <w:rPr>
          <w:rFonts w:ascii="宋体" w:hAnsi="宋体" w:eastAsia="宋体" w:cs="宋体"/>
          <w:b/>
          <w:bCs/>
          <w:color w:val="auto"/>
          <w:spacing w:val="-5"/>
          <w:sz w:val="52"/>
          <w:szCs w:val="52"/>
          <w:highlight w:val="none"/>
        </w:rPr>
      </w:pPr>
    </w:p>
    <w:p w14:paraId="5A3ACE90">
      <w:pPr>
        <w:spacing w:before="169" w:line="219" w:lineRule="auto"/>
        <w:ind w:left="1316"/>
        <w:outlineLvl w:val="0"/>
        <w:rPr>
          <w:rFonts w:ascii="宋体" w:hAnsi="宋体" w:eastAsia="宋体" w:cs="宋体"/>
          <w:color w:val="auto"/>
          <w:sz w:val="52"/>
          <w:szCs w:val="52"/>
          <w:highlight w:val="none"/>
        </w:rPr>
      </w:pPr>
      <w:bookmarkStart w:id="374" w:name="_Toc31294"/>
      <w:r>
        <w:rPr>
          <w:rFonts w:ascii="宋体" w:hAnsi="宋体" w:eastAsia="宋体" w:cs="宋体"/>
          <w:b/>
          <w:bCs/>
          <w:color w:val="auto"/>
          <w:spacing w:val="-5"/>
          <w:sz w:val="52"/>
          <w:szCs w:val="52"/>
          <w:highlight w:val="none"/>
        </w:rPr>
        <w:t>第四章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合同条款及格式</w:t>
      </w:r>
      <w:bookmarkEnd w:id="373"/>
      <w:bookmarkEnd w:id="374"/>
    </w:p>
    <w:p w14:paraId="40235596">
      <w:pPr>
        <w:spacing w:line="219" w:lineRule="auto"/>
        <w:rPr>
          <w:rFonts w:ascii="宋体" w:hAnsi="宋体" w:eastAsia="宋体" w:cs="宋体"/>
          <w:color w:val="auto"/>
          <w:sz w:val="52"/>
          <w:szCs w:val="52"/>
          <w:highlight w:val="none"/>
        </w:rPr>
        <w:sectPr>
          <w:footerReference r:id="rId30" w:type="default"/>
          <w:pgSz w:w="11906" w:h="16839"/>
          <w:pgMar w:top="1431" w:right="1785" w:bottom="1297" w:left="1785" w:header="0" w:footer="1069" w:gutter="0"/>
          <w:pgNumType w:fmt="decimal"/>
          <w:cols w:space="720" w:num="1"/>
        </w:sectPr>
      </w:pPr>
    </w:p>
    <w:p w14:paraId="7E34C163">
      <w:pPr>
        <w:spacing w:line="411" w:lineRule="auto"/>
        <w:rPr>
          <w:rFonts w:ascii="Arial"/>
          <w:color w:val="auto"/>
          <w:sz w:val="21"/>
          <w:highlight w:val="none"/>
        </w:rPr>
      </w:pPr>
    </w:p>
    <w:p w14:paraId="0AB9FB86">
      <w:pPr>
        <w:pStyle w:val="2"/>
        <w:rPr>
          <w:rFonts w:ascii="Arial"/>
          <w:color w:val="auto"/>
          <w:sz w:val="21"/>
          <w:highlight w:val="none"/>
        </w:rPr>
      </w:pPr>
    </w:p>
    <w:p w14:paraId="4800C317">
      <w:pPr>
        <w:pStyle w:val="2"/>
        <w:rPr>
          <w:rFonts w:ascii="Arial"/>
          <w:color w:val="auto"/>
          <w:sz w:val="21"/>
          <w:highlight w:val="none"/>
        </w:rPr>
      </w:pPr>
    </w:p>
    <w:p w14:paraId="550B094A">
      <w:pPr>
        <w:pStyle w:val="2"/>
        <w:rPr>
          <w:rFonts w:ascii="Arial"/>
          <w:color w:val="auto"/>
          <w:sz w:val="21"/>
          <w:highlight w:val="none"/>
        </w:rPr>
      </w:pPr>
    </w:p>
    <w:p w14:paraId="37AF546C">
      <w:pPr>
        <w:pStyle w:val="2"/>
        <w:rPr>
          <w:rFonts w:ascii="Arial"/>
          <w:color w:val="auto"/>
          <w:sz w:val="21"/>
          <w:highlight w:val="none"/>
        </w:rPr>
      </w:pPr>
    </w:p>
    <w:p w14:paraId="017812EC">
      <w:pPr>
        <w:pStyle w:val="2"/>
        <w:rPr>
          <w:rFonts w:ascii="Arial"/>
          <w:color w:val="auto"/>
          <w:sz w:val="21"/>
          <w:highlight w:val="none"/>
        </w:rPr>
      </w:pPr>
    </w:p>
    <w:p w14:paraId="5969D8A3">
      <w:pPr>
        <w:pStyle w:val="2"/>
        <w:rPr>
          <w:rFonts w:ascii="Arial"/>
          <w:color w:val="auto"/>
          <w:sz w:val="21"/>
          <w:highlight w:val="none"/>
        </w:rPr>
      </w:pPr>
    </w:p>
    <w:p w14:paraId="4F8AD7D4">
      <w:pPr>
        <w:pStyle w:val="2"/>
        <w:rPr>
          <w:rFonts w:ascii="Arial"/>
          <w:color w:val="auto"/>
          <w:sz w:val="21"/>
          <w:highlight w:val="none"/>
        </w:rPr>
      </w:pPr>
    </w:p>
    <w:p w14:paraId="0350B9DB">
      <w:pPr>
        <w:pStyle w:val="2"/>
        <w:rPr>
          <w:rFonts w:ascii="Arial"/>
          <w:color w:val="auto"/>
          <w:sz w:val="21"/>
          <w:highlight w:val="none"/>
        </w:rPr>
      </w:pPr>
    </w:p>
    <w:p w14:paraId="59B59A3C">
      <w:pPr>
        <w:spacing w:before="101" w:line="225" w:lineRule="auto"/>
        <w:ind w:left="3012"/>
        <w:outlineLvl w:val="0"/>
        <w:rPr>
          <w:rFonts w:ascii="宋体" w:hAnsi="宋体" w:eastAsia="宋体" w:cs="宋体"/>
          <w:color w:val="auto"/>
          <w:sz w:val="31"/>
          <w:szCs w:val="31"/>
          <w:highlight w:val="none"/>
        </w:rPr>
      </w:pPr>
      <w:bookmarkStart w:id="375" w:name="bookmark15"/>
      <w:bookmarkEnd w:id="375"/>
      <w:bookmarkStart w:id="376" w:name="_Toc19108"/>
      <w:bookmarkStart w:id="377" w:name="_Toc27374"/>
      <w:r>
        <w:rPr>
          <w:rFonts w:ascii="宋体" w:hAnsi="宋体" w:eastAsia="宋体" w:cs="宋体"/>
          <w:b/>
          <w:bCs/>
          <w:color w:val="auto"/>
          <w:spacing w:val="6"/>
          <w:sz w:val="31"/>
          <w:szCs w:val="31"/>
          <w:highlight w:val="none"/>
        </w:rPr>
        <w:t>第一节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通用合同条款</w:t>
      </w:r>
      <w:bookmarkEnd w:id="376"/>
      <w:bookmarkEnd w:id="377"/>
    </w:p>
    <w:p w14:paraId="6572674F">
      <w:pPr>
        <w:spacing w:line="246" w:lineRule="auto"/>
        <w:rPr>
          <w:rFonts w:ascii="Arial"/>
          <w:color w:val="auto"/>
          <w:sz w:val="21"/>
          <w:highlight w:val="none"/>
        </w:rPr>
      </w:pPr>
    </w:p>
    <w:p w14:paraId="3B84D992">
      <w:pPr>
        <w:spacing w:line="247" w:lineRule="auto"/>
        <w:rPr>
          <w:rFonts w:ascii="Arial"/>
          <w:color w:val="auto"/>
          <w:sz w:val="21"/>
          <w:highlight w:val="none"/>
        </w:rPr>
      </w:pPr>
    </w:p>
    <w:p w14:paraId="294CCCDD">
      <w:pPr>
        <w:keepNext/>
        <w:keepLines/>
        <w:pageBreakBefore/>
        <w:spacing w:line="360" w:lineRule="auto"/>
        <w:jc w:val="center"/>
        <w:rPr>
          <w:rFonts w:hint="eastAsia" w:ascii="Times New Roman" w:hAnsi="Times New Roman" w:eastAsia="宋体" w:cs="宋体"/>
          <w:b/>
          <w:bCs/>
          <w:color w:val="auto"/>
          <w:kern w:val="21"/>
          <w:sz w:val="28"/>
          <w:szCs w:val="28"/>
          <w:highlight w:val="none"/>
          <w:lang w:eastAsia="zh-CN"/>
        </w:rPr>
      </w:pPr>
      <w:bookmarkStart w:id="378" w:name="bookmark15"/>
      <w:bookmarkEnd w:id="378"/>
      <w:bookmarkStart w:id="379" w:name="_Toc14900"/>
      <w:r>
        <w:rPr>
          <w:rFonts w:hint="eastAsia" w:ascii="Times New Roman" w:hAnsi="Times New Roman" w:eastAsia="宋体" w:cs="宋体"/>
          <w:b/>
          <w:bCs/>
          <w:color w:val="auto"/>
          <w:kern w:val="21"/>
          <w:sz w:val="28"/>
          <w:szCs w:val="28"/>
          <w:highlight w:val="none"/>
          <w:lang w:eastAsia="zh-CN"/>
        </w:rPr>
        <w:t xml:space="preserve">  通用合同条款</w:t>
      </w:r>
    </w:p>
    <w:p w14:paraId="5D132C8C">
      <w:pPr>
        <w:spacing w:line="360" w:lineRule="auto"/>
        <w:ind w:firstLine="420" w:firstLineChars="200"/>
        <w:jc w:val="both"/>
        <w:rPr>
          <w:rFonts w:hint="eastAsia" w:ascii="Times New Roman" w:hAnsi="Times New Roman" w:eastAsia="宋体" w:cs="宋体"/>
          <w:color w:val="auto"/>
          <w:kern w:val="21"/>
          <w:highlight w:val="none"/>
          <w:lang w:eastAsia="zh-CN"/>
        </w:rPr>
      </w:pPr>
    </w:p>
    <w:p w14:paraId="02EBBEA7">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380" w:name="_Toc482188546"/>
      <w:bookmarkStart w:id="381" w:name="_Toc492300639"/>
      <w:bookmarkStart w:id="382" w:name="_Toc503518000"/>
      <w:r>
        <w:rPr>
          <w:rFonts w:hint="eastAsia" w:ascii="Times New Roman" w:hAnsi="Times New Roman" w:eastAsia="宋体" w:cs="宋体"/>
          <w:b/>
          <w:bCs/>
          <w:color w:val="auto"/>
          <w:kern w:val="21"/>
          <w:sz w:val="28"/>
          <w:szCs w:val="28"/>
          <w:highlight w:val="none"/>
          <w:lang w:eastAsia="zh-CN"/>
        </w:rPr>
        <w:t>1. 一般约定</w:t>
      </w:r>
      <w:bookmarkEnd w:id="380"/>
      <w:bookmarkEnd w:id="381"/>
      <w:bookmarkEnd w:id="382"/>
    </w:p>
    <w:p w14:paraId="31F2457A">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83" w:name="_Toc482188547"/>
      <w:bookmarkStart w:id="384" w:name="_Toc492300640"/>
      <w:r>
        <w:rPr>
          <w:rFonts w:hint="eastAsia" w:ascii="Times New Roman" w:hAnsi="Times New Roman" w:eastAsia="宋体" w:cs="宋体"/>
          <w:b/>
          <w:bCs/>
          <w:color w:val="auto"/>
          <w:kern w:val="21"/>
          <w:sz w:val="24"/>
          <w:szCs w:val="24"/>
          <w:highlight w:val="none"/>
          <w:lang w:eastAsia="zh-CN"/>
        </w:rPr>
        <w:t>1.1 词语定义</w:t>
      </w:r>
      <w:bookmarkEnd w:id="383"/>
      <w:bookmarkEnd w:id="384"/>
    </w:p>
    <w:p w14:paraId="2088255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通用合同条款、专用合同条款中的下列词语应具有本款所赋予的含义。</w:t>
      </w:r>
    </w:p>
    <w:p w14:paraId="17163B6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 合同</w:t>
      </w:r>
    </w:p>
    <w:p w14:paraId="6EC09DD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1.1.1.1 合同文件（或称合同）：指合同协议书、中标通知书、投标函和投标函附录、专用合同条款、通用合同条款、委托人要求、监理报酬清单、监理大纲，以及其他构成合同组成部分的文件。</w:t>
      </w:r>
    </w:p>
    <w:p w14:paraId="2F34CC4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1.1.1.2 合同协议书：指委托人和监理人共同签署的合同协议书。</w:t>
      </w:r>
    </w:p>
    <w:p w14:paraId="526126D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1.1.1.3 中标通知书：指委托人通知监理人中标的函件。</w:t>
      </w:r>
    </w:p>
    <w:p w14:paraId="287E6E8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1.1.1.4 投标函：指由监理人填写并签署的，名为“投标函”的函件。</w:t>
      </w:r>
    </w:p>
    <w:p w14:paraId="0F8F84E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1.1.1.5 投标函附录：指由监理人填写并签署的、附在投标函后，名为“投标函附录”的函件。</w:t>
      </w:r>
    </w:p>
    <w:p w14:paraId="0D26A7F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1.1.1.6 委托人要求：指合同文件中名为“委托人要求”的文件。</w:t>
      </w:r>
    </w:p>
    <w:p w14:paraId="6A50923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1.1.1.7 监理大纲：指监理人在投标文件中的监理大纲。</w:t>
      </w:r>
    </w:p>
    <w:p w14:paraId="326E8B2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1.1.1.8 监理报酬清单：指监理人投标文件中的监理报酬清单。</w:t>
      </w:r>
    </w:p>
    <w:p w14:paraId="10E4B05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1.1.1.9 其他合同文件：指经合同双方当事人确认构成合同文件的其他文件。</w:t>
      </w:r>
    </w:p>
    <w:p w14:paraId="335A41C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 合同当事人和人员</w:t>
      </w:r>
    </w:p>
    <w:p w14:paraId="70D5F86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1.1.2.1 合同当事人：指委托人和（或）监理人。</w:t>
      </w:r>
    </w:p>
    <w:p w14:paraId="4210489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1.1.2.2 委托人：指与监理人签订合同协议书的当事人，及其合法继承人。</w:t>
      </w:r>
    </w:p>
    <w:p w14:paraId="664FD22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1.1.2.3 监理人：指与委托人签订合同协议书的当事人，及其合法继承人。</w:t>
      </w:r>
    </w:p>
    <w:p w14:paraId="28A7B57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1.1.2.4 委托人代表：指由委托人任命，并在授权范围和期限内代表委托人行使权利和履行义务的全权负责人。</w:t>
      </w:r>
    </w:p>
    <w:p w14:paraId="18A8928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1.1.2.5 总监理工程师：指由监理人任命，代表监理人行使权利和履行义务的全权负责人。</w:t>
      </w:r>
    </w:p>
    <w:p w14:paraId="10600A7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1.1.2.6 承包人：指在本工程监理范围内，与委托人签订勘察、设计、施工承包合同的当事人。</w:t>
      </w:r>
    </w:p>
    <w:p w14:paraId="52AC4B0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1.1.3 工程和监理</w:t>
      </w:r>
    </w:p>
    <w:p w14:paraId="162C38F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1.1.3.1 工程：指永久工程和（或）临时工程。</w:t>
      </w:r>
    </w:p>
    <w:p w14:paraId="711C00A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14:paraId="6E13D34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1.1.3.3 监理资料：是委托人按合同约定向监理人提供的，用于完成监理范围与内容所需要的资料。</w:t>
      </w:r>
    </w:p>
    <w:p w14:paraId="3366025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1CA0918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 日期</w:t>
      </w:r>
    </w:p>
    <w:p w14:paraId="36B91AD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1.1.4.1 开始监理通知：指委托人按第6.1款通知监理人开始监理的函件。</w:t>
      </w:r>
    </w:p>
    <w:p w14:paraId="3D29DA8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1.1.4.2 开始监理日期：指委托人按第6.1款发出的开始监理通知中写明的开始监理日期。</w:t>
      </w:r>
    </w:p>
    <w:p w14:paraId="0DE36FE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1.1.4.3 监理服务期限：指监理人在投标函中承诺的完成合同监理服务所需的期限，包括按第6.2款约定所作的调整。</w:t>
      </w:r>
    </w:p>
    <w:p w14:paraId="0C6C476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1.1.4.4 完成监理日期：指第1.1.4.3目约定监理服务期限届满时的日期。</w:t>
      </w:r>
    </w:p>
    <w:p w14:paraId="22FA881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1.1.4.5 基准日：指投标截止时间前28天的日期。</w:t>
      </w:r>
    </w:p>
    <w:p w14:paraId="6FC4C6E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1.1.4.6 天：除特别指明外，指日历天。合同中按天计算时间的，开始当天不计入，从次日开始计算。期限最后一天的截止时间为当天24:00。</w:t>
      </w:r>
    </w:p>
    <w:p w14:paraId="7902FFA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1.1.5 合同价格和费用</w:t>
      </w:r>
    </w:p>
    <w:p w14:paraId="33F4BD1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1.1.5.1 签约合同价：指签订合同时合同协议书中写明的监理报酬总金额。</w:t>
      </w:r>
    </w:p>
    <w:p w14:paraId="17F6697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1.1.5.2 合同价格：指监理人按合同约定完成了全部监理工作后，委托人应付给监理人的金额，包括在履行合同过程中按合同约定进行的变更和调整。</w:t>
      </w:r>
    </w:p>
    <w:p w14:paraId="099FA1E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1.1.5.3 费用：指为履行合同所发生的或将要发生的所有合理开支，包括管理费和应分摊的其他费用，但不包括利润。</w:t>
      </w:r>
    </w:p>
    <w:p w14:paraId="66AF0CA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1.1.6 其他</w:t>
      </w:r>
    </w:p>
    <w:p w14:paraId="5E166BA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1.1.6.1 书面形式：指合同文件、信件和数据电文（包括电报、电传、传真、电子数据交换和电子邮件）等可以有形地表现所载内容的形式。</w:t>
      </w:r>
    </w:p>
    <w:p w14:paraId="1FCCFF08">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85" w:name="_Toc492300641"/>
      <w:bookmarkStart w:id="386" w:name="_Toc482188548"/>
      <w:r>
        <w:rPr>
          <w:rFonts w:hint="eastAsia" w:ascii="Times New Roman" w:hAnsi="Times New Roman" w:eastAsia="宋体" w:cs="宋体"/>
          <w:b/>
          <w:bCs/>
          <w:color w:val="auto"/>
          <w:kern w:val="21"/>
          <w:sz w:val="24"/>
          <w:szCs w:val="24"/>
          <w:highlight w:val="none"/>
          <w:lang w:eastAsia="zh-CN"/>
        </w:rPr>
        <w:t>1.2 语言文字</w:t>
      </w:r>
      <w:bookmarkEnd w:id="385"/>
      <w:bookmarkEnd w:id="386"/>
    </w:p>
    <w:p w14:paraId="3D9A68B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合同使用的语言文字为中文。专用术语使用外文的，应附有中文注释。</w:t>
      </w:r>
    </w:p>
    <w:p w14:paraId="11A24A7B">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87" w:name="_Toc492300642"/>
      <w:bookmarkStart w:id="388" w:name="_Toc482188549"/>
      <w:r>
        <w:rPr>
          <w:rFonts w:hint="eastAsia" w:ascii="Times New Roman" w:hAnsi="Times New Roman" w:eastAsia="宋体" w:cs="宋体"/>
          <w:b/>
          <w:bCs/>
          <w:color w:val="auto"/>
          <w:kern w:val="21"/>
          <w:sz w:val="24"/>
          <w:szCs w:val="24"/>
          <w:highlight w:val="none"/>
          <w:lang w:eastAsia="zh-CN"/>
        </w:rPr>
        <w:t>1.3 适用法律</w:t>
      </w:r>
      <w:bookmarkEnd w:id="387"/>
      <w:bookmarkEnd w:id="388"/>
    </w:p>
    <w:p w14:paraId="68C7F5B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适用于合同的法律包括中华人民共和国法律、行政法规、部门规章，以及工程所在地的地方法规、自治条例、单行条例和地方政府规章。</w:t>
      </w:r>
    </w:p>
    <w:p w14:paraId="4BDC20A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本合同适用的其他规范性文件，可在专用合同条款中约定。</w:t>
      </w:r>
    </w:p>
    <w:p w14:paraId="424568E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89" w:name="_Toc492300643"/>
      <w:bookmarkStart w:id="390" w:name="_Toc482188550"/>
      <w:r>
        <w:rPr>
          <w:rFonts w:hint="eastAsia" w:ascii="Times New Roman" w:hAnsi="Times New Roman" w:eastAsia="宋体" w:cs="宋体"/>
          <w:b/>
          <w:bCs/>
          <w:color w:val="auto"/>
          <w:kern w:val="21"/>
          <w:sz w:val="24"/>
          <w:szCs w:val="24"/>
          <w:highlight w:val="none"/>
          <w:lang w:eastAsia="zh-CN"/>
        </w:rPr>
        <w:t>1.4 合同文件的优先顺序</w:t>
      </w:r>
      <w:bookmarkEnd w:id="389"/>
      <w:bookmarkEnd w:id="390"/>
    </w:p>
    <w:p w14:paraId="6ABB110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组成合同的各项文件应互相解释，互为说明。除专用合同条款另有约定外，解释合同文件的优先顺序如下：</w:t>
      </w:r>
    </w:p>
    <w:p w14:paraId="2C0549A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（1）合同协议书；</w:t>
      </w:r>
    </w:p>
    <w:p w14:paraId="5A6BF00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（2）中标通知书；</w:t>
      </w:r>
    </w:p>
    <w:p w14:paraId="51B4DCB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（3）投标函及投标函附录；</w:t>
      </w:r>
    </w:p>
    <w:p w14:paraId="764F820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（4）专用合同条款；</w:t>
      </w:r>
    </w:p>
    <w:p w14:paraId="30DB54D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（5）通用合同条款；</w:t>
      </w:r>
    </w:p>
    <w:p w14:paraId="4196D41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（6）委托人要求；</w:t>
      </w:r>
    </w:p>
    <w:p w14:paraId="05E9241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（7）监理报酬清单；</w:t>
      </w:r>
    </w:p>
    <w:p w14:paraId="40809A1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（8）监理大纲；</w:t>
      </w:r>
    </w:p>
    <w:p w14:paraId="198F7B8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（9）其他合同文件。</w:t>
      </w:r>
    </w:p>
    <w:p w14:paraId="306E519B">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91" w:name="_Toc492300644"/>
      <w:bookmarkStart w:id="392" w:name="_Toc482188551"/>
      <w:r>
        <w:rPr>
          <w:rFonts w:hint="eastAsia" w:ascii="Times New Roman" w:hAnsi="Times New Roman" w:eastAsia="宋体" w:cs="宋体"/>
          <w:b/>
          <w:bCs/>
          <w:color w:val="auto"/>
          <w:kern w:val="21"/>
          <w:sz w:val="24"/>
          <w:szCs w:val="24"/>
          <w:highlight w:val="none"/>
          <w:lang w:eastAsia="zh-CN"/>
        </w:rPr>
        <w:t>1.5 合同协议书</w:t>
      </w:r>
      <w:bookmarkEnd w:id="391"/>
      <w:bookmarkEnd w:id="392"/>
    </w:p>
    <w:p w14:paraId="3C1B611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监理人按中标通知书规定的时间与委托人签订合同协议书。除法律另有规定或合同另有约定外，委托人和监理人的法定代表人或其委托代理人在合同协议书上签字并盖单位章后，合同生效。</w:t>
      </w:r>
    </w:p>
    <w:p w14:paraId="68800CE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93" w:name="_Toc482188552"/>
      <w:bookmarkStart w:id="394" w:name="_Toc492300645"/>
      <w:r>
        <w:rPr>
          <w:rFonts w:hint="eastAsia" w:ascii="Times New Roman" w:hAnsi="Times New Roman" w:eastAsia="宋体" w:cs="宋体"/>
          <w:b/>
          <w:bCs/>
          <w:color w:val="auto"/>
          <w:kern w:val="21"/>
          <w:sz w:val="24"/>
          <w:szCs w:val="24"/>
          <w:highlight w:val="none"/>
          <w:lang w:eastAsia="zh-CN"/>
        </w:rPr>
        <w:t>1.6 文件的提供和照管</w:t>
      </w:r>
      <w:bookmarkEnd w:id="393"/>
      <w:bookmarkEnd w:id="394"/>
    </w:p>
    <w:p w14:paraId="0E245DB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1.6.1 监理文件的提供</w:t>
      </w:r>
    </w:p>
    <w:p w14:paraId="583DE54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除专用合同条款另有约定外，监理人应在合理的期限内按照合同约定的数量向委托人提供监理文件。合同约定监理文件应经委托人批复的，委托人应当在合同约定的期限内批复或提出修改意见。</w:t>
      </w:r>
    </w:p>
    <w:p w14:paraId="315F28B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1.6.2 委托人提供的文件</w:t>
      </w:r>
    </w:p>
    <w:p w14:paraId="2769729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按专用合同条款约定由委托人提供的文件，包括规范标准、承包合同、勘察文件、设计文件等，委托人应按约定的数量和期限交给监理人。由于委托人未按时提供文件造成监理服务期限延误的，按第6.2款约定执行。</w:t>
      </w:r>
    </w:p>
    <w:p w14:paraId="6653142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1.6.3 文件错误的通知</w:t>
      </w:r>
    </w:p>
    <w:p w14:paraId="091F8D7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任何一方当事人发现文件中存在的明显错误或疏忽，均应及时通知对方当事人，并应立即采取适当的措施防止损失扩大。</w:t>
      </w:r>
    </w:p>
    <w:p w14:paraId="1C27B3C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1.6.4 文件的照管</w:t>
      </w:r>
    </w:p>
    <w:p w14:paraId="26BECE2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监理人应在现场保留一份合同文件、监理文件、委托人要求中的所列文件、以及其他根据合同收发的往来信函，以备委托人和行政管理部门查阅使用。</w:t>
      </w:r>
    </w:p>
    <w:p w14:paraId="21C403FA">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95" w:name="_Toc482188553"/>
      <w:bookmarkStart w:id="396" w:name="_Toc492300646"/>
      <w:r>
        <w:rPr>
          <w:rFonts w:hint="eastAsia" w:ascii="Times New Roman" w:hAnsi="Times New Roman" w:eastAsia="宋体" w:cs="宋体"/>
          <w:b/>
          <w:bCs/>
          <w:color w:val="auto"/>
          <w:kern w:val="21"/>
          <w:sz w:val="24"/>
          <w:szCs w:val="24"/>
          <w:highlight w:val="none"/>
          <w:lang w:eastAsia="zh-CN"/>
        </w:rPr>
        <w:t>1.7 联络</w:t>
      </w:r>
      <w:bookmarkEnd w:id="395"/>
      <w:bookmarkEnd w:id="396"/>
    </w:p>
    <w:p w14:paraId="72E6281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1.7.1 与合同有关的通知、批准、证明、证书、指示、要求、请求、同意、意见、确定和决定等，均应采用书面形式。</w:t>
      </w:r>
    </w:p>
    <w:p w14:paraId="1FC33A2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1.7.2 上述通知、批准、证明、证书、指示、要求、请求、同意、意见、确定和决定等来往函件，均应在合同约定的期限内送达指定的地点和指定的接收人，并办理签收手续。</w:t>
      </w:r>
    </w:p>
    <w:p w14:paraId="4A9AEA04">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97" w:name="_Toc492300647"/>
      <w:bookmarkStart w:id="398" w:name="_Toc482188554"/>
      <w:r>
        <w:rPr>
          <w:rFonts w:hint="eastAsia" w:ascii="Times New Roman" w:hAnsi="Times New Roman" w:eastAsia="宋体" w:cs="宋体"/>
          <w:b/>
          <w:bCs/>
          <w:color w:val="auto"/>
          <w:kern w:val="21"/>
          <w:sz w:val="24"/>
          <w:szCs w:val="24"/>
          <w:highlight w:val="none"/>
          <w:lang w:eastAsia="zh-CN"/>
        </w:rPr>
        <w:t>1.8 转让</w:t>
      </w:r>
      <w:bookmarkEnd w:id="397"/>
      <w:bookmarkEnd w:id="398"/>
    </w:p>
    <w:p w14:paraId="7D75A59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除专用合同条款另有约定外，未经对方当事人同意，一方当事人不得将合同权利全部或部分转让给第三人，也不得全部或部分转移合同义务。</w:t>
      </w:r>
    </w:p>
    <w:p w14:paraId="67C776DD">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399" w:name="_Toc492300648"/>
      <w:bookmarkStart w:id="400" w:name="_Toc482188555"/>
      <w:r>
        <w:rPr>
          <w:rFonts w:hint="eastAsia" w:ascii="Times New Roman" w:hAnsi="Times New Roman" w:eastAsia="宋体" w:cs="宋体"/>
          <w:b/>
          <w:bCs/>
          <w:color w:val="auto"/>
          <w:kern w:val="21"/>
          <w:sz w:val="24"/>
          <w:szCs w:val="24"/>
          <w:highlight w:val="none"/>
          <w:lang w:eastAsia="zh-CN"/>
        </w:rPr>
        <w:t>1.9 严禁贿赂</w:t>
      </w:r>
      <w:bookmarkEnd w:id="399"/>
      <w:bookmarkEnd w:id="400"/>
    </w:p>
    <w:p w14:paraId="49C4353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合同双方当事人不得以贿赂或变相贿赂的方式，谋取不当利益或损害对方权益。因贿赂造成对方当事人损失的，行为人应当赔偿损失，并承担相应的法律责任。</w:t>
      </w:r>
    </w:p>
    <w:p w14:paraId="7D4E4D9C">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01" w:name="_Toc482188556"/>
      <w:bookmarkStart w:id="402" w:name="_Toc492300649"/>
      <w:r>
        <w:rPr>
          <w:rFonts w:hint="eastAsia" w:ascii="Times New Roman" w:hAnsi="Times New Roman" w:eastAsia="宋体" w:cs="宋体"/>
          <w:b/>
          <w:bCs/>
          <w:color w:val="auto"/>
          <w:kern w:val="21"/>
          <w:sz w:val="24"/>
          <w:szCs w:val="24"/>
          <w:highlight w:val="none"/>
          <w:lang w:eastAsia="zh-CN"/>
        </w:rPr>
        <w:t>1.10 知识产权</w:t>
      </w:r>
      <w:bookmarkEnd w:id="401"/>
      <w:bookmarkEnd w:id="402"/>
    </w:p>
    <w:p w14:paraId="43D483A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1.10.1除专用合同条款另有约定外，监理人完成的监理工作成果，除署名权以外的著作权和其他知识产权均归委托人享有。</w:t>
      </w:r>
    </w:p>
    <w:p w14:paraId="119896C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1.10.2 监理人从事监理活动时不得侵犯他人的知识产权。因侵犯专利权或其他知识产权所引起的责任，由监理人自行承担。因委托人提供的监理资料导致侵权的，由委托人承担责任。</w:t>
      </w:r>
    </w:p>
    <w:p w14:paraId="180665A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1.10.3 监理人在投标文件中采用专利技术、专有技术的，相应的使用费视为已包含在投标报价之中。</w:t>
      </w:r>
    </w:p>
    <w:p w14:paraId="2BBFF46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03" w:name="_Toc482188557"/>
      <w:bookmarkStart w:id="404" w:name="_Toc492300650"/>
      <w:r>
        <w:rPr>
          <w:rFonts w:hint="eastAsia" w:ascii="Times New Roman" w:hAnsi="Times New Roman" w:eastAsia="宋体" w:cs="宋体"/>
          <w:b/>
          <w:bCs/>
          <w:color w:val="auto"/>
          <w:kern w:val="21"/>
          <w:sz w:val="24"/>
          <w:szCs w:val="24"/>
          <w:highlight w:val="none"/>
          <w:lang w:eastAsia="zh-CN"/>
        </w:rPr>
        <w:t>1.11 文件及信息的保密</w:t>
      </w:r>
      <w:bookmarkEnd w:id="403"/>
      <w:bookmarkEnd w:id="404"/>
    </w:p>
    <w:p w14:paraId="3939B92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未经对方同意，任何一方当事人不得将有关文件、技术秘密、需要保密的资料和信息泄露给他人或公开发表与引用。</w:t>
      </w:r>
    </w:p>
    <w:p w14:paraId="6B8D2C4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05" w:name="_Toc482188558"/>
      <w:bookmarkStart w:id="406" w:name="_Toc492300651"/>
      <w:r>
        <w:rPr>
          <w:rFonts w:hint="eastAsia" w:ascii="Times New Roman" w:hAnsi="Times New Roman" w:eastAsia="宋体" w:cs="宋体"/>
          <w:b/>
          <w:bCs/>
          <w:color w:val="auto"/>
          <w:kern w:val="21"/>
          <w:sz w:val="24"/>
          <w:szCs w:val="24"/>
          <w:highlight w:val="none"/>
          <w:lang w:eastAsia="zh-CN"/>
        </w:rPr>
        <w:t xml:space="preserve">1.12 </w:t>
      </w:r>
      <w:bookmarkEnd w:id="405"/>
      <w:r>
        <w:rPr>
          <w:rFonts w:hint="eastAsia" w:ascii="Times New Roman" w:hAnsi="Times New Roman" w:eastAsia="宋体" w:cs="宋体"/>
          <w:b/>
          <w:bCs/>
          <w:color w:val="auto"/>
          <w:kern w:val="21"/>
          <w:sz w:val="24"/>
          <w:szCs w:val="24"/>
          <w:highlight w:val="none"/>
          <w:lang w:eastAsia="zh-CN"/>
        </w:rPr>
        <w:t>委托人要求</w:t>
      </w:r>
      <w:bookmarkEnd w:id="406"/>
    </w:p>
    <w:p w14:paraId="19817F4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1.12.1 监理人应认真阅读、复核委托人要求，发现错误的，应及时书面通知委托人。无论是否存在错误，委托人均有权修改委托人要求，并在修改后3天内通知监理人。除专用合同</w:t>
      </w:r>
      <w:bookmarkStart w:id="407" w:name="_Toc247527649"/>
      <w:bookmarkStart w:id="408" w:name="_Toc300835045"/>
      <w:bookmarkStart w:id="409" w:name="_Toc265955390"/>
      <w:bookmarkStart w:id="410" w:name="_Toc247514048"/>
      <w:r>
        <w:rPr>
          <w:rFonts w:hint="eastAsia" w:ascii="Times New Roman" w:hAnsi="Times New Roman" w:eastAsia="宋体" w:cs="宋体"/>
          <w:color w:val="auto"/>
          <w:kern w:val="21"/>
          <w:highlight w:val="none"/>
          <w:lang w:eastAsia="zh-CN"/>
        </w:rPr>
        <w:t>条款另有约定外，由此</w:t>
      </w:r>
      <w:bookmarkEnd w:id="407"/>
      <w:bookmarkEnd w:id="408"/>
      <w:bookmarkEnd w:id="409"/>
      <w:bookmarkEnd w:id="410"/>
      <w:r>
        <w:rPr>
          <w:rFonts w:hint="eastAsia" w:ascii="Times New Roman" w:hAnsi="Times New Roman" w:eastAsia="宋体" w:cs="宋体"/>
          <w:color w:val="auto"/>
          <w:kern w:val="21"/>
          <w:highlight w:val="none"/>
          <w:lang w:eastAsia="zh-CN"/>
        </w:rPr>
        <w:t>导致监理人费用增加和（或）周期延误的，委托人应当相应地增加费用和（或）延长周期。</w:t>
      </w:r>
    </w:p>
    <w:p w14:paraId="5979F96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4C0663F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1.12.3 委托人要求采用国外规范和标准进行监理时，应由委托人负责提供该规范和标准的外国文本和中文译本，提供的时间、份数和其他要求在专用合同条款中约定。</w:t>
      </w:r>
    </w:p>
    <w:p w14:paraId="1F3799E2">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411" w:name="_Toc503518001"/>
      <w:bookmarkStart w:id="412" w:name="_Toc492300652"/>
      <w:bookmarkStart w:id="413" w:name="_Toc482188559"/>
      <w:r>
        <w:rPr>
          <w:rFonts w:hint="eastAsia" w:ascii="Times New Roman" w:hAnsi="Times New Roman" w:eastAsia="宋体" w:cs="宋体"/>
          <w:b/>
          <w:bCs/>
          <w:color w:val="auto"/>
          <w:kern w:val="21"/>
          <w:sz w:val="28"/>
          <w:szCs w:val="28"/>
          <w:highlight w:val="none"/>
          <w:lang w:eastAsia="zh-CN"/>
        </w:rPr>
        <w:t>2. 委托人义务</w:t>
      </w:r>
      <w:bookmarkEnd w:id="411"/>
      <w:bookmarkEnd w:id="412"/>
      <w:bookmarkEnd w:id="413"/>
    </w:p>
    <w:p w14:paraId="133758B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14" w:name="_Toc482188560"/>
      <w:bookmarkStart w:id="415" w:name="_Toc492300653"/>
      <w:r>
        <w:rPr>
          <w:rFonts w:hint="eastAsia" w:ascii="Times New Roman" w:hAnsi="Times New Roman" w:eastAsia="宋体" w:cs="宋体"/>
          <w:b/>
          <w:bCs/>
          <w:color w:val="auto"/>
          <w:kern w:val="21"/>
          <w:sz w:val="24"/>
          <w:szCs w:val="24"/>
          <w:highlight w:val="none"/>
          <w:lang w:eastAsia="zh-CN"/>
        </w:rPr>
        <w:t>2.1 遵守法律</w:t>
      </w:r>
      <w:bookmarkEnd w:id="414"/>
      <w:bookmarkEnd w:id="415"/>
    </w:p>
    <w:p w14:paraId="277278A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委托人在履行合同过程中应遵守法律，并保证监理人免于承担因委托人违反法律而引起的</w:t>
      </w:r>
      <w:bookmarkStart w:id="416" w:name="_Toc370281722"/>
      <w:bookmarkStart w:id="417" w:name="_Toc247527650"/>
      <w:bookmarkStart w:id="418" w:name="_Toc300835048"/>
      <w:bookmarkStart w:id="419" w:name="_Toc385592087"/>
      <w:bookmarkStart w:id="420" w:name="_Toc247514049"/>
      <w:bookmarkStart w:id="421" w:name="_Toc385942918"/>
      <w:bookmarkStart w:id="422" w:name="_Toc184635099"/>
      <w:r>
        <w:rPr>
          <w:rFonts w:hint="eastAsia" w:ascii="Times New Roman" w:hAnsi="Times New Roman" w:eastAsia="宋体" w:cs="宋体"/>
          <w:color w:val="auto"/>
          <w:kern w:val="21"/>
          <w:highlight w:val="none"/>
          <w:lang w:eastAsia="zh-CN"/>
        </w:rPr>
        <w:t>任何责任。</w:t>
      </w:r>
    </w:p>
    <w:p w14:paraId="50772CAC">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23" w:name="_Toc492300654"/>
      <w:bookmarkStart w:id="424" w:name="_Toc482188561"/>
      <w:r>
        <w:rPr>
          <w:rFonts w:hint="eastAsia" w:ascii="Times New Roman" w:hAnsi="Times New Roman" w:eastAsia="宋体" w:cs="宋体"/>
          <w:b/>
          <w:bCs/>
          <w:color w:val="auto"/>
          <w:kern w:val="21"/>
          <w:sz w:val="24"/>
          <w:szCs w:val="24"/>
          <w:highlight w:val="none"/>
          <w:lang w:eastAsia="zh-CN"/>
        </w:rPr>
        <w:t>2</w:t>
      </w:r>
      <w:bookmarkEnd w:id="416"/>
      <w:bookmarkEnd w:id="417"/>
      <w:bookmarkEnd w:id="418"/>
      <w:bookmarkEnd w:id="419"/>
      <w:bookmarkEnd w:id="420"/>
      <w:bookmarkEnd w:id="421"/>
      <w:bookmarkEnd w:id="422"/>
      <w:r>
        <w:rPr>
          <w:rFonts w:hint="eastAsia" w:ascii="Times New Roman" w:hAnsi="Times New Roman" w:eastAsia="宋体" w:cs="宋体"/>
          <w:b/>
          <w:bCs/>
          <w:color w:val="auto"/>
          <w:kern w:val="21"/>
          <w:sz w:val="24"/>
          <w:szCs w:val="24"/>
          <w:highlight w:val="none"/>
          <w:lang w:eastAsia="zh-CN"/>
        </w:rPr>
        <w:t>.2</w:t>
      </w:r>
      <w:bookmarkStart w:id="425" w:name="_Toc300835049"/>
      <w:bookmarkStart w:id="426" w:name="_Toc247514050"/>
      <w:bookmarkStart w:id="427" w:name="_Toc247527651"/>
      <w:bookmarkStart w:id="428" w:name="_Toc300835052"/>
      <w:bookmarkStart w:id="429" w:name="_Toc247527654"/>
      <w:bookmarkStart w:id="430" w:name="_Toc247514053"/>
      <w:bookmarkStart w:id="431" w:name="_Toc385942919"/>
      <w:bookmarkStart w:id="432" w:name="_Toc370281723"/>
      <w:r>
        <w:rPr>
          <w:rFonts w:hint="eastAsia" w:ascii="Times New Roman" w:hAnsi="Times New Roman" w:eastAsia="宋体" w:cs="宋体"/>
          <w:b/>
          <w:bCs/>
          <w:color w:val="auto"/>
          <w:kern w:val="21"/>
          <w:sz w:val="24"/>
          <w:szCs w:val="24"/>
          <w:highlight w:val="none"/>
          <w:lang w:eastAsia="zh-CN"/>
        </w:rPr>
        <w:t xml:space="preserve"> 发出开始监理通</w:t>
      </w:r>
      <w:bookmarkEnd w:id="425"/>
      <w:bookmarkEnd w:id="426"/>
      <w:bookmarkEnd w:id="427"/>
      <w:r>
        <w:rPr>
          <w:rFonts w:hint="eastAsia" w:ascii="Times New Roman" w:hAnsi="Times New Roman" w:eastAsia="宋体" w:cs="宋体"/>
          <w:b/>
          <w:bCs/>
          <w:color w:val="auto"/>
          <w:kern w:val="21"/>
          <w:sz w:val="24"/>
          <w:szCs w:val="24"/>
          <w:highlight w:val="none"/>
          <w:lang w:eastAsia="zh-CN"/>
        </w:rPr>
        <w:t>知</w:t>
      </w:r>
      <w:bookmarkEnd w:id="423"/>
      <w:bookmarkEnd w:id="424"/>
    </w:p>
    <w:p w14:paraId="4961368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委托人应按第6.1款的约定向监理人发出开始监理通知。</w:t>
      </w:r>
    </w:p>
    <w:p w14:paraId="1178304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2.3 提供设备、设施</w:t>
      </w:r>
    </w:p>
    <w:p w14:paraId="36DB86C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除专用合同条款另有约定外，委托人应为监理人的现场人员，在监理期间提供办公房间、办公桌椅、互联网接口、冷暖设施、生活设施、进出现场交通服务和其他便利条件。</w:t>
      </w:r>
    </w:p>
    <w:p w14:paraId="6CB2D9F1">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33" w:name="_Toc482188562"/>
      <w:bookmarkStart w:id="434" w:name="_Toc492300655"/>
      <w:r>
        <w:rPr>
          <w:rFonts w:hint="eastAsia" w:ascii="Times New Roman" w:hAnsi="Times New Roman" w:eastAsia="宋体" w:cs="宋体"/>
          <w:b/>
          <w:bCs/>
          <w:color w:val="auto"/>
          <w:kern w:val="21"/>
          <w:sz w:val="24"/>
          <w:szCs w:val="24"/>
          <w:highlight w:val="none"/>
          <w:lang w:eastAsia="zh-CN"/>
        </w:rPr>
        <w:t>2.</w:t>
      </w:r>
      <w:bookmarkStart w:id="435" w:name="_Toc300835051"/>
      <w:bookmarkStart w:id="436" w:name="_Toc247514052"/>
      <w:bookmarkStart w:id="437" w:name="_Toc247527653"/>
      <w:r>
        <w:rPr>
          <w:rFonts w:hint="eastAsia" w:ascii="Times New Roman" w:hAnsi="Times New Roman" w:eastAsia="宋体" w:cs="宋体"/>
          <w:b/>
          <w:bCs/>
          <w:color w:val="auto"/>
          <w:kern w:val="21"/>
          <w:sz w:val="24"/>
          <w:szCs w:val="24"/>
          <w:highlight w:val="none"/>
          <w:lang w:eastAsia="zh-CN"/>
        </w:rPr>
        <w:t>4 办理证件</w:t>
      </w:r>
      <w:bookmarkEnd w:id="435"/>
      <w:bookmarkEnd w:id="436"/>
      <w:bookmarkEnd w:id="437"/>
      <w:r>
        <w:rPr>
          <w:rFonts w:hint="eastAsia" w:ascii="Times New Roman" w:hAnsi="Times New Roman" w:eastAsia="宋体" w:cs="宋体"/>
          <w:b/>
          <w:bCs/>
          <w:color w:val="auto"/>
          <w:kern w:val="21"/>
          <w:sz w:val="24"/>
          <w:szCs w:val="24"/>
          <w:highlight w:val="none"/>
          <w:lang w:eastAsia="zh-CN"/>
        </w:rPr>
        <w:t>和批件</w:t>
      </w:r>
      <w:bookmarkEnd w:id="433"/>
      <w:bookmarkEnd w:id="434"/>
    </w:p>
    <w:p w14:paraId="0514147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法律规定和（或）合同约定由委托人负责办理的工程建设项目必须履行的各类审批、核准或备案手续，委托人应当按时办理，监理人应给予必要的协助。</w:t>
      </w:r>
    </w:p>
    <w:p w14:paraId="7C17F77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法律规定和（或）合同约定由监理人负责办理的监理所需的证件和批件，委托人应给予必要的协助。</w:t>
      </w:r>
    </w:p>
    <w:p w14:paraId="2E573B3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38" w:name="_Toc482188563"/>
      <w:bookmarkStart w:id="439" w:name="_Toc492300656"/>
      <w:r>
        <w:rPr>
          <w:rFonts w:hint="eastAsia" w:ascii="Times New Roman" w:hAnsi="Times New Roman" w:eastAsia="宋体" w:cs="宋体"/>
          <w:b/>
          <w:bCs/>
          <w:color w:val="auto"/>
          <w:kern w:val="21"/>
          <w:sz w:val="24"/>
          <w:szCs w:val="24"/>
          <w:highlight w:val="none"/>
          <w:lang w:eastAsia="zh-CN"/>
        </w:rPr>
        <w:t>2.5 支付合同价款</w:t>
      </w:r>
      <w:bookmarkEnd w:id="438"/>
      <w:bookmarkEnd w:id="439"/>
    </w:p>
    <w:p w14:paraId="7DA3879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委托人应按合同约定向监理人及时支付合同价款。</w:t>
      </w:r>
    </w:p>
    <w:p w14:paraId="62D5D399">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40" w:name="_Toc492300657"/>
      <w:bookmarkStart w:id="441" w:name="_Toc482188564"/>
      <w:bookmarkStart w:id="442" w:name="_Toc474833987"/>
      <w:r>
        <w:rPr>
          <w:rFonts w:hint="eastAsia" w:ascii="Times New Roman" w:hAnsi="Times New Roman" w:eastAsia="宋体" w:cs="宋体"/>
          <w:b/>
          <w:bCs/>
          <w:color w:val="auto"/>
          <w:kern w:val="21"/>
          <w:sz w:val="24"/>
          <w:szCs w:val="24"/>
          <w:highlight w:val="none"/>
          <w:lang w:eastAsia="zh-CN"/>
        </w:rPr>
        <w:t>2.6 提供监理资料</w:t>
      </w:r>
      <w:bookmarkEnd w:id="440"/>
      <w:bookmarkEnd w:id="441"/>
      <w:bookmarkEnd w:id="442"/>
    </w:p>
    <w:p w14:paraId="362F947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委托人应按第1.6.2项的约定向监理人提供监理资料。</w:t>
      </w:r>
    </w:p>
    <w:bookmarkEnd w:id="428"/>
    <w:bookmarkEnd w:id="429"/>
    <w:bookmarkEnd w:id="430"/>
    <w:bookmarkEnd w:id="431"/>
    <w:bookmarkEnd w:id="432"/>
    <w:p w14:paraId="3EFF106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43" w:name="_Toc482188565"/>
      <w:bookmarkStart w:id="444" w:name="_Toc492300658"/>
      <w:r>
        <w:rPr>
          <w:rFonts w:hint="eastAsia" w:ascii="Times New Roman" w:hAnsi="Times New Roman" w:eastAsia="宋体" w:cs="宋体"/>
          <w:b/>
          <w:bCs/>
          <w:color w:val="auto"/>
          <w:kern w:val="21"/>
          <w:sz w:val="24"/>
          <w:szCs w:val="24"/>
          <w:highlight w:val="none"/>
          <w:lang w:eastAsia="zh-CN"/>
        </w:rPr>
        <w:t>2.7 其他义务</w:t>
      </w:r>
      <w:bookmarkEnd w:id="443"/>
      <w:bookmarkEnd w:id="444"/>
    </w:p>
    <w:p w14:paraId="758608C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委托人应履行合同约定的其他义务</w:t>
      </w:r>
      <w:bookmarkStart w:id="445" w:name="_Toc370281728"/>
      <w:bookmarkStart w:id="446" w:name="_Toc385942924"/>
      <w:r>
        <w:rPr>
          <w:rFonts w:hint="eastAsia" w:ascii="Times New Roman" w:hAnsi="Times New Roman" w:eastAsia="宋体" w:cs="宋体"/>
          <w:color w:val="auto"/>
          <w:kern w:val="21"/>
          <w:highlight w:val="none"/>
          <w:lang w:eastAsia="zh-CN"/>
        </w:rPr>
        <w:t>。</w:t>
      </w:r>
    </w:p>
    <w:p w14:paraId="481E1B4A">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447" w:name="_Toc492300659"/>
      <w:bookmarkStart w:id="448" w:name="_Toc482188566"/>
      <w:bookmarkStart w:id="449" w:name="_Toc503518002"/>
      <w:r>
        <w:rPr>
          <w:rFonts w:hint="eastAsia" w:ascii="Times New Roman" w:hAnsi="Times New Roman" w:eastAsia="宋体" w:cs="宋体"/>
          <w:b/>
          <w:bCs/>
          <w:color w:val="auto"/>
          <w:kern w:val="21"/>
          <w:sz w:val="28"/>
          <w:szCs w:val="28"/>
          <w:highlight w:val="none"/>
          <w:lang w:eastAsia="zh-CN"/>
        </w:rPr>
        <w:t>3. 委托人管</w:t>
      </w:r>
      <w:bookmarkEnd w:id="445"/>
      <w:bookmarkEnd w:id="446"/>
      <w:r>
        <w:rPr>
          <w:rFonts w:hint="eastAsia" w:ascii="Times New Roman" w:hAnsi="Times New Roman" w:eastAsia="宋体" w:cs="宋体"/>
          <w:b/>
          <w:bCs/>
          <w:color w:val="auto"/>
          <w:kern w:val="21"/>
          <w:sz w:val="28"/>
          <w:szCs w:val="28"/>
          <w:highlight w:val="none"/>
          <w:lang w:eastAsia="zh-CN"/>
        </w:rPr>
        <w:t>理</w:t>
      </w:r>
      <w:bookmarkEnd w:id="447"/>
      <w:bookmarkEnd w:id="448"/>
      <w:bookmarkEnd w:id="449"/>
    </w:p>
    <w:p w14:paraId="75C8323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50" w:name="_Toc492300660"/>
      <w:bookmarkStart w:id="451" w:name="_Toc482188567"/>
      <w:r>
        <w:rPr>
          <w:rFonts w:hint="eastAsia" w:ascii="Times New Roman" w:hAnsi="Times New Roman" w:eastAsia="宋体" w:cs="宋体"/>
          <w:b/>
          <w:bCs/>
          <w:color w:val="auto"/>
          <w:kern w:val="21"/>
          <w:sz w:val="24"/>
          <w:szCs w:val="24"/>
          <w:highlight w:val="none"/>
          <w:lang w:eastAsia="zh-CN"/>
        </w:rPr>
        <w:t>3.1 委托人代表</w:t>
      </w:r>
      <w:bookmarkEnd w:id="450"/>
      <w:bookmarkEnd w:id="451"/>
    </w:p>
    <w:p w14:paraId="66929CE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3.1.1除专用合同条款</w:t>
      </w:r>
      <w:bookmarkStart w:id="452" w:name="_Toc370281729"/>
      <w:bookmarkStart w:id="453" w:name="_Toc247514057"/>
      <w:bookmarkStart w:id="454" w:name="_Toc247527658"/>
      <w:bookmarkStart w:id="455" w:name="_Toc385942925"/>
      <w:bookmarkStart w:id="456" w:name="_Toc300835055"/>
      <w:r>
        <w:rPr>
          <w:rFonts w:hint="eastAsia" w:ascii="Times New Roman" w:hAnsi="Times New Roman" w:eastAsia="宋体" w:cs="宋体"/>
          <w:color w:val="auto"/>
          <w:kern w:val="21"/>
          <w:highlight w:val="none"/>
          <w:lang w:eastAsia="zh-CN"/>
        </w:rPr>
        <w:t>另有约定外，</w:t>
      </w:r>
      <w:bookmarkEnd w:id="452"/>
      <w:bookmarkEnd w:id="453"/>
      <w:bookmarkEnd w:id="454"/>
      <w:bookmarkEnd w:id="455"/>
      <w:bookmarkEnd w:id="456"/>
      <w:r>
        <w:rPr>
          <w:rFonts w:hint="eastAsia" w:ascii="Times New Roman" w:hAnsi="Times New Roman" w:eastAsia="宋体" w:cs="宋体"/>
          <w:color w:val="auto"/>
          <w:kern w:val="21"/>
          <w:highlight w:val="none"/>
          <w:lang w:eastAsia="zh-CN"/>
        </w:rPr>
        <w:t>委托人应在合同签订后14天内，将委托人代</w:t>
      </w:r>
      <w:bookmarkStart w:id="457" w:name="_Toc247527659"/>
      <w:bookmarkStart w:id="458" w:name="_Toc184635100"/>
      <w:bookmarkStart w:id="459" w:name="_Toc300835056"/>
      <w:bookmarkStart w:id="460" w:name="_Toc247514058"/>
      <w:r>
        <w:rPr>
          <w:rFonts w:hint="eastAsia" w:ascii="Times New Roman" w:hAnsi="Times New Roman" w:eastAsia="宋体" w:cs="宋体"/>
          <w:color w:val="auto"/>
          <w:kern w:val="21"/>
          <w:highlight w:val="none"/>
          <w:lang w:eastAsia="zh-CN"/>
        </w:rPr>
        <w:t>表的姓名、职</w:t>
      </w:r>
      <w:bookmarkEnd w:id="457"/>
      <w:bookmarkEnd w:id="458"/>
      <w:bookmarkEnd w:id="459"/>
      <w:bookmarkEnd w:id="460"/>
      <w:r>
        <w:rPr>
          <w:rFonts w:hint="eastAsia" w:ascii="Times New Roman" w:hAnsi="Times New Roman" w:eastAsia="宋体" w:cs="宋体"/>
          <w:color w:val="auto"/>
          <w:kern w:val="21"/>
          <w:highlight w:val="none"/>
          <w:lang w:eastAsia="zh-CN"/>
        </w:rPr>
        <w:t>务、联</w:t>
      </w:r>
      <w:bookmarkStart w:id="461" w:name="_Toc351203511"/>
      <w:r>
        <w:rPr>
          <w:rFonts w:hint="eastAsia" w:ascii="Times New Roman" w:hAnsi="Times New Roman" w:eastAsia="宋体" w:cs="宋体"/>
          <w:color w:val="auto"/>
          <w:kern w:val="21"/>
          <w:highlight w:val="none"/>
          <w:lang w:eastAsia="zh-CN"/>
        </w:rPr>
        <w:t>系方式、授权范围和</w:t>
      </w:r>
      <w:bookmarkEnd w:id="461"/>
      <w:r>
        <w:rPr>
          <w:rFonts w:hint="eastAsia" w:ascii="Times New Roman" w:hAnsi="Times New Roman" w:eastAsia="宋体" w:cs="宋体"/>
          <w:color w:val="auto"/>
          <w:kern w:val="21"/>
          <w:highlight w:val="none"/>
          <w:lang w:eastAsia="zh-CN"/>
        </w:rPr>
        <w:t>授权期限书面通知监理人，由委托人代表在其授权范围和授权期限内，代表委托人行使权利、履行义务和处理合同履行中的具体事宜。委托人代表在授权范围内的行为由委托人承担法律责任。</w:t>
      </w:r>
    </w:p>
    <w:p w14:paraId="3EE24A1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3.1.2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14:paraId="3640BE8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3.1.3 委托人更换委托人代表的，应提前14天将更换人员的姓名、职务、联系方式、授权范围和授权期限书面通知监理人。委托人代表超过2天不能履行职责的，应委派代表代行其职责，并通知监理人。</w:t>
      </w:r>
    </w:p>
    <w:p w14:paraId="40C8E894">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62" w:name="_Toc492300661"/>
      <w:bookmarkStart w:id="463" w:name="_Toc482188569"/>
      <w:r>
        <w:rPr>
          <w:rFonts w:hint="eastAsia" w:ascii="Times New Roman" w:hAnsi="Times New Roman" w:eastAsia="宋体" w:cs="宋体"/>
          <w:b/>
          <w:bCs/>
          <w:color w:val="auto"/>
          <w:kern w:val="21"/>
          <w:sz w:val="24"/>
          <w:szCs w:val="24"/>
          <w:highlight w:val="none"/>
          <w:lang w:eastAsia="zh-CN"/>
        </w:rPr>
        <w:t>3.2 委托人的指示</w:t>
      </w:r>
      <w:bookmarkEnd w:id="462"/>
      <w:bookmarkEnd w:id="463"/>
    </w:p>
    <w:p w14:paraId="323E9FB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3.2.1 委托人应按合同约定向监理人发出指示，委托人的指示应盖有委托人单位章</w:t>
      </w:r>
      <w:bookmarkStart w:id="464" w:name="_Toc247527663"/>
      <w:bookmarkStart w:id="465" w:name="_Toc247514062"/>
      <w:bookmarkStart w:id="466" w:name="_Toc300835060"/>
      <w:r>
        <w:rPr>
          <w:rFonts w:hint="eastAsia" w:ascii="Times New Roman" w:hAnsi="Times New Roman" w:eastAsia="宋体" w:cs="宋体"/>
          <w:color w:val="auto"/>
          <w:kern w:val="21"/>
          <w:highlight w:val="none"/>
          <w:lang w:eastAsia="zh-CN"/>
        </w:rPr>
        <w:t>，并由</w:t>
      </w:r>
      <w:bookmarkEnd w:id="464"/>
      <w:bookmarkEnd w:id="465"/>
      <w:bookmarkEnd w:id="466"/>
      <w:r>
        <w:rPr>
          <w:rFonts w:hint="eastAsia" w:ascii="Times New Roman" w:hAnsi="Times New Roman" w:eastAsia="宋体" w:cs="宋体"/>
          <w:color w:val="auto"/>
          <w:kern w:val="21"/>
          <w:highlight w:val="none"/>
          <w:lang w:eastAsia="zh-CN"/>
        </w:rPr>
        <w:t>委托人代表签字确认。</w:t>
      </w:r>
    </w:p>
    <w:p w14:paraId="2E19E40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3.2.2 监理人收到委托人作出的指示后应遵照执行。指示构成变更的，应按第8条执行。</w:t>
      </w:r>
    </w:p>
    <w:p w14:paraId="1962B8E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3.2.3 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14:paraId="7F8D355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3.2.4 由于委托人未能按合同约定发出指示、指示延误或指示错误而导致监理人费用增加和（或）周期延误的，委托人应承担由此增加的费用和（或）周期延误。</w:t>
      </w:r>
    </w:p>
    <w:p w14:paraId="4730C18E">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67" w:name="_Toc482188570"/>
      <w:bookmarkStart w:id="468" w:name="_Toc492300662"/>
      <w:r>
        <w:rPr>
          <w:rFonts w:hint="eastAsia" w:ascii="Times New Roman" w:hAnsi="Times New Roman" w:eastAsia="宋体" w:cs="宋体"/>
          <w:b/>
          <w:bCs/>
          <w:color w:val="auto"/>
          <w:kern w:val="21"/>
          <w:sz w:val="24"/>
          <w:szCs w:val="24"/>
          <w:highlight w:val="none"/>
          <w:lang w:eastAsia="zh-CN"/>
        </w:rPr>
        <w:t>3.3 决定或答复</w:t>
      </w:r>
      <w:bookmarkEnd w:id="467"/>
      <w:bookmarkEnd w:id="468"/>
    </w:p>
    <w:p w14:paraId="4EDC080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3.3.1 委托人在法律允许的范围内有权对监理人的监理工作和（或）监理文件作出处理决定</w:t>
      </w:r>
      <w:bookmarkStart w:id="469" w:name="_Toc300835062"/>
      <w:bookmarkStart w:id="470" w:name="_Toc247514064"/>
      <w:bookmarkStart w:id="471" w:name="_Toc385592088"/>
      <w:bookmarkStart w:id="472" w:name="_Toc370281730"/>
      <w:bookmarkStart w:id="473" w:name="_Toc247527665"/>
      <w:bookmarkStart w:id="474" w:name="_Toc385942926"/>
      <w:bookmarkStart w:id="475" w:name="_Toc184635101"/>
      <w:r>
        <w:rPr>
          <w:rFonts w:hint="eastAsia" w:ascii="Times New Roman" w:hAnsi="Times New Roman" w:eastAsia="宋体" w:cs="宋体"/>
          <w:color w:val="auto"/>
          <w:kern w:val="21"/>
          <w:highlight w:val="none"/>
          <w:lang w:eastAsia="zh-CN"/>
        </w:rPr>
        <w:t>，监理人应按照委托人的决定执行，涉及监理服务期限或监理报酬等问题按第8条的约定处理。</w:t>
      </w:r>
    </w:p>
    <w:p w14:paraId="1E5573A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3.3.2 委托人应在专用合同条款约定的时间之内，对监理人书面提出的事项作出书面答复；逾期没有作出答复的，视为已获得委托人的批准。</w:t>
      </w:r>
    </w:p>
    <w:p w14:paraId="61213E2B">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476" w:name="_Toc503518003"/>
      <w:bookmarkStart w:id="477" w:name="_Toc492300663"/>
      <w:bookmarkStart w:id="478" w:name="_Toc482188571"/>
      <w:r>
        <w:rPr>
          <w:rFonts w:hint="eastAsia" w:ascii="Times New Roman" w:hAnsi="Times New Roman" w:eastAsia="宋体" w:cs="宋体"/>
          <w:b/>
          <w:bCs/>
          <w:color w:val="auto"/>
          <w:kern w:val="21"/>
          <w:sz w:val="28"/>
          <w:szCs w:val="28"/>
          <w:highlight w:val="none"/>
          <w:lang w:eastAsia="zh-CN"/>
        </w:rPr>
        <w:t>4. 监理人义务</w:t>
      </w:r>
      <w:bookmarkEnd w:id="476"/>
      <w:bookmarkEnd w:id="477"/>
      <w:bookmarkEnd w:id="478"/>
    </w:p>
    <w:p w14:paraId="72168E3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79" w:name="_Toc492300664"/>
      <w:bookmarkStart w:id="480" w:name="_Toc482188572"/>
      <w:r>
        <w:rPr>
          <w:rFonts w:hint="eastAsia" w:ascii="Times New Roman" w:hAnsi="Times New Roman" w:eastAsia="宋体" w:cs="宋体"/>
          <w:b/>
          <w:bCs/>
          <w:color w:val="auto"/>
          <w:kern w:val="21"/>
          <w:sz w:val="24"/>
          <w:szCs w:val="24"/>
          <w:highlight w:val="none"/>
          <w:lang w:eastAsia="zh-CN"/>
        </w:rPr>
        <w:t>4.1 监理人的一般义务</w:t>
      </w:r>
      <w:bookmarkEnd w:id="479"/>
      <w:bookmarkEnd w:id="480"/>
    </w:p>
    <w:p w14:paraId="45C814D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4.1.1 遵守法律</w:t>
      </w:r>
    </w:p>
    <w:p w14:paraId="1D3D61A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监理人在履行合同过程中应遵守法律，并保证委托人免于承担因</w:t>
      </w:r>
      <w:bookmarkEnd w:id="469"/>
      <w:bookmarkEnd w:id="470"/>
      <w:bookmarkEnd w:id="471"/>
      <w:bookmarkEnd w:id="472"/>
      <w:bookmarkEnd w:id="473"/>
      <w:bookmarkEnd w:id="474"/>
      <w:bookmarkEnd w:id="475"/>
      <w:r>
        <w:rPr>
          <w:rFonts w:hint="eastAsia" w:ascii="Times New Roman" w:hAnsi="Times New Roman" w:eastAsia="宋体" w:cs="宋体"/>
          <w:color w:val="auto"/>
          <w:kern w:val="21"/>
          <w:highlight w:val="none"/>
          <w:lang w:eastAsia="zh-CN"/>
        </w:rPr>
        <w:t>监理人</w:t>
      </w:r>
      <w:bookmarkStart w:id="481" w:name="_Toc300835063"/>
      <w:bookmarkStart w:id="482" w:name="_Toc247527666"/>
      <w:bookmarkStart w:id="483" w:name="_Toc385942927"/>
      <w:bookmarkStart w:id="484" w:name="_Toc370281731"/>
      <w:bookmarkStart w:id="485" w:name="_Toc247514065"/>
      <w:r>
        <w:rPr>
          <w:rFonts w:hint="eastAsia" w:ascii="Times New Roman" w:hAnsi="Times New Roman" w:eastAsia="宋体" w:cs="宋体"/>
          <w:color w:val="auto"/>
          <w:kern w:val="21"/>
          <w:highlight w:val="none"/>
          <w:lang w:eastAsia="zh-CN"/>
        </w:rPr>
        <w:t>违反法律而引起的任何责任。</w:t>
      </w:r>
    </w:p>
    <w:bookmarkEnd w:id="481"/>
    <w:bookmarkEnd w:id="482"/>
    <w:bookmarkEnd w:id="483"/>
    <w:bookmarkEnd w:id="484"/>
    <w:bookmarkEnd w:id="485"/>
    <w:p w14:paraId="6C2F687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4.1.2 依法纳税</w:t>
      </w:r>
    </w:p>
    <w:p w14:paraId="24F341D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监理人应按有关法律规定纳税，应缴纳的税金（含增值税）包括在合同价格之中。</w:t>
      </w:r>
    </w:p>
    <w:p w14:paraId="7B75608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4.1.3 完成全部监理工作</w:t>
      </w:r>
    </w:p>
    <w:p w14:paraId="6DC9E6F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监理人应按合同约定以及委托人要求，完成合同约定的全部工作，并对工作中的任何缺陷进行整改，使其满足合同约定的目的。</w:t>
      </w:r>
    </w:p>
    <w:p w14:paraId="14B4B35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4.1.4 其他义务</w:t>
      </w:r>
    </w:p>
    <w:p w14:paraId="6A124F3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监理人应履行合同约定的其他义务。</w:t>
      </w:r>
    </w:p>
    <w:p w14:paraId="2C26C68A">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86" w:name="_Toc492300665"/>
      <w:bookmarkStart w:id="487" w:name="_Toc13239"/>
      <w:bookmarkStart w:id="488" w:name="_Toc382920065"/>
      <w:bookmarkStart w:id="489" w:name="_Toc485303383"/>
      <w:bookmarkStart w:id="490" w:name="_Toc482188573"/>
      <w:bookmarkStart w:id="491" w:name="_Toc247514076"/>
      <w:bookmarkStart w:id="492" w:name="_Toc300835075"/>
      <w:bookmarkStart w:id="493" w:name="_Toc247527677"/>
      <w:bookmarkStart w:id="494" w:name="_Toc300835076"/>
      <w:r>
        <w:rPr>
          <w:rFonts w:hint="eastAsia" w:ascii="Times New Roman" w:hAnsi="Times New Roman" w:eastAsia="宋体" w:cs="宋体"/>
          <w:b/>
          <w:bCs/>
          <w:color w:val="auto"/>
          <w:kern w:val="21"/>
          <w:sz w:val="24"/>
          <w:szCs w:val="24"/>
          <w:highlight w:val="none"/>
          <w:lang w:eastAsia="zh-CN"/>
        </w:rPr>
        <w:t>4.2 履约保证金</w:t>
      </w:r>
      <w:bookmarkEnd w:id="486"/>
      <w:bookmarkEnd w:id="487"/>
      <w:bookmarkEnd w:id="488"/>
      <w:bookmarkEnd w:id="489"/>
    </w:p>
    <w:p w14:paraId="7559731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履约保证金自合同生效之日起生效，在委托人签发竣工验收证书之日起28天后失效。如果监理人不履行合同约定的义务或其履行不符合合同的约定，委托人有权扣划相应金额的履约保证金。</w:t>
      </w:r>
    </w:p>
    <w:bookmarkEnd w:id="490"/>
    <w:p w14:paraId="4095ED4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95" w:name="_Toc492300666"/>
      <w:bookmarkStart w:id="496" w:name="_Toc482188574"/>
      <w:r>
        <w:rPr>
          <w:rFonts w:hint="eastAsia" w:ascii="Times New Roman" w:hAnsi="Times New Roman" w:eastAsia="宋体" w:cs="宋体"/>
          <w:b/>
          <w:bCs/>
          <w:color w:val="auto"/>
          <w:kern w:val="21"/>
          <w:sz w:val="24"/>
          <w:szCs w:val="24"/>
          <w:highlight w:val="none"/>
          <w:lang w:eastAsia="zh-CN"/>
        </w:rPr>
        <w:t>4.3 联合体</w:t>
      </w:r>
      <w:bookmarkEnd w:id="495"/>
      <w:bookmarkEnd w:id="496"/>
    </w:p>
    <w:p w14:paraId="34B6C72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4.3.1 联合体各方应共同与委托人签订合同。联合体各方应为履行合同承担连带责任。</w:t>
      </w:r>
    </w:p>
    <w:p w14:paraId="46C9B34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4.3.2 联合体协议经委托人确认后作为合同附件。在履行合同过程中，未经委托人同意，不得修改联合体协议。</w:t>
      </w:r>
    </w:p>
    <w:p w14:paraId="791D6B2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4.3.3 联合体牵头人负责与委托人联系，并接受指示，负责组织联合体各成员全面履行合同。</w:t>
      </w:r>
    </w:p>
    <w:p w14:paraId="75A402E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497" w:name="_Toc482188575"/>
      <w:bookmarkStart w:id="498" w:name="_Toc492300667"/>
      <w:r>
        <w:rPr>
          <w:rFonts w:hint="eastAsia" w:ascii="Times New Roman" w:hAnsi="Times New Roman" w:eastAsia="宋体" w:cs="宋体"/>
          <w:b/>
          <w:bCs/>
          <w:color w:val="auto"/>
          <w:kern w:val="21"/>
          <w:sz w:val="24"/>
          <w:szCs w:val="24"/>
          <w:highlight w:val="none"/>
          <w:lang w:eastAsia="zh-CN"/>
        </w:rPr>
        <w:t xml:space="preserve">4.4 </w:t>
      </w:r>
      <w:bookmarkEnd w:id="497"/>
      <w:r>
        <w:rPr>
          <w:rFonts w:hint="eastAsia" w:ascii="Times New Roman" w:hAnsi="Times New Roman" w:eastAsia="宋体" w:cs="宋体"/>
          <w:b/>
          <w:bCs/>
          <w:color w:val="auto"/>
          <w:kern w:val="21"/>
          <w:sz w:val="24"/>
          <w:szCs w:val="24"/>
          <w:highlight w:val="none"/>
          <w:lang w:eastAsia="zh-CN"/>
        </w:rPr>
        <w:t>总监理工程师</w:t>
      </w:r>
      <w:bookmarkEnd w:id="498"/>
    </w:p>
    <w:p w14:paraId="249C169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4.4.1 监理人应按合同协议书的约定指派总监理工程师，并在约定的期限内到职。监理人更换</w:t>
      </w:r>
      <w:bookmarkStart w:id="499" w:name="_Toc247514069"/>
      <w:bookmarkStart w:id="500" w:name="_Toc300835067"/>
      <w:bookmarkStart w:id="501" w:name="_Toc247527670"/>
      <w:r>
        <w:rPr>
          <w:rFonts w:hint="eastAsia" w:ascii="Times New Roman" w:hAnsi="Times New Roman" w:eastAsia="宋体" w:cs="宋体"/>
          <w:color w:val="auto"/>
          <w:kern w:val="21"/>
          <w:highlight w:val="none"/>
          <w:lang w:eastAsia="zh-CN"/>
        </w:rPr>
        <w:t>总监理工程师应事先征得</w:t>
      </w:r>
      <w:bookmarkEnd w:id="499"/>
      <w:bookmarkEnd w:id="500"/>
      <w:bookmarkEnd w:id="501"/>
      <w:r>
        <w:rPr>
          <w:rFonts w:hint="eastAsia" w:ascii="Times New Roman" w:hAnsi="Times New Roman" w:eastAsia="宋体" w:cs="宋体"/>
          <w:color w:val="auto"/>
          <w:kern w:val="21"/>
          <w:highlight w:val="none"/>
          <w:lang w:eastAsia="zh-CN"/>
        </w:rPr>
        <w:t>委托人同意，并应在更换14天前将拟更换的总监理工程师的姓名和详细资料提交委托人。总监理工程师2天内不能履行职责的，应事先征得委托人同意，并委派代表代行其职责。</w:t>
      </w:r>
    </w:p>
    <w:p w14:paraId="2E3FDD8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4.4.2总监理工程师应按合同约定以及委托人要求，负责组织合同工作的实施。在情况紧急且无法与委托人取得联系时，可采取保证工程和人员生命财产安全的紧急措施，并在采取措施后24小时内向委托人提交书面报告。</w:t>
      </w:r>
    </w:p>
    <w:p w14:paraId="38F7FC8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4.4.3 监理人为履行合同发出的一切函件均应盖有监理人单位章或由监理人授权的项目机构章，并由监理人的总监理工程师签字确认。</w:t>
      </w:r>
    </w:p>
    <w:p w14:paraId="657F044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4.4.4 按照专用合同条款约定，总监理工程师可以授权其下属人员履行其某项职责，但事先应将这些人员的姓名和授权范围书面通知委托人和承包人。</w:t>
      </w:r>
    </w:p>
    <w:p w14:paraId="140FA473">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02" w:name="_Toc482188576"/>
      <w:bookmarkStart w:id="503" w:name="_Toc492300668"/>
      <w:r>
        <w:rPr>
          <w:rFonts w:hint="eastAsia" w:ascii="Times New Roman" w:hAnsi="Times New Roman" w:eastAsia="宋体" w:cs="宋体"/>
          <w:b/>
          <w:bCs/>
          <w:color w:val="auto"/>
          <w:kern w:val="21"/>
          <w:sz w:val="24"/>
          <w:szCs w:val="24"/>
          <w:highlight w:val="none"/>
          <w:lang w:eastAsia="zh-CN"/>
        </w:rPr>
        <w:t>4.5 监理人员的管理</w:t>
      </w:r>
      <w:bookmarkEnd w:id="502"/>
      <w:bookmarkEnd w:id="503"/>
    </w:p>
    <w:p w14:paraId="62CE5CC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4.5.1 监理人应在接到开始监理通知之日起7天内，向委托人提交监理项目机构以及</w:t>
      </w:r>
      <w:bookmarkStart w:id="504" w:name="_Toc247514070"/>
      <w:bookmarkStart w:id="505" w:name="_Toc247527671"/>
      <w:bookmarkStart w:id="506" w:name="_Toc300835068"/>
      <w:r>
        <w:rPr>
          <w:rFonts w:hint="eastAsia" w:ascii="Times New Roman" w:hAnsi="Times New Roman" w:eastAsia="宋体" w:cs="宋体"/>
          <w:color w:val="auto"/>
          <w:kern w:val="21"/>
          <w:highlight w:val="none"/>
          <w:lang w:eastAsia="zh-CN"/>
        </w:rPr>
        <w:t>人员安排的报告，其内容应</w:t>
      </w:r>
      <w:bookmarkEnd w:id="504"/>
      <w:bookmarkEnd w:id="505"/>
      <w:bookmarkEnd w:id="506"/>
      <w:r>
        <w:rPr>
          <w:rFonts w:hint="eastAsia" w:ascii="Times New Roman" w:hAnsi="Times New Roman" w:eastAsia="宋体" w:cs="宋体"/>
          <w:color w:val="auto"/>
          <w:kern w:val="21"/>
          <w:highlight w:val="none"/>
          <w:lang w:eastAsia="zh-CN"/>
        </w:rPr>
        <w:t>包括项目机构设置、主要监理人员和其他人员的名单及资格条件。主要监理人员应相对稳定，更换主要监理人员的，应取得委托人的同意，并向委托人提交继任人员的资格、管理经验等资料。总监理工程师的更换，应按照本章第4.4.1项规定执行。</w:t>
      </w:r>
    </w:p>
    <w:p w14:paraId="7887C9C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4.5.2除专用合同条款另有约定外，主要监理人员包括总监理工程师、专业监理工程师等；其他人员包括各专业的监理员、资料员等。</w:t>
      </w:r>
    </w:p>
    <w:p w14:paraId="4D17AD8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4.5.3监理人应保证其主要监理人员在合同期限内的任何时候，都能按时参加委托人组织的工作会议。</w:t>
      </w:r>
    </w:p>
    <w:p w14:paraId="70B9B12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4.5.4 国家规定应当持证上岗的工作人员均应持有相应的资格证明，委托人有权随时检查。委托人认为有必要时，可以进行现场考核。</w:t>
      </w:r>
    </w:p>
    <w:p w14:paraId="7F16B34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07" w:name="_Toc492300669"/>
      <w:bookmarkStart w:id="508" w:name="_Toc482188577"/>
      <w:r>
        <w:rPr>
          <w:rFonts w:hint="eastAsia" w:ascii="Times New Roman" w:hAnsi="Times New Roman" w:eastAsia="宋体" w:cs="宋体"/>
          <w:b/>
          <w:bCs/>
          <w:color w:val="auto"/>
          <w:kern w:val="21"/>
          <w:sz w:val="24"/>
          <w:szCs w:val="24"/>
          <w:highlight w:val="none"/>
          <w:lang w:eastAsia="zh-CN"/>
        </w:rPr>
        <w:t>4.6 撤换总监理工程师和其他人员</w:t>
      </w:r>
      <w:bookmarkEnd w:id="507"/>
      <w:bookmarkEnd w:id="508"/>
    </w:p>
    <w:p w14:paraId="183D224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监理人应对其总监理工程师和其他人员进行有效管理。委托人要求撤换不能胜任本职工作、行</w:t>
      </w:r>
      <w:bookmarkStart w:id="509" w:name="_Toc247514071"/>
      <w:bookmarkStart w:id="510" w:name="_Toc300835069"/>
      <w:bookmarkStart w:id="511" w:name="_Toc247527672"/>
      <w:r>
        <w:rPr>
          <w:rFonts w:hint="eastAsia" w:ascii="Times New Roman" w:hAnsi="Times New Roman" w:eastAsia="宋体" w:cs="宋体"/>
          <w:color w:val="auto"/>
          <w:kern w:val="21"/>
          <w:highlight w:val="none"/>
          <w:lang w:eastAsia="zh-CN"/>
        </w:rPr>
        <w:t>为不端或玩忽职守的总监理工程师和其</w:t>
      </w:r>
      <w:bookmarkEnd w:id="509"/>
      <w:bookmarkEnd w:id="510"/>
      <w:bookmarkEnd w:id="511"/>
      <w:r>
        <w:rPr>
          <w:rFonts w:hint="eastAsia" w:ascii="Times New Roman" w:hAnsi="Times New Roman" w:eastAsia="宋体" w:cs="宋体"/>
          <w:color w:val="auto"/>
          <w:kern w:val="21"/>
          <w:highlight w:val="none"/>
          <w:lang w:eastAsia="zh-CN"/>
        </w:rPr>
        <w:t>他人员的，监理人应予以撤换。</w:t>
      </w:r>
    </w:p>
    <w:p w14:paraId="5B06FFC1">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12" w:name="_Toc482188578"/>
      <w:bookmarkStart w:id="513" w:name="_Toc492300670"/>
      <w:r>
        <w:rPr>
          <w:rFonts w:hint="eastAsia" w:ascii="Times New Roman" w:hAnsi="Times New Roman" w:eastAsia="宋体" w:cs="宋体"/>
          <w:b/>
          <w:bCs/>
          <w:color w:val="auto"/>
          <w:kern w:val="21"/>
          <w:sz w:val="24"/>
          <w:szCs w:val="24"/>
          <w:highlight w:val="none"/>
          <w:lang w:eastAsia="zh-CN"/>
        </w:rPr>
        <w:t>4.7 保障人员的合法权益</w:t>
      </w:r>
      <w:bookmarkEnd w:id="512"/>
      <w:bookmarkEnd w:id="513"/>
    </w:p>
    <w:p w14:paraId="2D5CC42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4.7.1 监理人应与其雇用的人员签订劳动合同，并按时发放工资。</w:t>
      </w:r>
    </w:p>
    <w:p w14:paraId="4BE65EE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4.7.2 监理人应</w:t>
      </w:r>
      <w:bookmarkStart w:id="514" w:name="_Toc247514072"/>
      <w:bookmarkStart w:id="515" w:name="_Toc247527673"/>
      <w:bookmarkStart w:id="516" w:name="_Toc300835070"/>
      <w:r>
        <w:rPr>
          <w:rFonts w:hint="eastAsia" w:ascii="Times New Roman" w:hAnsi="Times New Roman" w:eastAsia="宋体" w:cs="宋体"/>
          <w:color w:val="auto"/>
          <w:kern w:val="21"/>
          <w:highlight w:val="none"/>
          <w:lang w:eastAsia="zh-CN"/>
        </w:rPr>
        <w:t>按劳动法的规定安排工作时间</w:t>
      </w:r>
      <w:bookmarkEnd w:id="514"/>
      <w:bookmarkEnd w:id="515"/>
      <w:bookmarkEnd w:id="516"/>
      <w:r>
        <w:rPr>
          <w:rFonts w:hint="eastAsia" w:ascii="Times New Roman" w:hAnsi="Times New Roman" w:eastAsia="宋体" w:cs="宋体"/>
          <w:color w:val="auto"/>
          <w:kern w:val="21"/>
          <w:highlight w:val="none"/>
          <w:lang w:eastAsia="zh-CN"/>
        </w:rPr>
        <w:t>，保证其雇用人员享有休息和休假的权利。因监理需要占用休假日或延长工作时间的，应不超过法律规定的限度，并按法律规定给予补休或付酬。</w:t>
      </w:r>
    </w:p>
    <w:p w14:paraId="408D145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4.7.3 监理人应按有关法律规定和合同约定，为其雇用人员办理保险。</w:t>
      </w:r>
    </w:p>
    <w:p w14:paraId="15EB27D7">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17" w:name="_Toc492300671"/>
      <w:bookmarkStart w:id="518" w:name="_Toc482188579"/>
      <w:r>
        <w:rPr>
          <w:rFonts w:hint="eastAsia" w:ascii="Times New Roman" w:hAnsi="Times New Roman" w:eastAsia="宋体" w:cs="宋体"/>
          <w:b/>
          <w:bCs/>
          <w:color w:val="auto"/>
          <w:kern w:val="21"/>
          <w:sz w:val="24"/>
          <w:szCs w:val="24"/>
          <w:highlight w:val="none"/>
          <w:lang w:eastAsia="zh-CN"/>
        </w:rPr>
        <w:t>4.8 合同价款应专款专用</w:t>
      </w:r>
      <w:bookmarkEnd w:id="517"/>
      <w:bookmarkEnd w:id="518"/>
    </w:p>
    <w:p w14:paraId="57068D6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委托人按合同约定支付给监理人的各项价款，应专用于合同监理工作。</w:t>
      </w:r>
    </w:p>
    <w:bookmarkEnd w:id="491"/>
    <w:bookmarkEnd w:id="492"/>
    <w:bookmarkEnd w:id="493"/>
    <w:p w14:paraId="4A457B2F">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19" w:name="_Toc482188580"/>
      <w:bookmarkStart w:id="520" w:name="_Toc492300672"/>
      <w:bookmarkStart w:id="521" w:name="_Toc503518004"/>
      <w:r>
        <w:rPr>
          <w:rFonts w:hint="eastAsia" w:ascii="Times New Roman" w:hAnsi="Times New Roman" w:eastAsia="宋体" w:cs="宋体"/>
          <w:b/>
          <w:bCs/>
          <w:color w:val="auto"/>
          <w:kern w:val="21"/>
          <w:sz w:val="28"/>
          <w:szCs w:val="28"/>
          <w:highlight w:val="none"/>
          <w:lang w:eastAsia="zh-CN"/>
        </w:rPr>
        <w:t>5. 监理要求</w:t>
      </w:r>
      <w:bookmarkEnd w:id="519"/>
      <w:bookmarkEnd w:id="520"/>
      <w:bookmarkEnd w:id="521"/>
    </w:p>
    <w:p w14:paraId="1B227141">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22" w:name="_Toc492300673"/>
      <w:bookmarkStart w:id="523" w:name="_Toc482188581"/>
      <w:r>
        <w:rPr>
          <w:rFonts w:hint="eastAsia" w:ascii="Times New Roman" w:hAnsi="Times New Roman" w:eastAsia="宋体" w:cs="宋体"/>
          <w:b/>
          <w:bCs/>
          <w:color w:val="auto"/>
          <w:kern w:val="21"/>
          <w:sz w:val="24"/>
          <w:szCs w:val="24"/>
          <w:highlight w:val="none"/>
          <w:lang w:eastAsia="zh-CN"/>
        </w:rPr>
        <w:t>5.1 监理范围</w:t>
      </w:r>
      <w:bookmarkEnd w:id="522"/>
    </w:p>
    <w:p w14:paraId="7344282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5.1.1 本合同的监理范围包括工程范围、阶段范围和工作范围，具体监理范围应当根据三者之间的关联内容进行确定。</w:t>
      </w:r>
    </w:p>
    <w:p w14:paraId="532A12B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5.1.2 工程范围指所监理工程的建设内容，具体范围在专用合同条款中约定。</w:t>
      </w:r>
    </w:p>
    <w:p w14:paraId="7C03C12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5.1.3 阶段范围指工程建设程序中的勘察阶段、设计阶段、施工阶段、缺陷责任期及保修阶段中的一个或者多个阶段，具体范围在专用合同条款中约定。</w:t>
      </w:r>
    </w:p>
    <w:p w14:paraId="559F9B4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5.1.4 工作范围指监理工作中的质量控制、进度控制、投资控制、合同管理、信息管理、组织协调和安全监理、环保监理中的一项或者多项工作，具体范围在专用合同条款中约定。</w:t>
      </w:r>
    </w:p>
    <w:bookmarkEnd w:id="523"/>
    <w:p w14:paraId="50236414">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24" w:name="_Toc492300674"/>
      <w:bookmarkStart w:id="525" w:name="_Toc482188582"/>
      <w:r>
        <w:rPr>
          <w:rFonts w:hint="eastAsia" w:ascii="Times New Roman" w:hAnsi="Times New Roman" w:eastAsia="宋体" w:cs="宋体"/>
          <w:b/>
          <w:bCs/>
          <w:color w:val="auto"/>
          <w:kern w:val="21"/>
          <w:sz w:val="24"/>
          <w:szCs w:val="24"/>
          <w:highlight w:val="none"/>
          <w:lang w:eastAsia="zh-CN"/>
        </w:rPr>
        <w:t>5.2 监理依据</w:t>
      </w:r>
      <w:bookmarkEnd w:id="524"/>
      <w:bookmarkEnd w:id="525"/>
    </w:p>
    <w:p w14:paraId="2BC797B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除专用合同条款另有约定外，本工程的监理依据如下：</w:t>
      </w:r>
    </w:p>
    <w:p w14:paraId="371750E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（1）适用的法律、行政法规及部门规章；</w:t>
      </w:r>
    </w:p>
    <w:p w14:paraId="125605C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（2）与工程有关的规范、标准、规程；</w:t>
      </w:r>
    </w:p>
    <w:p w14:paraId="35178B6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（3）工程勘察文件、设计文件及其他文件；</w:t>
      </w:r>
    </w:p>
    <w:p w14:paraId="1263CE1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（4）本工程监理的委托合同及补充合同；</w:t>
      </w:r>
    </w:p>
    <w:p w14:paraId="1197685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（5）委托人签订的勘察、设计和施工承包合同；</w:t>
      </w:r>
    </w:p>
    <w:p w14:paraId="2294344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（6）合同履行中与监理服务有关的来往函件；</w:t>
      </w:r>
    </w:p>
    <w:p w14:paraId="23ECD8E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（7）其他监理依据。</w:t>
      </w:r>
    </w:p>
    <w:p w14:paraId="7FCE0E95">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26" w:name="_Toc482188583"/>
      <w:bookmarkStart w:id="527" w:name="_Toc492300675"/>
      <w:r>
        <w:rPr>
          <w:rFonts w:hint="eastAsia" w:ascii="Times New Roman" w:hAnsi="Times New Roman" w:eastAsia="宋体" w:cs="宋体"/>
          <w:b/>
          <w:bCs/>
          <w:color w:val="auto"/>
          <w:kern w:val="21"/>
          <w:sz w:val="24"/>
          <w:szCs w:val="24"/>
          <w:highlight w:val="none"/>
          <w:lang w:eastAsia="zh-CN"/>
        </w:rPr>
        <w:t>5.3 监理内容</w:t>
      </w:r>
      <w:bookmarkEnd w:id="526"/>
      <w:bookmarkEnd w:id="527"/>
    </w:p>
    <w:p w14:paraId="494FF98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除专用合同条款另有约定外，监理工作内容包括：</w:t>
      </w:r>
    </w:p>
    <w:p w14:paraId="348BE92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（1）收到工程设计文件后编制监理规划，并在第一次工地会议7天前报委托人。根据有关规定和监理工作需要，编制监理实施细则；</w:t>
      </w:r>
    </w:p>
    <w:p w14:paraId="7CD8B48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（2）熟悉工程设计文件，并参加由委托人主持的图纸会审和设计交底会议；</w:t>
      </w:r>
    </w:p>
    <w:p w14:paraId="2C0F3A9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（3）参加由委托人主持的第一次工地会议；主持监理例会并根据工程需要主持或参加专题会议；</w:t>
      </w:r>
    </w:p>
    <w:p w14:paraId="489A256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（4）审查施工承包人提交的施工组织设计，重点审查其中的质量安全技术措施、专项施工方案与工程建设强制性标准的符合性；</w:t>
      </w:r>
    </w:p>
    <w:p w14:paraId="2E5184F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（5）检查施工承包人工程质量、安全生产管理制度及组织机构和人员资格；</w:t>
      </w:r>
    </w:p>
    <w:p w14:paraId="71B75CD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（6）检查施工承包人专职安全生产管理人员的配备情况；</w:t>
      </w:r>
    </w:p>
    <w:p w14:paraId="4B025E8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（7）审查施工承包人提交的施工进度计划，核查承包人对施工进度计划的调整；</w:t>
      </w:r>
    </w:p>
    <w:p w14:paraId="1EE9BF7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（8）检查施工承包人的试验室；</w:t>
      </w:r>
    </w:p>
    <w:p w14:paraId="1C4B110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（9）审核施工分包人资质条件；</w:t>
      </w:r>
    </w:p>
    <w:p w14:paraId="2BD9083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（10）查验施工承包人的施工测量放线成果；</w:t>
      </w:r>
    </w:p>
    <w:p w14:paraId="67796FA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（11）审查工程开工条件，对条件具备的签发开工令；</w:t>
      </w:r>
    </w:p>
    <w:p w14:paraId="316571F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（12）审查施工承包人报送的工程材料、构配件、设备质量证明文件的有效性和符合性，并按规定对用于工程的材料采取平行检验或见证取样方式进行抽检；</w:t>
      </w:r>
    </w:p>
    <w:p w14:paraId="4D76BE7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（13）审核施工承包人提交的工程款支付申请，签发或出具工程款支付证书，并报委托人审核、批准；</w:t>
      </w:r>
    </w:p>
    <w:p w14:paraId="0458D92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（14）在巡视、旁站和检验过程中，发现工程质量、施工安全存在事故隐患的，要求施工承包人整改并报委托人；</w:t>
      </w:r>
    </w:p>
    <w:p w14:paraId="075B0A2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（15）经委托人同意，签发工程暂停令和复工令；</w:t>
      </w:r>
    </w:p>
    <w:p w14:paraId="732980B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（16）审查施工承包人提交的采用新材料、新工艺、新技术、新设备的论证材料及相关验收标准；</w:t>
      </w:r>
    </w:p>
    <w:p w14:paraId="20FC41B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（17）验收隐蔽工程、分部分项工程；</w:t>
      </w:r>
    </w:p>
    <w:p w14:paraId="70604D7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（18）审查施工承包人提交的工程变更申请，协调处理施工进度调整、费用索赔、合同争议等事项；</w:t>
      </w:r>
    </w:p>
    <w:p w14:paraId="19B0DB3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（19）审查施工承包人提交的竣工验收申请，编写工程质量评估报告；</w:t>
      </w:r>
    </w:p>
    <w:p w14:paraId="1A6A42E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（20）参加工程竣工验收，签署竣工验收意见；</w:t>
      </w:r>
    </w:p>
    <w:p w14:paraId="02FEC58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（21）审查施工承包人提交的竣工结算申请并报委托人；</w:t>
      </w:r>
    </w:p>
    <w:p w14:paraId="055DC84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（22）编制、整理工程监理归档文件并报委托人。</w:t>
      </w:r>
    </w:p>
    <w:p w14:paraId="5032DD13">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28" w:name="_Toc492300676"/>
      <w:r>
        <w:rPr>
          <w:rFonts w:hint="eastAsia" w:ascii="Times New Roman" w:hAnsi="Times New Roman" w:eastAsia="宋体" w:cs="宋体"/>
          <w:b/>
          <w:bCs/>
          <w:color w:val="auto"/>
          <w:kern w:val="21"/>
          <w:sz w:val="24"/>
          <w:szCs w:val="24"/>
          <w:highlight w:val="none"/>
          <w:lang w:eastAsia="zh-CN"/>
        </w:rPr>
        <w:t>5.4 监理文件要求</w:t>
      </w:r>
      <w:bookmarkEnd w:id="528"/>
    </w:p>
    <w:p w14:paraId="436D49D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5.4.1 监理文件的编制应符合法律、规范标准的强制性规定和委托人要求，相关的监理依据应当完整准确，文件内容和相应数据应当真实可靠。</w:t>
      </w:r>
    </w:p>
    <w:p w14:paraId="68FC66C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5.4.2 监理文件的深度应满足本阶段相应监理工作的规定要求，满足委托人的下步工作需要，并应符合国家和行业现行规定。</w:t>
      </w:r>
    </w:p>
    <w:p w14:paraId="4F5947E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5.4.3本工程监理文件的具体类别、编制要求、编制内容和提交时间等，在专用合同条款中约定。</w:t>
      </w:r>
    </w:p>
    <w:bookmarkEnd w:id="494"/>
    <w:p w14:paraId="20096AE7">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29" w:name="_Toc482188591"/>
      <w:bookmarkStart w:id="530" w:name="_Toc503518005"/>
      <w:bookmarkStart w:id="531" w:name="_Toc492300677"/>
      <w:r>
        <w:rPr>
          <w:rFonts w:hint="eastAsia" w:ascii="Times New Roman" w:hAnsi="Times New Roman" w:eastAsia="宋体" w:cs="宋体"/>
          <w:b/>
          <w:bCs/>
          <w:color w:val="auto"/>
          <w:kern w:val="21"/>
          <w:sz w:val="28"/>
          <w:szCs w:val="28"/>
          <w:highlight w:val="none"/>
          <w:lang w:eastAsia="zh-CN"/>
        </w:rPr>
        <w:t>6. 开始监理和完成</w:t>
      </w:r>
      <w:bookmarkEnd w:id="529"/>
      <w:r>
        <w:rPr>
          <w:rFonts w:hint="eastAsia" w:ascii="Times New Roman" w:hAnsi="Times New Roman" w:eastAsia="宋体" w:cs="宋体"/>
          <w:b/>
          <w:bCs/>
          <w:color w:val="auto"/>
          <w:kern w:val="21"/>
          <w:sz w:val="28"/>
          <w:szCs w:val="28"/>
          <w:highlight w:val="none"/>
          <w:lang w:eastAsia="zh-CN"/>
        </w:rPr>
        <w:t>监理</w:t>
      </w:r>
      <w:bookmarkEnd w:id="530"/>
      <w:bookmarkEnd w:id="531"/>
    </w:p>
    <w:p w14:paraId="108E89C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32" w:name="_Toc482188592"/>
      <w:bookmarkStart w:id="533" w:name="_Toc492300678"/>
      <w:r>
        <w:rPr>
          <w:rFonts w:hint="eastAsia" w:ascii="Times New Roman" w:hAnsi="Times New Roman" w:eastAsia="宋体" w:cs="宋体"/>
          <w:b/>
          <w:bCs/>
          <w:color w:val="auto"/>
          <w:kern w:val="21"/>
          <w:sz w:val="24"/>
          <w:szCs w:val="24"/>
          <w:highlight w:val="none"/>
          <w:lang w:eastAsia="zh-CN"/>
        </w:rPr>
        <w:t>6.1 开始</w:t>
      </w:r>
      <w:bookmarkEnd w:id="532"/>
      <w:r>
        <w:rPr>
          <w:rFonts w:hint="eastAsia" w:ascii="Times New Roman" w:hAnsi="Times New Roman" w:eastAsia="宋体" w:cs="宋体"/>
          <w:b/>
          <w:bCs/>
          <w:color w:val="auto"/>
          <w:kern w:val="21"/>
          <w:sz w:val="24"/>
          <w:szCs w:val="24"/>
          <w:highlight w:val="none"/>
          <w:lang w:eastAsia="zh-CN"/>
        </w:rPr>
        <w:t>监理</w:t>
      </w:r>
      <w:bookmarkEnd w:id="533"/>
    </w:p>
    <w:p w14:paraId="6391154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6.1.1符合专用合同条款约定的开始监理条件的，委托人应提前7</w:t>
      </w:r>
      <w:bookmarkStart w:id="534" w:name="_Toc184635108"/>
      <w:bookmarkStart w:id="535" w:name="_Toc247514114"/>
      <w:bookmarkStart w:id="536" w:name="_Toc247527715"/>
      <w:bookmarkStart w:id="537" w:name="_Toc300835117"/>
      <w:r>
        <w:rPr>
          <w:rFonts w:hint="eastAsia" w:ascii="Times New Roman" w:hAnsi="Times New Roman" w:eastAsia="宋体" w:cs="宋体"/>
          <w:color w:val="auto"/>
          <w:kern w:val="21"/>
          <w:highlight w:val="none"/>
          <w:lang w:eastAsia="zh-CN"/>
        </w:rPr>
        <w:t>天向监理人发出开始</w:t>
      </w:r>
      <w:bookmarkEnd w:id="534"/>
      <w:bookmarkEnd w:id="535"/>
      <w:bookmarkEnd w:id="536"/>
      <w:bookmarkEnd w:id="537"/>
      <w:r>
        <w:rPr>
          <w:rFonts w:hint="eastAsia" w:ascii="Times New Roman" w:hAnsi="Times New Roman" w:eastAsia="宋体" w:cs="宋体"/>
          <w:color w:val="auto"/>
          <w:kern w:val="21"/>
          <w:highlight w:val="none"/>
          <w:lang w:eastAsia="zh-CN"/>
        </w:rPr>
        <w:t>监理通知。</w:t>
      </w:r>
      <w:bookmarkStart w:id="538" w:name="_Toc247514115"/>
      <w:bookmarkStart w:id="539" w:name="_Toc300835118"/>
      <w:bookmarkStart w:id="540" w:name="_Toc247527716"/>
      <w:bookmarkStart w:id="541" w:name="_Toc247527718"/>
      <w:bookmarkStart w:id="542" w:name="_Toc247514117"/>
      <w:bookmarkStart w:id="543" w:name="_Toc300835120"/>
      <w:r>
        <w:rPr>
          <w:rFonts w:hint="eastAsia" w:ascii="Times New Roman" w:hAnsi="Times New Roman" w:eastAsia="宋体" w:cs="宋体"/>
          <w:color w:val="auto"/>
          <w:kern w:val="21"/>
          <w:highlight w:val="none"/>
          <w:lang w:eastAsia="zh-CN"/>
        </w:rPr>
        <w:t>监理服务期限自开始</w:t>
      </w:r>
      <w:bookmarkEnd w:id="538"/>
      <w:bookmarkEnd w:id="539"/>
      <w:bookmarkEnd w:id="540"/>
      <w:r>
        <w:rPr>
          <w:rFonts w:hint="eastAsia" w:ascii="Times New Roman" w:hAnsi="Times New Roman" w:eastAsia="宋体" w:cs="宋体"/>
          <w:color w:val="auto"/>
          <w:kern w:val="21"/>
          <w:highlight w:val="none"/>
          <w:lang w:eastAsia="zh-CN"/>
        </w:rPr>
        <w:t>监理通知中载明的开始监理日期起计算。</w:t>
      </w:r>
    </w:p>
    <w:p w14:paraId="639EF81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6.1.2除专用合同条款另有约定外，因委托人原因造成合同签订之日起90天内未能发出开始监理通知的，监理人有权提出价格调整要求，或者解除合同。委托人应当承担由此增加的费用和（或）周期延误。</w:t>
      </w:r>
    </w:p>
    <w:p w14:paraId="44FBFA5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44" w:name="_Toc482188593"/>
      <w:bookmarkStart w:id="545" w:name="_Toc492300679"/>
      <w:r>
        <w:rPr>
          <w:rFonts w:hint="eastAsia" w:ascii="Times New Roman" w:hAnsi="Times New Roman" w:eastAsia="宋体" w:cs="宋体"/>
          <w:b/>
          <w:bCs/>
          <w:color w:val="auto"/>
          <w:kern w:val="21"/>
          <w:sz w:val="24"/>
          <w:szCs w:val="24"/>
          <w:highlight w:val="none"/>
          <w:lang w:eastAsia="zh-CN"/>
        </w:rPr>
        <w:t>6.2 监理周期延误</w:t>
      </w:r>
      <w:bookmarkEnd w:id="544"/>
      <w:bookmarkEnd w:id="545"/>
    </w:p>
    <w:p w14:paraId="6B93544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在履行合同过程中，由于下列原因造成监理服务期限延误且属于非监理人责任的，委托人应当延长监理服务期限并增加监理报酬，具体方法在专用合同条款中约定。</w:t>
      </w:r>
      <w:bookmarkEnd w:id="541"/>
      <w:bookmarkEnd w:id="542"/>
      <w:bookmarkEnd w:id="543"/>
    </w:p>
    <w:p w14:paraId="365AE3E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（1）合同变更；</w:t>
      </w:r>
    </w:p>
    <w:p w14:paraId="1DE6DF5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 xml:space="preserve">（2）因委托人原因导致的监理工作暂停； </w:t>
      </w:r>
    </w:p>
    <w:p w14:paraId="7A7DC49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（3）未按合同约定及时支付监理报酬；</w:t>
      </w:r>
    </w:p>
    <w:p w14:paraId="5722468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（4）未及时履行合同约定的相关义务；</w:t>
      </w:r>
    </w:p>
    <w:p w14:paraId="19ADD68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（5）由于承包人延误、行政管理造成的监理服务期延误；</w:t>
      </w:r>
    </w:p>
    <w:p w14:paraId="6E7F38F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（6）造成监理服务期限延误的其他原因。</w:t>
      </w:r>
    </w:p>
    <w:p w14:paraId="71A46D70">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46" w:name="_Toc492300680"/>
      <w:bookmarkStart w:id="547" w:name="_Toc467651004"/>
      <w:bookmarkStart w:id="548" w:name="_Toc482188601"/>
      <w:r>
        <w:rPr>
          <w:rFonts w:hint="eastAsia" w:ascii="Times New Roman" w:hAnsi="Times New Roman" w:eastAsia="宋体" w:cs="宋体"/>
          <w:b/>
          <w:bCs/>
          <w:color w:val="auto"/>
          <w:kern w:val="21"/>
          <w:sz w:val="24"/>
          <w:szCs w:val="24"/>
          <w:highlight w:val="none"/>
          <w:lang w:eastAsia="zh-CN"/>
        </w:rPr>
        <w:t>6.3 完成监理</w:t>
      </w:r>
      <w:bookmarkEnd w:id="546"/>
      <w:r>
        <w:rPr>
          <w:rFonts w:hint="eastAsia" w:ascii="Times New Roman" w:hAnsi="Times New Roman" w:eastAsia="宋体" w:cs="宋体"/>
          <w:b/>
          <w:bCs/>
          <w:color w:val="auto"/>
          <w:kern w:val="21"/>
          <w:sz w:val="24"/>
          <w:szCs w:val="24"/>
          <w:highlight w:val="none"/>
          <w:lang w:eastAsia="zh-CN"/>
        </w:rPr>
        <w:t xml:space="preserve"> </w:t>
      </w:r>
    </w:p>
    <w:p w14:paraId="70032B2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6.3.1 监理人应当根据法律、规范标准、合同约定和委托人要求实施和完成监理，并编制和移交监理文件。</w:t>
      </w:r>
    </w:p>
    <w:p w14:paraId="2E99CC2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6.3.2 缺陷修复监理指缺陷责任期间，监理人对承包人修复质量缺陷进行的监理。缺陷修复监理的责任由监理人负责。</w:t>
      </w:r>
    </w:p>
    <w:p w14:paraId="3659B75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6.3.3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14:paraId="3750F5B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6.3.4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或U盘分别贮存。</w:t>
      </w:r>
    </w:p>
    <w:bookmarkEnd w:id="547"/>
    <w:bookmarkEnd w:id="548"/>
    <w:p w14:paraId="5293EC4D">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49" w:name="_Toc503518006"/>
      <w:bookmarkStart w:id="550" w:name="_Toc492300681"/>
      <w:bookmarkStart w:id="551" w:name="_Toc482188607"/>
      <w:bookmarkStart w:id="552" w:name="_Toc184635110"/>
      <w:bookmarkStart w:id="553" w:name="_Toc247527728"/>
      <w:bookmarkStart w:id="554" w:name="_Toc247514127"/>
      <w:r>
        <w:rPr>
          <w:rFonts w:hint="eastAsia" w:ascii="Times New Roman" w:hAnsi="Times New Roman" w:eastAsia="宋体" w:cs="宋体"/>
          <w:b/>
          <w:bCs/>
          <w:color w:val="auto"/>
          <w:kern w:val="21"/>
          <w:sz w:val="28"/>
          <w:szCs w:val="28"/>
          <w:highlight w:val="none"/>
          <w:lang w:eastAsia="zh-CN"/>
        </w:rPr>
        <w:t>7. 监理责任与保险</w:t>
      </w:r>
      <w:bookmarkEnd w:id="549"/>
      <w:bookmarkEnd w:id="550"/>
      <w:bookmarkEnd w:id="551"/>
    </w:p>
    <w:bookmarkEnd w:id="552"/>
    <w:bookmarkEnd w:id="553"/>
    <w:bookmarkEnd w:id="554"/>
    <w:p w14:paraId="28D73C78">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55" w:name="_Toc492300682"/>
      <w:bookmarkStart w:id="556" w:name="_Toc482188610"/>
      <w:r>
        <w:rPr>
          <w:rFonts w:hint="eastAsia" w:ascii="Times New Roman" w:hAnsi="Times New Roman" w:eastAsia="宋体" w:cs="宋体"/>
          <w:b/>
          <w:bCs/>
          <w:color w:val="auto"/>
          <w:kern w:val="21"/>
          <w:sz w:val="24"/>
          <w:szCs w:val="24"/>
          <w:highlight w:val="none"/>
          <w:lang w:eastAsia="zh-CN"/>
        </w:rPr>
        <w:t>7.1 监理责任主体</w:t>
      </w:r>
      <w:bookmarkEnd w:id="555"/>
      <w:bookmarkEnd w:id="556"/>
    </w:p>
    <w:p w14:paraId="6420E25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7.1.1 监理人应运用一切合理的专业技术、知识技能和项目经验，按照职业道德准则和行业公认标准尽其全部职责，勤勉、谨慎、公正地履行其在本合同项下的责任和义务。</w:t>
      </w:r>
    </w:p>
    <w:p w14:paraId="5CBE337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7.1.2 监理责任为监理单位项目负责人终身责任制。总监理工程师应当按照法律法规、有关技术标准、设计文件和工程承包合同进行监理，对施工质量承担监理责任。</w:t>
      </w:r>
    </w:p>
    <w:p w14:paraId="67492BB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7.1.3 总监理工程师应当按照有关规定在办理工程质量监督手续前签署工程质量终身责任承诺书，连同法定代表人出具的授权书，报工程质量监督机构备案。</w:t>
      </w:r>
    </w:p>
    <w:p w14:paraId="02D44CB6">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57" w:name="_Toc492300683"/>
      <w:bookmarkStart w:id="558" w:name="_Toc482188611"/>
      <w:r>
        <w:rPr>
          <w:rFonts w:hint="eastAsia" w:ascii="Times New Roman" w:hAnsi="Times New Roman" w:eastAsia="宋体" w:cs="宋体"/>
          <w:b/>
          <w:bCs/>
          <w:color w:val="auto"/>
          <w:kern w:val="21"/>
          <w:sz w:val="24"/>
          <w:szCs w:val="24"/>
          <w:highlight w:val="none"/>
          <w:lang w:eastAsia="zh-CN"/>
        </w:rPr>
        <w:t>7.2 监理责任保险</w:t>
      </w:r>
      <w:bookmarkEnd w:id="557"/>
      <w:bookmarkEnd w:id="558"/>
    </w:p>
    <w:p w14:paraId="6056E21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除专用合同条款另有约定外，监理人应根据工程情况对监理责任进行保险，并在合同履行期间保持足额、有效。</w:t>
      </w:r>
    </w:p>
    <w:p w14:paraId="549D4B1F">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59" w:name="_Toc492300684"/>
      <w:bookmarkStart w:id="560" w:name="_Toc482188615"/>
      <w:bookmarkStart w:id="561" w:name="_Toc503518007"/>
      <w:r>
        <w:rPr>
          <w:rFonts w:hint="eastAsia" w:ascii="Times New Roman" w:hAnsi="Times New Roman" w:eastAsia="宋体" w:cs="宋体"/>
          <w:b/>
          <w:bCs/>
          <w:color w:val="auto"/>
          <w:kern w:val="21"/>
          <w:sz w:val="28"/>
          <w:szCs w:val="28"/>
          <w:highlight w:val="none"/>
          <w:lang w:eastAsia="zh-CN"/>
        </w:rPr>
        <w:t>8. 合同变更</w:t>
      </w:r>
      <w:bookmarkEnd w:id="559"/>
      <w:bookmarkEnd w:id="560"/>
      <w:bookmarkEnd w:id="561"/>
    </w:p>
    <w:p w14:paraId="27B37700">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62" w:name="_Toc492300685"/>
      <w:bookmarkStart w:id="563" w:name="_Toc482188616"/>
      <w:bookmarkStart w:id="564" w:name="_Toc467651025"/>
      <w:r>
        <w:rPr>
          <w:rFonts w:hint="eastAsia" w:ascii="Times New Roman" w:hAnsi="Times New Roman" w:eastAsia="宋体" w:cs="宋体"/>
          <w:b/>
          <w:bCs/>
          <w:color w:val="auto"/>
          <w:kern w:val="21"/>
          <w:sz w:val="24"/>
          <w:szCs w:val="24"/>
          <w:highlight w:val="none"/>
          <w:lang w:eastAsia="zh-CN"/>
        </w:rPr>
        <w:t>8.1 变更情形</w:t>
      </w:r>
      <w:bookmarkEnd w:id="562"/>
      <w:bookmarkEnd w:id="563"/>
      <w:bookmarkEnd w:id="564"/>
    </w:p>
    <w:p w14:paraId="6A806BA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8.1.1 合同履行中发生下述情形时，合同一方均可向对方提出变更请求，经双方协商一致后进行变更，监理服务期限和监理报酬的调整方法在专用合同条款中约定。</w:t>
      </w:r>
    </w:p>
    <w:p w14:paraId="02223E6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（1）监理范围发生变化；</w:t>
      </w:r>
    </w:p>
    <w:p w14:paraId="105809B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（2）除不可抗力外，非监理人的原因引起的周期延误；</w:t>
      </w:r>
    </w:p>
    <w:p w14:paraId="08A967D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（3）非监理人的原因，对工程同一部分重复进行监理；</w:t>
      </w:r>
    </w:p>
    <w:p w14:paraId="56F86B3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（4）非监理人的原因，对工程暂停监理及恢复监理。</w:t>
      </w:r>
    </w:p>
    <w:p w14:paraId="6AF524C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8.1.2 基准日后，因颁布新的或修订原有法律、法规、规范和标准等引发合同变更情形的，按照上述约定进行调整。</w:t>
      </w:r>
    </w:p>
    <w:p w14:paraId="7CB9948E">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65" w:name="_Toc482188617"/>
      <w:bookmarkStart w:id="566" w:name="_Toc492300686"/>
      <w:bookmarkStart w:id="567" w:name="_Toc467651026"/>
      <w:r>
        <w:rPr>
          <w:rFonts w:hint="eastAsia" w:ascii="Times New Roman" w:hAnsi="Times New Roman" w:eastAsia="宋体" w:cs="宋体"/>
          <w:b/>
          <w:bCs/>
          <w:color w:val="auto"/>
          <w:kern w:val="21"/>
          <w:sz w:val="24"/>
          <w:szCs w:val="24"/>
          <w:highlight w:val="none"/>
          <w:lang w:eastAsia="zh-CN"/>
        </w:rPr>
        <w:t>8.2 合理化建议</w:t>
      </w:r>
      <w:bookmarkEnd w:id="565"/>
      <w:bookmarkEnd w:id="566"/>
      <w:bookmarkEnd w:id="567"/>
    </w:p>
    <w:p w14:paraId="52B11A7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8.2.1 合同履行中，监理人可对委托人要求提出合理化建议。合理化建议应以书面形式提交委托人，被委托人采纳并构成变更的，执行第8.1款约定。</w:t>
      </w:r>
    </w:p>
    <w:p w14:paraId="0F1DCA5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8.2.2 监理人提出的合理化建议降低了工程投资、缩短了施工期限或者提高了工程经济效益的，委托人应按专用合同条款中的约定给予奖励。</w:t>
      </w:r>
    </w:p>
    <w:p w14:paraId="1AB5E85F">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68" w:name="_Toc492300687"/>
      <w:bookmarkStart w:id="569" w:name="_Toc503518008"/>
      <w:bookmarkStart w:id="570" w:name="_Toc482188618"/>
      <w:r>
        <w:rPr>
          <w:rFonts w:hint="eastAsia" w:ascii="Times New Roman" w:hAnsi="Times New Roman" w:eastAsia="宋体" w:cs="宋体"/>
          <w:b/>
          <w:bCs/>
          <w:color w:val="auto"/>
          <w:kern w:val="21"/>
          <w:sz w:val="28"/>
          <w:szCs w:val="28"/>
          <w:highlight w:val="none"/>
          <w:lang w:eastAsia="zh-CN"/>
        </w:rPr>
        <w:t>9. 合同价格与支付</w:t>
      </w:r>
      <w:bookmarkEnd w:id="568"/>
      <w:bookmarkEnd w:id="569"/>
      <w:bookmarkEnd w:id="570"/>
    </w:p>
    <w:p w14:paraId="2A7878C4">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71" w:name="_Toc482188619"/>
      <w:bookmarkStart w:id="572" w:name="_Toc492300688"/>
      <w:r>
        <w:rPr>
          <w:rFonts w:hint="eastAsia" w:ascii="Times New Roman" w:hAnsi="Times New Roman" w:eastAsia="宋体" w:cs="宋体"/>
          <w:b/>
          <w:bCs/>
          <w:color w:val="auto"/>
          <w:kern w:val="21"/>
          <w:sz w:val="24"/>
          <w:szCs w:val="24"/>
          <w:highlight w:val="none"/>
          <w:lang w:eastAsia="zh-CN"/>
        </w:rPr>
        <w:t>9.1 合同价格</w:t>
      </w:r>
      <w:bookmarkEnd w:id="571"/>
      <w:bookmarkEnd w:id="572"/>
    </w:p>
    <w:p w14:paraId="10F1A9C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9.1.1 本合同的价款确定方式、调整方式和风险范围划分，在专用合同条款中约定。</w:t>
      </w:r>
    </w:p>
    <w:p w14:paraId="597AC4B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9.1.2 除专用合同条款另有约定外，合同价格应当包括收集资料、踏勘现场、制订纲要、实施监理、编制监理文件等全部费用和国家规定的增值税税金。</w:t>
      </w:r>
    </w:p>
    <w:p w14:paraId="3AD96F5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9.1.3 委托人要求监理人进行外出考察、试验检测、专项咨询或专家评审时，相应费用不含在合同价格之中，由委托人另行支付。</w:t>
      </w:r>
    </w:p>
    <w:p w14:paraId="14D5A214">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73" w:name="_Toc482188620"/>
      <w:bookmarkStart w:id="574" w:name="_Toc492300689"/>
      <w:r>
        <w:rPr>
          <w:rFonts w:hint="eastAsia" w:ascii="Times New Roman" w:hAnsi="Times New Roman" w:eastAsia="宋体" w:cs="宋体"/>
          <w:b/>
          <w:bCs/>
          <w:color w:val="auto"/>
          <w:kern w:val="21"/>
          <w:sz w:val="24"/>
          <w:szCs w:val="24"/>
          <w:highlight w:val="none"/>
          <w:lang w:eastAsia="zh-CN"/>
        </w:rPr>
        <w:t xml:space="preserve">9.2 </w:t>
      </w:r>
      <w:bookmarkEnd w:id="573"/>
      <w:r>
        <w:rPr>
          <w:rFonts w:hint="eastAsia" w:ascii="Times New Roman" w:hAnsi="Times New Roman" w:eastAsia="宋体" w:cs="宋体"/>
          <w:b/>
          <w:bCs/>
          <w:color w:val="auto"/>
          <w:kern w:val="21"/>
          <w:sz w:val="24"/>
          <w:szCs w:val="24"/>
          <w:highlight w:val="none"/>
          <w:lang w:eastAsia="zh-CN"/>
        </w:rPr>
        <w:t>预付款</w:t>
      </w:r>
      <w:bookmarkEnd w:id="574"/>
    </w:p>
    <w:p w14:paraId="7E2FAD4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9.2.1预付款应专用于本工程的监理。预付款的额度、支付方式及抵扣方式在专用合同条款中约定。</w:t>
      </w:r>
    </w:p>
    <w:p w14:paraId="6C0ED3F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9.2.2 委托人应在收到预付款支付申请后28天内，将预付款支付给监理人；监理人应当提供等额的增值税发票。</w:t>
      </w:r>
    </w:p>
    <w:p w14:paraId="423E1FB7">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75" w:name="_Toc492300690"/>
      <w:bookmarkStart w:id="576" w:name="_Toc467651035"/>
      <w:bookmarkStart w:id="577" w:name="_Toc482188621"/>
      <w:r>
        <w:rPr>
          <w:rFonts w:hint="eastAsia" w:ascii="Times New Roman" w:hAnsi="Times New Roman" w:eastAsia="宋体" w:cs="宋体"/>
          <w:b/>
          <w:bCs/>
          <w:color w:val="auto"/>
          <w:kern w:val="21"/>
          <w:sz w:val="24"/>
          <w:szCs w:val="24"/>
          <w:highlight w:val="none"/>
          <w:lang w:eastAsia="zh-CN"/>
        </w:rPr>
        <w:t>9.3 中期支付</w:t>
      </w:r>
      <w:bookmarkEnd w:id="575"/>
      <w:bookmarkEnd w:id="576"/>
      <w:bookmarkEnd w:id="577"/>
    </w:p>
    <w:p w14:paraId="404D73A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9.3.1 监理人应按委托人批准或专用合同条款约定的格式及份数，向委托人提交中期支付申请，并附相应的支持性证明文件。</w:t>
      </w:r>
    </w:p>
    <w:p w14:paraId="238E2DA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62ACB2C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9.3.3 中期支付涉及政府投资资金的，按照国库集中支付等国家相关规定和专用合同条款的约定执行。</w:t>
      </w:r>
    </w:p>
    <w:p w14:paraId="136649BC">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78" w:name="_Toc467651036"/>
      <w:bookmarkStart w:id="579" w:name="_Toc482188622"/>
      <w:bookmarkStart w:id="580" w:name="_Toc492300691"/>
      <w:r>
        <w:rPr>
          <w:rFonts w:hint="eastAsia" w:ascii="Times New Roman" w:hAnsi="Times New Roman" w:eastAsia="宋体" w:cs="宋体"/>
          <w:b/>
          <w:bCs/>
          <w:color w:val="auto"/>
          <w:kern w:val="21"/>
          <w:sz w:val="24"/>
          <w:szCs w:val="24"/>
          <w:highlight w:val="none"/>
          <w:lang w:eastAsia="zh-CN"/>
        </w:rPr>
        <w:t>9.4 费用结算</w:t>
      </w:r>
      <w:bookmarkEnd w:id="578"/>
      <w:bookmarkEnd w:id="579"/>
      <w:bookmarkEnd w:id="580"/>
    </w:p>
    <w:p w14:paraId="1AB66AF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9.4.1 合同工作完成后，监理人可按专用合同条款约定的份数和期限，向委托人提交监理费用结算申请，并提供相关证明材料。</w:t>
      </w:r>
    </w:p>
    <w:p w14:paraId="54A340A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7692736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9.4.3 委托人对费用结算申请内容有异议的，有权要求监理人进行修正和提供补充资料，由监理人重新提交。监理人对此有异议的，按第12条的约定执行。</w:t>
      </w:r>
    </w:p>
    <w:p w14:paraId="167060E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9.4.4 最终结清付款涉及政府投资资金的，按第9.3.3项的约定执行。</w:t>
      </w:r>
    </w:p>
    <w:p w14:paraId="41679C8B">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581" w:name="_Toc503518009"/>
      <w:bookmarkStart w:id="582" w:name="_Toc492300692"/>
      <w:bookmarkStart w:id="583" w:name="_Toc482188623"/>
      <w:r>
        <w:rPr>
          <w:rFonts w:hint="eastAsia" w:ascii="Times New Roman" w:hAnsi="Times New Roman" w:eastAsia="宋体" w:cs="宋体"/>
          <w:b/>
          <w:bCs/>
          <w:color w:val="auto"/>
          <w:kern w:val="21"/>
          <w:sz w:val="28"/>
          <w:szCs w:val="28"/>
          <w:highlight w:val="none"/>
          <w:lang w:eastAsia="zh-CN"/>
        </w:rPr>
        <w:t>10. 不可抗力</w:t>
      </w:r>
      <w:bookmarkEnd w:id="581"/>
      <w:bookmarkEnd w:id="582"/>
      <w:bookmarkEnd w:id="583"/>
    </w:p>
    <w:p w14:paraId="2531DD32">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84" w:name="_Toc482188624"/>
      <w:bookmarkStart w:id="585" w:name="_Toc492300693"/>
      <w:r>
        <w:rPr>
          <w:rFonts w:hint="eastAsia" w:ascii="Times New Roman" w:hAnsi="Times New Roman" w:eastAsia="宋体" w:cs="宋体"/>
          <w:b/>
          <w:bCs/>
          <w:color w:val="auto"/>
          <w:kern w:val="21"/>
          <w:sz w:val="24"/>
          <w:szCs w:val="24"/>
          <w:highlight w:val="none"/>
          <w:lang w:eastAsia="zh-CN"/>
        </w:rPr>
        <w:t>10.1 不可抗力的确认</w:t>
      </w:r>
      <w:bookmarkEnd w:id="584"/>
      <w:bookmarkEnd w:id="585"/>
    </w:p>
    <w:p w14:paraId="49A29E2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10.1.1 不可抗力是指监理人和委托人在订立合同时不可预见，在履行合</w:t>
      </w:r>
      <w:bookmarkStart w:id="586" w:name="_Toc300835182"/>
      <w:bookmarkStart w:id="587" w:name="_Toc247527781"/>
      <w:bookmarkStart w:id="588" w:name="_Toc247514180"/>
      <w:bookmarkStart w:id="589" w:name="_Toc184635118"/>
      <w:r>
        <w:rPr>
          <w:rFonts w:hint="eastAsia" w:ascii="Times New Roman" w:hAnsi="Times New Roman" w:eastAsia="宋体" w:cs="宋体"/>
          <w:color w:val="auto"/>
          <w:kern w:val="21"/>
          <w:highlight w:val="none"/>
          <w:lang w:eastAsia="zh-CN"/>
        </w:rPr>
        <w:t>同过程中不可避免</w:t>
      </w:r>
      <w:bookmarkEnd w:id="586"/>
      <w:bookmarkEnd w:id="587"/>
      <w:bookmarkEnd w:id="588"/>
      <w:bookmarkEnd w:id="589"/>
      <w:r>
        <w:rPr>
          <w:rFonts w:hint="eastAsia" w:ascii="Times New Roman" w:hAnsi="Times New Roman" w:eastAsia="宋体" w:cs="宋体"/>
          <w:color w:val="auto"/>
          <w:kern w:val="21"/>
          <w:highlight w:val="none"/>
          <w:lang w:eastAsia="zh-CN"/>
        </w:rPr>
        <w:t>发</w:t>
      </w:r>
      <w:bookmarkStart w:id="590" w:name="_Toc247514181"/>
      <w:bookmarkStart w:id="591" w:name="_Toc247527782"/>
      <w:bookmarkStart w:id="592" w:name="_Toc300835183"/>
      <w:r>
        <w:rPr>
          <w:rFonts w:hint="eastAsia" w:ascii="Times New Roman" w:hAnsi="Times New Roman" w:eastAsia="宋体" w:cs="宋体"/>
          <w:color w:val="auto"/>
          <w:kern w:val="21"/>
          <w:highlight w:val="none"/>
          <w:lang w:eastAsia="zh-CN"/>
        </w:rPr>
        <w:t>生并不能克服的自然灾害和</w:t>
      </w:r>
      <w:bookmarkEnd w:id="590"/>
      <w:bookmarkEnd w:id="591"/>
      <w:bookmarkEnd w:id="592"/>
      <w:r>
        <w:rPr>
          <w:rFonts w:hint="eastAsia" w:ascii="Times New Roman" w:hAnsi="Times New Roman" w:eastAsia="宋体" w:cs="宋体"/>
          <w:color w:val="auto"/>
          <w:kern w:val="21"/>
          <w:highlight w:val="none"/>
          <w:lang w:eastAsia="zh-CN"/>
        </w:rPr>
        <w:t>社会性突发事件，如地震、海啸、瘟疫、水灾、骚乱、暴动、战争和专用合同条款约定的其他情形。</w:t>
      </w:r>
    </w:p>
    <w:p w14:paraId="39F32E2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10.1.2 不可抗力发生后，委托人和监理人应及时认真统计所造成的损失，收集不可抗力造成损失的证据。合同双方对是否属于不可抗力或其损失的意见不一致的，由合同双方协商确定。</w:t>
      </w:r>
    </w:p>
    <w:p w14:paraId="03D06E7D">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93" w:name="_Toc482188625"/>
      <w:bookmarkStart w:id="594" w:name="_Toc492300694"/>
      <w:r>
        <w:rPr>
          <w:rFonts w:hint="eastAsia" w:ascii="Times New Roman" w:hAnsi="Times New Roman" w:eastAsia="宋体" w:cs="宋体"/>
          <w:b/>
          <w:bCs/>
          <w:color w:val="auto"/>
          <w:kern w:val="21"/>
          <w:sz w:val="24"/>
          <w:szCs w:val="24"/>
          <w:highlight w:val="none"/>
          <w:lang w:eastAsia="zh-CN"/>
        </w:rPr>
        <w:t>10.2 不可抗力的通知</w:t>
      </w:r>
      <w:bookmarkEnd w:id="593"/>
      <w:bookmarkEnd w:id="594"/>
    </w:p>
    <w:p w14:paraId="2087E3E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10.2.1 合同一方当事人遇到不可抗力事件，使其履行合同义务受到阻碍时，应立即通知合同</w:t>
      </w:r>
      <w:bookmarkStart w:id="595" w:name="_Toc247514182"/>
      <w:bookmarkStart w:id="596" w:name="_Toc247527783"/>
      <w:bookmarkStart w:id="597" w:name="_Toc300835184"/>
      <w:r>
        <w:rPr>
          <w:rFonts w:hint="eastAsia" w:ascii="Times New Roman" w:hAnsi="Times New Roman" w:eastAsia="宋体" w:cs="宋体"/>
          <w:color w:val="auto"/>
          <w:kern w:val="21"/>
          <w:highlight w:val="none"/>
          <w:lang w:eastAsia="zh-CN"/>
        </w:rPr>
        <w:t>另一方当事人，书面说明不</w:t>
      </w:r>
      <w:bookmarkEnd w:id="595"/>
      <w:bookmarkEnd w:id="596"/>
      <w:bookmarkEnd w:id="597"/>
      <w:r>
        <w:rPr>
          <w:rFonts w:hint="eastAsia" w:ascii="Times New Roman" w:hAnsi="Times New Roman" w:eastAsia="宋体" w:cs="宋体"/>
          <w:color w:val="auto"/>
          <w:kern w:val="21"/>
          <w:highlight w:val="none"/>
          <w:lang w:eastAsia="zh-CN"/>
        </w:rPr>
        <w:t>可抗力和受阻碍的详细情况，并提供必要的证明。</w:t>
      </w:r>
    </w:p>
    <w:p w14:paraId="0A0F4BD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10.2.2 如不可抗力持续发生，合同一方当事人应及时向合同另一方当事人提交中间报告，说明不可抗力和履行合同受阻的情况，并于不可抗力事件结束后28天内提交最终报告及有关资料。</w:t>
      </w:r>
    </w:p>
    <w:p w14:paraId="5434BCF7">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598" w:name="_Toc492300695"/>
      <w:bookmarkStart w:id="599" w:name="_Toc482188626"/>
      <w:r>
        <w:rPr>
          <w:rFonts w:hint="eastAsia" w:ascii="Times New Roman" w:hAnsi="Times New Roman" w:eastAsia="宋体" w:cs="宋体"/>
          <w:b/>
          <w:bCs/>
          <w:color w:val="auto"/>
          <w:kern w:val="21"/>
          <w:sz w:val="24"/>
          <w:szCs w:val="24"/>
          <w:highlight w:val="none"/>
          <w:lang w:eastAsia="zh-CN"/>
        </w:rPr>
        <w:t>10.3 不可抗力后果及其处理</w:t>
      </w:r>
      <w:bookmarkEnd w:id="598"/>
      <w:bookmarkEnd w:id="599"/>
    </w:p>
    <w:p w14:paraId="7C6E7DF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10.3.1 不可抗力引起的后果及其损失，应由合同当事人依据法律规定各自承担。不可抗力发生前已完成的监理工作，应当按照合同约定进行支付。</w:t>
      </w:r>
    </w:p>
    <w:p w14:paraId="53E5BA0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10.3.2 不可抗力发生后，合同当事人应当采取有效措施避免损失进一步扩大，如未采取有效措施致使损失扩大的，应当自行承担扩大部分的损失。</w:t>
      </w:r>
    </w:p>
    <w:p w14:paraId="0368A85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10.3.3 因一方当事人迟延履行合同义务，致使迟延履行期间遭遇不可抗力的，应由该当事人承担全部损失。</w:t>
      </w:r>
    </w:p>
    <w:p w14:paraId="19801F59">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00" w:name="_Toc492300696"/>
      <w:bookmarkStart w:id="601" w:name="_Toc482188627"/>
      <w:bookmarkStart w:id="602" w:name="_Toc503518010"/>
      <w:r>
        <w:rPr>
          <w:rFonts w:hint="eastAsia" w:ascii="Times New Roman" w:hAnsi="Times New Roman" w:eastAsia="宋体" w:cs="宋体"/>
          <w:b/>
          <w:bCs/>
          <w:color w:val="auto"/>
          <w:kern w:val="21"/>
          <w:sz w:val="28"/>
          <w:szCs w:val="28"/>
          <w:highlight w:val="none"/>
          <w:lang w:eastAsia="zh-CN"/>
        </w:rPr>
        <w:t>11. 违约</w:t>
      </w:r>
      <w:bookmarkEnd w:id="600"/>
      <w:bookmarkEnd w:id="601"/>
      <w:bookmarkEnd w:id="602"/>
    </w:p>
    <w:p w14:paraId="22ABB397">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03" w:name="_Toc482188628"/>
      <w:bookmarkStart w:id="604" w:name="_Toc492300697"/>
      <w:r>
        <w:rPr>
          <w:rFonts w:hint="eastAsia" w:ascii="Times New Roman" w:hAnsi="Times New Roman" w:eastAsia="宋体" w:cs="宋体"/>
          <w:b/>
          <w:bCs/>
          <w:color w:val="auto"/>
          <w:kern w:val="21"/>
          <w:sz w:val="24"/>
          <w:szCs w:val="24"/>
          <w:highlight w:val="none"/>
          <w:lang w:eastAsia="zh-CN"/>
        </w:rPr>
        <w:t>11.1 监理人违约</w:t>
      </w:r>
      <w:bookmarkEnd w:id="603"/>
      <w:bookmarkEnd w:id="604"/>
    </w:p>
    <w:p w14:paraId="58AECFB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11.1.1合同履行中发生下列情况之一的，属监理人违约：</w:t>
      </w:r>
    </w:p>
    <w:p w14:paraId="7BC63D9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（1）监理文件不符合规范标准以及合同约定；</w:t>
      </w:r>
    </w:p>
    <w:p w14:paraId="271ED19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（2）监理人转让监理工作；</w:t>
      </w:r>
    </w:p>
    <w:p w14:paraId="7C88813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（3）监理人未按合同约定实施监理并造成工程损失；</w:t>
      </w:r>
    </w:p>
    <w:p w14:paraId="0C82AC1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（4）监理人无法履行或停止履行合同；</w:t>
      </w:r>
    </w:p>
    <w:p w14:paraId="2658D6D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（5）监理人不履行合同约定的其他义务。</w:t>
      </w:r>
    </w:p>
    <w:p w14:paraId="4EB324A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0312ECB1">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05" w:name="_Toc482188629"/>
      <w:bookmarkStart w:id="606" w:name="_Toc492300698"/>
      <w:r>
        <w:rPr>
          <w:rFonts w:hint="eastAsia" w:ascii="Times New Roman" w:hAnsi="Times New Roman" w:eastAsia="宋体" w:cs="宋体"/>
          <w:b/>
          <w:bCs/>
          <w:color w:val="auto"/>
          <w:kern w:val="21"/>
          <w:sz w:val="24"/>
          <w:szCs w:val="24"/>
          <w:highlight w:val="none"/>
          <w:lang w:eastAsia="zh-CN"/>
        </w:rPr>
        <w:t>11.2 委托人违约</w:t>
      </w:r>
      <w:bookmarkEnd w:id="605"/>
      <w:bookmarkEnd w:id="606"/>
    </w:p>
    <w:p w14:paraId="02627D0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11.2.1合同履行中发生下列情况之一的，属委托人违约：</w:t>
      </w:r>
    </w:p>
    <w:p w14:paraId="74C0A07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w:t>
      </w:r>
      <w:bookmarkStart w:id="607" w:name="_Toc300835188"/>
      <w:bookmarkStart w:id="608" w:name="_Toc247527787"/>
      <w:bookmarkStart w:id="609" w:name="_Toc247514186"/>
      <w:r>
        <w:rPr>
          <w:rFonts w:hint="eastAsia" w:ascii="Times New Roman" w:hAnsi="Times New Roman" w:eastAsia="宋体" w:cs="宋体"/>
          <w:color w:val="auto"/>
          <w:kern w:val="21"/>
          <w:highlight w:val="none"/>
          <w:lang w:eastAsia="zh-CN"/>
        </w:rPr>
        <w:t>委托人未按合同约定支</w:t>
      </w:r>
      <w:bookmarkEnd w:id="607"/>
      <w:bookmarkEnd w:id="608"/>
      <w:bookmarkEnd w:id="609"/>
      <w:r>
        <w:rPr>
          <w:rFonts w:hint="eastAsia" w:ascii="Times New Roman" w:hAnsi="Times New Roman" w:eastAsia="宋体" w:cs="宋体"/>
          <w:color w:val="auto"/>
          <w:kern w:val="21"/>
          <w:highlight w:val="none"/>
          <w:lang w:eastAsia="zh-CN"/>
        </w:rPr>
        <w:t>付监理报酬；</w:t>
      </w:r>
    </w:p>
    <w:p w14:paraId="1EC1ABB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（2）委托人原因造成监理停止；</w:t>
      </w:r>
    </w:p>
    <w:p w14:paraId="0FC4A2E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（3）委托人无法履行或停止履行合同；</w:t>
      </w:r>
    </w:p>
    <w:p w14:paraId="5CBD0C9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（4）委托人不履行合同约定的其他义务。</w:t>
      </w:r>
    </w:p>
    <w:p w14:paraId="1D1E1B5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43ABBA4C">
      <w:pPr>
        <w:spacing w:before="240" w:beforeLines="100" w:after="120" w:afterLines="50"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10" w:name="_Toc492300699"/>
      <w:bookmarkStart w:id="611" w:name="_Toc482188630"/>
      <w:r>
        <w:rPr>
          <w:rFonts w:hint="eastAsia" w:ascii="Times New Roman" w:hAnsi="Times New Roman" w:eastAsia="宋体" w:cs="宋体"/>
          <w:b/>
          <w:bCs/>
          <w:color w:val="auto"/>
          <w:kern w:val="21"/>
          <w:sz w:val="24"/>
          <w:szCs w:val="24"/>
          <w:highlight w:val="none"/>
          <w:lang w:eastAsia="zh-CN"/>
        </w:rPr>
        <w:t>11.3 第三人造成的违约</w:t>
      </w:r>
      <w:bookmarkEnd w:id="610"/>
      <w:bookmarkEnd w:id="611"/>
    </w:p>
    <w:p w14:paraId="060D19F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在履行合同过程中，一方当事人因第三人的原因造成违约的，应当向对方当事人承担违约责任。一</w:t>
      </w:r>
      <w:bookmarkStart w:id="612" w:name="_Toc247527788"/>
      <w:bookmarkStart w:id="613" w:name="_Toc247514187"/>
      <w:bookmarkStart w:id="614" w:name="_Toc300835189"/>
      <w:r>
        <w:rPr>
          <w:rFonts w:hint="eastAsia" w:ascii="Times New Roman" w:hAnsi="Times New Roman" w:eastAsia="宋体" w:cs="宋体"/>
          <w:color w:val="auto"/>
          <w:kern w:val="21"/>
          <w:highlight w:val="none"/>
          <w:lang w:eastAsia="zh-CN"/>
        </w:rPr>
        <w:t>方当事人和第三人之间的纠纷</w:t>
      </w:r>
      <w:bookmarkEnd w:id="612"/>
      <w:bookmarkEnd w:id="613"/>
      <w:bookmarkEnd w:id="614"/>
      <w:r>
        <w:rPr>
          <w:rFonts w:hint="eastAsia" w:ascii="Times New Roman" w:hAnsi="Times New Roman" w:eastAsia="宋体" w:cs="宋体"/>
          <w:color w:val="auto"/>
          <w:kern w:val="21"/>
          <w:highlight w:val="none"/>
          <w:lang w:eastAsia="zh-CN"/>
        </w:rPr>
        <w:t>，依照法律规定或者按照约定解决。</w:t>
      </w:r>
    </w:p>
    <w:p w14:paraId="1F12F5AF">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15" w:name="_Toc482188631"/>
      <w:bookmarkStart w:id="616" w:name="_Toc503518011"/>
      <w:bookmarkStart w:id="617" w:name="_Toc492300700"/>
      <w:r>
        <w:rPr>
          <w:rFonts w:hint="eastAsia" w:ascii="Times New Roman" w:hAnsi="Times New Roman" w:eastAsia="宋体" w:cs="宋体"/>
          <w:b/>
          <w:bCs/>
          <w:color w:val="auto"/>
          <w:kern w:val="21"/>
          <w:sz w:val="28"/>
          <w:szCs w:val="28"/>
          <w:highlight w:val="none"/>
          <w:lang w:eastAsia="zh-CN"/>
        </w:rPr>
        <w:t>12. 争议的解决</w:t>
      </w:r>
      <w:bookmarkEnd w:id="615"/>
      <w:bookmarkEnd w:id="616"/>
      <w:bookmarkEnd w:id="617"/>
    </w:p>
    <w:p w14:paraId="5F163BF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委托人和监理人在履行合同中发生争议的，可以友好协商解决</w:t>
      </w:r>
      <w:bookmarkStart w:id="618" w:name="_Toc184635121"/>
      <w:bookmarkStart w:id="619" w:name="_Toc247527794"/>
      <w:bookmarkStart w:id="620" w:name="_Toc247514193"/>
      <w:bookmarkStart w:id="621" w:name="_Toc300835195"/>
      <w:r>
        <w:rPr>
          <w:rFonts w:hint="eastAsia" w:ascii="Times New Roman" w:hAnsi="Times New Roman" w:eastAsia="宋体" w:cs="宋体"/>
          <w:color w:val="auto"/>
          <w:kern w:val="21"/>
          <w:highlight w:val="none"/>
          <w:lang w:eastAsia="zh-CN"/>
        </w:rPr>
        <w:t>。合同当事</w:t>
      </w:r>
      <w:bookmarkEnd w:id="618"/>
      <w:bookmarkEnd w:id="619"/>
      <w:bookmarkEnd w:id="620"/>
      <w:bookmarkEnd w:id="621"/>
      <w:r>
        <w:rPr>
          <w:rFonts w:hint="eastAsia" w:ascii="Times New Roman" w:hAnsi="Times New Roman" w:eastAsia="宋体" w:cs="宋体"/>
          <w:color w:val="auto"/>
          <w:kern w:val="21"/>
          <w:highlight w:val="none"/>
          <w:lang w:eastAsia="zh-CN"/>
        </w:rPr>
        <w:t>人</w:t>
      </w:r>
      <w:bookmarkStart w:id="622" w:name="_Toc300835196"/>
      <w:bookmarkStart w:id="623" w:name="_Toc247527795"/>
      <w:bookmarkStart w:id="624" w:name="_Toc247514194"/>
      <w:r>
        <w:rPr>
          <w:rFonts w:hint="eastAsia" w:ascii="Times New Roman" w:hAnsi="Times New Roman" w:eastAsia="宋体" w:cs="宋体"/>
          <w:color w:val="auto"/>
          <w:kern w:val="21"/>
          <w:highlight w:val="none"/>
          <w:lang w:eastAsia="zh-CN"/>
        </w:rPr>
        <w:t>友好协商解决不成</w:t>
      </w:r>
      <w:bookmarkEnd w:id="622"/>
      <w:bookmarkEnd w:id="623"/>
      <w:bookmarkEnd w:id="624"/>
      <w:r>
        <w:rPr>
          <w:rFonts w:hint="eastAsia" w:ascii="Times New Roman" w:hAnsi="Times New Roman" w:eastAsia="宋体" w:cs="宋体"/>
          <w:color w:val="auto"/>
          <w:kern w:val="21"/>
          <w:highlight w:val="none"/>
          <w:lang w:eastAsia="zh-CN"/>
        </w:rPr>
        <w:t>的，可在专用合同条款中约定下列一种方式解决：</w:t>
      </w:r>
    </w:p>
    <w:p w14:paraId="33ACB85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（1）向约定的仲裁委员会申请仲裁；</w:t>
      </w:r>
    </w:p>
    <w:p w14:paraId="31CCE66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（2）向有管辖权的人民法院提起诉讼。</w:t>
      </w:r>
    </w:p>
    <w:p w14:paraId="798DB4B1">
      <w:pPr>
        <w:spacing w:before="63" w:line="225" w:lineRule="auto"/>
        <w:ind w:left="2931"/>
        <w:outlineLvl w:val="0"/>
        <w:rPr>
          <w:rFonts w:ascii="宋体" w:hAnsi="宋体" w:eastAsia="宋体" w:cs="宋体"/>
          <w:b/>
          <w:bCs/>
          <w:color w:val="auto"/>
          <w:spacing w:val="6"/>
          <w:sz w:val="31"/>
          <w:szCs w:val="31"/>
          <w:highlight w:val="none"/>
        </w:rPr>
      </w:pPr>
    </w:p>
    <w:p w14:paraId="61A18C46">
      <w:pPr>
        <w:spacing w:before="63" w:line="225" w:lineRule="auto"/>
        <w:ind w:left="2931"/>
        <w:outlineLvl w:val="0"/>
        <w:rPr>
          <w:rFonts w:ascii="宋体" w:hAnsi="宋体" w:eastAsia="宋体" w:cs="宋体"/>
          <w:b/>
          <w:bCs/>
          <w:color w:val="auto"/>
          <w:spacing w:val="6"/>
          <w:sz w:val="31"/>
          <w:szCs w:val="31"/>
          <w:highlight w:val="none"/>
        </w:rPr>
      </w:pPr>
    </w:p>
    <w:p w14:paraId="4968CA26">
      <w:pPr>
        <w:spacing w:before="63" w:line="225" w:lineRule="auto"/>
        <w:ind w:left="2931"/>
        <w:outlineLvl w:val="0"/>
        <w:rPr>
          <w:rFonts w:ascii="宋体" w:hAnsi="宋体" w:eastAsia="宋体" w:cs="宋体"/>
          <w:b/>
          <w:bCs/>
          <w:color w:val="auto"/>
          <w:spacing w:val="6"/>
          <w:sz w:val="31"/>
          <w:szCs w:val="31"/>
          <w:highlight w:val="none"/>
        </w:rPr>
      </w:pPr>
    </w:p>
    <w:p w14:paraId="1F21B412">
      <w:pPr>
        <w:spacing w:before="63" w:line="225" w:lineRule="auto"/>
        <w:ind w:left="2931"/>
        <w:outlineLvl w:val="0"/>
        <w:rPr>
          <w:rFonts w:ascii="宋体" w:hAnsi="宋体" w:eastAsia="宋体" w:cs="宋体"/>
          <w:b/>
          <w:bCs/>
          <w:color w:val="auto"/>
          <w:spacing w:val="6"/>
          <w:sz w:val="31"/>
          <w:szCs w:val="31"/>
          <w:highlight w:val="none"/>
        </w:rPr>
      </w:pPr>
    </w:p>
    <w:p w14:paraId="50FB4211">
      <w:pPr>
        <w:spacing w:before="63" w:line="225" w:lineRule="auto"/>
        <w:ind w:left="2931"/>
        <w:outlineLvl w:val="0"/>
        <w:rPr>
          <w:rFonts w:ascii="宋体" w:hAnsi="宋体" w:eastAsia="宋体" w:cs="宋体"/>
          <w:b/>
          <w:bCs/>
          <w:color w:val="auto"/>
          <w:spacing w:val="6"/>
          <w:sz w:val="31"/>
          <w:szCs w:val="31"/>
          <w:highlight w:val="none"/>
        </w:rPr>
      </w:pPr>
    </w:p>
    <w:p w14:paraId="6D187AB5">
      <w:pPr>
        <w:spacing w:before="63" w:line="225" w:lineRule="auto"/>
        <w:ind w:left="2931"/>
        <w:outlineLvl w:val="0"/>
        <w:rPr>
          <w:rFonts w:ascii="宋体" w:hAnsi="宋体" w:eastAsia="宋体" w:cs="宋体"/>
          <w:b/>
          <w:bCs/>
          <w:color w:val="auto"/>
          <w:spacing w:val="6"/>
          <w:sz w:val="31"/>
          <w:szCs w:val="31"/>
          <w:highlight w:val="none"/>
        </w:rPr>
      </w:pPr>
    </w:p>
    <w:p w14:paraId="55946EDD">
      <w:pPr>
        <w:spacing w:before="63" w:line="225" w:lineRule="auto"/>
        <w:ind w:left="2931"/>
        <w:outlineLvl w:val="0"/>
        <w:rPr>
          <w:rFonts w:ascii="宋体" w:hAnsi="宋体" w:eastAsia="宋体" w:cs="宋体"/>
          <w:b/>
          <w:bCs/>
          <w:color w:val="auto"/>
          <w:spacing w:val="6"/>
          <w:sz w:val="31"/>
          <w:szCs w:val="31"/>
          <w:highlight w:val="none"/>
        </w:rPr>
      </w:pPr>
    </w:p>
    <w:p w14:paraId="6AA298FE">
      <w:pPr>
        <w:spacing w:before="63" w:line="225" w:lineRule="auto"/>
        <w:ind w:left="2931"/>
        <w:outlineLvl w:val="0"/>
        <w:rPr>
          <w:rFonts w:ascii="宋体" w:hAnsi="宋体" w:eastAsia="宋体" w:cs="宋体"/>
          <w:color w:val="auto"/>
          <w:sz w:val="31"/>
          <w:szCs w:val="31"/>
          <w:highlight w:val="none"/>
        </w:rPr>
      </w:pPr>
      <w:bookmarkStart w:id="625" w:name="_Toc18183"/>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专用合同条款</w:t>
      </w:r>
      <w:bookmarkEnd w:id="379"/>
      <w:bookmarkEnd w:id="625"/>
    </w:p>
    <w:p w14:paraId="17D30ACC">
      <w:pPr>
        <w:spacing w:before="269" w:line="223" w:lineRule="auto"/>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包括：</w:t>
      </w:r>
    </w:p>
    <w:p w14:paraId="001732EE">
      <w:pPr>
        <w:spacing w:before="204" w:line="360" w:lineRule="auto"/>
        <w:ind w:left="1" w:firstLine="55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A</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公路工程专用合同条款详见《交通运输部公路工程标准施工监理</w:t>
      </w:r>
      <w:r>
        <w:rPr>
          <w:rFonts w:ascii="宋体" w:hAnsi="宋体" w:eastAsia="宋体" w:cs="宋体"/>
          <w:b/>
          <w:bCs/>
          <w:color w:val="auto"/>
          <w:spacing w:val="-2"/>
          <w:sz w:val="28"/>
          <w:szCs w:val="28"/>
          <w:highlight w:val="none"/>
        </w:rPr>
        <w:t>招标文件（2018</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2"/>
          <w:sz w:val="28"/>
          <w:szCs w:val="28"/>
          <w:highlight w:val="none"/>
        </w:rPr>
        <w:t>年版）》</w:t>
      </w:r>
    </w:p>
    <w:p w14:paraId="1C054164">
      <w:pPr>
        <w:spacing w:before="1" w:line="219" w:lineRule="auto"/>
        <w:ind w:left="557"/>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B</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项目专用合同条款</w:t>
      </w:r>
    </w:p>
    <w:p w14:paraId="137197D0">
      <w:pPr>
        <w:spacing w:line="219" w:lineRule="auto"/>
        <w:rPr>
          <w:rFonts w:ascii="宋体" w:hAnsi="宋体" w:eastAsia="宋体" w:cs="宋体"/>
          <w:color w:val="auto"/>
          <w:sz w:val="28"/>
          <w:szCs w:val="28"/>
          <w:highlight w:val="none"/>
        </w:rPr>
        <w:sectPr>
          <w:footerReference r:id="rId31" w:type="default"/>
          <w:pgSz w:w="11906" w:h="16839"/>
          <w:pgMar w:top="1403" w:right="1417" w:bottom="1297" w:left="1426" w:header="0" w:footer="1067" w:gutter="0"/>
          <w:pgNumType w:fmt="decimal"/>
          <w:cols w:space="720" w:num="1"/>
        </w:sectPr>
      </w:pPr>
    </w:p>
    <w:p w14:paraId="4B76C58D">
      <w:pPr>
        <w:pStyle w:val="4"/>
        <w:pageBreakBefore/>
        <w:spacing w:before="0" w:after="0" w:line="360" w:lineRule="auto"/>
        <w:jc w:val="center"/>
        <w:rPr>
          <w:rFonts w:hint="eastAsia" w:ascii="Times New Roman" w:hAnsi="Times New Roman" w:eastAsia="宋体" w:cs="宋体"/>
          <w:color w:val="auto"/>
          <w:kern w:val="21"/>
          <w:sz w:val="28"/>
          <w:szCs w:val="28"/>
          <w:highlight w:val="none"/>
          <w:lang w:eastAsia="zh-CN"/>
        </w:rPr>
      </w:pPr>
      <w:bookmarkStart w:id="626" w:name="_Toc15211"/>
      <w:bookmarkStart w:id="627" w:name="_Toc15841"/>
      <w:r>
        <w:rPr>
          <w:rFonts w:ascii="宋体" w:hAnsi="宋体" w:eastAsia="宋体" w:cs="宋体"/>
          <w:b/>
          <w:bCs/>
          <w:color w:val="auto"/>
          <w:spacing w:val="5"/>
          <w:sz w:val="28"/>
          <w:szCs w:val="28"/>
          <w:highlight w:val="none"/>
        </w:rPr>
        <w:t>A</w:t>
      </w:r>
      <w:r>
        <w:rPr>
          <w:rFonts w:hint="eastAsia" w:ascii="宋体" w:hAnsi="宋体" w:eastAsia="宋体" w:cs="宋体"/>
          <w:b/>
          <w:bCs/>
          <w:color w:val="auto"/>
          <w:spacing w:val="5"/>
          <w:sz w:val="28"/>
          <w:szCs w:val="28"/>
          <w:highlight w:val="none"/>
          <w:lang w:val="en-US" w:eastAsia="zh-CN"/>
        </w:rPr>
        <w:t>.</w:t>
      </w:r>
      <w:r>
        <w:rPr>
          <w:rFonts w:hint="eastAsia" w:ascii="Times New Roman" w:hAnsi="Times New Roman" w:eastAsia="宋体" w:cs="宋体"/>
          <w:color w:val="auto"/>
          <w:kern w:val="21"/>
          <w:sz w:val="28"/>
          <w:szCs w:val="28"/>
          <w:highlight w:val="none"/>
          <w:lang w:eastAsia="zh-CN"/>
        </w:rPr>
        <w:t>公路工程专用合同条款</w:t>
      </w:r>
      <w:bookmarkEnd w:id="626"/>
      <w:bookmarkEnd w:id="627"/>
    </w:p>
    <w:p w14:paraId="60740180">
      <w:pPr>
        <w:spacing w:line="360" w:lineRule="auto"/>
        <w:jc w:val="both"/>
        <w:rPr>
          <w:rFonts w:hint="eastAsia" w:ascii="Times New Roman" w:hAnsi="Times New Roman" w:eastAsia="宋体" w:cs="宋体"/>
          <w:color w:val="auto"/>
          <w:kern w:val="21"/>
          <w:highlight w:val="none"/>
          <w:lang w:eastAsia="zh-CN"/>
        </w:rPr>
      </w:pPr>
    </w:p>
    <w:p w14:paraId="399A7595">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28" w:name="_Toc503518013"/>
      <w:r>
        <w:rPr>
          <w:rFonts w:hint="eastAsia" w:ascii="Times New Roman" w:hAnsi="Times New Roman" w:eastAsia="宋体" w:cs="宋体"/>
          <w:b/>
          <w:bCs/>
          <w:color w:val="auto"/>
          <w:kern w:val="21"/>
          <w:sz w:val="28"/>
          <w:szCs w:val="28"/>
          <w:highlight w:val="none"/>
          <w:lang w:eastAsia="zh-CN"/>
        </w:rPr>
        <w:t>1. 一般约定</w:t>
      </w:r>
      <w:bookmarkEnd w:id="628"/>
    </w:p>
    <w:p w14:paraId="3720C7B7">
      <w:pPr>
        <w:spacing w:before="120" w:beforeLines="50"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 词语定义</w:t>
      </w:r>
    </w:p>
    <w:p w14:paraId="49E70F86">
      <w:pPr>
        <w:spacing w:line="360" w:lineRule="auto"/>
        <w:ind w:firstLine="422" w:firstLineChars="200"/>
        <w:jc w:val="both"/>
        <w:rPr>
          <w:rFonts w:hint="eastAsia" w:ascii="Times New Roman" w:hAnsi="Times New Roman" w:eastAsia="宋体" w:cs="宋体"/>
          <w:b/>
          <w:bCs/>
          <w:color w:val="auto"/>
          <w:kern w:val="21"/>
          <w:highlight w:val="none"/>
          <w:lang w:eastAsia="zh-CN"/>
        </w:rPr>
      </w:pPr>
      <w:r>
        <w:rPr>
          <w:rFonts w:hint="eastAsia" w:ascii="Times New Roman" w:hAnsi="Times New Roman" w:eastAsia="宋体" w:cs="宋体"/>
          <w:b/>
          <w:bCs/>
          <w:color w:val="auto"/>
          <w:kern w:val="21"/>
          <w:highlight w:val="none"/>
          <w:lang w:eastAsia="zh-CN"/>
        </w:rPr>
        <w:t>1.1.1 合同</w:t>
      </w:r>
    </w:p>
    <w:p w14:paraId="2A070EF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第1.1.1.1目细化为：</w:t>
      </w:r>
    </w:p>
    <w:p w14:paraId="64A5210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文件（或称合同）：指合同协议书及各种合同附件、中标通知书、投标函、项目专用合同条款、公路工程专用合同条款、通用合同条款、委托人要求、监理服务费用清单、监理人有关人员和试验检测设备投入的承诺，以及其他构成合同组成部分的文件。</w:t>
      </w:r>
    </w:p>
    <w:p w14:paraId="7B1F637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第1.1.1.5目不适用。</w:t>
      </w:r>
    </w:p>
    <w:p w14:paraId="0C8DF86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第1.1.1.8目细化为：</w:t>
      </w:r>
    </w:p>
    <w:p w14:paraId="266A5A5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1.1.1.8 监理服务费用清单：指监理人投标文件中的监理服务费用清单。</w:t>
      </w:r>
    </w:p>
    <w:p w14:paraId="0827AEFA">
      <w:pPr>
        <w:spacing w:line="360" w:lineRule="auto"/>
        <w:ind w:firstLine="422" w:firstLineChars="200"/>
        <w:jc w:val="both"/>
        <w:rPr>
          <w:rFonts w:hint="eastAsia" w:ascii="Times New Roman" w:hAnsi="Times New Roman" w:eastAsia="宋体" w:cs="宋体"/>
          <w:b/>
          <w:bCs/>
          <w:color w:val="auto"/>
          <w:kern w:val="21"/>
          <w:highlight w:val="none"/>
          <w:lang w:eastAsia="zh-CN"/>
        </w:rPr>
      </w:pPr>
      <w:r>
        <w:rPr>
          <w:rFonts w:hint="eastAsia" w:ascii="Times New Roman" w:hAnsi="Times New Roman" w:eastAsia="宋体" w:cs="宋体"/>
          <w:b/>
          <w:bCs/>
          <w:color w:val="auto"/>
          <w:kern w:val="21"/>
          <w:highlight w:val="none"/>
          <w:lang w:eastAsia="zh-CN"/>
        </w:rPr>
        <w:t>1.1.2 合同当事人和人员</w:t>
      </w:r>
    </w:p>
    <w:p w14:paraId="7D66CD1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本项补充第1.1.2.7目至第1.1.2.9目：</w:t>
      </w:r>
    </w:p>
    <w:p w14:paraId="228808D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1.1.2.7 监理机构：指由监理人在项目现场设立的履行监理职责的组织，包括总监理工程师办公室（简称总监办）及驻地监理工程师办公室（简称驻地办）。</w:t>
      </w:r>
    </w:p>
    <w:p w14:paraId="27637DD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1.1.2.8 行政管理部门：指交通运输主管部门或对本工程依法享有行政监督权限的其他政府部门。</w:t>
      </w:r>
    </w:p>
    <w:p w14:paraId="57BB505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1.1.2.9 第三方：指除委托人、监理人之外，与本工程建设有关的其他当事人。</w:t>
      </w:r>
    </w:p>
    <w:p w14:paraId="2BACBDC3">
      <w:pPr>
        <w:spacing w:line="360" w:lineRule="auto"/>
        <w:ind w:firstLine="422" w:firstLineChars="200"/>
        <w:jc w:val="both"/>
        <w:rPr>
          <w:rFonts w:hint="eastAsia" w:ascii="Times New Roman" w:hAnsi="Times New Roman" w:eastAsia="宋体" w:cs="宋体"/>
          <w:b/>
          <w:bCs/>
          <w:color w:val="auto"/>
          <w:kern w:val="21"/>
          <w:highlight w:val="none"/>
          <w:lang w:eastAsia="zh-CN"/>
        </w:rPr>
      </w:pPr>
      <w:r>
        <w:rPr>
          <w:rFonts w:hint="eastAsia" w:ascii="Times New Roman" w:hAnsi="Times New Roman" w:eastAsia="宋体" w:cs="宋体"/>
          <w:b/>
          <w:bCs/>
          <w:color w:val="auto"/>
          <w:kern w:val="21"/>
          <w:highlight w:val="none"/>
          <w:lang w:eastAsia="zh-CN"/>
        </w:rPr>
        <w:t>1.1.3 工程和监理</w:t>
      </w:r>
    </w:p>
    <w:p w14:paraId="0CC412D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第1.1.3.1目细化为：</w:t>
      </w:r>
    </w:p>
    <w:p w14:paraId="7F06816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工程：指为完成项目所实施的一项或若干项永久或临时工程（包括向委托人提供的物资和设备），具体情况在项目专用合同条款中指明。</w:t>
      </w:r>
    </w:p>
    <w:p w14:paraId="25D424A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第1.1.3.2目细化为：</w:t>
      </w:r>
    </w:p>
    <w:p w14:paraId="4E371F1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bookmarkStart w:id="629" w:name="_Toc493143919"/>
    </w:p>
    <w:p w14:paraId="13FD3C6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第1.4款细化为：</w:t>
      </w:r>
    </w:p>
    <w:p w14:paraId="34BB1FD3">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1.4 合同文件的优先顺序</w:t>
      </w:r>
    </w:p>
    <w:p w14:paraId="117C818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组成合同的各项文件应互相解释，互为说明。除项目专用合同条款另有约定外，解释合同文件的优先顺序如下：</w:t>
      </w:r>
    </w:p>
    <w:p w14:paraId="013EE8F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（1）合同协议书及各种合同附件；</w:t>
      </w:r>
    </w:p>
    <w:p w14:paraId="7FA6749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（2）中标通知书；</w:t>
      </w:r>
    </w:p>
    <w:p w14:paraId="79540F0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（3）投标函；</w:t>
      </w:r>
    </w:p>
    <w:p w14:paraId="3B558DA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（4）项目专用合同条款；</w:t>
      </w:r>
    </w:p>
    <w:p w14:paraId="0A99E01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（5）公路工程专用合同条款；</w:t>
      </w:r>
    </w:p>
    <w:p w14:paraId="6D17046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（6）通用合同条款；</w:t>
      </w:r>
    </w:p>
    <w:p w14:paraId="2B57CF9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（7）委托人要求；</w:t>
      </w:r>
    </w:p>
    <w:p w14:paraId="3FF4760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（8）监理服务费用清单；</w:t>
      </w:r>
    </w:p>
    <w:p w14:paraId="6E70A7A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（9）监理人有关人员、试验检测设备投入的承诺；</w:t>
      </w:r>
    </w:p>
    <w:p w14:paraId="16CCF64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（10）其他合同文件。</w:t>
      </w:r>
    </w:p>
    <w:p w14:paraId="727C754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合同当事人针对各类合同文件所作出的补充和修改亦属于合同文件的组成部分，属于同一类内容的文件，应以最新签署的为准。</w:t>
      </w:r>
    </w:p>
    <w:p w14:paraId="2462F37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1.6 文件的提供和照管</w:t>
      </w:r>
    </w:p>
    <w:p w14:paraId="0A219060">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sz w:val="24"/>
          <w:szCs w:val="24"/>
          <w:highlight w:val="none"/>
          <w:lang w:eastAsia="zh-CN"/>
        </w:rPr>
        <w:t xml:space="preserve"> </w:t>
      </w:r>
      <w:r>
        <w:rPr>
          <w:rFonts w:hint="eastAsia" w:ascii="Times New Roman" w:hAnsi="Times New Roman" w:eastAsia="宋体" w:cs="宋体"/>
          <w:color w:val="auto"/>
          <w:kern w:val="21"/>
          <w:highlight w:val="none"/>
          <w:lang w:eastAsia="zh-CN"/>
        </w:rPr>
        <w:t>第1.6.1项和第1.6.2项细化为：</w:t>
      </w:r>
    </w:p>
    <w:p w14:paraId="2351D64C">
      <w:pPr>
        <w:spacing w:line="360" w:lineRule="auto"/>
        <w:ind w:firstLine="422" w:firstLineChars="200"/>
        <w:jc w:val="both"/>
        <w:rPr>
          <w:rFonts w:hint="eastAsia" w:ascii="Times New Roman" w:hAnsi="Times New Roman" w:eastAsia="宋体" w:cs="宋体"/>
          <w:b/>
          <w:bCs/>
          <w:color w:val="auto"/>
          <w:kern w:val="21"/>
          <w:highlight w:val="none"/>
          <w:lang w:eastAsia="zh-CN"/>
        </w:rPr>
      </w:pPr>
      <w:r>
        <w:rPr>
          <w:rFonts w:hint="eastAsia" w:ascii="Times New Roman" w:hAnsi="Times New Roman" w:eastAsia="宋体" w:cs="宋体"/>
          <w:b/>
          <w:bCs/>
          <w:color w:val="auto"/>
          <w:kern w:val="21"/>
          <w:highlight w:val="none"/>
          <w:lang w:eastAsia="zh-CN"/>
        </w:rPr>
        <w:t>1.6.1 监理文件的提供</w:t>
      </w:r>
    </w:p>
    <w:p w14:paraId="63F57A8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在合理的期限内按照国家、公路行业现行标准、规范、规定，《公路工程施工监理规范》及施工承包合同约定向委托人提供监理文件。合同约定监理文件应经委托人批复的，委托人应当在合同约定的期限内批复或提出修改意见。</w:t>
      </w:r>
    </w:p>
    <w:p w14:paraId="1871E8AE">
      <w:pPr>
        <w:spacing w:line="360" w:lineRule="auto"/>
        <w:ind w:firstLine="422" w:firstLineChars="200"/>
        <w:jc w:val="both"/>
        <w:rPr>
          <w:rFonts w:hint="eastAsia" w:ascii="Times New Roman" w:hAnsi="Times New Roman" w:eastAsia="宋体" w:cs="宋体"/>
          <w:b/>
          <w:bCs/>
          <w:color w:val="auto"/>
          <w:kern w:val="21"/>
          <w:highlight w:val="none"/>
          <w:lang w:eastAsia="zh-CN"/>
        </w:rPr>
      </w:pPr>
      <w:r>
        <w:rPr>
          <w:rFonts w:hint="eastAsia" w:ascii="Times New Roman" w:hAnsi="Times New Roman" w:eastAsia="宋体" w:cs="宋体"/>
          <w:b/>
          <w:bCs/>
          <w:color w:val="auto"/>
          <w:kern w:val="21"/>
          <w:highlight w:val="none"/>
          <w:lang w:eastAsia="zh-CN"/>
        </w:rPr>
        <w:t>1.6.2 委托人提供的文件</w:t>
      </w:r>
    </w:p>
    <w:p w14:paraId="31F3FCB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本款细化为：</w:t>
      </w:r>
    </w:p>
    <w:p w14:paraId="51A01C1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除项目专用合同条款另有约定外，委托人应在监理合同生效且取得相关文件、资料后7日内，向监理人免费提供下述文件、资料：</w:t>
      </w:r>
    </w:p>
    <w:p w14:paraId="2C11D5F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（1）委托人与承包人签订的施工承包合同1份。</w:t>
      </w:r>
    </w:p>
    <w:p w14:paraId="37C540D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（2）委托人与承包人共同确认的已标价的工程数量清单及其说明1份。</w:t>
      </w:r>
    </w:p>
    <w:p w14:paraId="15BDBAF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（3）合同图纸和相关的标准图纸及说明1套。</w:t>
      </w:r>
    </w:p>
    <w:p w14:paraId="1233720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（4）合同指定使用的技术规范、检验评定标准、操作规程1套。</w:t>
      </w:r>
    </w:p>
    <w:p w14:paraId="76703D5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（5）其他相关资料。</w:t>
      </w:r>
    </w:p>
    <w:p w14:paraId="4EC72DE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由于委托人未按时提供文件造成监理服务期限延误的，按第6.2款约定执行。</w:t>
      </w:r>
    </w:p>
    <w:p w14:paraId="27396F7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第1.8款细化为：</w:t>
      </w:r>
    </w:p>
    <w:bookmarkEnd w:id="629"/>
    <w:p w14:paraId="5D91E83C">
      <w:pPr>
        <w:spacing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30" w:name="_Toc493143920"/>
      <w:r>
        <w:rPr>
          <w:rFonts w:hint="eastAsia" w:ascii="Times New Roman" w:hAnsi="Times New Roman" w:eastAsia="宋体" w:cs="宋体"/>
          <w:b/>
          <w:bCs/>
          <w:color w:val="auto"/>
          <w:kern w:val="21"/>
          <w:sz w:val="24"/>
          <w:szCs w:val="24"/>
          <w:highlight w:val="none"/>
          <w:lang w:eastAsia="zh-CN"/>
        </w:rPr>
        <w:t>1.8 转让和分包</w:t>
      </w:r>
    </w:p>
    <w:p w14:paraId="1947EB4D">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1.8.1 </w:t>
      </w:r>
      <w:r>
        <w:rPr>
          <w:rFonts w:hint="eastAsia" w:ascii="Times New Roman" w:hAnsi="Times New Roman" w:eastAsia="宋体" w:cs="宋体"/>
          <w:color w:val="auto"/>
          <w:kern w:val="21"/>
          <w:highlight w:val="none"/>
          <w:lang w:eastAsia="zh-CN"/>
        </w:rPr>
        <w:t>除项目专用合同条款另有约定外，未经对方当事人同意，一方当事人不得将合同权利全部或部分转让给第三人，也不得全部或部分转移合同义务。</w:t>
      </w:r>
    </w:p>
    <w:p w14:paraId="6D338CD0">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1.8.2 </w:t>
      </w:r>
      <w:r>
        <w:rPr>
          <w:rFonts w:hint="eastAsia" w:ascii="Times New Roman" w:hAnsi="Times New Roman" w:eastAsia="宋体" w:cs="宋体"/>
          <w:color w:val="auto"/>
          <w:kern w:val="21"/>
          <w:highlight w:val="none"/>
          <w:lang w:eastAsia="zh-CN"/>
        </w:rPr>
        <w:t>监理人不得将监理服务的任何部分分包。监理人因监理服务的需要，聘用专业技术人员和辅助工作人员不属于分包。</w:t>
      </w:r>
    </w:p>
    <w:p w14:paraId="09305080">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1.10 知识产权</w:t>
      </w:r>
    </w:p>
    <w:p w14:paraId="0389B74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新增第1.10.4项：</w:t>
      </w:r>
    </w:p>
    <w:p w14:paraId="76B002DC">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1.10.4 </w:t>
      </w:r>
      <w:r>
        <w:rPr>
          <w:rFonts w:hint="eastAsia" w:ascii="Times New Roman" w:hAnsi="Times New Roman" w:eastAsia="宋体" w:cs="宋体"/>
          <w:color w:val="auto"/>
          <w:kern w:val="21"/>
          <w:highlight w:val="none"/>
          <w:lang w:eastAsia="zh-CN"/>
        </w:rPr>
        <w:t>除项目专用合同条款另有约定外，监理人有权出版与本项目或本工程监理服务有关的资料。但未经委托人同意，上述出版物中不得涉及委托人的专利、专有技术以及经济情报。</w:t>
      </w:r>
    </w:p>
    <w:p w14:paraId="7FFF21D7">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新增第1.13项：</w:t>
      </w:r>
    </w:p>
    <w:p w14:paraId="2F296DD2">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1.13 避免利益冲突</w:t>
      </w:r>
    </w:p>
    <w:p w14:paraId="105D2DD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未经委托人书面同意，监理人不得获取本监理合同约定以外的与本工程有关的任何利益，不得参与与本监理合同约定的委托人利益相冲突的任何活动。</w:t>
      </w:r>
    </w:p>
    <w:p w14:paraId="063058EE">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31" w:name="_Toc503518014"/>
      <w:r>
        <w:rPr>
          <w:rFonts w:hint="eastAsia" w:ascii="Times New Roman" w:hAnsi="Times New Roman" w:eastAsia="宋体" w:cs="宋体"/>
          <w:b/>
          <w:bCs/>
          <w:color w:val="auto"/>
          <w:kern w:val="21"/>
          <w:sz w:val="28"/>
          <w:szCs w:val="28"/>
          <w:highlight w:val="none"/>
          <w:lang w:eastAsia="zh-CN"/>
        </w:rPr>
        <w:t>2. 委托人义务</w:t>
      </w:r>
      <w:bookmarkEnd w:id="631"/>
    </w:p>
    <w:p w14:paraId="0EBA3B8B">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新增第2.7款至第2.10款：</w:t>
      </w:r>
    </w:p>
    <w:p w14:paraId="2C2BE478">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2.7 协助</w:t>
      </w:r>
    </w:p>
    <w:p w14:paraId="40670A3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委托人在工程所在地向监理人提供进驻现场的相关条件，解决非监理人原因而发生意外事件时，监理工作人员的撤场和相关事宜；并避免监理人根据监理合同提供监理服务而导致的第三方收费（不含税金）。</w:t>
      </w:r>
    </w:p>
    <w:p w14:paraId="6335E55E">
      <w:pPr>
        <w:spacing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32" w:name="_Toc493143930"/>
      <w:r>
        <w:rPr>
          <w:rFonts w:hint="eastAsia" w:ascii="Times New Roman" w:hAnsi="Times New Roman" w:eastAsia="宋体" w:cs="宋体"/>
          <w:b/>
          <w:bCs/>
          <w:color w:val="auto"/>
          <w:kern w:val="21"/>
          <w:sz w:val="24"/>
          <w:szCs w:val="24"/>
          <w:highlight w:val="none"/>
          <w:lang w:eastAsia="zh-CN"/>
        </w:rPr>
        <w:t>2.8 授权通知</w:t>
      </w:r>
    </w:p>
    <w:p w14:paraId="435EC45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委托人必须将履行监理服务的监理人及委托人授予监理人的权力，及时用书面形式通知第三方。</w:t>
      </w:r>
    </w:p>
    <w:p w14:paraId="7DDFC824">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2.9 委托人指令的下达</w:t>
      </w:r>
    </w:p>
    <w:p w14:paraId="42F0451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委托人在本合同约定的服务范围内对承包人的任何意见或要求，应通过监理人向承包人提出。</w:t>
      </w:r>
    </w:p>
    <w:p w14:paraId="5AA172B5">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2.10 保障</w:t>
      </w:r>
    </w:p>
    <w:p w14:paraId="25CC514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在监理人不违反有关法律、法规的前提下，委托人应保障监理人免受因履行本监理合同而引起的外界索赔或干扰。</w:t>
      </w:r>
    </w:p>
    <w:p w14:paraId="4F5AC32B">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33" w:name="_Toc503518015"/>
      <w:r>
        <w:rPr>
          <w:rFonts w:hint="eastAsia" w:ascii="Times New Roman" w:hAnsi="Times New Roman" w:eastAsia="宋体" w:cs="宋体"/>
          <w:b/>
          <w:bCs/>
          <w:color w:val="auto"/>
          <w:kern w:val="21"/>
          <w:sz w:val="28"/>
          <w:szCs w:val="28"/>
          <w:highlight w:val="none"/>
          <w:lang w:eastAsia="zh-CN"/>
        </w:rPr>
        <w:t>3. 委托人管理</w:t>
      </w:r>
      <w:bookmarkEnd w:id="633"/>
    </w:p>
    <w:p w14:paraId="65BB3DF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3.3 决定或答复</w:t>
      </w:r>
    </w:p>
    <w:p w14:paraId="10292B1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第3.3.2项细化为：</w:t>
      </w:r>
    </w:p>
    <w:bookmarkEnd w:id="632"/>
    <w:p w14:paraId="60DBEE0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委托人对监理人关于本工程的工期、质量、投资、合约和安全等问题提出的请示应及时作出书面答复。对上述请示给予书面答复的期限，自收到书面请示之日起最长不超过7日，重大问题不得超过28日。</w:t>
      </w:r>
      <w:bookmarkStart w:id="634" w:name="_Toc493143931"/>
      <w:r>
        <w:rPr>
          <w:rFonts w:hint="eastAsia" w:ascii="Times New Roman" w:hAnsi="Times New Roman" w:eastAsia="宋体" w:cs="宋体"/>
          <w:color w:val="auto"/>
          <w:kern w:val="21"/>
          <w:highlight w:val="none"/>
          <w:lang w:eastAsia="zh-CN"/>
        </w:rPr>
        <w:t>逾期没有作出答复的，视为已获得委托人的批准。</w:t>
      </w:r>
      <w:bookmarkEnd w:id="634"/>
      <w:bookmarkStart w:id="635" w:name="_Toc493143932"/>
    </w:p>
    <w:bookmarkEnd w:id="635"/>
    <w:p w14:paraId="3A757963">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36" w:name="_Toc503518016"/>
      <w:r>
        <w:rPr>
          <w:rFonts w:hint="eastAsia" w:ascii="Times New Roman" w:hAnsi="Times New Roman" w:eastAsia="宋体" w:cs="宋体"/>
          <w:b/>
          <w:bCs/>
          <w:color w:val="auto"/>
          <w:kern w:val="21"/>
          <w:sz w:val="28"/>
          <w:szCs w:val="28"/>
          <w:highlight w:val="none"/>
          <w:lang w:eastAsia="zh-CN"/>
        </w:rPr>
        <w:t>4. 监理人义务</w:t>
      </w:r>
      <w:bookmarkEnd w:id="636"/>
    </w:p>
    <w:p w14:paraId="396E1FC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第4.2款细化为：</w:t>
      </w:r>
    </w:p>
    <w:p w14:paraId="0BF2BAA2">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4.2 履约保证金</w:t>
      </w:r>
    </w:p>
    <w:p w14:paraId="5615DBD0">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4.2.1</w:t>
      </w:r>
      <w:r>
        <w:rPr>
          <w:rFonts w:hint="eastAsia" w:ascii="Times New Roman" w:hAnsi="Times New Roman" w:eastAsia="宋体" w:cs="宋体"/>
          <w:color w:val="auto"/>
          <w:kern w:val="21"/>
          <w:highlight w:val="none"/>
          <w:lang w:eastAsia="zh-CN"/>
        </w:rPr>
        <w:t xml:space="preserve"> 履约保证金自合同生效之日起生效。在签发合同工程交工证书后，监理人应按委托人要求的格式，以项目专用合同条款规定的额度向委托人提交缺陷责任期保函。委托人在收到监理人提交的缺陷责任期保函后7日内向监理人返还履约保证金。在签发工程缺陷责任终止证书后14日内，委托人向监理人返还缺陷责任期保函。</w:t>
      </w:r>
    </w:p>
    <w:p w14:paraId="5FB72B6F">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4.2.2</w:t>
      </w:r>
      <w:r>
        <w:rPr>
          <w:rFonts w:hint="eastAsia" w:ascii="Times New Roman" w:hAnsi="Times New Roman" w:eastAsia="宋体" w:cs="宋体"/>
          <w:color w:val="auto"/>
          <w:kern w:val="21"/>
          <w:highlight w:val="none"/>
          <w:lang w:eastAsia="zh-CN"/>
        </w:rPr>
        <w:t xml:space="preserve"> 如果监理人不履行合同约定的义务或其履行不符合合同的约定，委托人有权扣划相应金额的履约保证金或缺陷责任期保函，但不影响监理人根据监理合同应当得到的其他款项的支付。</w:t>
      </w:r>
    </w:p>
    <w:p w14:paraId="478C5935">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4.3 联合体</w:t>
      </w:r>
    </w:p>
    <w:p w14:paraId="4B52CAB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第4.3.3项细化为：</w:t>
      </w:r>
    </w:p>
    <w:p w14:paraId="7F7D287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联合体牵头人负责与委托人联系并接受指示，负责组织联合体各成员全面履行合同。委托人就本合同工程向联合体牵头人发布的任何指令、指示、通知等均对联合体其他成员具有同等效力。</w:t>
      </w:r>
    </w:p>
    <w:p w14:paraId="48518BF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补充第4.3.4项：</w:t>
      </w:r>
    </w:p>
    <w:p w14:paraId="310E44EF">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4.3.4</w:t>
      </w:r>
      <w:r>
        <w:rPr>
          <w:rFonts w:hint="eastAsia" w:ascii="Times New Roman" w:hAnsi="Times New Roman" w:eastAsia="宋体" w:cs="宋体"/>
          <w:color w:val="auto"/>
          <w:kern w:val="21"/>
          <w:highlight w:val="none"/>
          <w:lang w:eastAsia="zh-CN"/>
        </w:rPr>
        <w:t xml:space="preserve"> 未经委托人同意，联合体的组成、结构与业务分工均不得变动。</w:t>
      </w:r>
    </w:p>
    <w:p w14:paraId="03C7932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4.4 总监理工程师</w:t>
      </w:r>
    </w:p>
    <w:p w14:paraId="1CB8574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第4.4.1项细化为：</w:t>
      </w:r>
    </w:p>
    <w:p w14:paraId="1B0E872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按合同协议书的约定指派总监理工程师，并在约定的期限内到职。监理人更换总监理工程师应事先征得委托人同意，并应在更换14天前将拟更换的总监理工程师的姓名和详细资料提交委托人，拟更换的总监理工程师资历应不低于原总监理工程师。总监理工程师2天内不能履行职责的，应事先征得委托人同意，并委派代表代行其职责。</w:t>
      </w:r>
    </w:p>
    <w:p w14:paraId="18AB08F8">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4.5 监理人员的管理</w:t>
      </w:r>
    </w:p>
    <w:p w14:paraId="59B4D7E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第4.5.1项、4.5.2项细化为：</w:t>
      </w:r>
    </w:p>
    <w:p w14:paraId="4750F89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4.5.1</w:t>
      </w:r>
      <w:r>
        <w:rPr>
          <w:rFonts w:hint="eastAsia" w:ascii="Times New Roman" w:hAnsi="Times New Roman" w:eastAsia="宋体" w:cs="宋体"/>
          <w:color w:val="auto"/>
          <w:kern w:val="21"/>
          <w:highlight w:val="none"/>
          <w:lang w:eastAsia="zh-CN"/>
        </w:rPr>
        <w:t xml:space="preserve"> 监理人应在接到开始监理通知之日起7天内，向委托人提交监理项目机构以及人员安排的报告，其内容应包括项目机构设置、主要监理人员和其他人员的名单及资格条件。主要监理人员应常驻现场并相对稳定。更换主要监理人员的，应取得委托人的同意，并向委托人提交继任人员的资格、管理经验等资料，继任人员的资历应不低于原监理人员。总监理工程师的更换，应按照本章第4.4.1项规定执行。</w:t>
      </w:r>
    </w:p>
    <w:p w14:paraId="755907FC">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4.5.2 </w:t>
      </w:r>
      <w:r>
        <w:rPr>
          <w:rFonts w:hint="eastAsia" w:ascii="Times New Roman" w:hAnsi="Times New Roman" w:eastAsia="宋体" w:cs="宋体"/>
          <w:color w:val="auto"/>
          <w:kern w:val="21"/>
          <w:highlight w:val="none"/>
          <w:lang w:eastAsia="zh-CN"/>
        </w:rPr>
        <w:t>除项目专用合同条款另有约定外，主要监理人员包括总监理工程师、专业监理工程师等；其他人员包括各专业的监理员、试验员、资料员等。</w:t>
      </w:r>
    </w:p>
    <w:p w14:paraId="32EBEBB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新增第4.9款：</w:t>
      </w:r>
    </w:p>
    <w:p w14:paraId="40E75C1B">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4.9 党建工作要求</w:t>
      </w:r>
    </w:p>
    <w:p w14:paraId="1072740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对于政府投资的国家高速公路项目，或监理人为国有控股或参股企业的，监理人应按规定在项目现场设立基层党组织。不满足上述情形的，监理人应创造条件使党员能够参加党组织生活并接受相应管理。</w:t>
      </w:r>
    </w:p>
    <w:p w14:paraId="78388A0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在项目现场设立基层党组织的，应明确党组织机构设置、党组织负责人及党务工作人员配备情况，编制党务工作开展预案，并按照预案要求在项目实施过程中同步开展党务工作，充分发挥基层党组织在项目实施的作用。</w:t>
      </w:r>
    </w:p>
    <w:p w14:paraId="63B18878">
      <w:pPr>
        <w:spacing w:line="360" w:lineRule="auto"/>
        <w:ind w:firstLine="420" w:firstLineChars="200"/>
        <w:jc w:val="both"/>
        <w:rPr>
          <w:rFonts w:hint="eastAsia" w:ascii="Times New Roman" w:hAnsi="Times New Roman" w:eastAsia="宋体" w:cs="宋体"/>
          <w:color w:val="auto"/>
          <w:kern w:val="21"/>
          <w:highlight w:val="none"/>
          <w:lang w:eastAsia="zh-CN"/>
        </w:rPr>
      </w:pPr>
    </w:p>
    <w:p w14:paraId="452513F6">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37" w:name="_Toc503518017"/>
      <w:r>
        <w:rPr>
          <w:rFonts w:hint="eastAsia" w:ascii="Times New Roman" w:hAnsi="Times New Roman" w:eastAsia="宋体" w:cs="宋体"/>
          <w:b/>
          <w:bCs/>
          <w:color w:val="auto"/>
          <w:kern w:val="21"/>
          <w:sz w:val="28"/>
          <w:szCs w:val="28"/>
          <w:highlight w:val="none"/>
          <w:lang w:eastAsia="zh-CN"/>
        </w:rPr>
        <w:t>5. 监理要求</w:t>
      </w:r>
      <w:bookmarkEnd w:id="637"/>
    </w:p>
    <w:p w14:paraId="20ECA9A2">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5.1 监理范围</w:t>
      </w:r>
    </w:p>
    <w:p w14:paraId="162366C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第5.1.3项细化为：</w:t>
      </w:r>
    </w:p>
    <w:p w14:paraId="7A57397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阶段范围指公路工程建设程序中的施工准备阶段、施工阶段、验收与缺陷责任期阶段中的一个或者多个阶段，具体范围在项目专用合同条款中约定。</w:t>
      </w:r>
    </w:p>
    <w:p w14:paraId="0489CEB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第5.2款细化为：</w:t>
      </w:r>
    </w:p>
    <w:p w14:paraId="046768C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5.2 监理依据</w:t>
      </w:r>
    </w:p>
    <w:p w14:paraId="6EF1572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除项目专用合同条款另有约定外，本工程的监理依据如下：</w:t>
      </w:r>
    </w:p>
    <w:p w14:paraId="6429946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（1）适用的法律、行政法规及部门规章；</w:t>
      </w:r>
    </w:p>
    <w:p w14:paraId="22A44E1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（2）与工程有关的规范、标准、规程；</w:t>
      </w:r>
    </w:p>
    <w:p w14:paraId="250BAD2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（3）工程前期有关文件；</w:t>
      </w:r>
    </w:p>
    <w:p w14:paraId="34CB481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（4）工程勘察文件、设计文件及其他文件；</w:t>
      </w:r>
    </w:p>
    <w:p w14:paraId="6988E81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（5）本工程监理的委托合同及补充合同；</w:t>
      </w:r>
    </w:p>
    <w:p w14:paraId="18CE098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（6）委托人签订的施工承包合同；</w:t>
      </w:r>
    </w:p>
    <w:p w14:paraId="0D23D09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（7）合同履行中与监理服务有关的来往函件；</w:t>
      </w:r>
    </w:p>
    <w:p w14:paraId="3D57E79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（8）其他监理依据。</w:t>
      </w:r>
    </w:p>
    <w:p w14:paraId="5045443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第5.3款细化为：</w:t>
      </w:r>
    </w:p>
    <w:p w14:paraId="40A85F8B">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5.3 监理内容</w:t>
      </w:r>
    </w:p>
    <w:p w14:paraId="336CA5B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本款细化为：</w:t>
      </w:r>
    </w:p>
    <w:p w14:paraId="7273A7E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14:paraId="69789111">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5.3.1</w:t>
      </w:r>
      <w:r>
        <w:rPr>
          <w:rFonts w:hint="eastAsia" w:ascii="Times New Roman" w:hAnsi="Times New Roman" w:eastAsia="宋体" w:cs="宋体"/>
          <w:color w:val="auto"/>
          <w:kern w:val="21"/>
          <w:highlight w:val="none"/>
          <w:lang w:eastAsia="zh-CN"/>
        </w:rPr>
        <w:t xml:space="preserve"> 在工程同时设置总监办和驻地办时，总监办的监理服务内容为：</w:t>
      </w:r>
    </w:p>
    <w:p w14:paraId="387186D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（1）总监办工地试验室按监理合同要求配备常规的试验检测设备，并须达到项目专用合同条款中约定的检查项目及频率要求；</w:t>
      </w:r>
    </w:p>
    <w:p w14:paraId="5405C76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（2）熟悉合同文件，调查施工环境条件；</w:t>
      </w:r>
    </w:p>
    <w:p w14:paraId="77D0BD8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（3）在合同约定的期限内主持编制监理计划；</w:t>
      </w:r>
    </w:p>
    <w:p w14:paraId="6CA037A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（4）审批各驻地办主持编制的监理细则；</w:t>
      </w:r>
    </w:p>
    <w:p w14:paraId="3E73F5C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（5）参加设计交底；</w:t>
      </w:r>
    </w:p>
    <w:p w14:paraId="1068095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（6）在合同约定的期限内审批承包人提交的施工组织设计（含安全技术措施、应急救援抢险方案、专项施工方案及施工环境保护措施）；</w:t>
      </w:r>
    </w:p>
    <w:p w14:paraId="7858D58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（7）审批承包人提交的总体进度计划，核批承包人对总体进度计划的调整计划；</w:t>
      </w:r>
    </w:p>
    <w:p w14:paraId="77FD73E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（8）签发开工预付款支付证书；</w:t>
      </w:r>
    </w:p>
    <w:p w14:paraId="5262E3C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（9）审批承包人提交的分项、分部、单位工程划分；</w:t>
      </w:r>
    </w:p>
    <w:p w14:paraId="4669F2E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（10）检查承包人的质量、安全和环保等保证体系，审核工地试验室，抽查控制桩点复测、测定地面线和工程划分及驻地办工作；</w:t>
      </w:r>
    </w:p>
    <w:p w14:paraId="3466832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（11）主持召开监理交底会；</w:t>
      </w:r>
    </w:p>
    <w:p w14:paraId="2DB42F3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（12）主持召开第一次工地会议；</w:t>
      </w:r>
    </w:p>
    <w:p w14:paraId="68FE96B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（13）签发合同工程开工令；</w:t>
      </w:r>
    </w:p>
    <w:p w14:paraId="450A486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（14）审批重要工程材料及混合料配合比；</w:t>
      </w:r>
    </w:p>
    <w:p w14:paraId="149675D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（15）审核工程中期支付申请，签发中期支付证书；</w:t>
      </w:r>
    </w:p>
    <w:p w14:paraId="46665BC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（16）签发单位工程或合同工程的暂停令和复工令；</w:t>
      </w:r>
    </w:p>
    <w:p w14:paraId="6F30952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（17）受理合同其他事项的有关事宜，按合同约定审核、评估和处理工程变更、工程延期、费用索赔、价格调整、保险、违约、争端等合同事项；</w:t>
      </w:r>
    </w:p>
    <w:p w14:paraId="072CD58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（18）组织编写监理月报；</w:t>
      </w:r>
    </w:p>
    <w:p w14:paraId="3A0B3D2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（19）根据工程需要主持召开专题工地会议；</w:t>
      </w:r>
    </w:p>
    <w:p w14:paraId="40C16F4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（20）对发生的质量缺陷、质量隐患和质量事故进行调查、处理或督促承包人按规定报告有关部门；</w:t>
      </w:r>
    </w:p>
    <w:p w14:paraId="15AD3B3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（21）协助委托人审查交工验收申请，评定工程质量；</w:t>
      </w:r>
    </w:p>
    <w:p w14:paraId="00FFFBF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（22）参加委托人组织的合同工程交工验收；</w:t>
      </w:r>
    </w:p>
    <w:p w14:paraId="073251A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（23）编写监理工作报告，并提交委托人；</w:t>
      </w:r>
    </w:p>
    <w:p w14:paraId="016AD3C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（24）签认交工结账证书；</w:t>
      </w:r>
    </w:p>
    <w:p w14:paraId="642E8DE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（25）组织编制工程监理竣工文件，并督促承包人按合同约定编制和整理竣工资料；</w:t>
      </w:r>
    </w:p>
    <w:p w14:paraId="0462742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（26）在合同工程的缺陷责任期内，检查承包人剩余工程的实施；巡视检查已完工程，指示承包人修复发生的工程缺陷，调查、确认缺陷责任及修复费用；</w:t>
      </w:r>
    </w:p>
    <w:p w14:paraId="7178913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（27）缺陷责任期结束，经检查符合条件时，签发合同工程缺陷责任终止证书；</w:t>
      </w:r>
    </w:p>
    <w:p w14:paraId="41B8ACD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（28）签认最后支付证书；</w:t>
      </w:r>
    </w:p>
    <w:p w14:paraId="551B8A2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（29）参加工程竣工验收；</w:t>
      </w:r>
    </w:p>
    <w:p w14:paraId="2A434EA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（30）按照项目专用合同条款约定提供其他工程管理咨询服务。</w:t>
      </w:r>
    </w:p>
    <w:p w14:paraId="36A6614D">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5.3.2 </w:t>
      </w:r>
      <w:r>
        <w:rPr>
          <w:rFonts w:hint="eastAsia" w:ascii="Times New Roman" w:hAnsi="Times New Roman" w:eastAsia="宋体" w:cs="宋体"/>
          <w:color w:val="auto"/>
          <w:kern w:val="21"/>
          <w:highlight w:val="none"/>
          <w:lang w:eastAsia="zh-CN"/>
        </w:rPr>
        <w:t>在工程同时设置总监办和驻地办时，驻地办的监理服务内容为：</w:t>
      </w:r>
    </w:p>
    <w:p w14:paraId="0E8B6E6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（1）按项目专用合同条款的约定建立（或不建立）工地试验室，如需驻地办建立工地试验室，应配备现场抽查常用的试验检测设备，并在项目专用合同条款中明确检查项目和频率的要求；</w:t>
      </w:r>
    </w:p>
    <w:p w14:paraId="25EFF81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（2）熟悉合同文件，调查施工环境条件；</w:t>
      </w:r>
    </w:p>
    <w:p w14:paraId="52179FD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（3）在总监办的安排下，参与编制监理计划，提供本驻地办相关资料；</w:t>
      </w:r>
    </w:p>
    <w:p w14:paraId="2C7C7C4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（4）根据监理计划在相应工程开工前主持编制监理细则；</w:t>
      </w:r>
    </w:p>
    <w:p w14:paraId="27228D2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（5）参加设计交底；</w:t>
      </w:r>
    </w:p>
    <w:p w14:paraId="1E6C00C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（6）按规定程序初审本驻地监理标段承包人提交的施工组织设计（含安全技术措施、应急救援抢险方案、专项施工方案及施工环境保护措施）；</w:t>
      </w:r>
    </w:p>
    <w:p w14:paraId="229B6DE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（7）初审本驻地监理标段承包人提交的总体进度计划以及施工中进行的调整计划；</w:t>
      </w:r>
    </w:p>
    <w:p w14:paraId="4893704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（8）对承包人提交的原始基准点、基准线和基准高程的复测结果进行平行复测，审核后予以批复；</w:t>
      </w:r>
    </w:p>
    <w:p w14:paraId="7C7FB32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（9）验收承包人测定的地面线；</w:t>
      </w:r>
    </w:p>
    <w:p w14:paraId="735C190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（10）确认承包人提交的场地占用计划；</w:t>
      </w:r>
    </w:p>
    <w:p w14:paraId="2296517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（11）核算承包人对工程量清单的复核结果；</w:t>
      </w:r>
    </w:p>
    <w:p w14:paraId="23F8EAD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（12）按合同约定对工程分包计划和协议进行审查，审查分包合同中是否明确了承包人与分包人各自在安全生产方面的责任；</w:t>
      </w:r>
    </w:p>
    <w:p w14:paraId="4714366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（13）审批施工测量放线；</w:t>
      </w:r>
    </w:p>
    <w:p w14:paraId="2F9F9A1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（14）审批一般工程原材料和混合料配合比；</w:t>
      </w:r>
    </w:p>
    <w:p w14:paraId="1DE1DC0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（15）审查施工组织及人员配备；</w:t>
      </w:r>
    </w:p>
    <w:p w14:paraId="1571F2B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（16）审查承包人进场的施工机械设备；</w:t>
      </w:r>
    </w:p>
    <w:p w14:paraId="67224F1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（17）审查承包人提交的分项、分部工程的施工方案及主要工艺；</w:t>
      </w:r>
    </w:p>
    <w:p w14:paraId="065F042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（18）审批承包人月进度计划，检查和监督进度计划的实施；</w:t>
      </w:r>
    </w:p>
    <w:p w14:paraId="6095D92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（19）审批分项（部）工程的开工申请，签发分项、分部工程暂停令和复工令；</w:t>
      </w:r>
    </w:p>
    <w:p w14:paraId="6B87DFF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（20）验收构配件或设备；</w:t>
      </w:r>
    </w:p>
    <w:p w14:paraId="43E826A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（21）按有关规定和要求对工程进行巡视、旁站和抽检，并做好记录；</w:t>
      </w:r>
    </w:p>
    <w:p w14:paraId="625D29E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（22）对关键工序进行签认；</w:t>
      </w:r>
    </w:p>
    <w:p w14:paraId="1E08A18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（23）对发生的质量缺陷、质量隐患和质量事故进行调查、处理或对不属于监理人权限处理的质量事故督促承包人按规定报告有关部门；</w:t>
      </w:r>
    </w:p>
    <w:p w14:paraId="26BE2E5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（24）对交工的单位、分部、分项工程进行检验和质量等级评定并签发《中间交工证书》；</w:t>
      </w:r>
    </w:p>
    <w:p w14:paraId="6946A3A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（25）对已完工程按合同约定的方法进行计量；</w:t>
      </w:r>
    </w:p>
    <w:p w14:paraId="10D2666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（26）按有关规定及时对已完分部工程、单位工程及合同工程进行质量评定；</w:t>
      </w:r>
    </w:p>
    <w:p w14:paraId="51D2A27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（27）编写本驻地监理标段的监理月报；</w:t>
      </w:r>
    </w:p>
    <w:p w14:paraId="5038D03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（28）主持召开工地会议和根据工程需要主持召开专题工地会议；</w:t>
      </w:r>
    </w:p>
    <w:p w14:paraId="0F5A6EB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（29）编制标段监理竣工文件；</w:t>
      </w:r>
    </w:p>
    <w:p w14:paraId="205B25C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（30）编写本驻地监理标段的监理工作报告；</w:t>
      </w:r>
    </w:p>
    <w:p w14:paraId="56785B2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（31）参加本驻地监理标段合同工程的交工验收；</w:t>
      </w:r>
    </w:p>
    <w:p w14:paraId="5FF2989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（32）初审交工结账证书。</w:t>
      </w:r>
    </w:p>
    <w:p w14:paraId="4EA61C3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（33）按照项目专用合同条款约定提供其他工程管理咨询服务。</w:t>
      </w:r>
    </w:p>
    <w:p w14:paraId="276078A2">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5.3.3 </w:t>
      </w:r>
      <w:r>
        <w:rPr>
          <w:rFonts w:hint="eastAsia" w:ascii="Times New Roman" w:hAnsi="Times New Roman" w:eastAsia="宋体" w:cs="宋体"/>
          <w:color w:val="auto"/>
          <w:kern w:val="21"/>
          <w:highlight w:val="none"/>
          <w:lang w:eastAsia="zh-CN"/>
        </w:rPr>
        <w:t>在工程只设置总监办一级监理机构时，其监理服务内容为：</w:t>
      </w:r>
    </w:p>
    <w:p w14:paraId="197ABA8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（1）按监理合同要求建立总监办工地试验室，按监理合同要求配备常规的试验检测设备，按监理合同要求配备常规的试验检测设备，并须达到项目专用合同条款中约定的检查项目及频率要求；</w:t>
      </w:r>
    </w:p>
    <w:p w14:paraId="02C34A6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（2）熟悉合同文件，调查施工环境条件；</w:t>
      </w:r>
    </w:p>
    <w:p w14:paraId="017DB12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（3）在合同约定的期限内编制监理计划，根据监理计划在相应工程开工前编制监理细则；</w:t>
      </w:r>
    </w:p>
    <w:p w14:paraId="20E5F34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（4）在合同约定的期限内审批承包人提交的施工组织设计（含安全技术措施、应急救援抢险方案、专项施工方案及施工环境保护措施）；</w:t>
      </w:r>
    </w:p>
    <w:p w14:paraId="64EF910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（5）参加设计交底；</w:t>
      </w:r>
    </w:p>
    <w:p w14:paraId="09BBCC3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（6）审批承包人提交的总体进度计划，核批承包人对总体进度计划的调整计划；</w:t>
      </w:r>
    </w:p>
    <w:p w14:paraId="5289990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（7）检查承包人工程质量、施工安全和施工环境保护等保证体系；</w:t>
      </w:r>
    </w:p>
    <w:p w14:paraId="4B7FD41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（8）审核承包人的工地试验室；</w:t>
      </w:r>
    </w:p>
    <w:p w14:paraId="1B8358E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（9）对承包人提交的原始基准点、基准线和基准高程的复测结果进行平行复测，审核后予以批复；</w:t>
      </w:r>
    </w:p>
    <w:p w14:paraId="05110A3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（10）验收承包人测定的地面线；</w:t>
      </w:r>
    </w:p>
    <w:p w14:paraId="5A4B58B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（11）审批承包人提交的分项、分部、单位工程划分；</w:t>
      </w:r>
    </w:p>
    <w:p w14:paraId="28470E5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（12）确认承包人提交的场地占用计划；</w:t>
      </w:r>
    </w:p>
    <w:p w14:paraId="4CBBF18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（13）核算承包人对工程量清单的复核结果；</w:t>
      </w:r>
    </w:p>
    <w:p w14:paraId="40B71AE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（14）签发开工预付款支付证书；</w:t>
      </w:r>
    </w:p>
    <w:p w14:paraId="64F8666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（15）主持召开监理交底会；</w:t>
      </w:r>
    </w:p>
    <w:p w14:paraId="396B594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（16）主持召开第一次工地会议；</w:t>
      </w:r>
    </w:p>
    <w:p w14:paraId="36B7BCD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（17）签发合同工程开工令；</w:t>
      </w:r>
    </w:p>
    <w:p w14:paraId="26B584B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（18）按合同约定对工程分包计划和协议进行审查，并审查分包合同中是否明确了承包人与分包单位各自在安全生产方面的责任；</w:t>
      </w:r>
    </w:p>
    <w:p w14:paraId="50E1680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（19）审批施工测量放线；</w:t>
      </w:r>
    </w:p>
    <w:p w14:paraId="0478FD6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（20）审批工程原材料及混合料配合比；</w:t>
      </w:r>
    </w:p>
    <w:p w14:paraId="2383913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（21）审查施工组织及人员配备；</w:t>
      </w:r>
    </w:p>
    <w:p w14:paraId="2533364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（22）审查承包人进场的施工机械设备；</w:t>
      </w:r>
    </w:p>
    <w:p w14:paraId="2DDC872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（23）审查承包人提交的分项、分部工程的施工方案及主要工艺；</w:t>
      </w:r>
    </w:p>
    <w:p w14:paraId="1D5A41E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（24）审批承包人月进度计划，检查和监督进度计划的实施；</w:t>
      </w:r>
    </w:p>
    <w:p w14:paraId="74B76DC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（25）审批分项（分部）工程的开工申请；</w:t>
      </w:r>
    </w:p>
    <w:p w14:paraId="2931657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（26）验收构配件或设备；</w:t>
      </w:r>
    </w:p>
    <w:p w14:paraId="542FF56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（27）按有关规定和要求对工程进行巡视、旁站和抽检，并做好记录；</w:t>
      </w:r>
    </w:p>
    <w:p w14:paraId="225F0CD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（28）对关键工序进行签认；</w:t>
      </w:r>
    </w:p>
    <w:p w14:paraId="220BAA9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（29）对发生的质量缺陷、质量隐患和质量事故进行调查、处理或对不属于监理人权限处理的质量事故督促承包人按规定报告有关部门；</w:t>
      </w:r>
    </w:p>
    <w:p w14:paraId="6640474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（30）签发单位或合同工程及分部（分项）工程的暂停令和复工令；</w:t>
      </w:r>
    </w:p>
    <w:p w14:paraId="4BE3783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（31）对交工的单位、分部、分项工程进行检验和质量等级评定并签发《中间交工证书》；</w:t>
      </w:r>
    </w:p>
    <w:p w14:paraId="46F5760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（32）对已完工程按合同约定的方法进行计量；</w:t>
      </w:r>
    </w:p>
    <w:p w14:paraId="575CD90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（33）审核工程中期支付申请，签发中期支付证书；</w:t>
      </w:r>
    </w:p>
    <w:p w14:paraId="49F626A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（34）按有关规定及时对已完分部工程、单位工程及合同工程进行质量评定；</w:t>
      </w:r>
    </w:p>
    <w:p w14:paraId="249B8DC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（35）受理合同其他事项的有关事宜，按合同约定审核、评估和处理工程变更、延期、费用索赔、价格调整、保险、违约、争端等合同事项；</w:t>
      </w:r>
    </w:p>
    <w:p w14:paraId="07113C4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（36）组织编写监理月报；</w:t>
      </w:r>
    </w:p>
    <w:p w14:paraId="7334771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（37）主持召开工地例会或根据工程需要主持召开专题工地会议；</w:t>
      </w:r>
    </w:p>
    <w:p w14:paraId="225A63D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（38）协助委托人审查交工验收申请，评定工程质量；</w:t>
      </w:r>
    </w:p>
    <w:p w14:paraId="697DE0E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（39）参加委托人组织的合同工程交工验收；</w:t>
      </w:r>
    </w:p>
    <w:p w14:paraId="1C1A88D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（40）编写监理工作报告，并提交委托人；</w:t>
      </w:r>
    </w:p>
    <w:p w14:paraId="333B9D2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（41）签认交工结账证书；</w:t>
      </w:r>
    </w:p>
    <w:p w14:paraId="1300450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（42）组织编制工程监理竣工文件，并督促承包人按合同约定编制和整理竣工资料；</w:t>
      </w:r>
    </w:p>
    <w:p w14:paraId="5E6BE86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（43）在合同工程的缺陷责任期内，检查承包人剩余工程的实施；巡视检查已完工程，指示承包人修复发生的工程缺陷，调查、确认缺陷责任及修复费用；</w:t>
      </w:r>
    </w:p>
    <w:p w14:paraId="337ADD6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（44）缺陷责任期结束，经检查符合条件时，签发合同工程缺陷责任终止证书；</w:t>
      </w:r>
    </w:p>
    <w:p w14:paraId="53640C0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（45）签认最后支付证书；</w:t>
      </w:r>
    </w:p>
    <w:p w14:paraId="68294A7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（46）参加工程竣工验收；</w:t>
      </w:r>
    </w:p>
    <w:p w14:paraId="6E499CE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（47）按照项目专用合同条款约定提供其他工程管理咨询服务。</w:t>
      </w:r>
    </w:p>
    <w:p w14:paraId="0D1B9ED2">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5.4 监理文件要求</w:t>
      </w:r>
    </w:p>
    <w:p w14:paraId="7BD5E4A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第5.4.3项细化为：</w:t>
      </w:r>
    </w:p>
    <w:p w14:paraId="168875D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公路工程施工监理规范》的规定。</w:t>
      </w:r>
    </w:p>
    <w:p w14:paraId="23C191C5">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本条补充第5.5款至第5.7款：</w:t>
      </w:r>
    </w:p>
    <w:p w14:paraId="3EC7C996">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5.5 监理服务形式</w:t>
      </w:r>
    </w:p>
    <w:p w14:paraId="78CD4CD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监理人应根据工程规模、难易程度、合同工期安排、现场条件等因素设置现场监理的组织机构并满足合同要求。委托人对监理人的机构设置要求在项目专用合同条款中约定。</w:t>
      </w:r>
      <w:bookmarkEnd w:id="630"/>
    </w:p>
    <w:p w14:paraId="6885076A">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5.6 监理服务目标</w:t>
      </w:r>
    </w:p>
    <w:p w14:paraId="3F3C387B">
      <w:pPr>
        <w:spacing w:line="360" w:lineRule="auto"/>
        <w:ind w:firstLine="422" w:firstLineChars="200"/>
        <w:jc w:val="both"/>
        <w:rPr>
          <w:rFonts w:hint="eastAsia" w:ascii="Times New Roman" w:hAnsi="Times New Roman" w:eastAsia="宋体" w:cs="宋体"/>
          <w:color w:val="auto"/>
          <w:kern w:val="21"/>
          <w:highlight w:val="none"/>
          <w:lang w:eastAsia="zh-CN"/>
        </w:rPr>
      </w:pPr>
      <w:bookmarkStart w:id="638" w:name="_Toc493143922"/>
      <w:r>
        <w:rPr>
          <w:rFonts w:hint="eastAsia" w:ascii="Times New Roman" w:hAnsi="Times New Roman" w:eastAsia="宋体" w:cs="宋体"/>
          <w:b/>
          <w:bCs/>
          <w:color w:val="auto"/>
          <w:kern w:val="21"/>
          <w:highlight w:val="none"/>
          <w:lang w:eastAsia="zh-CN"/>
        </w:rPr>
        <w:t>5.6.1</w:t>
      </w:r>
      <w:r>
        <w:rPr>
          <w:rFonts w:hint="eastAsia" w:ascii="Times New Roman" w:hAnsi="Times New Roman" w:eastAsia="宋体" w:cs="宋体"/>
          <w:color w:val="auto"/>
          <w:kern w:val="21"/>
          <w:highlight w:val="none"/>
          <w:lang w:eastAsia="zh-CN"/>
        </w:rPr>
        <w:t xml:space="preserve"> 监理服务履约目标：除项目专用合同条款另有约定外，监理人提供的监理服务，应当符合国家有关法律、法规和标准规范，满足合同约定的服务内容和质量等要求。</w:t>
      </w:r>
    </w:p>
    <w:p w14:paraId="71A47017">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5.6.2</w:t>
      </w:r>
      <w:r>
        <w:rPr>
          <w:rFonts w:hint="eastAsia" w:ascii="Times New Roman" w:hAnsi="Times New Roman" w:eastAsia="宋体" w:cs="宋体"/>
          <w:color w:val="auto"/>
          <w:kern w:val="21"/>
          <w:highlight w:val="none"/>
          <w:lang w:eastAsia="zh-CN"/>
        </w:rPr>
        <w:t xml:space="preserve"> 对第三方履约管理的服务目标：在项目专用合同条款中约定。</w:t>
      </w:r>
    </w:p>
    <w:p w14:paraId="4E1E0929">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5.7 委托人对监理人的授权</w:t>
      </w:r>
    </w:p>
    <w:p w14:paraId="29C4D378">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5.7.1 </w:t>
      </w:r>
      <w:r>
        <w:rPr>
          <w:rFonts w:hint="eastAsia" w:ascii="Times New Roman" w:hAnsi="Times New Roman" w:eastAsia="宋体" w:cs="宋体"/>
          <w:color w:val="auto"/>
          <w:kern w:val="21"/>
          <w:highlight w:val="none"/>
          <w:lang w:eastAsia="zh-CN"/>
        </w:rPr>
        <w:t>监理人根据监理合同提供监理服务时，在委托人授权权限范围内开展工作。授权权限在项目专用合同条款中约定。</w:t>
      </w:r>
    </w:p>
    <w:p w14:paraId="078AB343">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5.7.2 </w:t>
      </w:r>
      <w:r>
        <w:rPr>
          <w:rFonts w:hint="eastAsia" w:ascii="Times New Roman" w:hAnsi="Times New Roman" w:eastAsia="宋体" w:cs="宋体"/>
          <w:color w:val="auto"/>
          <w:kern w:val="21"/>
          <w:highlight w:val="none"/>
          <w:lang w:eastAsia="zh-CN"/>
        </w:rPr>
        <w:t>如果监理人在监理服务过程中行使的权力或所需的授权，来自于委托人和第三方签订的工程合同文件，该合同文件应成为本监理合同的组成部分，两者之间如出现矛盾，则应编制补充说明文件一并列入监理合同。监理人应：</w:t>
      </w:r>
    </w:p>
    <w:p w14:paraId="01D77FF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（1）根据监理合同文件和工程合同文件提供监理服务；</w:t>
      </w:r>
    </w:p>
    <w:p w14:paraId="437B94A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（2）根据职责范围，在委托人和第三方之间独立公正地行使上述合同文件赋予的权力；</w:t>
      </w:r>
    </w:p>
    <w:p w14:paraId="7F1A161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（3）根据上述合同文件的授权，对相应的工程和合同事宜进行变更，但未经委托人的书面批准，不得变更工程合同文件中约定的工程标准和第三方的责任与义务。</w:t>
      </w:r>
    </w:p>
    <w:p w14:paraId="35827D39">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39" w:name="_Toc503518018"/>
      <w:r>
        <w:rPr>
          <w:rFonts w:hint="eastAsia" w:ascii="Times New Roman" w:hAnsi="Times New Roman" w:eastAsia="宋体" w:cs="宋体"/>
          <w:b/>
          <w:bCs/>
          <w:color w:val="auto"/>
          <w:kern w:val="21"/>
          <w:sz w:val="28"/>
          <w:szCs w:val="28"/>
          <w:highlight w:val="none"/>
          <w:lang w:eastAsia="zh-CN"/>
        </w:rPr>
        <w:t>6. 开始监理和完成监理</w:t>
      </w:r>
      <w:bookmarkEnd w:id="639"/>
    </w:p>
    <w:p w14:paraId="0602B2BF">
      <w:pPr>
        <w:spacing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40" w:name="_Toc493143944"/>
      <w:r>
        <w:rPr>
          <w:rFonts w:hint="eastAsia" w:ascii="Times New Roman" w:hAnsi="Times New Roman" w:eastAsia="宋体" w:cs="宋体"/>
          <w:b/>
          <w:bCs/>
          <w:color w:val="auto"/>
          <w:kern w:val="21"/>
          <w:sz w:val="24"/>
          <w:szCs w:val="24"/>
          <w:highlight w:val="none"/>
          <w:lang w:eastAsia="zh-CN"/>
        </w:rPr>
        <w:t>6.1 开始监理</w:t>
      </w:r>
    </w:p>
    <w:p w14:paraId="0E79C80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第6.1.1项细化为：</w:t>
      </w:r>
    </w:p>
    <w:p w14:paraId="10685037">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6.1.1</w:t>
      </w:r>
      <w:r>
        <w:rPr>
          <w:rFonts w:hint="eastAsia" w:ascii="Times New Roman" w:hAnsi="Times New Roman" w:eastAsia="宋体" w:cs="宋体"/>
          <w:color w:val="auto"/>
          <w:kern w:val="21"/>
          <w:highlight w:val="none"/>
          <w:lang w:eastAsia="zh-CN"/>
        </w:rPr>
        <w:t xml:space="preserve"> 符合项目专用合同条款约定的开始监理条件的，委托人应提前7天向监理人发出开始监理通知。监理服务期限自开始监理通知中载明的开始监理日期及监理人首批人员实际进场日期起算，以时间在后者为准。</w:t>
      </w:r>
    </w:p>
    <w:bookmarkEnd w:id="640"/>
    <w:p w14:paraId="67213BB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监理人应按照监理合同约定的时间和有关期限履行和完成监理服务，根据本项目工程的进展情况和委托人批准的人员进场计划，安排监理人员及时进场。</w:t>
      </w:r>
    </w:p>
    <w:p w14:paraId="5BD31F07">
      <w:pPr>
        <w:spacing w:line="360" w:lineRule="auto"/>
        <w:jc w:val="both"/>
        <w:outlineLvl w:val="4"/>
        <w:rPr>
          <w:rFonts w:hint="eastAsia" w:ascii="Times New Roman" w:hAnsi="Times New Roman" w:eastAsia="宋体" w:cs="宋体"/>
          <w:color w:val="auto"/>
          <w:kern w:val="21"/>
          <w:highlight w:val="none"/>
          <w:lang w:eastAsia="zh-CN"/>
        </w:rPr>
      </w:pPr>
      <w:bookmarkStart w:id="641" w:name="_Toc493143947"/>
      <w:r>
        <w:rPr>
          <w:rFonts w:hint="eastAsia" w:ascii="Times New Roman" w:hAnsi="Times New Roman" w:eastAsia="宋体" w:cs="宋体"/>
          <w:color w:val="auto"/>
          <w:kern w:val="21"/>
          <w:highlight w:val="none"/>
          <w:lang w:eastAsia="zh-CN"/>
        </w:rPr>
        <w:t>新增补充第6.4款：</w:t>
      </w:r>
    </w:p>
    <w:p w14:paraId="5C726B93">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6.4 监理工作的暂停与</w:t>
      </w:r>
      <w:bookmarkEnd w:id="641"/>
      <w:r>
        <w:rPr>
          <w:rFonts w:hint="eastAsia" w:ascii="Times New Roman" w:hAnsi="Times New Roman" w:eastAsia="宋体" w:cs="宋体"/>
          <w:b/>
          <w:bCs/>
          <w:color w:val="auto"/>
          <w:kern w:val="21"/>
          <w:sz w:val="24"/>
          <w:szCs w:val="24"/>
          <w:highlight w:val="none"/>
          <w:lang w:eastAsia="zh-CN"/>
        </w:rPr>
        <w:t>监理合同的解除</w:t>
      </w:r>
    </w:p>
    <w:p w14:paraId="6F56ACF9">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6.4.1 </w:t>
      </w:r>
      <w:r>
        <w:rPr>
          <w:rFonts w:hint="eastAsia" w:ascii="Times New Roman" w:hAnsi="Times New Roman" w:eastAsia="宋体" w:cs="宋体"/>
          <w:color w:val="auto"/>
          <w:kern w:val="21"/>
          <w:highlight w:val="none"/>
          <w:lang w:eastAsia="zh-CN"/>
        </w:rPr>
        <w:t>出现根据本监理合同的约定不应由监理人负责的情况，且该情况已使监理人不能继续履行全部或部分监理服务时，监理人应立即书面通知委托人，并视情况采取相应措施：</w:t>
      </w:r>
    </w:p>
    <w:p w14:paraId="3562647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（1）不得不暂停或减缓某些监理服务时，则上述服务的完成期限应予以延长，因此增加的监理服务工作量或延长的服务期限，委托人应按合同条款约定进行调整。</w:t>
      </w:r>
    </w:p>
    <w:p w14:paraId="5547E4A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全部监理服务已无法继续履行时，监理人在书面通知委托人28日之后，有权单方面解除本监理合同，因此增加的监理服务工作量所涉及费用，委托人应按合同条款约定进行调整，同时应及时向监理人返还全部或剩余部分的履约保证金。</w:t>
      </w:r>
    </w:p>
    <w:p w14:paraId="0D46620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（3）因不可抗力致使本监理合同不能履行或只能部分履行时，应按照本合同第10条规定的程序暂停监理服务或解除监理合同。</w:t>
      </w:r>
    </w:p>
    <w:p w14:paraId="0C35E354">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6.4.2</w:t>
      </w:r>
      <w:r>
        <w:rPr>
          <w:rFonts w:hint="eastAsia" w:ascii="Times New Roman" w:hAnsi="Times New Roman" w:eastAsia="宋体" w:cs="宋体"/>
          <w:color w:val="auto"/>
          <w:kern w:val="21"/>
          <w:highlight w:val="none"/>
          <w:lang w:eastAsia="zh-CN"/>
        </w:rPr>
        <w:t xml:space="preserve"> 委托人要求监理人全部或部分暂停监理服务或解除本监理合同时，必须在56日之前发出书面通知。监理人在接到通知后，应立即安排停止全部或部分监理服务并将相关费用开支减至最小。因此增加的监理服务工作量所涉及的费用，委托人应按合同条款约定进行调整，同时及时向监理人返还全部或剩余部分的履约保证金。</w:t>
      </w:r>
    </w:p>
    <w:p w14:paraId="72CAE964">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6.4.3</w:t>
      </w:r>
      <w:r>
        <w:rPr>
          <w:rFonts w:hint="eastAsia" w:ascii="Times New Roman" w:hAnsi="Times New Roman" w:eastAsia="宋体" w:cs="宋体"/>
          <w:color w:val="auto"/>
          <w:kern w:val="21"/>
          <w:highlight w:val="none"/>
          <w:lang w:eastAsia="zh-CN"/>
        </w:rPr>
        <w:t xml:space="preserve"> 监理人无正当的理由，未根据监理合同的约定履行全部或部分监理服务，委托人可书面要求监理人予以解释。若监理人在28日内未能根据本监理合同给予合理的答复，委托人可在进一步发出书面通知14日后，单方面解除本监理合同，并视情况没收监理人的全部或部分履约保证金。</w:t>
      </w:r>
    </w:p>
    <w:p w14:paraId="06C271C0">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6.4.4</w:t>
      </w:r>
      <w:r>
        <w:rPr>
          <w:rFonts w:hint="eastAsia" w:ascii="Times New Roman" w:hAnsi="Times New Roman" w:eastAsia="宋体" w:cs="宋体"/>
          <w:color w:val="auto"/>
          <w:kern w:val="21"/>
          <w:highlight w:val="none"/>
          <w:lang w:eastAsia="zh-CN"/>
        </w:rPr>
        <w:t xml:space="preserve"> 委托人拖延支付监理服务费用，并已超过合同条款约定支付期限后28日，或根据本合同第6.4.1款（1）目或第6.4.2项的约定，暂停监理服务已超过6个月，监理人可书面要求委托人予以解释。若委托人在28天内未能根据本监理合同给予合理的答复，监理人可在进一步发出书面通知14日后，单方面解除本监理合同或自行暂停全部或部分监理服务。因此增加的监理服务工作量所涉及的费用，委托人应按合同条款约定进行调整，同时应及时向监理人返还全部或剩余部分的履约保证金。</w:t>
      </w:r>
    </w:p>
    <w:p w14:paraId="11DF8CA2">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6.4.5 </w:t>
      </w:r>
      <w:r>
        <w:rPr>
          <w:rFonts w:hint="eastAsia" w:ascii="Times New Roman" w:hAnsi="Times New Roman" w:eastAsia="宋体" w:cs="宋体"/>
          <w:color w:val="auto"/>
          <w:kern w:val="21"/>
          <w:highlight w:val="none"/>
          <w:lang w:eastAsia="zh-CN"/>
        </w:rPr>
        <w:t>监理合同的解除，不得损害或影响双方根据本监理合同应有的义务、责任、权力和利益。</w:t>
      </w:r>
    </w:p>
    <w:p w14:paraId="57E7425A">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42" w:name="_Toc503518019"/>
      <w:r>
        <w:rPr>
          <w:rFonts w:hint="eastAsia" w:ascii="Times New Roman" w:hAnsi="Times New Roman" w:eastAsia="宋体" w:cs="宋体"/>
          <w:b/>
          <w:bCs/>
          <w:color w:val="auto"/>
          <w:kern w:val="21"/>
          <w:sz w:val="28"/>
          <w:szCs w:val="28"/>
          <w:highlight w:val="none"/>
          <w:lang w:eastAsia="zh-CN"/>
        </w:rPr>
        <w:t>7. 监理责任与保险</w:t>
      </w:r>
      <w:bookmarkEnd w:id="642"/>
    </w:p>
    <w:p w14:paraId="71D7F583">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7.1 监理责任主体</w:t>
      </w:r>
    </w:p>
    <w:p w14:paraId="09C14B0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第7.1.2项、7.1.3项细化为：</w:t>
      </w:r>
    </w:p>
    <w:p w14:paraId="1D1DC5F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7.1.2 </w:t>
      </w:r>
      <w:r>
        <w:rPr>
          <w:rFonts w:hint="eastAsia" w:ascii="Times New Roman" w:hAnsi="Times New Roman" w:eastAsia="宋体" w:cs="宋体"/>
          <w:color w:val="auto"/>
          <w:kern w:val="21"/>
          <w:highlight w:val="none"/>
          <w:lang w:eastAsia="zh-CN"/>
        </w:rPr>
        <w:t>监理人应当建立健全工程质量保证体系，制定质量管理制度，强化工程质量管理措施，完善工程质量目标保障机制。</w:t>
      </w:r>
    </w:p>
    <w:p w14:paraId="0754675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本工程施行质量责任终身制。监理人应当书面明确相应的总监理工程师和质量负责人。监理人的相关人员按照国家法律法规和有关规定在工程合理使用年限内承担相应的质量责任。</w:t>
      </w:r>
    </w:p>
    <w:p w14:paraId="13D8A299">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7.1.3 </w:t>
      </w:r>
      <w:r>
        <w:rPr>
          <w:rFonts w:hint="eastAsia" w:ascii="Times New Roman" w:hAnsi="Times New Roman" w:eastAsia="宋体" w:cs="宋体"/>
          <w:color w:val="auto"/>
          <w:kern w:val="21"/>
          <w:highlight w:val="none"/>
          <w:lang w:eastAsia="zh-CN"/>
        </w:rPr>
        <w:t>监理人对施工质量负监理责任，应当按合同约定设立现场监理机构，按规定程序和标准进行工程质量检查、检测和验收，对发现的质量问题及时督促整改，不得降低工程质量标准。</w:t>
      </w:r>
    </w:p>
    <w:p w14:paraId="70C103E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本工程交工验收前，监理人应当根据有关标准和规范要求对工程质量进行检查验证，编制工程质量评定或者评估报告，并提交委托人。</w:t>
      </w:r>
    </w:p>
    <w:p w14:paraId="606B5FE6">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7.1.4 </w:t>
      </w:r>
      <w:r>
        <w:rPr>
          <w:rFonts w:hint="eastAsia" w:ascii="Times New Roman" w:hAnsi="Times New Roman" w:eastAsia="宋体" w:cs="宋体"/>
          <w:color w:val="auto"/>
          <w:kern w:val="21"/>
          <w:highlight w:val="none"/>
          <w:lang w:eastAsia="zh-CN"/>
        </w:rPr>
        <w:t>监理人应当按照合同约定设立工地临时试验室，严格按照工程技术标准、检测规范和规程，在核定的试验检测参数范围内开展试验检测活动。</w:t>
      </w:r>
    </w:p>
    <w:p w14:paraId="58B67F5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监理人应当对其设立的工地临时试验室所出具的试验检测数据和报告的真实性、客观性、准确性负责。</w:t>
      </w:r>
    </w:p>
    <w:p w14:paraId="3666F20B">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新增第7.3项：</w:t>
      </w:r>
    </w:p>
    <w:p w14:paraId="27809DC8">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7.3 人员和设备保险</w:t>
      </w:r>
    </w:p>
    <w:p w14:paraId="6F2CE0E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14:paraId="057A9AD2">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43" w:name="_Toc503518020"/>
      <w:r>
        <w:rPr>
          <w:rFonts w:hint="eastAsia" w:ascii="Times New Roman" w:hAnsi="Times New Roman" w:eastAsia="宋体" w:cs="宋体"/>
          <w:b/>
          <w:bCs/>
          <w:color w:val="auto"/>
          <w:kern w:val="21"/>
          <w:sz w:val="28"/>
          <w:szCs w:val="28"/>
          <w:highlight w:val="none"/>
          <w:lang w:eastAsia="zh-CN"/>
        </w:rPr>
        <w:t>8. 合同变更</w:t>
      </w:r>
      <w:bookmarkEnd w:id="643"/>
    </w:p>
    <w:p w14:paraId="039DEE58">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8.1 变更情形</w:t>
      </w:r>
    </w:p>
    <w:p w14:paraId="7AC0CB0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第8.1.1项细化为：</w:t>
      </w:r>
    </w:p>
    <w:p w14:paraId="122A4FF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合同履行中发生下述情形时，合同一方均可向对方提出变更请求，经双方协商一致后进行变更，监理服务期限和监理报酬的调整方法在项目专用合同条款中约定。</w:t>
      </w:r>
    </w:p>
    <w:p w14:paraId="1AB9E51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（1）监理范围发生变化；</w:t>
      </w:r>
    </w:p>
    <w:p w14:paraId="004522F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（2）除不可抗力外，非监理人的原因引起的周期延误；</w:t>
      </w:r>
    </w:p>
    <w:p w14:paraId="219C347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（3）非监理人的原因，对工程同一部分重复进行监理；</w:t>
      </w:r>
    </w:p>
    <w:p w14:paraId="02D7496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（4）非监理人的原因，对工程暂停监理及恢复监理；</w:t>
      </w:r>
    </w:p>
    <w:p w14:paraId="76CBB8C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（5）监理服务的形式与内容发生变化；</w:t>
      </w:r>
    </w:p>
    <w:p w14:paraId="592A9C7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（6）因委托人或第三方的责任，阻碍或延误了监理人履行监理服务；</w:t>
      </w:r>
    </w:p>
    <w:p w14:paraId="343EBB0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（7）委托人提出高于监理合同约定的服务目标，监理人为完成此目标导致增加投入。</w:t>
      </w:r>
    </w:p>
    <w:p w14:paraId="6C1F41C1">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44" w:name="_Toc503518021"/>
      <w:r>
        <w:rPr>
          <w:rFonts w:hint="eastAsia" w:ascii="Times New Roman" w:hAnsi="Times New Roman" w:eastAsia="宋体" w:cs="宋体"/>
          <w:b/>
          <w:bCs/>
          <w:color w:val="auto"/>
          <w:kern w:val="21"/>
          <w:sz w:val="28"/>
          <w:szCs w:val="28"/>
          <w:highlight w:val="none"/>
          <w:lang w:eastAsia="zh-CN"/>
        </w:rPr>
        <w:t>9. 合同价格与支付</w:t>
      </w:r>
      <w:bookmarkEnd w:id="644"/>
    </w:p>
    <w:p w14:paraId="487A2D9C">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9.1 合同价格</w:t>
      </w:r>
    </w:p>
    <w:p w14:paraId="1E16600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第9.1.1项细化为：</w:t>
      </w:r>
    </w:p>
    <w:p w14:paraId="04BAAF4C">
      <w:pPr>
        <w:spacing w:line="360" w:lineRule="auto"/>
        <w:ind w:firstLine="420" w:firstLineChars="200"/>
        <w:jc w:val="both"/>
        <w:rPr>
          <w:rFonts w:hint="eastAsia" w:ascii="Times New Roman" w:hAnsi="Times New Roman" w:eastAsia="宋体" w:cs="宋体"/>
          <w:color w:val="auto"/>
          <w:kern w:val="21"/>
          <w:highlight w:val="none"/>
          <w:lang w:eastAsia="zh-CN"/>
        </w:rPr>
      </w:pPr>
      <w:bookmarkStart w:id="645" w:name="_Toc493143950"/>
      <w:r>
        <w:rPr>
          <w:rFonts w:hint="eastAsia" w:ascii="Times New Roman" w:hAnsi="Times New Roman" w:eastAsia="宋体" w:cs="宋体"/>
          <w:color w:val="auto"/>
          <w:kern w:val="21"/>
          <w:highlight w:val="none"/>
          <w:lang w:eastAsia="zh-CN"/>
        </w:rPr>
        <w:t>合同价格是监理人按照合同约定完成施工准备阶段、施工阶段、验收与缺陷责任期阶段监理服务所需的全部费用</w:t>
      </w:r>
      <w:bookmarkEnd w:id="645"/>
      <w:r>
        <w:rPr>
          <w:rFonts w:hint="eastAsia" w:ascii="Times New Roman" w:hAnsi="Times New Roman" w:eastAsia="宋体" w:cs="宋体"/>
          <w:color w:val="auto"/>
          <w:kern w:val="21"/>
          <w:highlight w:val="none"/>
          <w:lang w:eastAsia="zh-CN"/>
        </w:rPr>
        <w:t>，应按投标文件格式中报价清单的内容和格式填报。</w:t>
      </w:r>
    </w:p>
    <w:p w14:paraId="22A7EAF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监理服务费用包括以下组成部分：</w:t>
      </w:r>
    </w:p>
    <w:p w14:paraId="7CE1FD4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（1）监理人员服务费；</w:t>
      </w:r>
    </w:p>
    <w:p w14:paraId="1E7C6E1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（2）监理办公设施费；</w:t>
      </w:r>
    </w:p>
    <w:p w14:paraId="7B6346E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（3）监理交通设施费；</w:t>
      </w:r>
    </w:p>
    <w:p w14:paraId="5B8E6F5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（4）监理试验设施费；</w:t>
      </w:r>
    </w:p>
    <w:p w14:paraId="0B2531F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（5）监理生活设施费。</w:t>
      </w:r>
    </w:p>
    <w:p w14:paraId="165F449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（6）利润。</w:t>
      </w:r>
    </w:p>
    <w:p w14:paraId="75DEEA2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利润外，以上各项费用应分别按施工期（涵盖施工准备阶段和施工阶段）和缺陷责任期两个阶段填报，其中监理人员服务费应填报各级监理人员的人月单价及为完成监理服务所需要的总人月数量。各类监理人员的人月单价应包括监理人员履行监理服务时由于施工工艺的连续性导致不可避免的加班费用，在上述情况发生时，委托人将不考虑另行支付监理人员的加班费用。</w:t>
      </w:r>
    </w:p>
    <w:p w14:paraId="0423773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监理人因完成本项目施工监理服务需计取的企业管理费及需缴纳的一切税费均由监理人承担，并包含在所报的各项监理服务费用之内，委托人不单独支付。</w:t>
      </w:r>
    </w:p>
    <w:p w14:paraId="14941A5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除本合同第8条约定的变更情形和项目专用合同条款约定的其他情形外，本监理合同的监理服务费用在合同实施期间一律不予调整。</w:t>
      </w:r>
    </w:p>
    <w:p w14:paraId="382A58B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除项目专用合同条款另有约定外，因工程提前完成导致监理服务期限缩短，且在监理人已履行本合同规定义务的情况下，委托人不能以监理人提前完成监理为由而减少监理报酬。</w:t>
      </w:r>
    </w:p>
    <w:p w14:paraId="586364D8">
      <w:pPr>
        <w:spacing w:line="360" w:lineRule="auto"/>
        <w:ind w:firstLine="420" w:firstLineChars="200"/>
        <w:jc w:val="both"/>
        <w:rPr>
          <w:rFonts w:hint="eastAsia" w:ascii="Times New Roman" w:hAnsi="Times New Roman" w:eastAsia="宋体" w:cs="宋体"/>
          <w:color w:val="auto"/>
          <w:kern w:val="21"/>
          <w:highlight w:val="none"/>
          <w:lang w:eastAsia="zh-CN"/>
        </w:rPr>
      </w:pPr>
      <w:bookmarkStart w:id="646" w:name="_Toc493143951"/>
      <w:r>
        <w:rPr>
          <w:rFonts w:hint="eastAsia" w:ascii="Times New Roman" w:hAnsi="Times New Roman" w:eastAsia="宋体" w:cs="宋体"/>
          <w:color w:val="auto"/>
          <w:kern w:val="21"/>
          <w:highlight w:val="none"/>
          <w:lang w:eastAsia="zh-CN"/>
        </w:rPr>
        <w:t>第9.2款细化为：</w:t>
      </w:r>
    </w:p>
    <w:bookmarkEnd w:id="646"/>
    <w:p w14:paraId="00B70AC3">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9.2 预付款</w:t>
      </w:r>
    </w:p>
    <w:p w14:paraId="1DB4EEA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为使监理服务能够及时开展，委托人应在监理合同签订后7日内按监理服务费总额的10%向监理人支付预付款，项目专用合同条款另有约定的除外。</w:t>
      </w:r>
    </w:p>
    <w:p w14:paraId="3D545AA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预付款在施工阶段监理服务费支付的累计金额达到“中标监理服务费总价”的30%时开始抵扣，全部预付款应在施工阶段监理服务费累计支付到“中标监理服务费总价”的80%时扣完。</w:t>
      </w:r>
    </w:p>
    <w:p w14:paraId="28DD363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预付款应专用于本工程的监理。监理人无须向委托人提交预付款保函，但监理人提交的履约保证金对预付款的正常使用承担保证责任。</w:t>
      </w:r>
    </w:p>
    <w:p w14:paraId="5BB87D5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第9.3款细化为：</w:t>
      </w:r>
    </w:p>
    <w:p w14:paraId="06D14922">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9.3 中期支付</w:t>
      </w:r>
    </w:p>
    <w:p w14:paraId="75F19F6C">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9.3.1 </w:t>
      </w:r>
      <w:r>
        <w:rPr>
          <w:rFonts w:hint="eastAsia" w:ascii="Times New Roman" w:hAnsi="Times New Roman" w:eastAsia="宋体" w:cs="宋体"/>
          <w:color w:val="auto"/>
          <w:kern w:val="21"/>
          <w:highlight w:val="none"/>
          <w:lang w:eastAsia="zh-CN"/>
        </w:rPr>
        <w:t>监理人应在各月末向委托人提交由总监理工程师签署的按委托人批准格式填写的监理服务费付款申请单一式三份，该付款申请单包括以下栏目，监理人应逐项填写清楚：</w:t>
      </w:r>
    </w:p>
    <w:p w14:paraId="52D4D61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（1）本月应向监理人支付的（结算的）监理服务费用；</w:t>
      </w:r>
    </w:p>
    <w:p w14:paraId="498DB0E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（2）本月应支付的监理服务变更费用；</w:t>
      </w:r>
    </w:p>
    <w:p w14:paraId="1E392DD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（3）本月应支付的预付款；</w:t>
      </w:r>
    </w:p>
    <w:p w14:paraId="342CD6C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（4）根据合同规定，本月应结算的其他款项；</w:t>
      </w:r>
    </w:p>
    <w:p w14:paraId="79BD4663">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（5）本月应扣回的预付款；</w:t>
      </w:r>
    </w:p>
    <w:p w14:paraId="3E99F8F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（6）根据合同规定，本月应扣除的其他款项。</w:t>
      </w:r>
    </w:p>
    <w:p w14:paraId="6CF77ABA">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9.3.2 </w:t>
      </w:r>
      <w:r>
        <w:rPr>
          <w:rFonts w:hint="eastAsia" w:ascii="Times New Roman" w:hAnsi="Times New Roman" w:eastAsia="宋体" w:cs="宋体"/>
          <w:color w:val="auto"/>
          <w:kern w:val="21"/>
          <w:highlight w:val="none"/>
          <w:lang w:eastAsia="zh-CN"/>
        </w:rPr>
        <w:t>委托人将在收到监理人提交的监理服务费付款申请单后28日内进行核实并予以支付。除项目专用条款另有约定外，支付原则如下：</w:t>
      </w:r>
    </w:p>
    <w:p w14:paraId="4FA23F6F">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施工期间的监理人员服务费根据各级监理人员的人月单价及本月实际完成的监理服务时间计算并支付（各岗位监理人员的人月数以监理人记录并经委托人签字确认的监理人员出勤情况为依据）。本项目各月累计支付的监理人员服务费总额不得超过监理人在监理服务费报价清单中填报的施工期监理人员服务费合计金额，超过部分委托人将不再予以支付。</w:t>
      </w:r>
      <w:r>
        <w:rPr>
          <w:rFonts w:hint="eastAsia" w:ascii="Times New Roman" w:hAnsi="Times New Roman" w:eastAsia="宋体" w:cs="宋体"/>
          <w:color w:val="auto"/>
          <w:kern w:val="21"/>
          <w:highlight w:val="none"/>
          <w:vertAlign w:val="superscript"/>
          <w:lang w:eastAsia="zh-CN"/>
        </w:rPr>
        <w:footnoteReference w:id="0"/>
      </w:r>
    </w:p>
    <w:p w14:paraId="59C598B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施工期间的监理办公设施费、交通设施费、试验设施费及生活设施费由监理人包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11.1.2项的规定从其报价总额中扣除违约赔偿金。</w:t>
      </w:r>
    </w:p>
    <w:p w14:paraId="389BB8D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（3）缺陷责任期内的监理人员服务费、监理办公设施费、交通设施费、试验设施费及生活设施费将在本项目的缺陷责任期开始后，分四次等额支付给监理人。</w:t>
      </w:r>
    </w:p>
    <w:p w14:paraId="1C1EC8C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（4）监理服务变更费用经双方协商确认后，在监理服务所对应工作期限内按月平均支付或按双方所签订补充协议约定的支付方式进行支付。</w:t>
      </w:r>
    </w:p>
    <w:p w14:paraId="24BF7F16">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（5）根据合同条款第8.2.2项约定对监理人的奖励，委托人应于对监理人的当期支付费用中一次性支付；</w:t>
      </w:r>
    </w:p>
    <w:p w14:paraId="15F5D41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根据合同条款第11.1款确定的监理人对委托人的违约赔偿金，由委托人从对监理人的当期监理服务费计量支付报表中予以核减；当期监理服务费不足以抵扣违约赔偿金时，则从后续监理服务费计量支付报表或履约保证金中扣回；</w:t>
      </w:r>
    </w:p>
    <w:p w14:paraId="3C3BF45D">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（7）根据通用合同条款第11.2款确定的委托人对监理人的赔偿金，应由委托人与监理人协商确定后在对监理人当期支付费用中一次性支付。</w:t>
      </w:r>
    </w:p>
    <w:p w14:paraId="778ACACC">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9.3.3 </w:t>
      </w:r>
      <w:r>
        <w:rPr>
          <w:rFonts w:hint="eastAsia" w:ascii="Times New Roman" w:hAnsi="Times New Roman" w:eastAsia="宋体" w:cs="宋体"/>
          <w:color w:val="auto"/>
          <w:kern w:val="21"/>
          <w:highlight w:val="none"/>
          <w:lang w:eastAsia="zh-CN"/>
        </w:rPr>
        <w:t>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加计算相应的利息，时间自未付款项的应付之日起算。</w:t>
      </w:r>
    </w:p>
    <w:p w14:paraId="19FA58B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9.3.4 </w:t>
      </w:r>
      <w:r>
        <w:rPr>
          <w:rFonts w:hint="eastAsia" w:ascii="Times New Roman" w:hAnsi="Times New Roman" w:eastAsia="宋体" w:cs="宋体"/>
          <w:color w:val="auto"/>
          <w:kern w:val="21"/>
          <w:highlight w:val="none"/>
          <w:lang w:eastAsia="zh-CN"/>
        </w:rPr>
        <w:t>委托人对监理人要求支付的款项中的任何部分有异议的，应在收到监理人提交的书面支付申请7日内发出书面通知说明理由，但不得借此延误对监理人其他应得款项的支付。</w:t>
      </w:r>
    </w:p>
    <w:p w14:paraId="797DEE81">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9.3.5 </w:t>
      </w:r>
      <w:r>
        <w:rPr>
          <w:rFonts w:hint="eastAsia" w:ascii="Times New Roman" w:hAnsi="Times New Roman" w:eastAsia="宋体" w:cs="宋体"/>
          <w:color w:val="auto"/>
          <w:kern w:val="21"/>
          <w:highlight w:val="none"/>
          <w:lang w:eastAsia="zh-CN"/>
        </w:rPr>
        <w:t>中期支付涉及政府投资资金的，按照国库集中支付等国家相关规定和项目专用合同条款的约定执行。</w:t>
      </w:r>
    </w:p>
    <w:p w14:paraId="55B5B3F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第9.4款细化为：</w:t>
      </w:r>
    </w:p>
    <w:p w14:paraId="712A4359">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9.4 费用结算</w:t>
      </w:r>
    </w:p>
    <w:p w14:paraId="19E8194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9.4.1 </w:t>
      </w:r>
      <w:r>
        <w:rPr>
          <w:rFonts w:hint="eastAsia" w:ascii="Times New Roman" w:hAnsi="Times New Roman" w:eastAsia="宋体" w:cs="宋体"/>
          <w:color w:val="auto"/>
          <w:kern w:val="21"/>
          <w:highlight w:val="none"/>
          <w:lang w:eastAsia="zh-CN"/>
        </w:rPr>
        <w:t>在施工阶段监理服务工作结束后7日内，监理人应将至交工证书申请之日前实际发生的监理服务费用，扣减预付款和监理人赔偿金后余额的支付申请上报至委托人，委托人应在收到该支付申请后7日内予以审批，在批复后14日内向监理人支付费用。监理人在提交支付申请的同时，应按合同条款第4.2.1项的约定向委托人提交缺陷责任期保函，委托人在收到监理人提交的缺陷责任期保函后7日内向监理人返还履约保证金。</w:t>
      </w:r>
    </w:p>
    <w:p w14:paraId="72278DA6">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9.4.2 </w:t>
      </w:r>
      <w:r>
        <w:rPr>
          <w:rFonts w:hint="eastAsia" w:ascii="Times New Roman" w:hAnsi="Times New Roman" w:eastAsia="宋体" w:cs="宋体"/>
          <w:color w:val="auto"/>
          <w:kern w:val="21"/>
          <w:highlight w:val="none"/>
          <w:lang w:eastAsia="zh-CN"/>
        </w:rPr>
        <w:t>在签发工程缺陷责任终止证书后7日内，监理人应将工程缺陷责任期内未结清的监理服务费用和其他应由委托人向监理人支付的剩余款项，扣减其他应由委托人从监理人扣回的款项的支付申请上报至委托人，委托人应在收到该支付申请后7天内予以审批，在批复后14日内向监理人支付费用，同时委托人向监理人返还缺陷责任期保函。</w:t>
      </w:r>
    </w:p>
    <w:p w14:paraId="5313C274">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9.4.3 </w:t>
      </w:r>
      <w:r>
        <w:rPr>
          <w:rFonts w:hint="eastAsia" w:ascii="Times New Roman" w:hAnsi="Times New Roman" w:eastAsia="宋体" w:cs="宋体"/>
          <w:color w:val="auto"/>
          <w:kern w:val="21"/>
          <w:highlight w:val="none"/>
          <w:lang w:eastAsia="zh-CN"/>
        </w:rPr>
        <w:t>委托人在收到监理人提交的书面支付申请且监理人提交了合格的增值税专用发票后，应按上述条款约定的支付期限内支付监理服务费用。委托人未能在前述时间内完成审批或不予答复的，视为委托人同意费用结算申请。委托人未按期支付到期应付的款项，应承担违约责任，并支付逾期付款违约金，逾期付款的违约金以到期应付而未付的款项，按照银行同期贷款利率计算相应的利息，时间自未付款项的应付之日起算。</w:t>
      </w:r>
    </w:p>
    <w:p w14:paraId="3ACFAEE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9.4.4 </w:t>
      </w:r>
      <w:r>
        <w:rPr>
          <w:rFonts w:hint="eastAsia" w:ascii="Times New Roman" w:hAnsi="Times New Roman" w:eastAsia="宋体" w:cs="宋体"/>
          <w:color w:val="auto"/>
          <w:kern w:val="21"/>
          <w:highlight w:val="none"/>
          <w:lang w:eastAsia="zh-CN"/>
        </w:rPr>
        <w:t>委托人对费用结算申请内容有异议的，有权要求监理人进行修正和提供补充资料，由监理人重新提交。监理人对此有异议的，按第12条的约定执行。</w:t>
      </w:r>
    </w:p>
    <w:p w14:paraId="30B9DB18">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9.4.5 </w:t>
      </w:r>
      <w:r>
        <w:rPr>
          <w:rFonts w:hint="eastAsia" w:ascii="Times New Roman" w:hAnsi="Times New Roman" w:eastAsia="宋体" w:cs="宋体"/>
          <w:color w:val="auto"/>
          <w:kern w:val="21"/>
          <w:highlight w:val="none"/>
          <w:lang w:eastAsia="zh-CN"/>
        </w:rPr>
        <w:t>最终结清付款涉及政府投资资金的，按第9.3.5项的约定执行。</w:t>
      </w:r>
    </w:p>
    <w:p w14:paraId="5ED8A567">
      <w:pPr>
        <w:spacing w:line="360" w:lineRule="auto"/>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新增第9.5款、第9.6款：</w:t>
      </w:r>
    </w:p>
    <w:p w14:paraId="749FFF3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9.5 暂列金额</w:t>
      </w:r>
    </w:p>
    <w:p w14:paraId="4DD88F5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本合同的暂列金额在项目专用合同条款中约定。暂列金额应按委托人的书面指示全部或部分地使用，或根本不予动用。暂列金额主要用于支付监理服务的变更费用。</w:t>
      </w:r>
    </w:p>
    <w:p w14:paraId="723F57EE">
      <w:pPr>
        <w:spacing w:line="360" w:lineRule="auto"/>
        <w:jc w:val="both"/>
        <w:outlineLvl w:val="4"/>
        <w:rPr>
          <w:rFonts w:hint="eastAsia" w:ascii="Times New Roman" w:hAnsi="Times New Roman" w:eastAsia="宋体" w:cs="宋体"/>
          <w:b/>
          <w:bCs/>
          <w:color w:val="auto"/>
          <w:kern w:val="21"/>
          <w:sz w:val="24"/>
          <w:szCs w:val="24"/>
          <w:highlight w:val="none"/>
          <w:lang w:eastAsia="zh-CN"/>
        </w:rPr>
      </w:pPr>
      <w:bookmarkStart w:id="647" w:name="_Toc493143952"/>
      <w:r>
        <w:rPr>
          <w:rFonts w:hint="eastAsia" w:ascii="Times New Roman" w:hAnsi="Times New Roman" w:eastAsia="宋体" w:cs="宋体"/>
          <w:b/>
          <w:bCs/>
          <w:color w:val="auto"/>
          <w:kern w:val="21"/>
          <w:sz w:val="24"/>
          <w:szCs w:val="24"/>
          <w:highlight w:val="none"/>
          <w:lang w:eastAsia="zh-CN"/>
        </w:rPr>
        <w:t>9.6 货币</w:t>
      </w:r>
      <w:bookmarkEnd w:id="647"/>
    </w:p>
    <w:p w14:paraId="318269B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除项目专用合同条款另有约定外，委托人采用人民币支付监理服务费用。涉及外币支付的，其货币种类、比例和汇率等事宜，在项目专用合同条款中约定。</w:t>
      </w:r>
    </w:p>
    <w:bookmarkEnd w:id="638"/>
    <w:p w14:paraId="71DDD286">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48" w:name="_Toc503518022"/>
      <w:r>
        <w:rPr>
          <w:rFonts w:hint="eastAsia" w:ascii="Times New Roman" w:hAnsi="Times New Roman" w:eastAsia="宋体" w:cs="宋体"/>
          <w:b/>
          <w:bCs/>
          <w:color w:val="auto"/>
          <w:kern w:val="21"/>
          <w:sz w:val="28"/>
          <w:szCs w:val="28"/>
          <w:highlight w:val="none"/>
          <w:lang w:eastAsia="zh-CN"/>
        </w:rPr>
        <w:t>11. 违约</w:t>
      </w:r>
      <w:bookmarkEnd w:id="648"/>
    </w:p>
    <w:p w14:paraId="771A19F0">
      <w:pPr>
        <w:spacing w:line="360" w:lineRule="auto"/>
        <w:ind w:firstLine="420" w:firstLineChars="200"/>
        <w:jc w:val="both"/>
        <w:outlineLvl w:val="4"/>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第11.1款细化为：</w:t>
      </w:r>
    </w:p>
    <w:p w14:paraId="2BEDE74F">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11.1 监理人违约</w:t>
      </w:r>
    </w:p>
    <w:p w14:paraId="57726E78">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11.1.1 </w:t>
      </w:r>
      <w:r>
        <w:rPr>
          <w:rFonts w:hint="eastAsia" w:ascii="Times New Roman" w:hAnsi="Times New Roman" w:eastAsia="宋体" w:cs="宋体"/>
          <w:color w:val="auto"/>
          <w:kern w:val="21"/>
          <w:highlight w:val="none"/>
          <w:lang w:eastAsia="zh-CN"/>
        </w:rPr>
        <w:t>合同履行中发生下列情况之一的，属监理人违约：</w:t>
      </w:r>
    </w:p>
    <w:p w14:paraId="2B195F7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（1）监理文件不符合规范标准以及合同约定；</w:t>
      </w:r>
    </w:p>
    <w:p w14:paraId="267210B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（2）监理人转让或分包监理工作；</w:t>
      </w:r>
    </w:p>
    <w:p w14:paraId="22030AB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（3）监理人未按合同约定实施监理并造成工程损失；</w:t>
      </w:r>
    </w:p>
    <w:p w14:paraId="19F45CA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（4）监理人向承包人索贿、谋取私利，或与承包人串通损害委托人利益，给委托人造成损失；</w:t>
      </w:r>
    </w:p>
    <w:p w14:paraId="20E6277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（5）监理人未按《公路工程施工监理规范》的规定对主要工程或关键工序进行旁站、巡视或抽检；</w:t>
      </w:r>
    </w:p>
    <w:p w14:paraId="6E53C6C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（6）监理人未能按照投标文件的承诺或合同文件的约定配备满足监理服务需求的人员或设备；</w:t>
      </w:r>
    </w:p>
    <w:p w14:paraId="5D25D64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（7）监理人无法履行或停止履行合同；</w:t>
      </w:r>
    </w:p>
    <w:p w14:paraId="0C41BB0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（8）监理人不履行合同约定的其他义务。</w:t>
      </w:r>
    </w:p>
    <w:p w14:paraId="00384EEF">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11.1.2 </w:t>
      </w:r>
      <w:r>
        <w:rPr>
          <w:rFonts w:hint="eastAsia" w:ascii="Times New Roman" w:hAnsi="Times New Roman" w:eastAsia="宋体" w:cs="宋体"/>
          <w:color w:val="auto"/>
          <w:kern w:val="21"/>
          <w:highlight w:val="none"/>
          <w:lang w:eastAsia="zh-CN"/>
        </w:rPr>
        <w:t>监理人发生违约情况时，委托人可向监理人发出整改通知，要求其在限定期限内纠正；逾期仍不纠正的，委托人有权解除合同并向监理人发出解除合同通知。发生第11.1.1（2）目或（4）目情形时，委托人可直接发出解除合同通知。</w:t>
      </w:r>
    </w:p>
    <w:p w14:paraId="307585D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应当承担由于违约所造成的费用增加、周期延误和委托人损失等。委托人有权向监理人课以项目专用合同条款中约定的违约金，并由委托人将其违约行为上报省级交通运输主管部门，作为不良记录纳入公路建设市场信用信息管理系统。</w:t>
      </w:r>
    </w:p>
    <w:p w14:paraId="68AB9240">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11.1.3 </w:t>
      </w:r>
      <w:r>
        <w:rPr>
          <w:rFonts w:hint="eastAsia" w:ascii="Times New Roman" w:hAnsi="Times New Roman" w:eastAsia="宋体" w:cs="宋体"/>
          <w:color w:val="auto"/>
          <w:kern w:val="21"/>
          <w:highlight w:val="none"/>
          <w:lang w:eastAsia="zh-CN"/>
        </w:rPr>
        <w:t>监理人对委托人损失的赔偿责任</w:t>
      </w:r>
    </w:p>
    <w:p w14:paraId="483FCC7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监理人违反监理合同的约定并造成委托人的经济损失，应向委托人赔偿，除项目专用合同条款另有约定外，赔偿金应按下式计算：</w:t>
      </w:r>
    </w:p>
    <w:p w14:paraId="05BC9B6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赔偿金=委托人直接经济损失所对应的监理费×监理人应承担责任的比例</w:t>
      </w:r>
    </w:p>
    <w:p w14:paraId="60A1D9F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对由于第三方责任造成的任何经济损失，不承担责任。如果监理人与委托人或第三方对有关经济损失共负责任时，应按责任比例计算赔偿。监理人的上述责任赔偿，均应按照本合同条款第11.5款的约定办理。</w:t>
      </w:r>
    </w:p>
    <w:p w14:paraId="34E7A42E">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11.1.4 </w:t>
      </w:r>
      <w:r>
        <w:rPr>
          <w:rFonts w:hint="eastAsia" w:ascii="Times New Roman" w:hAnsi="Times New Roman" w:eastAsia="宋体" w:cs="宋体"/>
          <w:color w:val="auto"/>
          <w:kern w:val="21"/>
          <w:highlight w:val="none"/>
          <w:lang w:eastAsia="zh-CN"/>
        </w:rPr>
        <w:t>监理人对委托人未授权的监理服务范围不承担监理责任。</w:t>
      </w:r>
    </w:p>
    <w:p w14:paraId="28F5764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第11.2款细化为：</w:t>
      </w:r>
    </w:p>
    <w:p w14:paraId="4887C8B0">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11.2 委托人违约</w:t>
      </w:r>
    </w:p>
    <w:p w14:paraId="2FF03C0D">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11.2.1</w:t>
      </w:r>
      <w:r>
        <w:rPr>
          <w:rFonts w:hint="eastAsia" w:ascii="Times New Roman" w:hAnsi="Times New Roman" w:eastAsia="宋体" w:cs="宋体"/>
          <w:color w:val="auto"/>
          <w:kern w:val="21"/>
          <w:highlight w:val="none"/>
          <w:lang w:eastAsia="zh-CN"/>
        </w:rPr>
        <w:t xml:space="preserve"> 合同履行中发生下列情况之一的，属委托人违约：</w:t>
      </w:r>
    </w:p>
    <w:p w14:paraId="005D1AF9">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（1）委托人未按合同约定支付监理报酬；</w:t>
      </w:r>
    </w:p>
    <w:p w14:paraId="1131124C">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（2）委托人原因造成监理停止；</w:t>
      </w:r>
    </w:p>
    <w:p w14:paraId="6FA5EB6A">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（3）委托人无法履行或停止履行合同；</w:t>
      </w:r>
    </w:p>
    <w:p w14:paraId="6A27E744">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（4）委托人无正当理由不按时返还履约保证金或缺陷责任期保函；</w:t>
      </w:r>
    </w:p>
    <w:p w14:paraId="5D714395">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（5）委托人不履行合同约定的其他义务。</w:t>
      </w:r>
    </w:p>
    <w:p w14:paraId="6658504C">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11.2.2</w:t>
      </w:r>
      <w:r>
        <w:rPr>
          <w:rFonts w:hint="eastAsia" w:ascii="Times New Roman" w:hAnsi="Times New Roman" w:eastAsia="宋体" w:cs="宋体"/>
          <w:color w:val="auto"/>
          <w:kern w:val="21"/>
          <w:highlight w:val="none"/>
          <w:lang w:eastAsia="zh-CN"/>
        </w:rPr>
        <w:t xml:space="preserve">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监理人有权向委托人课以专用合同条款中约定的违约金。</w:t>
      </w:r>
    </w:p>
    <w:p w14:paraId="28210057">
      <w:pPr>
        <w:spacing w:line="360" w:lineRule="auto"/>
        <w:ind w:firstLine="422"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b/>
          <w:bCs/>
          <w:color w:val="auto"/>
          <w:kern w:val="21"/>
          <w:highlight w:val="none"/>
          <w:lang w:eastAsia="zh-CN"/>
        </w:rPr>
        <w:t xml:space="preserve">11.2.3 </w:t>
      </w:r>
      <w:r>
        <w:rPr>
          <w:rFonts w:hint="eastAsia" w:ascii="Times New Roman" w:hAnsi="Times New Roman" w:eastAsia="宋体" w:cs="宋体"/>
          <w:color w:val="auto"/>
          <w:kern w:val="21"/>
          <w:highlight w:val="none"/>
          <w:lang w:eastAsia="zh-CN"/>
        </w:rPr>
        <w:t>委托人对监理人损失的赔偿责任</w:t>
      </w:r>
    </w:p>
    <w:p w14:paraId="0D3A90AE">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委托人违反监理合同的约定并造成监理人的经济损失，除项目专用合同条款另有约定外，委托人应据实赔偿监理人的直接经济损失。</w:t>
      </w:r>
    </w:p>
    <w:p w14:paraId="4C73130D">
      <w:pPr>
        <w:spacing w:line="360" w:lineRule="auto"/>
        <w:ind w:firstLine="420" w:firstLineChars="200"/>
        <w:jc w:val="both"/>
        <w:rPr>
          <w:rFonts w:hint="eastAsia" w:ascii="Times New Roman" w:hAnsi="Times New Roman" w:eastAsia="宋体" w:cs="宋体"/>
          <w:color w:val="auto"/>
          <w:kern w:val="21"/>
          <w:highlight w:val="none"/>
          <w:lang w:eastAsia="zh-CN"/>
        </w:rPr>
      </w:pPr>
      <w:bookmarkStart w:id="649" w:name="_Toc493143938"/>
      <w:r>
        <w:rPr>
          <w:rFonts w:hint="eastAsia" w:ascii="Times New Roman" w:hAnsi="Times New Roman" w:eastAsia="宋体" w:cs="宋体"/>
          <w:color w:val="auto"/>
          <w:kern w:val="21"/>
          <w:highlight w:val="none"/>
          <w:lang w:eastAsia="zh-CN"/>
        </w:rPr>
        <w:t>新增第11.4款、第11.5款：</w:t>
      </w:r>
    </w:p>
    <w:p w14:paraId="2DF848EE">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11.4 赔偿责任的期限</w:t>
      </w:r>
      <w:bookmarkEnd w:id="649"/>
    </w:p>
    <w:p w14:paraId="54E26CCC">
      <w:pPr>
        <w:spacing w:line="360" w:lineRule="auto"/>
        <w:ind w:firstLine="420" w:firstLineChars="200"/>
        <w:jc w:val="both"/>
        <w:rPr>
          <w:rFonts w:hint="eastAsia" w:ascii="Times New Roman" w:hAnsi="Times New Roman" w:eastAsia="宋体" w:cs="宋体"/>
          <w:color w:val="auto"/>
          <w:kern w:val="21"/>
          <w:highlight w:val="none"/>
          <w:lang w:eastAsia="zh-CN"/>
        </w:rPr>
      </w:pPr>
      <w:bookmarkStart w:id="650" w:name="_Toc493143939"/>
      <w:r>
        <w:rPr>
          <w:rFonts w:hint="eastAsia" w:ascii="Times New Roman" w:hAnsi="Times New Roman" w:eastAsia="宋体" w:cs="宋体"/>
          <w:color w:val="auto"/>
          <w:kern w:val="21"/>
          <w:highlight w:val="none"/>
          <w:lang w:eastAsia="zh-CN"/>
        </w:rPr>
        <w:t>委托人或监理人任何一方向另一方要求的赔偿，均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委托人还是监理人，逾期未提出书面索赔意向书，均失去索赔权利。</w:t>
      </w:r>
    </w:p>
    <w:p w14:paraId="19B66DA0">
      <w:pPr>
        <w:spacing w:line="360" w:lineRule="auto"/>
        <w:jc w:val="both"/>
        <w:outlineLvl w:val="4"/>
        <w:rPr>
          <w:rFonts w:hint="eastAsia" w:ascii="Times New Roman" w:hAnsi="Times New Roman" w:eastAsia="宋体" w:cs="宋体"/>
          <w:b/>
          <w:bCs/>
          <w:color w:val="auto"/>
          <w:kern w:val="21"/>
          <w:sz w:val="24"/>
          <w:szCs w:val="24"/>
          <w:highlight w:val="none"/>
          <w:lang w:eastAsia="zh-CN"/>
        </w:rPr>
      </w:pPr>
      <w:r>
        <w:rPr>
          <w:rFonts w:hint="eastAsia" w:ascii="Times New Roman" w:hAnsi="Times New Roman" w:eastAsia="宋体" w:cs="宋体"/>
          <w:b/>
          <w:bCs/>
          <w:color w:val="auto"/>
          <w:kern w:val="21"/>
          <w:sz w:val="24"/>
          <w:szCs w:val="24"/>
          <w:highlight w:val="none"/>
          <w:lang w:eastAsia="zh-CN"/>
        </w:rPr>
        <w:t>11.5 赔偿的限额</w:t>
      </w:r>
      <w:bookmarkEnd w:id="650"/>
    </w:p>
    <w:p w14:paraId="27E2C06B">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除项目专用合同条款另有约定外，合同一方当事人向对方当事人依据本合同条款第11.1款和第11.2款支付赔偿的最高限额为：</w:t>
      </w:r>
    </w:p>
    <w:p w14:paraId="3DFA2FD7">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（1）监理人的累计赔偿限额为监理服务费总额的30%，当达到此限额时，委托人有权单方面终止监理合同，没收监理人的履约保证金。</w:t>
      </w:r>
    </w:p>
    <w:p w14:paraId="5BFBB182">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（2）委托人赔偿监理人的直接经济损失的累计限额为监理服务费总额。</w:t>
      </w:r>
    </w:p>
    <w:p w14:paraId="087DDBA0">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合同双方同意放弃超过上述限额的剩余赔偿要求，但本合同其他条款约定的补偿和由于任何一方故意违约而引起的索赔，不受该限额的限制。</w:t>
      </w:r>
    </w:p>
    <w:p w14:paraId="08BB7435">
      <w:pPr>
        <w:spacing w:before="240" w:beforeLines="100" w:after="120" w:afterLines="50" w:line="360" w:lineRule="auto"/>
        <w:jc w:val="both"/>
        <w:outlineLvl w:val="3"/>
        <w:rPr>
          <w:rFonts w:hint="eastAsia" w:ascii="Times New Roman" w:hAnsi="Times New Roman" w:eastAsia="宋体" w:cs="宋体"/>
          <w:b/>
          <w:bCs/>
          <w:color w:val="auto"/>
          <w:kern w:val="21"/>
          <w:sz w:val="28"/>
          <w:szCs w:val="28"/>
          <w:highlight w:val="none"/>
          <w:lang w:eastAsia="zh-CN"/>
        </w:rPr>
      </w:pPr>
      <w:bookmarkStart w:id="651" w:name="_Toc503518023"/>
      <w:bookmarkStart w:id="652" w:name="_Toc493143959"/>
      <w:r>
        <w:rPr>
          <w:rFonts w:hint="eastAsia" w:ascii="Times New Roman" w:hAnsi="Times New Roman" w:eastAsia="宋体" w:cs="宋体"/>
          <w:b/>
          <w:bCs/>
          <w:color w:val="auto"/>
          <w:kern w:val="21"/>
          <w:sz w:val="28"/>
          <w:szCs w:val="28"/>
          <w:highlight w:val="none"/>
          <w:lang w:eastAsia="zh-CN"/>
        </w:rPr>
        <w:t>12. 争议的解决</w:t>
      </w:r>
      <w:bookmarkEnd w:id="651"/>
    </w:p>
    <w:p w14:paraId="7897E331">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本条补充：</w:t>
      </w:r>
    </w:p>
    <w:p w14:paraId="6981AEC8">
      <w:pPr>
        <w:spacing w:line="360" w:lineRule="auto"/>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采用仲裁方式最终解决争议的项目，仲裁裁决是终局性的并对委托人和监理人双方均具有约束力。全部仲裁费用应由败诉方承担，或按仲裁委员会裁决的比例分担。</w:t>
      </w:r>
      <w:bookmarkEnd w:id="652"/>
    </w:p>
    <w:p w14:paraId="6B20084D">
      <w:pPr>
        <w:spacing w:before="69" w:line="241" w:lineRule="auto"/>
        <w:ind w:left="3156"/>
        <w:rPr>
          <w:rFonts w:ascii="宋体" w:hAnsi="宋体" w:eastAsia="宋体" w:cs="宋体"/>
          <w:b/>
          <w:bCs/>
          <w:color w:val="auto"/>
          <w:spacing w:val="5"/>
          <w:sz w:val="31"/>
          <w:szCs w:val="31"/>
          <w:highlight w:val="none"/>
        </w:rPr>
      </w:pPr>
    </w:p>
    <w:p w14:paraId="76D1ABA6">
      <w:pPr>
        <w:spacing w:before="69" w:line="241" w:lineRule="auto"/>
        <w:ind w:left="3156"/>
        <w:rPr>
          <w:rFonts w:ascii="宋体" w:hAnsi="宋体" w:eastAsia="宋体" w:cs="宋体"/>
          <w:b/>
          <w:bCs/>
          <w:color w:val="auto"/>
          <w:spacing w:val="5"/>
          <w:sz w:val="31"/>
          <w:szCs w:val="31"/>
          <w:highlight w:val="none"/>
        </w:rPr>
      </w:pPr>
    </w:p>
    <w:p w14:paraId="2E3AE7C2">
      <w:pPr>
        <w:spacing w:before="69" w:line="241" w:lineRule="auto"/>
        <w:ind w:left="3156"/>
        <w:rPr>
          <w:rFonts w:ascii="宋体" w:hAnsi="宋体" w:eastAsia="宋体" w:cs="宋体"/>
          <w:b/>
          <w:bCs/>
          <w:color w:val="auto"/>
          <w:spacing w:val="5"/>
          <w:sz w:val="31"/>
          <w:szCs w:val="31"/>
          <w:highlight w:val="none"/>
        </w:rPr>
      </w:pPr>
    </w:p>
    <w:p w14:paraId="3A59E769">
      <w:pPr>
        <w:spacing w:before="69" w:line="241" w:lineRule="auto"/>
        <w:ind w:left="3156"/>
        <w:rPr>
          <w:rFonts w:ascii="宋体" w:hAnsi="宋体" w:eastAsia="宋体" w:cs="宋体"/>
          <w:b/>
          <w:bCs/>
          <w:color w:val="auto"/>
          <w:spacing w:val="5"/>
          <w:sz w:val="31"/>
          <w:szCs w:val="31"/>
          <w:highlight w:val="none"/>
        </w:rPr>
      </w:pPr>
    </w:p>
    <w:p w14:paraId="2C0E9326">
      <w:pPr>
        <w:spacing w:before="69" w:line="241" w:lineRule="auto"/>
        <w:ind w:left="3156"/>
        <w:rPr>
          <w:rFonts w:ascii="宋体" w:hAnsi="宋体" w:eastAsia="宋体" w:cs="宋体"/>
          <w:b/>
          <w:bCs/>
          <w:color w:val="auto"/>
          <w:spacing w:val="5"/>
          <w:sz w:val="31"/>
          <w:szCs w:val="31"/>
          <w:highlight w:val="none"/>
        </w:rPr>
      </w:pPr>
    </w:p>
    <w:p w14:paraId="5E7FB5CE">
      <w:pPr>
        <w:spacing w:before="69" w:line="241" w:lineRule="auto"/>
        <w:ind w:left="3156"/>
        <w:rPr>
          <w:rFonts w:ascii="宋体" w:hAnsi="宋体" w:eastAsia="宋体" w:cs="宋体"/>
          <w:b/>
          <w:bCs/>
          <w:color w:val="auto"/>
          <w:spacing w:val="5"/>
          <w:sz w:val="31"/>
          <w:szCs w:val="31"/>
          <w:highlight w:val="none"/>
        </w:rPr>
      </w:pPr>
    </w:p>
    <w:p w14:paraId="7ED3FAE7">
      <w:pPr>
        <w:spacing w:before="69" w:line="241" w:lineRule="auto"/>
        <w:ind w:left="3156"/>
        <w:rPr>
          <w:rFonts w:ascii="宋体" w:hAnsi="宋体" w:eastAsia="宋体" w:cs="宋体"/>
          <w:b/>
          <w:bCs/>
          <w:color w:val="auto"/>
          <w:spacing w:val="5"/>
          <w:sz w:val="31"/>
          <w:szCs w:val="31"/>
          <w:highlight w:val="none"/>
        </w:rPr>
      </w:pPr>
    </w:p>
    <w:p w14:paraId="1E6557CE">
      <w:pPr>
        <w:spacing w:before="69" w:line="241" w:lineRule="auto"/>
        <w:ind w:left="3156"/>
        <w:rPr>
          <w:rFonts w:ascii="宋体" w:hAnsi="宋体" w:eastAsia="宋体" w:cs="宋体"/>
          <w:b/>
          <w:bCs/>
          <w:color w:val="auto"/>
          <w:spacing w:val="5"/>
          <w:sz w:val="31"/>
          <w:szCs w:val="31"/>
          <w:highlight w:val="none"/>
        </w:rPr>
      </w:pPr>
    </w:p>
    <w:p w14:paraId="602948A4">
      <w:pPr>
        <w:spacing w:before="69" w:line="241" w:lineRule="auto"/>
        <w:ind w:left="3156"/>
        <w:rPr>
          <w:rFonts w:ascii="宋体" w:hAnsi="宋体" w:eastAsia="宋体" w:cs="宋体"/>
          <w:b/>
          <w:bCs/>
          <w:color w:val="auto"/>
          <w:spacing w:val="5"/>
          <w:sz w:val="31"/>
          <w:szCs w:val="31"/>
          <w:highlight w:val="none"/>
        </w:rPr>
      </w:pPr>
    </w:p>
    <w:p w14:paraId="701389AD">
      <w:pPr>
        <w:spacing w:before="69" w:line="241" w:lineRule="auto"/>
        <w:ind w:left="3156"/>
        <w:rPr>
          <w:rFonts w:ascii="宋体" w:hAnsi="宋体" w:eastAsia="宋体" w:cs="宋体"/>
          <w:b/>
          <w:bCs/>
          <w:color w:val="auto"/>
          <w:spacing w:val="5"/>
          <w:sz w:val="31"/>
          <w:szCs w:val="31"/>
          <w:highlight w:val="none"/>
        </w:rPr>
      </w:pPr>
    </w:p>
    <w:p w14:paraId="292861AD">
      <w:pPr>
        <w:spacing w:before="69" w:line="241" w:lineRule="auto"/>
        <w:ind w:left="3156"/>
        <w:rPr>
          <w:rFonts w:ascii="宋体" w:hAnsi="宋体" w:eastAsia="宋体" w:cs="宋体"/>
          <w:b/>
          <w:bCs/>
          <w:color w:val="auto"/>
          <w:spacing w:val="5"/>
          <w:sz w:val="31"/>
          <w:szCs w:val="31"/>
          <w:highlight w:val="none"/>
        </w:rPr>
      </w:pPr>
    </w:p>
    <w:p w14:paraId="72DD98F0">
      <w:pPr>
        <w:spacing w:before="69" w:line="241" w:lineRule="auto"/>
        <w:ind w:left="3156"/>
        <w:rPr>
          <w:rFonts w:ascii="宋体" w:hAnsi="宋体" w:eastAsia="宋体" w:cs="宋体"/>
          <w:b/>
          <w:bCs/>
          <w:color w:val="auto"/>
          <w:spacing w:val="5"/>
          <w:sz w:val="31"/>
          <w:szCs w:val="31"/>
          <w:highlight w:val="none"/>
        </w:rPr>
      </w:pPr>
    </w:p>
    <w:p w14:paraId="7A64741F">
      <w:pPr>
        <w:spacing w:before="69" w:line="241" w:lineRule="auto"/>
        <w:ind w:left="3156"/>
        <w:rPr>
          <w:rFonts w:ascii="宋体" w:hAnsi="宋体" w:eastAsia="宋体" w:cs="宋体"/>
          <w:b/>
          <w:bCs/>
          <w:color w:val="auto"/>
          <w:spacing w:val="5"/>
          <w:sz w:val="31"/>
          <w:szCs w:val="31"/>
          <w:highlight w:val="none"/>
        </w:rPr>
      </w:pPr>
    </w:p>
    <w:p w14:paraId="1B627FB4">
      <w:pPr>
        <w:spacing w:before="69" w:line="241" w:lineRule="auto"/>
        <w:ind w:left="3156"/>
        <w:rPr>
          <w:rFonts w:ascii="宋体" w:hAnsi="宋体" w:eastAsia="宋体" w:cs="宋体"/>
          <w:b/>
          <w:bCs/>
          <w:color w:val="auto"/>
          <w:spacing w:val="5"/>
          <w:sz w:val="31"/>
          <w:szCs w:val="31"/>
          <w:highlight w:val="none"/>
        </w:rPr>
      </w:pPr>
    </w:p>
    <w:p w14:paraId="155F71FE">
      <w:pPr>
        <w:spacing w:before="69" w:line="241" w:lineRule="auto"/>
        <w:ind w:left="3156"/>
        <w:rPr>
          <w:rFonts w:ascii="宋体" w:hAnsi="宋体" w:eastAsia="宋体" w:cs="宋体"/>
          <w:b/>
          <w:bCs/>
          <w:color w:val="auto"/>
          <w:spacing w:val="5"/>
          <w:sz w:val="31"/>
          <w:szCs w:val="31"/>
          <w:highlight w:val="none"/>
        </w:rPr>
      </w:pPr>
    </w:p>
    <w:p w14:paraId="3A353327">
      <w:pPr>
        <w:spacing w:before="69" w:line="241" w:lineRule="auto"/>
        <w:ind w:left="3156"/>
        <w:rPr>
          <w:rFonts w:ascii="宋体" w:hAnsi="宋体" w:eastAsia="宋体" w:cs="宋体"/>
          <w:b/>
          <w:bCs/>
          <w:color w:val="auto"/>
          <w:spacing w:val="5"/>
          <w:sz w:val="31"/>
          <w:szCs w:val="31"/>
          <w:highlight w:val="none"/>
        </w:rPr>
      </w:pPr>
    </w:p>
    <w:p w14:paraId="0CDDA341">
      <w:pPr>
        <w:spacing w:before="69" w:line="241" w:lineRule="auto"/>
        <w:ind w:left="3156"/>
        <w:rPr>
          <w:rFonts w:ascii="宋体" w:hAnsi="宋体" w:eastAsia="宋体" w:cs="宋体"/>
          <w:b/>
          <w:bCs/>
          <w:color w:val="auto"/>
          <w:spacing w:val="5"/>
          <w:sz w:val="31"/>
          <w:szCs w:val="31"/>
          <w:highlight w:val="none"/>
        </w:rPr>
      </w:pPr>
    </w:p>
    <w:p w14:paraId="7C08C393">
      <w:pPr>
        <w:spacing w:before="69" w:line="241" w:lineRule="auto"/>
        <w:ind w:left="3156"/>
        <w:rPr>
          <w:rFonts w:ascii="宋体" w:hAnsi="宋体" w:eastAsia="宋体" w:cs="宋体"/>
          <w:b/>
          <w:bCs/>
          <w:color w:val="auto"/>
          <w:spacing w:val="5"/>
          <w:sz w:val="31"/>
          <w:szCs w:val="31"/>
          <w:highlight w:val="none"/>
        </w:rPr>
      </w:pPr>
    </w:p>
    <w:p w14:paraId="7103C91D">
      <w:pPr>
        <w:spacing w:before="69" w:line="241" w:lineRule="auto"/>
        <w:ind w:left="3156"/>
        <w:rPr>
          <w:rFonts w:ascii="宋体" w:hAnsi="宋体" w:eastAsia="宋体" w:cs="宋体"/>
          <w:b/>
          <w:bCs/>
          <w:color w:val="auto"/>
          <w:spacing w:val="5"/>
          <w:sz w:val="31"/>
          <w:szCs w:val="31"/>
          <w:highlight w:val="none"/>
        </w:rPr>
      </w:pPr>
    </w:p>
    <w:p w14:paraId="5B470735">
      <w:pPr>
        <w:spacing w:before="69" w:line="241" w:lineRule="auto"/>
        <w:ind w:left="3156"/>
        <w:rPr>
          <w:rFonts w:ascii="宋体" w:hAnsi="宋体" w:eastAsia="宋体" w:cs="宋体"/>
          <w:b/>
          <w:bCs/>
          <w:color w:val="auto"/>
          <w:spacing w:val="5"/>
          <w:sz w:val="31"/>
          <w:szCs w:val="31"/>
          <w:highlight w:val="none"/>
        </w:rPr>
      </w:pPr>
    </w:p>
    <w:p w14:paraId="6BBCCC05">
      <w:pPr>
        <w:spacing w:before="69" w:line="241" w:lineRule="auto"/>
        <w:ind w:left="3156"/>
        <w:rPr>
          <w:rFonts w:ascii="宋体" w:hAnsi="宋体" w:eastAsia="宋体" w:cs="宋体"/>
          <w:b/>
          <w:bCs/>
          <w:color w:val="auto"/>
          <w:spacing w:val="5"/>
          <w:sz w:val="31"/>
          <w:szCs w:val="31"/>
          <w:highlight w:val="none"/>
        </w:rPr>
      </w:pPr>
    </w:p>
    <w:p w14:paraId="073C12B4">
      <w:pPr>
        <w:spacing w:before="69" w:line="241" w:lineRule="auto"/>
        <w:ind w:left="3156"/>
        <w:rPr>
          <w:rFonts w:ascii="宋体" w:hAnsi="宋体" w:eastAsia="宋体" w:cs="宋体"/>
          <w:b/>
          <w:bCs/>
          <w:color w:val="auto"/>
          <w:spacing w:val="5"/>
          <w:sz w:val="31"/>
          <w:szCs w:val="31"/>
          <w:highlight w:val="none"/>
        </w:rPr>
      </w:pPr>
    </w:p>
    <w:p w14:paraId="68AD623B">
      <w:pPr>
        <w:spacing w:before="69" w:line="241" w:lineRule="auto"/>
        <w:ind w:left="3156"/>
        <w:rPr>
          <w:rFonts w:ascii="宋体" w:hAnsi="宋体" w:eastAsia="宋体" w:cs="宋体"/>
          <w:b/>
          <w:bCs/>
          <w:color w:val="auto"/>
          <w:spacing w:val="5"/>
          <w:sz w:val="31"/>
          <w:szCs w:val="31"/>
          <w:highlight w:val="none"/>
        </w:rPr>
      </w:pPr>
    </w:p>
    <w:p w14:paraId="321B96BA">
      <w:pPr>
        <w:spacing w:before="69" w:line="241" w:lineRule="auto"/>
        <w:ind w:left="3156"/>
        <w:rPr>
          <w:rFonts w:ascii="宋体" w:hAnsi="宋体" w:eastAsia="宋体" w:cs="宋体"/>
          <w:b/>
          <w:bCs/>
          <w:color w:val="auto"/>
          <w:spacing w:val="5"/>
          <w:sz w:val="31"/>
          <w:szCs w:val="31"/>
          <w:highlight w:val="none"/>
        </w:rPr>
      </w:pPr>
    </w:p>
    <w:p w14:paraId="22543C04">
      <w:pPr>
        <w:spacing w:before="69" w:line="241" w:lineRule="auto"/>
        <w:ind w:left="3156"/>
        <w:rPr>
          <w:rFonts w:ascii="宋体" w:hAnsi="宋体" w:eastAsia="宋体" w:cs="宋体"/>
          <w:b/>
          <w:bCs/>
          <w:color w:val="auto"/>
          <w:spacing w:val="5"/>
          <w:sz w:val="31"/>
          <w:szCs w:val="31"/>
          <w:highlight w:val="none"/>
        </w:rPr>
      </w:pPr>
    </w:p>
    <w:p w14:paraId="261A812F">
      <w:pPr>
        <w:spacing w:before="69" w:line="241" w:lineRule="auto"/>
        <w:ind w:left="3156"/>
        <w:rPr>
          <w:rFonts w:ascii="宋体" w:hAnsi="宋体" w:eastAsia="宋体" w:cs="宋体"/>
          <w:color w:val="auto"/>
          <w:sz w:val="16"/>
          <w:szCs w:val="16"/>
          <w:highlight w:val="none"/>
        </w:rPr>
      </w:pPr>
      <w:r>
        <w:rPr>
          <w:rFonts w:ascii="宋体" w:hAnsi="宋体" w:eastAsia="宋体" w:cs="宋体"/>
          <w:b/>
          <w:bCs/>
          <w:color w:val="auto"/>
          <w:spacing w:val="5"/>
          <w:sz w:val="31"/>
          <w:szCs w:val="31"/>
          <w:highlight w:val="none"/>
        </w:rPr>
        <w:t>B.</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项目专用合同条款</w:t>
      </w:r>
    </w:p>
    <w:p w14:paraId="20DD24CE">
      <w:pPr>
        <w:spacing w:line="464" w:lineRule="auto"/>
        <w:rPr>
          <w:rFonts w:ascii="Arial"/>
          <w:color w:val="auto"/>
          <w:sz w:val="21"/>
          <w:highlight w:val="none"/>
        </w:rPr>
      </w:pPr>
    </w:p>
    <w:p w14:paraId="6A11782F">
      <w:pPr>
        <w:spacing w:before="78" w:line="219" w:lineRule="auto"/>
        <w:ind w:left="14"/>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说</w:t>
      </w:r>
      <w:r>
        <w:rPr>
          <w:rFonts w:ascii="宋体" w:hAnsi="宋体" w:eastAsia="宋体" w:cs="宋体"/>
          <w:color w:val="auto"/>
          <w:spacing w:val="15"/>
          <w:sz w:val="24"/>
          <w:szCs w:val="24"/>
          <w:highlight w:val="none"/>
        </w:rPr>
        <w:t xml:space="preserve">  </w:t>
      </w:r>
      <w:r>
        <w:rPr>
          <w:rFonts w:ascii="宋体" w:hAnsi="宋体" w:eastAsia="宋体" w:cs="宋体"/>
          <w:color w:val="auto"/>
          <w:spacing w:val="-15"/>
          <w:sz w:val="24"/>
          <w:szCs w:val="24"/>
          <w:highlight w:val="none"/>
        </w:rPr>
        <w:t>明：</w:t>
      </w:r>
    </w:p>
    <w:p w14:paraId="30CA3ED2">
      <w:pPr>
        <w:spacing w:before="236" w:line="295" w:lineRule="auto"/>
        <w:ind w:right="93" w:firstLine="4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1.招标人在根据《公路工程标准施工监理招标文件》编制项目招标文件中的“项目</w:t>
      </w:r>
      <w:r>
        <w:rPr>
          <w:rFonts w:ascii="宋体" w:hAnsi="宋体" w:eastAsia="宋体" w:cs="宋体"/>
          <w:color w:val="auto"/>
          <w:spacing w:val="3"/>
          <w:sz w:val="24"/>
          <w:szCs w:val="24"/>
          <w:highlight w:val="none"/>
        </w:rPr>
        <w:t>专用合同条款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”时，可根据招标项目的具体特点和实际需要，对“通用合同条款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”及“公路工程专用合同条款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”进行补充和细化，除“通用合同条款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”明确“专用合同条</w:t>
      </w:r>
      <w:r>
        <w:rPr>
          <w:rFonts w:ascii="宋体" w:hAnsi="宋体" w:eastAsia="宋体" w:cs="宋体"/>
          <w:color w:val="auto"/>
          <w:spacing w:val="2"/>
          <w:sz w:val="24"/>
          <w:szCs w:val="24"/>
          <w:highlight w:val="none"/>
        </w:rPr>
        <w:t>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2"/>
          <w:sz w:val="24"/>
          <w:szCs w:val="24"/>
          <w:highlight w:val="none"/>
        </w:rPr>
        <w:t>”可作出不同约定以及“公路工程专用合同条款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”明确“项目专用合同条款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”可作</w:t>
      </w:r>
      <w:r>
        <w:rPr>
          <w:rFonts w:ascii="宋体" w:hAnsi="宋体" w:eastAsia="宋体" w:cs="宋体"/>
          <w:color w:val="auto"/>
          <w:spacing w:val="4"/>
          <w:sz w:val="24"/>
          <w:szCs w:val="24"/>
          <w:highlight w:val="none"/>
        </w:rPr>
        <w:t>出不同约定外，补充和细化的内容不得与“通用合同条款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”及“公路工程专用合同条款</w:t>
      </w:r>
      <w:r>
        <w:rPr>
          <w:rFonts w:ascii="宋体" w:hAnsi="宋体" w:eastAsia="宋体" w:cs="宋体"/>
          <w:color w:val="auto"/>
          <w:spacing w:val="-73"/>
          <w:sz w:val="24"/>
          <w:szCs w:val="24"/>
          <w:highlight w:val="none"/>
        </w:rPr>
        <w:t xml:space="preserve"> </w:t>
      </w:r>
      <w:r>
        <w:rPr>
          <w:rFonts w:ascii="宋体" w:hAnsi="宋体" w:eastAsia="宋体" w:cs="宋体"/>
          <w:color w:val="auto"/>
          <w:spacing w:val="4"/>
          <w:sz w:val="24"/>
          <w:szCs w:val="24"/>
          <w:highlight w:val="none"/>
        </w:rPr>
        <w:t>”强制性规定相抵触。同时，补充、细化或约定的内容，不得违反法律、行政法规</w:t>
      </w:r>
      <w:r>
        <w:rPr>
          <w:rFonts w:ascii="宋体" w:hAnsi="宋体" w:eastAsia="宋体" w:cs="宋体"/>
          <w:color w:val="auto"/>
          <w:spacing w:val="-2"/>
          <w:sz w:val="24"/>
          <w:szCs w:val="24"/>
          <w:highlight w:val="none"/>
        </w:rPr>
        <w:t>的强制性规定和平等、</w:t>
      </w:r>
      <w:r>
        <w:rPr>
          <w:rFonts w:ascii="宋体" w:hAnsi="宋体" w:eastAsia="宋体" w:cs="宋体"/>
          <w:color w:val="auto"/>
          <w:spacing w:val="-71"/>
          <w:sz w:val="24"/>
          <w:szCs w:val="24"/>
          <w:highlight w:val="none"/>
        </w:rPr>
        <w:t xml:space="preserve"> </w:t>
      </w:r>
      <w:r>
        <w:rPr>
          <w:rFonts w:ascii="宋体" w:hAnsi="宋体" w:eastAsia="宋体" w:cs="宋体"/>
          <w:color w:val="auto"/>
          <w:spacing w:val="-2"/>
          <w:sz w:val="24"/>
          <w:szCs w:val="24"/>
          <w:highlight w:val="none"/>
        </w:rPr>
        <w:t>自愿、公平和诚实信用原</w:t>
      </w:r>
      <w:r>
        <w:rPr>
          <w:rFonts w:ascii="宋体" w:hAnsi="宋体" w:eastAsia="宋体" w:cs="宋体"/>
          <w:color w:val="auto"/>
          <w:spacing w:val="-3"/>
          <w:sz w:val="24"/>
          <w:szCs w:val="24"/>
          <w:highlight w:val="none"/>
        </w:rPr>
        <w:t>则。</w:t>
      </w:r>
    </w:p>
    <w:p w14:paraId="295A4B6F">
      <w:pPr>
        <w:spacing w:before="236" w:line="219" w:lineRule="auto"/>
        <w:ind w:left="439"/>
        <w:rPr>
          <w:rFonts w:ascii="宋体" w:hAnsi="宋体" w:eastAsia="宋体" w:cs="宋体"/>
          <w:color w:val="auto"/>
          <w:sz w:val="24"/>
          <w:szCs w:val="24"/>
          <w:highlight w:val="none"/>
        </w:rPr>
      </w:pPr>
      <w:r>
        <w:rPr>
          <w:rFonts w:ascii="宋体" w:hAnsi="宋体" w:eastAsia="宋体" w:cs="宋体"/>
          <w:color w:val="auto"/>
          <w:sz w:val="24"/>
          <w:szCs w:val="24"/>
          <w:highlight w:val="none"/>
        </w:rPr>
        <w:t>2.项目专用合同条款的编号应与通用合同条款</w:t>
      </w:r>
      <w:r>
        <w:rPr>
          <w:rFonts w:ascii="宋体" w:hAnsi="宋体" w:eastAsia="宋体" w:cs="宋体"/>
          <w:color w:val="auto"/>
          <w:spacing w:val="-1"/>
          <w:sz w:val="24"/>
          <w:szCs w:val="24"/>
          <w:highlight w:val="none"/>
        </w:rPr>
        <w:t>和公路工程专用合同条款一致。</w:t>
      </w:r>
    </w:p>
    <w:p w14:paraId="0340024B">
      <w:pPr>
        <w:spacing w:before="233" w:line="219" w:lineRule="auto"/>
        <w:ind w:left="4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3.项目专用合同条款可对下列内容进行补充和细化：</w:t>
      </w:r>
    </w:p>
    <w:p w14:paraId="6AB729A6">
      <w:pPr>
        <w:spacing w:before="233" w:line="286" w:lineRule="auto"/>
        <w:ind w:left="12" w:right="95"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(1)“通用合同条款</w:t>
      </w:r>
      <w:r>
        <w:rPr>
          <w:rFonts w:ascii="宋体" w:hAnsi="宋体" w:eastAsia="宋体" w:cs="宋体"/>
          <w:color w:val="auto"/>
          <w:spacing w:val="-78"/>
          <w:sz w:val="24"/>
          <w:szCs w:val="24"/>
          <w:highlight w:val="none"/>
        </w:rPr>
        <w:t xml:space="preserve"> </w:t>
      </w:r>
      <w:r>
        <w:rPr>
          <w:rFonts w:ascii="宋体" w:hAnsi="宋体" w:eastAsia="宋体" w:cs="宋体"/>
          <w:color w:val="auto"/>
          <w:spacing w:val="-1"/>
          <w:sz w:val="24"/>
          <w:szCs w:val="24"/>
          <w:highlight w:val="none"/>
        </w:rPr>
        <w:t>”中明确指出“专用合同条款</w:t>
      </w:r>
      <w:r>
        <w:rPr>
          <w:rFonts w:ascii="宋体" w:hAnsi="宋体" w:eastAsia="宋体" w:cs="宋体"/>
          <w:color w:val="auto"/>
          <w:spacing w:val="-85"/>
          <w:sz w:val="24"/>
          <w:szCs w:val="24"/>
          <w:highlight w:val="none"/>
        </w:rPr>
        <w:t xml:space="preserve"> </w:t>
      </w:r>
      <w:r>
        <w:rPr>
          <w:rFonts w:ascii="宋体" w:hAnsi="宋体" w:eastAsia="宋体" w:cs="宋体"/>
          <w:color w:val="auto"/>
          <w:spacing w:val="-1"/>
          <w:sz w:val="24"/>
          <w:szCs w:val="24"/>
          <w:highlight w:val="none"/>
        </w:rPr>
        <w:t>”可对“通用合同条款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”进行修改的内容(在“通用合同条款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”中用“应按合同约定</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”“应按专用合同</w:t>
      </w:r>
      <w:r>
        <w:rPr>
          <w:rFonts w:ascii="宋体" w:hAnsi="宋体" w:eastAsia="宋体" w:cs="宋体"/>
          <w:color w:val="auto"/>
          <w:spacing w:val="-2"/>
          <w:sz w:val="24"/>
          <w:szCs w:val="24"/>
          <w:highlight w:val="none"/>
        </w:rPr>
        <w:t>条款约定</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”“除</w:t>
      </w:r>
      <w:r>
        <w:rPr>
          <w:rFonts w:ascii="宋体" w:hAnsi="宋体" w:eastAsia="宋体" w:cs="宋体"/>
          <w:color w:val="auto"/>
          <w:spacing w:val="1"/>
          <w:sz w:val="24"/>
          <w:szCs w:val="24"/>
          <w:highlight w:val="none"/>
        </w:rPr>
        <w:t>合同另有约定外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91"/>
          <w:sz w:val="24"/>
          <w:szCs w:val="24"/>
          <w:highlight w:val="none"/>
        </w:rPr>
        <w:t xml:space="preserve"> </w:t>
      </w:r>
      <w:r>
        <w:rPr>
          <w:rFonts w:ascii="宋体" w:hAnsi="宋体" w:eastAsia="宋体" w:cs="宋体"/>
          <w:color w:val="auto"/>
          <w:spacing w:val="1"/>
          <w:sz w:val="24"/>
          <w:szCs w:val="24"/>
          <w:highlight w:val="none"/>
        </w:rPr>
        <w:t>除专用合同条款另有约定外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”“在专用合同条款中约定</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等多种</w:t>
      </w:r>
      <w:r>
        <w:rPr>
          <w:rFonts w:ascii="宋体" w:hAnsi="宋体" w:eastAsia="宋体" w:cs="宋体"/>
          <w:color w:val="auto"/>
          <w:spacing w:val="-2"/>
          <w:sz w:val="24"/>
          <w:szCs w:val="24"/>
          <w:highlight w:val="none"/>
        </w:rPr>
        <w:t>文字形式表达)；</w:t>
      </w:r>
    </w:p>
    <w:p w14:paraId="500D73B4">
      <w:pPr>
        <w:spacing w:before="234" w:line="286" w:lineRule="auto"/>
        <w:ind w:left="12" w:right="93" w:firstLine="466"/>
        <w:rPr>
          <w:rFonts w:ascii="宋体" w:hAnsi="宋体" w:eastAsia="宋体" w:cs="宋体"/>
          <w:color w:val="auto"/>
          <w:sz w:val="24"/>
          <w:szCs w:val="24"/>
          <w:highlight w:val="none"/>
        </w:rPr>
      </w:pPr>
      <w:r>
        <w:rPr>
          <w:rFonts w:ascii="宋体" w:hAnsi="宋体" w:eastAsia="宋体" w:cs="宋体"/>
          <w:color w:val="auto"/>
          <w:sz w:val="24"/>
          <w:szCs w:val="24"/>
          <w:highlight w:val="none"/>
        </w:rPr>
        <w:t>(2)“公路工程专用合同条款</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rPr>
        <w:t>”中明确指出“项目专用合同条款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”可对“公路工程专用合同条款</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”进行修改的内容(在“公路工程专用合同条款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”中</w:t>
      </w:r>
      <w:r>
        <w:rPr>
          <w:rFonts w:ascii="宋体" w:hAnsi="宋体" w:eastAsia="宋体" w:cs="宋体"/>
          <w:color w:val="auto"/>
          <w:spacing w:val="-1"/>
          <w:sz w:val="24"/>
          <w:szCs w:val="24"/>
          <w:highlight w:val="none"/>
        </w:rPr>
        <w:t>用“除项目专用合同</w:t>
      </w:r>
      <w:r>
        <w:rPr>
          <w:rFonts w:ascii="宋体" w:hAnsi="宋体" w:eastAsia="宋体" w:cs="宋体"/>
          <w:color w:val="auto"/>
          <w:spacing w:val="3"/>
          <w:sz w:val="24"/>
          <w:szCs w:val="24"/>
          <w:highlight w:val="none"/>
        </w:rPr>
        <w:t>条款另有约定外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”“项目专用合同条款可能约定的</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”“项目专用合同条款约</w:t>
      </w:r>
      <w:r>
        <w:rPr>
          <w:rFonts w:ascii="宋体" w:hAnsi="宋体" w:eastAsia="宋体" w:cs="宋体"/>
          <w:color w:val="auto"/>
          <w:spacing w:val="2"/>
          <w:sz w:val="24"/>
          <w:szCs w:val="24"/>
          <w:highlight w:val="none"/>
        </w:rPr>
        <w:t>定的其他</w:t>
      </w:r>
      <w:r>
        <w:rPr>
          <w:rFonts w:ascii="宋体" w:hAnsi="宋体" w:eastAsia="宋体" w:cs="宋体"/>
          <w:color w:val="auto"/>
          <w:spacing w:val="-4"/>
          <w:sz w:val="24"/>
          <w:szCs w:val="24"/>
          <w:highlight w:val="none"/>
        </w:rPr>
        <w:t>情形</w:t>
      </w:r>
      <w:r>
        <w:rPr>
          <w:rFonts w:ascii="宋体" w:hAnsi="宋体" w:eastAsia="宋体" w:cs="宋体"/>
          <w:color w:val="auto"/>
          <w:spacing w:val="-76"/>
          <w:sz w:val="24"/>
          <w:szCs w:val="24"/>
          <w:highlight w:val="none"/>
        </w:rPr>
        <w:t xml:space="preserve"> </w:t>
      </w:r>
      <w:r>
        <w:rPr>
          <w:rFonts w:ascii="宋体" w:hAnsi="宋体" w:eastAsia="宋体" w:cs="宋体"/>
          <w:color w:val="auto"/>
          <w:spacing w:val="-4"/>
          <w:sz w:val="24"/>
          <w:szCs w:val="24"/>
          <w:highlight w:val="none"/>
        </w:rPr>
        <w:t>”等多种文字形式表达)。</w:t>
      </w:r>
    </w:p>
    <w:p w14:paraId="1733EE59">
      <w:pPr>
        <w:spacing w:before="233" w:line="219" w:lineRule="auto"/>
        <w:ind w:left="478"/>
        <w:rPr>
          <w:rFonts w:ascii="宋体" w:hAnsi="宋体" w:eastAsia="宋体" w:cs="宋体"/>
          <w:color w:val="auto"/>
          <w:sz w:val="24"/>
          <w:szCs w:val="24"/>
          <w:highlight w:val="none"/>
        </w:rPr>
      </w:pPr>
      <w:bookmarkStart w:id="653" w:name="bookmark141"/>
      <w:bookmarkEnd w:id="653"/>
      <w:r>
        <w:rPr>
          <w:rFonts w:ascii="宋体" w:hAnsi="宋体" w:eastAsia="宋体" w:cs="宋体"/>
          <w:color w:val="auto"/>
          <w:spacing w:val="-4"/>
          <w:sz w:val="24"/>
          <w:szCs w:val="24"/>
          <w:highlight w:val="none"/>
        </w:rPr>
        <w:t>(3)其他需要补充、细化的内容。</w:t>
      </w:r>
    </w:p>
    <w:p w14:paraId="14E7FFE9">
      <w:pPr>
        <w:spacing w:line="254" w:lineRule="auto"/>
        <w:rPr>
          <w:rFonts w:ascii="Arial"/>
          <w:color w:val="auto"/>
          <w:sz w:val="21"/>
          <w:highlight w:val="none"/>
        </w:rPr>
      </w:pPr>
    </w:p>
    <w:p w14:paraId="0A2AAEEB">
      <w:pPr>
        <w:spacing w:line="254" w:lineRule="auto"/>
        <w:rPr>
          <w:rFonts w:ascii="Arial"/>
          <w:color w:val="auto"/>
          <w:sz w:val="21"/>
          <w:highlight w:val="none"/>
        </w:rPr>
      </w:pPr>
    </w:p>
    <w:p w14:paraId="12800730">
      <w:pPr>
        <w:spacing w:line="254" w:lineRule="auto"/>
        <w:rPr>
          <w:rFonts w:ascii="Arial"/>
          <w:color w:val="auto"/>
          <w:sz w:val="21"/>
          <w:highlight w:val="none"/>
        </w:rPr>
      </w:pPr>
    </w:p>
    <w:p w14:paraId="44FD9984">
      <w:pPr>
        <w:spacing w:line="254" w:lineRule="auto"/>
        <w:rPr>
          <w:rFonts w:ascii="Arial"/>
          <w:color w:val="auto"/>
          <w:sz w:val="21"/>
          <w:highlight w:val="none"/>
        </w:rPr>
      </w:pPr>
    </w:p>
    <w:p w14:paraId="235E0E32">
      <w:pPr>
        <w:spacing w:line="254" w:lineRule="auto"/>
        <w:rPr>
          <w:rFonts w:ascii="Arial"/>
          <w:color w:val="auto"/>
          <w:sz w:val="21"/>
          <w:highlight w:val="none"/>
        </w:rPr>
      </w:pPr>
    </w:p>
    <w:p w14:paraId="083B8C5D">
      <w:pPr>
        <w:spacing w:line="254" w:lineRule="auto"/>
        <w:rPr>
          <w:rFonts w:ascii="Arial"/>
          <w:color w:val="auto"/>
          <w:sz w:val="21"/>
          <w:highlight w:val="none"/>
        </w:rPr>
      </w:pPr>
    </w:p>
    <w:p w14:paraId="6C51157C">
      <w:pPr>
        <w:spacing w:line="254" w:lineRule="auto"/>
        <w:rPr>
          <w:rFonts w:ascii="Arial"/>
          <w:color w:val="auto"/>
          <w:sz w:val="21"/>
          <w:highlight w:val="none"/>
        </w:rPr>
      </w:pPr>
    </w:p>
    <w:p w14:paraId="734A6EBC">
      <w:pPr>
        <w:spacing w:line="254" w:lineRule="auto"/>
        <w:rPr>
          <w:rFonts w:ascii="Arial"/>
          <w:color w:val="auto"/>
          <w:sz w:val="21"/>
          <w:highlight w:val="none"/>
        </w:rPr>
      </w:pPr>
    </w:p>
    <w:p w14:paraId="2816C511">
      <w:pPr>
        <w:spacing w:line="254" w:lineRule="auto"/>
        <w:rPr>
          <w:rFonts w:ascii="Arial"/>
          <w:color w:val="auto"/>
          <w:sz w:val="21"/>
          <w:highlight w:val="none"/>
        </w:rPr>
      </w:pPr>
    </w:p>
    <w:p w14:paraId="2FA01E0A">
      <w:pPr>
        <w:spacing w:line="254" w:lineRule="auto"/>
        <w:rPr>
          <w:rFonts w:ascii="Arial"/>
          <w:color w:val="auto"/>
          <w:sz w:val="21"/>
          <w:highlight w:val="none"/>
        </w:rPr>
      </w:pPr>
    </w:p>
    <w:p w14:paraId="0C590FE2">
      <w:pPr>
        <w:spacing w:line="254" w:lineRule="auto"/>
        <w:rPr>
          <w:rFonts w:ascii="Arial"/>
          <w:color w:val="auto"/>
          <w:sz w:val="21"/>
          <w:highlight w:val="none"/>
        </w:rPr>
      </w:pPr>
    </w:p>
    <w:p w14:paraId="68649220">
      <w:pPr>
        <w:spacing w:line="255" w:lineRule="auto"/>
        <w:rPr>
          <w:rFonts w:ascii="Arial"/>
          <w:color w:val="auto"/>
          <w:sz w:val="21"/>
          <w:highlight w:val="none"/>
        </w:rPr>
      </w:pPr>
    </w:p>
    <w:p w14:paraId="01367F0F">
      <w:pPr>
        <w:spacing w:line="255" w:lineRule="auto"/>
        <w:rPr>
          <w:rFonts w:ascii="Arial"/>
          <w:color w:val="auto"/>
          <w:sz w:val="21"/>
          <w:highlight w:val="none"/>
        </w:rPr>
      </w:pPr>
    </w:p>
    <w:p w14:paraId="54111A10">
      <w:pPr>
        <w:spacing w:line="255" w:lineRule="auto"/>
        <w:rPr>
          <w:rFonts w:ascii="Arial"/>
          <w:color w:val="auto"/>
          <w:sz w:val="21"/>
          <w:highlight w:val="none"/>
        </w:rPr>
      </w:pPr>
    </w:p>
    <w:p w14:paraId="007BBB46">
      <w:pPr>
        <w:spacing w:line="255" w:lineRule="auto"/>
        <w:rPr>
          <w:rFonts w:ascii="Arial"/>
          <w:color w:val="auto"/>
          <w:sz w:val="21"/>
          <w:highlight w:val="none"/>
        </w:rPr>
      </w:pPr>
    </w:p>
    <w:p w14:paraId="69FBF7EF">
      <w:pPr>
        <w:spacing w:line="233" w:lineRule="auto"/>
        <w:rPr>
          <w:rFonts w:ascii="宋体" w:hAnsi="宋体" w:eastAsia="宋体" w:cs="宋体"/>
          <w:color w:val="auto"/>
          <w:sz w:val="18"/>
          <w:szCs w:val="18"/>
          <w:highlight w:val="none"/>
        </w:rPr>
        <w:sectPr>
          <w:footerReference r:id="rId32" w:type="default"/>
          <w:pgSz w:w="11906" w:h="16839"/>
          <w:pgMar w:top="1382" w:right="1322" w:bottom="1297" w:left="1413" w:header="0" w:footer="1067" w:gutter="0"/>
          <w:pgNumType w:fmt="decimal"/>
          <w:cols w:space="720" w:num="1"/>
        </w:sectPr>
      </w:pPr>
    </w:p>
    <w:p w14:paraId="261509B5">
      <w:pPr>
        <w:spacing w:before="163" w:line="360" w:lineRule="auto"/>
        <w:ind w:left="26"/>
        <w:outlineLvl w:val="1"/>
        <w:rPr>
          <w:rFonts w:ascii="宋体" w:hAnsi="宋体" w:eastAsia="宋体" w:cs="宋体"/>
          <w:color w:val="auto"/>
          <w:sz w:val="24"/>
          <w:szCs w:val="24"/>
          <w:highlight w:val="none"/>
        </w:rPr>
      </w:pPr>
      <w:bookmarkStart w:id="654" w:name="_Toc7921"/>
      <w:bookmarkStart w:id="655" w:name="_Toc1148"/>
      <w:bookmarkStart w:id="656" w:name="_Toc23052"/>
      <w:bookmarkStart w:id="657" w:name="_Toc7825"/>
      <w:r>
        <w:rPr>
          <w:rFonts w:ascii="宋体" w:hAnsi="宋体" w:eastAsia="宋体" w:cs="宋体"/>
          <w:b/>
          <w:bCs/>
          <w:color w:val="auto"/>
          <w:spacing w:val="-9"/>
          <w:sz w:val="24"/>
          <w:szCs w:val="24"/>
          <w:highlight w:val="none"/>
        </w:rPr>
        <w:t>1.</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9"/>
          <w:sz w:val="24"/>
          <w:szCs w:val="24"/>
          <w:highlight w:val="none"/>
        </w:rPr>
        <w:t>一般约定</w:t>
      </w:r>
      <w:bookmarkEnd w:id="654"/>
      <w:bookmarkEnd w:id="655"/>
      <w:bookmarkEnd w:id="656"/>
      <w:bookmarkEnd w:id="657"/>
    </w:p>
    <w:p w14:paraId="1B8C9926">
      <w:pPr>
        <w:spacing w:before="292" w:line="360" w:lineRule="auto"/>
        <w:ind w:left="26"/>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词语定义</w:t>
      </w:r>
    </w:p>
    <w:p w14:paraId="437B9E1D">
      <w:pPr>
        <w:spacing w:line="360" w:lineRule="auto"/>
        <w:rPr>
          <w:rFonts w:ascii="Arial"/>
          <w:color w:val="auto"/>
          <w:sz w:val="21"/>
          <w:highlight w:val="none"/>
        </w:rPr>
      </w:pPr>
    </w:p>
    <w:p w14:paraId="1EE50723">
      <w:pPr>
        <w:spacing w:before="166" w:line="360" w:lineRule="auto"/>
        <w:ind w:left="451"/>
        <w:rPr>
          <w:rFonts w:ascii="宋体" w:hAnsi="宋体" w:eastAsia="宋体" w:cs="宋体"/>
          <w:color w:val="auto"/>
          <w:spacing w:val="-3"/>
          <w:sz w:val="22"/>
          <w:szCs w:val="22"/>
          <w:highlight w:val="none"/>
        </w:rPr>
      </w:pPr>
      <w:r>
        <w:rPr>
          <w:rFonts w:ascii="宋体" w:hAnsi="宋体" w:eastAsia="宋体" w:cs="宋体"/>
          <w:color w:val="auto"/>
          <w:spacing w:val="-3"/>
          <w:sz w:val="22"/>
          <w:szCs w:val="22"/>
          <w:highlight w:val="none"/>
        </w:rPr>
        <w:t>1.1.2.2 委托人：</w:t>
      </w:r>
      <w:r>
        <w:rPr>
          <w:rFonts w:ascii="宋体" w:hAnsi="宋体" w:eastAsia="宋体" w:cs="宋体"/>
          <w:color w:val="auto"/>
          <w:spacing w:val="-3"/>
          <w:sz w:val="22"/>
          <w:szCs w:val="22"/>
          <w:highlight w:val="none"/>
          <w:u w:val="single"/>
        </w:rPr>
        <w:t xml:space="preserve"> </w:t>
      </w:r>
      <w:r>
        <w:rPr>
          <w:rFonts w:hint="eastAsia" w:ascii="宋体" w:hAnsi="宋体" w:eastAsia="宋体" w:cs="宋体"/>
          <w:color w:val="auto"/>
          <w:spacing w:val="-3"/>
          <w:sz w:val="22"/>
          <w:szCs w:val="22"/>
          <w:highlight w:val="none"/>
          <w:u w:val="single"/>
          <w:lang w:val="en-US" w:eastAsia="zh-CN"/>
        </w:rPr>
        <w:t>韶关市粤丹工程管理有限公司</w:t>
      </w:r>
      <w:r>
        <w:rPr>
          <w:rFonts w:ascii="宋体" w:hAnsi="宋体" w:eastAsia="宋体" w:cs="宋体"/>
          <w:color w:val="auto"/>
          <w:spacing w:val="-3"/>
          <w:sz w:val="22"/>
          <w:szCs w:val="22"/>
          <w:highlight w:val="none"/>
        </w:rPr>
        <w:t>。</w:t>
      </w:r>
    </w:p>
    <w:p w14:paraId="611693F1">
      <w:pPr>
        <w:spacing w:before="166" w:line="360" w:lineRule="auto"/>
        <w:ind w:left="451"/>
        <w:rPr>
          <w:rFonts w:ascii="宋体" w:hAnsi="宋体" w:eastAsia="宋体" w:cs="宋体"/>
          <w:color w:val="auto"/>
          <w:spacing w:val="-3"/>
          <w:sz w:val="22"/>
          <w:szCs w:val="22"/>
          <w:highlight w:val="none"/>
        </w:rPr>
      </w:pPr>
      <w:r>
        <w:rPr>
          <w:rFonts w:ascii="宋体" w:hAnsi="宋体" w:eastAsia="宋体" w:cs="宋体"/>
          <w:color w:val="auto"/>
          <w:spacing w:val="-3"/>
          <w:sz w:val="22"/>
          <w:szCs w:val="22"/>
          <w:highlight w:val="none"/>
        </w:rPr>
        <w:t>1.1.3.1 本次进行施工监理招标的项目为</w:t>
      </w:r>
      <w:r>
        <w:rPr>
          <w:rFonts w:ascii="宋体" w:hAnsi="宋体" w:eastAsia="宋体" w:cs="宋体"/>
          <w:color w:val="auto"/>
          <w:spacing w:val="-3"/>
          <w:sz w:val="22"/>
          <w:szCs w:val="22"/>
          <w:highlight w:val="none"/>
          <w:u w:val="single"/>
        </w:rPr>
        <w:t xml:space="preserve"> </w:t>
      </w:r>
      <w:r>
        <w:rPr>
          <w:rFonts w:hint="eastAsia" w:ascii="宋体" w:hAnsi="宋体" w:eastAsia="宋体" w:cs="宋体"/>
          <w:color w:val="auto"/>
          <w:spacing w:val="-3"/>
          <w:sz w:val="22"/>
          <w:szCs w:val="22"/>
          <w:highlight w:val="none"/>
          <w:u w:val="single"/>
          <w:lang w:val="en-US" w:eastAsia="zh-CN"/>
        </w:rPr>
        <w:t>乳源县桂头镇至韶关丹霞机场公路新建工程（韶关机场进场道路）</w:t>
      </w:r>
      <w:r>
        <w:rPr>
          <w:rFonts w:ascii="宋体" w:hAnsi="宋体" w:eastAsia="宋体" w:cs="宋体"/>
          <w:color w:val="auto"/>
          <w:spacing w:val="-3"/>
          <w:sz w:val="22"/>
          <w:szCs w:val="22"/>
          <w:highlight w:val="none"/>
        </w:rPr>
        <w:t>。</w:t>
      </w:r>
    </w:p>
    <w:p w14:paraId="5A0B5381">
      <w:pPr>
        <w:spacing w:before="166" w:line="360" w:lineRule="auto"/>
        <w:ind w:left="45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工程地点</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韶关市乳源县桂头镇</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1"/>
          <w:sz w:val="22"/>
          <w:szCs w:val="22"/>
          <w:highlight w:val="none"/>
        </w:rPr>
        <w:t>；</w:t>
      </w:r>
    </w:p>
    <w:p w14:paraId="7B61429B">
      <w:pPr>
        <w:spacing w:before="164" w:line="360" w:lineRule="auto"/>
        <w:ind w:left="45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起讫桩号</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rPr>
        <w:t>K0+000~K4+237</w:t>
      </w:r>
      <w:r>
        <w:rPr>
          <w:rFonts w:ascii="宋体" w:hAnsi="宋体" w:eastAsia="宋体" w:cs="宋体"/>
          <w:color w:val="auto"/>
          <w:spacing w:val="-1"/>
          <w:sz w:val="22"/>
          <w:szCs w:val="22"/>
          <w:highlight w:val="none"/>
        </w:rPr>
        <w:t>；</w:t>
      </w:r>
    </w:p>
    <w:p w14:paraId="31DCC22D">
      <w:pPr>
        <w:spacing w:before="167" w:line="360" w:lineRule="auto"/>
        <w:ind w:left="44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施工合同标段划分：</w:t>
      </w:r>
      <w:r>
        <w:rPr>
          <w:rFonts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val="en-US" w:eastAsia="zh-CN"/>
        </w:rPr>
        <w:t>/</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1"/>
          <w:sz w:val="22"/>
          <w:szCs w:val="22"/>
          <w:highlight w:val="none"/>
        </w:rPr>
        <w:t>；</w:t>
      </w:r>
    </w:p>
    <w:p w14:paraId="6FBDAD00">
      <w:pPr>
        <w:spacing w:before="164" w:line="360" w:lineRule="auto"/>
        <w:ind w:left="4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监理合同标段划分</w:t>
      </w:r>
      <w:r>
        <w:rPr>
          <w:rFonts w:ascii="宋体" w:hAnsi="宋体" w:eastAsia="宋体" w:cs="宋体"/>
          <w:color w:val="auto"/>
          <w:spacing w:val="-2"/>
          <w:sz w:val="22"/>
          <w:szCs w:val="22"/>
          <w:highlight w:val="none"/>
        </w:rPr>
        <w:t>：</w:t>
      </w:r>
      <w:r>
        <w:rPr>
          <w:rFonts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w:t>
      </w:r>
    </w:p>
    <w:p w14:paraId="282F88FF">
      <w:pPr>
        <w:spacing w:before="169" w:line="360"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试验检测服务标段划分</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w:t>
      </w:r>
    </w:p>
    <w:p w14:paraId="2D9DC5B8">
      <w:pPr>
        <w:spacing w:before="166" w:line="360" w:lineRule="auto"/>
        <w:ind w:left="451"/>
        <w:rPr>
          <w:rFonts w:ascii="宋体" w:hAnsi="宋体" w:eastAsia="宋体" w:cs="宋体"/>
          <w:color w:val="auto"/>
          <w:sz w:val="22"/>
          <w:szCs w:val="22"/>
          <w:highlight w:val="none"/>
          <w:u w:val="single" w:color="auto"/>
          <w:lang w:val="en-US" w:eastAsia="zh-CN"/>
        </w:rPr>
      </w:pPr>
      <w:r>
        <w:rPr>
          <w:rFonts w:ascii="宋体" w:hAnsi="宋体" w:eastAsia="宋体" w:cs="宋体"/>
          <w:color w:val="auto"/>
          <w:sz w:val="22"/>
          <w:szCs w:val="22"/>
          <w:highlight w:val="none"/>
        </w:rPr>
        <w:t>工程概况：</w:t>
      </w:r>
      <w:r>
        <w:rPr>
          <w:rFonts w:hint="eastAsia" w:ascii="宋体" w:hAnsi="宋体" w:eastAsia="宋体" w:cs="宋体"/>
          <w:color w:val="auto"/>
          <w:sz w:val="22"/>
          <w:szCs w:val="22"/>
          <w:highlight w:val="none"/>
          <w:u w:val="single"/>
          <w:lang w:eastAsia="zh-CN"/>
        </w:rPr>
        <w:t>本项目位于韶关市乳源县桂头镇，路线起自省道S248与省道S250平交口，先东西走向，后南北走向，先后经过小江村、大坝村、凰村、红岭村，终点沿现状进场路，止于丹霞机场门口。路线全长4.237km，全线双向四车道，采用一级公路技术标准，设计速度60km/h，沥青混凝土路面，全线平面交叉8处（其中灯控平交4处，其余均有右进右出支路口），共设置涵洞13道。</w:t>
      </w:r>
    </w:p>
    <w:p w14:paraId="7AD0F333">
      <w:pPr>
        <w:spacing w:line="360" w:lineRule="auto"/>
        <w:rPr>
          <w:rFonts w:ascii="Arial"/>
          <w:color w:val="auto"/>
          <w:sz w:val="21"/>
          <w:highlight w:val="none"/>
        </w:rPr>
      </w:pPr>
    </w:p>
    <w:p w14:paraId="3FF01816">
      <w:pPr>
        <w:spacing w:before="79" w:line="360" w:lineRule="auto"/>
        <w:ind w:left="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1.6</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文件的提供和照管</w:t>
      </w:r>
    </w:p>
    <w:p w14:paraId="65960CDD">
      <w:pPr>
        <w:spacing w:before="178" w:line="360" w:lineRule="auto"/>
        <w:ind w:left="10" w:right="2" w:firstLine="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1.6.2 委托人负责提供的文件包括</w:t>
      </w:r>
      <w:r>
        <w:rPr>
          <w:rFonts w:ascii="宋体" w:hAnsi="宋体" w:eastAsia="宋体" w:cs="宋体"/>
          <w:color w:val="auto"/>
          <w:spacing w:val="-8"/>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 xml:space="preserve"> 项目立项文件复印件、设计文件批复复印件施工图纸</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0"/>
          <w:sz w:val="22"/>
          <w:szCs w:val="22"/>
          <w:highlight w:val="none"/>
        </w:rPr>
        <w:t xml:space="preserve"> </w:t>
      </w:r>
      <w:r>
        <w:rPr>
          <w:rFonts w:ascii="宋体" w:hAnsi="宋体" w:eastAsia="宋体" w:cs="宋体"/>
          <w:color w:val="auto"/>
          <w:spacing w:val="-8"/>
          <w:sz w:val="22"/>
          <w:szCs w:val="22"/>
          <w:highlight w:val="none"/>
        </w:rPr>
        <w:t>，</w:t>
      </w:r>
      <w:r>
        <w:rPr>
          <w:rFonts w:ascii="宋体" w:hAnsi="宋体" w:eastAsia="宋体" w:cs="宋体"/>
          <w:color w:val="auto"/>
          <w:spacing w:val="-1"/>
          <w:sz w:val="22"/>
          <w:szCs w:val="22"/>
          <w:highlight w:val="none"/>
        </w:rPr>
        <w:t>提供</w:t>
      </w:r>
      <w:r>
        <w:rPr>
          <w:rFonts w:ascii="宋体" w:hAnsi="宋体" w:eastAsia="宋体" w:cs="宋体"/>
          <w:color w:val="auto"/>
          <w:spacing w:val="-2"/>
          <w:sz w:val="22"/>
          <w:szCs w:val="22"/>
          <w:highlight w:val="none"/>
        </w:rPr>
        <w:t>数量</w:t>
      </w:r>
      <w:r>
        <w:rPr>
          <w:rFonts w:ascii="宋体" w:hAnsi="宋体" w:eastAsia="宋体" w:cs="宋体"/>
          <w:color w:val="auto"/>
          <w:spacing w:val="-8"/>
          <w:sz w:val="22"/>
          <w:szCs w:val="22"/>
          <w:highlight w:val="none"/>
        </w:rPr>
        <w:t>：</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各一份</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75"/>
          <w:sz w:val="22"/>
          <w:szCs w:val="22"/>
          <w:highlight w:val="none"/>
        </w:rPr>
        <w:t xml:space="preserve"> </w:t>
      </w:r>
      <w:r>
        <w:rPr>
          <w:rFonts w:ascii="宋体" w:hAnsi="宋体" w:eastAsia="宋体" w:cs="宋体"/>
          <w:color w:val="auto"/>
          <w:spacing w:val="-8"/>
          <w:sz w:val="22"/>
          <w:szCs w:val="22"/>
          <w:highlight w:val="none"/>
        </w:rPr>
        <w:t>，</w:t>
      </w:r>
      <w:r>
        <w:rPr>
          <w:rFonts w:ascii="宋体" w:hAnsi="宋体" w:eastAsia="宋体" w:cs="宋体"/>
          <w:color w:val="auto"/>
          <w:spacing w:val="-2"/>
          <w:sz w:val="22"/>
          <w:szCs w:val="22"/>
          <w:highlight w:val="none"/>
        </w:rPr>
        <w:t>提供</w:t>
      </w:r>
      <w:r>
        <w:rPr>
          <w:rFonts w:ascii="宋体" w:hAnsi="宋体" w:eastAsia="宋体" w:cs="宋体"/>
          <w:color w:val="auto"/>
          <w:spacing w:val="-1"/>
          <w:sz w:val="22"/>
          <w:szCs w:val="22"/>
          <w:highlight w:val="none"/>
        </w:rPr>
        <w:t>期限：</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已提供</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13CAEBF6">
      <w:pPr>
        <w:spacing w:before="239" w:line="360" w:lineRule="auto"/>
        <w:ind w:left="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1.12</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委托人要求</w:t>
      </w:r>
    </w:p>
    <w:p w14:paraId="359DDD4C">
      <w:pPr>
        <w:spacing w:before="176" w:line="360" w:lineRule="auto"/>
        <w:ind w:left="8" w:right="2" w:firstLine="45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1.12.3 委托人提供国外规范和标准的时间</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0"/>
          <w:sz w:val="22"/>
          <w:szCs w:val="22"/>
          <w:highlight w:val="none"/>
        </w:rPr>
        <w:t xml:space="preserve"> </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提供数量</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1"/>
          <w:sz w:val="22"/>
          <w:szCs w:val="22"/>
          <w:highlight w:val="none"/>
        </w:rPr>
        <w:t xml:space="preserve"> </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其他要求：</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6C186CDE">
      <w:pPr>
        <w:spacing w:line="360" w:lineRule="auto"/>
        <w:rPr>
          <w:rFonts w:ascii="Arial"/>
          <w:color w:val="auto"/>
          <w:sz w:val="21"/>
          <w:highlight w:val="none"/>
        </w:rPr>
      </w:pPr>
    </w:p>
    <w:p w14:paraId="00002E4C">
      <w:pPr>
        <w:spacing w:before="79" w:line="360" w:lineRule="auto"/>
        <w:ind w:left="11"/>
        <w:outlineLvl w:val="1"/>
        <w:rPr>
          <w:rFonts w:ascii="宋体" w:hAnsi="宋体" w:eastAsia="宋体" w:cs="宋体"/>
          <w:color w:val="auto"/>
          <w:sz w:val="24"/>
          <w:szCs w:val="24"/>
          <w:highlight w:val="none"/>
        </w:rPr>
      </w:pPr>
      <w:bookmarkStart w:id="658" w:name="bookmark142"/>
      <w:bookmarkEnd w:id="658"/>
      <w:bookmarkStart w:id="659" w:name="_Toc23126"/>
      <w:bookmarkStart w:id="660" w:name="_Toc4138"/>
      <w:bookmarkStart w:id="661" w:name="_Toc19744"/>
      <w:bookmarkStart w:id="662" w:name="_Toc31024"/>
      <w:r>
        <w:rPr>
          <w:rFonts w:ascii="宋体" w:hAnsi="宋体" w:eastAsia="宋体" w:cs="宋体"/>
          <w:b/>
          <w:bCs/>
          <w:color w:val="auto"/>
          <w:spacing w:val="-4"/>
          <w:sz w:val="24"/>
          <w:szCs w:val="24"/>
          <w:highlight w:val="none"/>
        </w:rPr>
        <w:t>2.委托人义务</w:t>
      </w:r>
      <w:bookmarkEnd w:id="659"/>
      <w:bookmarkEnd w:id="660"/>
      <w:bookmarkEnd w:id="661"/>
      <w:bookmarkEnd w:id="662"/>
    </w:p>
    <w:p w14:paraId="1B01625D">
      <w:pPr>
        <w:spacing w:before="48" w:line="360" w:lineRule="auto"/>
        <w:ind w:left="44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第</w:t>
      </w:r>
      <w:r>
        <w:rPr>
          <w:rFonts w:ascii="宋体" w:hAnsi="宋体" w:eastAsia="宋体" w:cs="宋体"/>
          <w:color w:val="auto"/>
          <w:spacing w:val="-40"/>
          <w:sz w:val="22"/>
          <w:szCs w:val="22"/>
          <w:highlight w:val="none"/>
        </w:rPr>
        <w:t xml:space="preserve"> </w:t>
      </w:r>
      <w:r>
        <w:rPr>
          <w:rFonts w:ascii="宋体" w:hAnsi="宋体" w:eastAsia="宋体" w:cs="宋体"/>
          <w:color w:val="auto"/>
          <w:spacing w:val="-4"/>
          <w:sz w:val="22"/>
          <w:szCs w:val="22"/>
          <w:highlight w:val="none"/>
        </w:rPr>
        <w:t>2.3</w:t>
      </w:r>
      <w:r>
        <w:rPr>
          <w:rFonts w:ascii="宋体" w:hAnsi="宋体" w:eastAsia="宋体" w:cs="宋体"/>
          <w:color w:val="auto"/>
          <w:spacing w:val="-43"/>
          <w:sz w:val="22"/>
          <w:szCs w:val="22"/>
          <w:highlight w:val="none"/>
        </w:rPr>
        <w:t xml:space="preserve"> </w:t>
      </w:r>
      <w:r>
        <w:rPr>
          <w:rFonts w:ascii="宋体" w:hAnsi="宋体" w:eastAsia="宋体" w:cs="宋体"/>
          <w:color w:val="auto"/>
          <w:spacing w:val="-4"/>
          <w:sz w:val="22"/>
          <w:szCs w:val="22"/>
          <w:highlight w:val="none"/>
        </w:rPr>
        <w:t>项修改为：</w:t>
      </w:r>
    </w:p>
    <w:p w14:paraId="0E069220">
      <w:pPr>
        <w:spacing w:before="164" w:line="360" w:lineRule="auto"/>
        <w:ind w:left="9" w:firstLine="43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委托人不提供办公房间、办公桌椅、互联网接口、冷暖设施、生活设施、进出现场交通服</w:t>
      </w:r>
      <w:r>
        <w:rPr>
          <w:rFonts w:ascii="宋体" w:hAnsi="宋体" w:eastAsia="宋体" w:cs="宋体"/>
          <w:color w:val="auto"/>
          <w:spacing w:val="-5"/>
          <w:sz w:val="22"/>
          <w:szCs w:val="22"/>
          <w:highlight w:val="none"/>
        </w:rPr>
        <w:t>务。</w:t>
      </w:r>
    </w:p>
    <w:p w14:paraId="23916035">
      <w:pPr>
        <w:spacing w:before="164" w:line="360" w:lineRule="auto"/>
        <w:ind w:left="13"/>
        <w:outlineLvl w:val="1"/>
        <w:rPr>
          <w:rFonts w:ascii="宋体" w:hAnsi="宋体" w:eastAsia="宋体" w:cs="宋体"/>
          <w:color w:val="auto"/>
          <w:sz w:val="24"/>
          <w:szCs w:val="24"/>
          <w:highlight w:val="none"/>
        </w:rPr>
      </w:pPr>
      <w:bookmarkStart w:id="663" w:name="_Toc19522"/>
      <w:bookmarkStart w:id="664" w:name="_Toc5210"/>
      <w:bookmarkStart w:id="665" w:name="_Toc2384"/>
      <w:bookmarkStart w:id="666" w:name="_Toc24795"/>
      <w:r>
        <w:rPr>
          <w:rFonts w:ascii="宋体" w:hAnsi="宋体" w:eastAsia="宋体" w:cs="宋体"/>
          <w:b/>
          <w:bCs/>
          <w:color w:val="auto"/>
          <w:spacing w:val="-4"/>
          <w:sz w:val="24"/>
          <w:szCs w:val="24"/>
          <w:highlight w:val="none"/>
        </w:rPr>
        <w:t>3.</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委托人管理</w:t>
      </w:r>
      <w:bookmarkEnd w:id="663"/>
      <w:bookmarkEnd w:id="664"/>
      <w:bookmarkEnd w:id="665"/>
      <w:bookmarkEnd w:id="666"/>
    </w:p>
    <w:p w14:paraId="56BE44D9">
      <w:pPr>
        <w:spacing w:before="293" w:line="360" w:lineRule="auto"/>
        <w:ind w:left="1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3.3</w:t>
      </w:r>
      <w:r>
        <w:rPr>
          <w:rFonts w:ascii="宋体" w:hAnsi="宋体" w:eastAsia="宋体" w:cs="宋体"/>
          <w:color w:val="auto"/>
          <w:spacing w:val="22"/>
          <w:sz w:val="24"/>
          <w:szCs w:val="24"/>
          <w:highlight w:val="none"/>
        </w:rPr>
        <w:t xml:space="preserve"> </w:t>
      </w:r>
      <w:r>
        <w:rPr>
          <w:rFonts w:ascii="宋体" w:hAnsi="宋体" w:eastAsia="宋体" w:cs="宋体"/>
          <w:b/>
          <w:bCs/>
          <w:color w:val="auto"/>
          <w:spacing w:val="-6"/>
          <w:sz w:val="24"/>
          <w:szCs w:val="24"/>
          <w:highlight w:val="none"/>
        </w:rPr>
        <w:t>决定或答复</w:t>
      </w:r>
    </w:p>
    <w:p w14:paraId="11E8120B">
      <w:pPr>
        <w:spacing w:before="178" w:line="360" w:lineRule="auto"/>
        <w:ind w:left="45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3.3.2 委托人应在收到监理人书面提出的事项后</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7</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2"/>
          <w:sz w:val="22"/>
          <w:szCs w:val="22"/>
          <w:highlight w:val="none"/>
        </w:rPr>
        <w:t xml:space="preserve"> </w:t>
      </w:r>
      <w:r>
        <w:rPr>
          <w:rFonts w:ascii="宋体" w:hAnsi="宋体" w:eastAsia="宋体" w:cs="宋体"/>
          <w:color w:val="auto"/>
          <w:spacing w:val="-1"/>
          <w:sz w:val="22"/>
          <w:szCs w:val="22"/>
          <w:highlight w:val="none"/>
        </w:rPr>
        <w:t>天内作出书面答复。</w:t>
      </w:r>
    </w:p>
    <w:p w14:paraId="56F6E48F">
      <w:pPr>
        <w:spacing w:line="360" w:lineRule="auto"/>
        <w:rPr>
          <w:rFonts w:ascii="Arial"/>
          <w:color w:val="auto"/>
          <w:sz w:val="21"/>
          <w:highlight w:val="none"/>
        </w:rPr>
      </w:pPr>
    </w:p>
    <w:p w14:paraId="4AFD349F">
      <w:pPr>
        <w:spacing w:line="360" w:lineRule="auto"/>
        <w:rPr>
          <w:rFonts w:ascii="Arial"/>
          <w:color w:val="auto"/>
          <w:sz w:val="21"/>
          <w:highlight w:val="none"/>
        </w:rPr>
      </w:pPr>
    </w:p>
    <w:p w14:paraId="2B479824">
      <w:pPr>
        <w:spacing w:before="78" w:line="360" w:lineRule="auto"/>
        <w:ind w:left="7"/>
        <w:outlineLvl w:val="1"/>
        <w:rPr>
          <w:rFonts w:ascii="宋体" w:hAnsi="宋体" w:eastAsia="宋体" w:cs="宋体"/>
          <w:color w:val="auto"/>
          <w:sz w:val="24"/>
          <w:szCs w:val="24"/>
          <w:highlight w:val="none"/>
        </w:rPr>
      </w:pPr>
      <w:bookmarkStart w:id="667" w:name="_Toc26576"/>
      <w:bookmarkStart w:id="668" w:name="_Toc11448"/>
      <w:bookmarkStart w:id="669" w:name="_Toc2621"/>
      <w:bookmarkStart w:id="670" w:name="_Toc16002"/>
      <w:r>
        <w:rPr>
          <w:rFonts w:ascii="宋体" w:hAnsi="宋体" w:eastAsia="宋体" w:cs="宋体"/>
          <w:b/>
          <w:bCs/>
          <w:color w:val="auto"/>
          <w:spacing w:val="-3"/>
          <w:sz w:val="24"/>
          <w:szCs w:val="24"/>
          <w:highlight w:val="none"/>
        </w:rPr>
        <w:t>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监理人义务</w:t>
      </w:r>
      <w:bookmarkEnd w:id="667"/>
      <w:bookmarkEnd w:id="668"/>
      <w:bookmarkEnd w:id="669"/>
      <w:bookmarkEnd w:id="670"/>
    </w:p>
    <w:p w14:paraId="3F784A37">
      <w:pPr>
        <w:spacing w:before="293" w:line="360" w:lineRule="auto"/>
        <w:ind w:left="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4.1</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监理人的一般义务</w:t>
      </w:r>
    </w:p>
    <w:p w14:paraId="67063110">
      <w:pPr>
        <w:spacing w:before="177" w:line="360" w:lineRule="auto"/>
        <w:ind w:left="45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增加第</w:t>
      </w:r>
      <w:r>
        <w:rPr>
          <w:rFonts w:ascii="宋体" w:hAnsi="宋体" w:eastAsia="宋体" w:cs="宋体"/>
          <w:color w:val="auto"/>
          <w:spacing w:val="-45"/>
          <w:sz w:val="22"/>
          <w:szCs w:val="22"/>
          <w:highlight w:val="none"/>
        </w:rPr>
        <w:t xml:space="preserve"> </w:t>
      </w:r>
      <w:r>
        <w:rPr>
          <w:rFonts w:ascii="宋体" w:hAnsi="宋体" w:eastAsia="宋体" w:cs="宋体"/>
          <w:color w:val="auto"/>
          <w:spacing w:val="-2"/>
          <w:sz w:val="22"/>
          <w:szCs w:val="22"/>
          <w:highlight w:val="none"/>
        </w:rPr>
        <w:t>4.1.5-4.1.7</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项：</w:t>
      </w:r>
    </w:p>
    <w:p w14:paraId="3716CBE6">
      <w:pPr>
        <w:spacing w:before="167" w:line="360" w:lineRule="auto"/>
        <w:ind w:left="8" w:firstLine="43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4.1.5</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监理人应根据公路建设市场和高质量发展的需要，整合优势资源，构建灵活的服务</w:t>
      </w:r>
      <w:r>
        <w:rPr>
          <w:rFonts w:ascii="宋体" w:hAnsi="宋体" w:eastAsia="宋体" w:cs="宋体"/>
          <w:color w:val="auto"/>
          <w:spacing w:val="1"/>
          <w:sz w:val="22"/>
          <w:szCs w:val="22"/>
          <w:highlight w:val="none"/>
        </w:rPr>
        <w:t>架构和经营模式，丰富监理及咨询服务的内涵，强化技术支持，面向公路建设全产业链，提供</w:t>
      </w:r>
      <w:r>
        <w:rPr>
          <w:rFonts w:ascii="宋体" w:hAnsi="宋体" w:eastAsia="宋体" w:cs="宋体"/>
          <w:color w:val="auto"/>
          <w:spacing w:val="4"/>
          <w:sz w:val="22"/>
          <w:szCs w:val="22"/>
          <w:highlight w:val="none"/>
        </w:rPr>
        <w:t>专业、高水平的咨询服务，形成包括代建、咨询和监理等在内的</w:t>
      </w:r>
      <w:r>
        <w:rPr>
          <w:rFonts w:ascii="宋体" w:hAnsi="宋体" w:eastAsia="宋体" w:cs="宋体"/>
          <w:color w:val="auto"/>
          <w:spacing w:val="3"/>
          <w:sz w:val="22"/>
          <w:szCs w:val="22"/>
          <w:highlight w:val="none"/>
        </w:rPr>
        <w:t>多元化发展方向，提升监理+</w:t>
      </w:r>
      <w:r>
        <w:rPr>
          <w:rFonts w:ascii="宋体" w:hAnsi="宋体" w:eastAsia="宋体" w:cs="宋体"/>
          <w:color w:val="auto"/>
          <w:spacing w:val="-2"/>
          <w:sz w:val="22"/>
          <w:szCs w:val="22"/>
          <w:highlight w:val="none"/>
        </w:rPr>
        <w:t>的服务品质。</w:t>
      </w:r>
    </w:p>
    <w:p w14:paraId="4E0DA563">
      <w:pPr>
        <w:spacing w:before="168" w:line="360" w:lineRule="auto"/>
        <w:ind w:left="6" w:right="2" w:firstLine="4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4.1.6</w:t>
      </w:r>
      <w:r>
        <w:rPr>
          <w:rFonts w:ascii="宋体" w:hAnsi="宋体" w:eastAsia="宋体" w:cs="宋体"/>
          <w:color w:val="auto"/>
          <w:spacing w:val="-28"/>
          <w:sz w:val="22"/>
          <w:szCs w:val="22"/>
          <w:highlight w:val="none"/>
        </w:rPr>
        <w:t xml:space="preserve"> </w:t>
      </w:r>
      <w:r>
        <w:rPr>
          <w:rFonts w:ascii="宋体" w:hAnsi="宋体" w:eastAsia="宋体" w:cs="宋体"/>
          <w:color w:val="auto"/>
          <w:spacing w:val="1"/>
          <w:sz w:val="22"/>
          <w:szCs w:val="22"/>
          <w:highlight w:val="none"/>
        </w:rPr>
        <w:t>监理法人单位应根据《广东省公路工程施工监理指南（试行）》第</w:t>
      </w:r>
      <w:r>
        <w:rPr>
          <w:rFonts w:ascii="宋体" w:hAnsi="宋体" w:eastAsia="宋体" w:cs="宋体"/>
          <w:color w:val="auto"/>
          <w:spacing w:val="-40"/>
          <w:sz w:val="22"/>
          <w:szCs w:val="22"/>
          <w:highlight w:val="none"/>
        </w:rPr>
        <w:t xml:space="preserve"> </w:t>
      </w:r>
      <w:r>
        <w:rPr>
          <w:rFonts w:ascii="宋体" w:hAnsi="宋体" w:eastAsia="宋体" w:cs="宋体"/>
          <w:color w:val="auto"/>
          <w:spacing w:val="1"/>
          <w:sz w:val="22"/>
          <w:szCs w:val="22"/>
          <w:highlight w:val="none"/>
        </w:rPr>
        <w:t>3.4</w:t>
      </w:r>
      <w:r>
        <w:rPr>
          <w:rFonts w:ascii="宋体" w:hAnsi="宋体" w:eastAsia="宋体" w:cs="宋体"/>
          <w:color w:val="auto"/>
          <w:spacing w:val="-43"/>
          <w:sz w:val="22"/>
          <w:szCs w:val="22"/>
          <w:highlight w:val="none"/>
        </w:rPr>
        <w:t xml:space="preserve"> </w:t>
      </w:r>
      <w:r>
        <w:rPr>
          <w:rFonts w:ascii="宋体" w:hAnsi="宋体" w:eastAsia="宋体" w:cs="宋体"/>
          <w:color w:val="auto"/>
          <w:spacing w:val="1"/>
          <w:sz w:val="22"/>
          <w:szCs w:val="22"/>
          <w:highlight w:val="none"/>
        </w:rPr>
        <w:t>款做好项目</w:t>
      </w:r>
      <w:r>
        <w:rPr>
          <w:rFonts w:ascii="宋体" w:hAnsi="宋体" w:eastAsia="宋体" w:cs="宋体"/>
          <w:color w:val="auto"/>
          <w:sz w:val="22"/>
          <w:szCs w:val="22"/>
          <w:highlight w:val="none"/>
        </w:rPr>
        <w:t>总监办的管理，加强对项目总监办的履约管理，不得以“总</w:t>
      </w:r>
      <w:r>
        <w:rPr>
          <w:rFonts w:ascii="宋体" w:hAnsi="宋体" w:eastAsia="宋体" w:cs="宋体"/>
          <w:color w:val="auto"/>
          <w:spacing w:val="-1"/>
          <w:sz w:val="22"/>
          <w:szCs w:val="22"/>
          <w:highlight w:val="none"/>
        </w:rPr>
        <w:t>费用包干</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”、“重费用轻管理</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”等</w:t>
      </w:r>
      <w:r>
        <w:rPr>
          <w:rFonts w:ascii="宋体" w:hAnsi="宋体" w:eastAsia="宋体" w:cs="宋体"/>
          <w:color w:val="auto"/>
          <w:sz w:val="22"/>
          <w:szCs w:val="22"/>
          <w:highlight w:val="none"/>
        </w:rPr>
        <w:t>模式进行管理，防止对总监办“脱管、失管</w:t>
      </w:r>
      <w:r>
        <w:rPr>
          <w:rFonts w:ascii="宋体" w:hAnsi="宋体" w:eastAsia="宋体" w:cs="宋体"/>
          <w:color w:val="auto"/>
          <w:spacing w:val="-67"/>
          <w:sz w:val="22"/>
          <w:szCs w:val="22"/>
          <w:highlight w:val="none"/>
        </w:rPr>
        <w:t xml:space="preserve"> </w:t>
      </w:r>
      <w:r>
        <w:rPr>
          <w:rFonts w:ascii="宋体" w:hAnsi="宋体" w:eastAsia="宋体" w:cs="宋体"/>
          <w:color w:val="auto"/>
          <w:sz w:val="22"/>
          <w:szCs w:val="22"/>
          <w:highlight w:val="none"/>
        </w:rPr>
        <w:t>”，保障总监办正常运作的合理经费及人员薪酬待</w:t>
      </w:r>
      <w:r>
        <w:rPr>
          <w:rFonts w:ascii="宋体" w:hAnsi="宋体" w:eastAsia="宋体" w:cs="宋体"/>
          <w:color w:val="auto"/>
          <w:spacing w:val="-1"/>
          <w:sz w:val="22"/>
          <w:szCs w:val="22"/>
          <w:highlight w:val="none"/>
        </w:rPr>
        <w:t>遇，对总监办开展工作提供必要的技术和管理支持。</w:t>
      </w:r>
    </w:p>
    <w:p w14:paraId="2379A126">
      <w:pPr>
        <w:spacing w:before="165" w:line="360" w:lineRule="auto"/>
        <w:ind w:left="6" w:firstLine="443"/>
        <w:jc w:val="both"/>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监理单位应强化对总监及主要监理人员的管理，总监、副总监要切实履行对其他监理人员的管理职责。监理单位应与建设单位共同做好从下而上、从人员到单位的穿透式、联动式信用评价管理工作，承担连带责任，实行“红黑名单 ”管理。</w:t>
      </w:r>
    </w:p>
    <w:p w14:paraId="0B4136C7">
      <w:pPr>
        <w:spacing w:before="165" w:line="360" w:lineRule="auto"/>
        <w:ind w:left="6" w:firstLine="443"/>
        <w:jc w:val="both"/>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4.1.7 监理法人单位应在建设过程中对“项目现场管理机构 ”的履约情况进行监管和支持，重要事项提级管理，避免“失管失察 ”，建设单位要对该项工作进行专项管理，可在合同中单独列支相关“专项费用 ”，监理单位法人单位的履约情况纳入其年度信用管理。</w:t>
      </w:r>
    </w:p>
    <w:p w14:paraId="4F8A0DA3">
      <w:pPr>
        <w:spacing w:before="243" w:line="360" w:lineRule="auto"/>
        <w:ind w:left="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4.2</w:t>
      </w:r>
      <w:r>
        <w:rPr>
          <w:rFonts w:ascii="宋体" w:hAnsi="宋体" w:eastAsia="宋体" w:cs="宋体"/>
          <w:color w:val="auto"/>
          <w:spacing w:val="20"/>
          <w:sz w:val="24"/>
          <w:szCs w:val="24"/>
          <w:highlight w:val="none"/>
        </w:rPr>
        <w:t xml:space="preserve"> </w:t>
      </w:r>
      <w:r>
        <w:rPr>
          <w:rFonts w:ascii="宋体" w:hAnsi="宋体" w:eastAsia="宋体" w:cs="宋体"/>
          <w:b/>
          <w:bCs/>
          <w:color w:val="auto"/>
          <w:spacing w:val="-5"/>
          <w:sz w:val="24"/>
          <w:szCs w:val="24"/>
          <w:highlight w:val="none"/>
        </w:rPr>
        <w:t>履约保证金</w:t>
      </w:r>
    </w:p>
    <w:p w14:paraId="6F0797BA">
      <w:pPr>
        <w:spacing w:before="145" w:line="360" w:lineRule="auto"/>
        <w:ind w:left="448"/>
        <w:rPr>
          <w:rFonts w:ascii="宋体" w:hAnsi="宋体" w:eastAsia="宋体" w:cs="宋体"/>
          <w:color w:val="auto"/>
          <w:sz w:val="10"/>
          <w:szCs w:val="10"/>
          <w:highlight w:val="none"/>
        </w:rPr>
      </w:pPr>
      <w:r>
        <w:rPr>
          <w:rFonts w:ascii="宋体" w:hAnsi="宋体" w:eastAsia="宋体" w:cs="宋体"/>
          <w:color w:val="auto"/>
          <w:spacing w:val="-2"/>
          <w:sz w:val="22"/>
          <w:szCs w:val="22"/>
          <w:highlight w:val="none"/>
        </w:rPr>
        <w:t xml:space="preserve">4.2.1 缺陷责任期保函金额： </w:t>
      </w:r>
      <w:r>
        <w:rPr>
          <w:rFonts w:ascii="宋体" w:hAnsi="宋体" w:eastAsia="宋体" w:cs="宋体"/>
          <w:color w:val="auto"/>
          <w:spacing w:val="-2"/>
          <w:sz w:val="22"/>
          <w:szCs w:val="22"/>
          <w:highlight w:val="none"/>
          <w:u w:val="single" w:color="auto"/>
        </w:rPr>
        <w:t xml:space="preserve"> 监理服务费</w:t>
      </w:r>
      <w:r>
        <w:rPr>
          <w:rFonts w:ascii="宋体" w:hAnsi="宋体" w:eastAsia="宋体" w:cs="宋体"/>
          <w:color w:val="auto"/>
          <w:spacing w:val="-3"/>
          <w:sz w:val="22"/>
          <w:szCs w:val="22"/>
          <w:highlight w:val="none"/>
          <w:u w:val="single" w:color="auto"/>
        </w:rPr>
        <w:t>用总额的</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3"/>
          <w:sz w:val="22"/>
          <w:szCs w:val="22"/>
          <w:highlight w:val="none"/>
          <w:u w:val="single" w:color="auto"/>
        </w:rPr>
        <w:t>3％</w:t>
      </w:r>
      <w:r>
        <w:rPr>
          <w:rFonts w:ascii="宋体" w:hAnsi="宋体" w:eastAsia="宋体" w:cs="宋体"/>
          <w:color w:val="auto"/>
          <w:spacing w:val="57"/>
          <w:sz w:val="22"/>
          <w:szCs w:val="22"/>
          <w:highlight w:val="none"/>
          <w:u w:val="single" w:color="auto"/>
        </w:rPr>
        <w:t xml:space="preserve"> </w:t>
      </w:r>
      <w:r>
        <w:rPr>
          <w:rFonts w:ascii="宋体" w:hAnsi="宋体" w:eastAsia="宋体" w:cs="宋体"/>
          <w:color w:val="auto"/>
          <w:spacing w:val="-3"/>
          <w:sz w:val="22"/>
          <w:szCs w:val="22"/>
          <w:highlight w:val="none"/>
        </w:rPr>
        <w:t>。</w:t>
      </w:r>
    </w:p>
    <w:p w14:paraId="1D426B2A">
      <w:pPr>
        <w:spacing w:before="236" w:line="360" w:lineRule="auto"/>
        <w:ind w:left="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4.5</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4"/>
          <w:sz w:val="24"/>
          <w:szCs w:val="24"/>
          <w:highlight w:val="none"/>
        </w:rPr>
        <w:t>监理人员的管理</w:t>
      </w:r>
    </w:p>
    <w:p w14:paraId="0A3BF741">
      <w:pPr>
        <w:spacing w:before="178" w:line="360" w:lineRule="auto"/>
        <w:ind w:left="44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第</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4.5.3</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项修改为：</w:t>
      </w:r>
    </w:p>
    <w:p w14:paraId="304B08D1">
      <w:pPr>
        <w:spacing w:before="168" w:line="360" w:lineRule="auto"/>
        <w:ind w:left="6"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监理人派驻到工程所在地进行监理服务的总监理工程师及主要监理人员，必须常驻现场，</w:t>
      </w:r>
      <w:r>
        <w:rPr>
          <w:rFonts w:ascii="宋体" w:hAnsi="宋体" w:eastAsia="宋体" w:cs="宋体"/>
          <w:color w:val="auto"/>
          <w:spacing w:val="3"/>
          <w:sz w:val="22"/>
          <w:szCs w:val="22"/>
          <w:highlight w:val="none"/>
        </w:rPr>
        <w:t>每月不得少于</w:t>
      </w:r>
      <w:r>
        <w:rPr>
          <w:rFonts w:ascii="宋体" w:hAnsi="宋体" w:eastAsia="宋体" w:cs="宋体"/>
          <w:color w:val="auto"/>
          <w:spacing w:val="-41"/>
          <w:sz w:val="22"/>
          <w:szCs w:val="22"/>
          <w:highlight w:val="none"/>
        </w:rPr>
        <w:t xml:space="preserve"> </w:t>
      </w:r>
      <w:r>
        <w:rPr>
          <w:rFonts w:ascii="宋体" w:hAnsi="宋体" w:eastAsia="宋体" w:cs="宋体"/>
          <w:color w:val="auto"/>
          <w:spacing w:val="3"/>
          <w:sz w:val="22"/>
          <w:szCs w:val="22"/>
          <w:highlight w:val="none"/>
        </w:rPr>
        <w:t>22</w:t>
      </w:r>
      <w:r>
        <w:rPr>
          <w:rFonts w:ascii="宋体" w:hAnsi="宋体" w:eastAsia="宋体" w:cs="宋体"/>
          <w:color w:val="auto"/>
          <w:spacing w:val="-37"/>
          <w:sz w:val="22"/>
          <w:szCs w:val="22"/>
          <w:highlight w:val="none"/>
        </w:rPr>
        <w:t xml:space="preserve"> </w:t>
      </w:r>
      <w:r>
        <w:rPr>
          <w:rFonts w:ascii="宋体" w:hAnsi="宋体" w:eastAsia="宋体" w:cs="宋体"/>
          <w:color w:val="auto"/>
          <w:spacing w:val="3"/>
          <w:sz w:val="22"/>
          <w:szCs w:val="22"/>
          <w:highlight w:val="none"/>
        </w:rPr>
        <w:t>天，所有人员一律不得在同一时间内承担其他项目的监理任务。若出于某种</w:t>
      </w:r>
      <w:r>
        <w:rPr>
          <w:rFonts w:ascii="宋体" w:hAnsi="宋体" w:eastAsia="宋体" w:cs="宋体"/>
          <w:color w:val="auto"/>
          <w:spacing w:val="1"/>
          <w:sz w:val="22"/>
          <w:szCs w:val="22"/>
          <w:highlight w:val="none"/>
        </w:rPr>
        <w:t>原因需要暂时离开现场时，必须提请委托人批准后方可离开。如果总监理工程师（驻地监理工</w:t>
      </w:r>
      <w:bookmarkStart w:id="671" w:name="bookmark143"/>
      <w:bookmarkEnd w:id="671"/>
      <w:r>
        <w:rPr>
          <w:rFonts w:ascii="宋体" w:hAnsi="宋体" w:eastAsia="宋体" w:cs="宋体"/>
          <w:color w:val="auto"/>
          <w:spacing w:val="2"/>
          <w:sz w:val="22"/>
          <w:szCs w:val="22"/>
          <w:highlight w:val="none"/>
        </w:rPr>
        <w:t>程师）或其他主要监理人员需离开现场的时间超过</w:t>
      </w:r>
      <w:r>
        <w:rPr>
          <w:rFonts w:ascii="宋体" w:hAnsi="宋体" w:eastAsia="宋体" w:cs="宋体"/>
          <w:color w:val="auto"/>
          <w:spacing w:val="-25"/>
          <w:sz w:val="22"/>
          <w:szCs w:val="22"/>
          <w:highlight w:val="none"/>
        </w:rPr>
        <w:t xml:space="preserve"> </w:t>
      </w:r>
      <w:r>
        <w:rPr>
          <w:rFonts w:ascii="宋体" w:hAnsi="宋体" w:eastAsia="宋体" w:cs="宋体"/>
          <w:color w:val="auto"/>
          <w:spacing w:val="2"/>
          <w:sz w:val="22"/>
          <w:szCs w:val="22"/>
          <w:highlight w:val="none"/>
        </w:rPr>
        <w:t>14</w:t>
      </w:r>
      <w:r>
        <w:rPr>
          <w:rFonts w:ascii="宋体" w:hAnsi="宋体" w:eastAsia="宋体" w:cs="宋体"/>
          <w:color w:val="auto"/>
          <w:spacing w:val="-40"/>
          <w:sz w:val="22"/>
          <w:szCs w:val="22"/>
          <w:highlight w:val="none"/>
        </w:rPr>
        <w:t xml:space="preserve"> </w:t>
      </w:r>
      <w:r>
        <w:rPr>
          <w:rFonts w:ascii="宋体" w:hAnsi="宋体" w:eastAsia="宋体" w:cs="宋体"/>
          <w:color w:val="auto"/>
          <w:spacing w:val="2"/>
          <w:sz w:val="22"/>
          <w:szCs w:val="22"/>
          <w:highlight w:val="none"/>
        </w:rPr>
        <w:t>天，则监理人必须按第</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4.5.1</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规</w:t>
      </w:r>
      <w:r>
        <w:rPr>
          <w:rFonts w:ascii="宋体" w:hAnsi="宋体" w:eastAsia="宋体" w:cs="宋体"/>
          <w:color w:val="auto"/>
          <w:spacing w:val="1"/>
          <w:sz w:val="22"/>
          <w:szCs w:val="22"/>
          <w:highlight w:val="none"/>
        </w:rPr>
        <w:t>定派同</w:t>
      </w:r>
      <w:r>
        <w:rPr>
          <w:rFonts w:ascii="宋体" w:hAnsi="宋体" w:eastAsia="宋体" w:cs="宋体"/>
          <w:color w:val="auto"/>
          <w:spacing w:val="-1"/>
          <w:sz w:val="22"/>
          <w:szCs w:val="22"/>
          <w:highlight w:val="none"/>
        </w:rPr>
        <w:t>样资质的人员来替换。</w:t>
      </w:r>
    </w:p>
    <w:p w14:paraId="377C22EB">
      <w:pPr>
        <w:spacing w:before="166" w:line="360" w:lineRule="auto"/>
        <w:ind w:left="6" w:right="150"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监理人应如实记录各监理人员及行政事务人员的出勤情况及工作内容，并在每月月末提交</w:t>
      </w:r>
      <w:r>
        <w:rPr>
          <w:rFonts w:ascii="宋体" w:hAnsi="宋体" w:eastAsia="宋体" w:cs="宋体"/>
          <w:color w:val="auto"/>
          <w:sz w:val="22"/>
          <w:szCs w:val="22"/>
          <w:highlight w:val="none"/>
        </w:rPr>
        <w:t>委托人签字确认。</w:t>
      </w:r>
    </w:p>
    <w:p w14:paraId="701BD978">
      <w:pPr>
        <w:spacing w:line="360" w:lineRule="auto"/>
        <w:ind w:left="44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第</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4.5.4</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项修改为：</w:t>
      </w:r>
    </w:p>
    <w:p w14:paraId="2C2A6438">
      <w:pPr>
        <w:spacing w:before="167" w:line="360" w:lineRule="auto"/>
        <w:ind w:left="6" w:right="34"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监理人须根据交通运输主管部门的有关规定，完成监理人员从业登记和业绩登记，其中房</w:t>
      </w:r>
      <w:r>
        <w:rPr>
          <w:rFonts w:ascii="宋体" w:hAnsi="宋体" w:eastAsia="宋体" w:cs="宋体"/>
          <w:color w:val="auto"/>
          <w:spacing w:val="-1"/>
          <w:sz w:val="22"/>
          <w:szCs w:val="22"/>
          <w:highlight w:val="none"/>
        </w:rPr>
        <w:t>建工程监理人员应满足《广东省公路房建工程建设管理指</w:t>
      </w:r>
      <w:r>
        <w:rPr>
          <w:rFonts w:ascii="宋体" w:hAnsi="宋体" w:eastAsia="宋体" w:cs="宋体"/>
          <w:color w:val="auto"/>
          <w:spacing w:val="-2"/>
          <w:sz w:val="22"/>
          <w:szCs w:val="22"/>
          <w:highlight w:val="none"/>
        </w:rPr>
        <w:t>南》中的相关要求。监理人员进场后，</w:t>
      </w:r>
      <w:r>
        <w:rPr>
          <w:rFonts w:ascii="宋体" w:hAnsi="宋体" w:eastAsia="宋体" w:cs="宋体"/>
          <w:color w:val="auto"/>
          <w:spacing w:val="4"/>
          <w:sz w:val="22"/>
          <w:szCs w:val="22"/>
          <w:highlight w:val="none"/>
        </w:rPr>
        <w:t>委托人将组织对监理人员进行上岗前考核，同时在监理服务期限内,委托</w:t>
      </w:r>
      <w:r>
        <w:rPr>
          <w:rFonts w:ascii="宋体" w:hAnsi="宋体" w:eastAsia="宋体" w:cs="宋体"/>
          <w:color w:val="auto"/>
          <w:spacing w:val="3"/>
          <w:sz w:val="22"/>
          <w:szCs w:val="22"/>
          <w:highlight w:val="none"/>
        </w:rPr>
        <w:t>人将根据实际情况不</w:t>
      </w:r>
      <w:r>
        <w:rPr>
          <w:rFonts w:ascii="宋体" w:hAnsi="宋体" w:eastAsia="宋体" w:cs="宋体"/>
          <w:color w:val="auto"/>
          <w:sz w:val="22"/>
          <w:szCs w:val="22"/>
          <w:highlight w:val="none"/>
        </w:rPr>
        <w:t>定期对监理人员进行考核，考核不合格的监理人员将不准上岗，全部监理人</w:t>
      </w:r>
      <w:r>
        <w:rPr>
          <w:rFonts w:ascii="宋体" w:hAnsi="宋体" w:eastAsia="宋体" w:cs="宋体"/>
          <w:color w:val="auto"/>
          <w:spacing w:val="-1"/>
          <w:sz w:val="22"/>
          <w:szCs w:val="22"/>
          <w:highlight w:val="none"/>
        </w:rPr>
        <w:t>员均须持证上岗。</w:t>
      </w:r>
    </w:p>
    <w:p w14:paraId="7028EA65">
      <w:pPr>
        <w:spacing w:line="360" w:lineRule="auto"/>
        <w:ind w:left="45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增加第</w:t>
      </w:r>
      <w:r>
        <w:rPr>
          <w:rFonts w:ascii="宋体" w:hAnsi="宋体" w:eastAsia="宋体" w:cs="宋体"/>
          <w:color w:val="auto"/>
          <w:spacing w:val="-38"/>
          <w:sz w:val="22"/>
          <w:szCs w:val="22"/>
          <w:highlight w:val="none"/>
        </w:rPr>
        <w:t xml:space="preserve"> </w:t>
      </w:r>
      <w:r>
        <w:rPr>
          <w:rFonts w:ascii="宋体" w:hAnsi="宋体" w:eastAsia="宋体" w:cs="宋体"/>
          <w:color w:val="auto"/>
          <w:spacing w:val="-3"/>
          <w:sz w:val="22"/>
          <w:szCs w:val="22"/>
          <w:highlight w:val="none"/>
        </w:rPr>
        <w:t>4.5.5</w:t>
      </w:r>
      <w:r>
        <w:rPr>
          <w:rFonts w:ascii="宋体" w:hAnsi="宋体" w:eastAsia="宋体" w:cs="宋体"/>
          <w:color w:val="auto"/>
          <w:spacing w:val="-42"/>
          <w:sz w:val="22"/>
          <w:szCs w:val="22"/>
          <w:highlight w:val="none"/>
        </w:rPr>
        <w:t xml:space="preserve"> </w:t>
      </w:r>
      <w:r>
        <w:rPr>
          <w:rFonts w:ascii="宋体" w:hAnsi="宋体" w:eastAsia="宋体" w:cs="宋体"/>
          <w:color w:val="auto"/>
          <w:spacing w:val="-3"/>
          <w:sz w:val="22"/>
          <w:szCs w:val="22"/>
          <w:highlight w:val="none"/>
        </w:rPr>
        <w:t>项-4.5.8</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w:t>
      </w:r>
    </w:p>
    <w:p w14:paraId="6203AA2B">
      <w:pPr>
        <w:spacing w:before="166" w:line="360" w:lineRule="auto"/>
        <w:ind w:left="6" w:right="152" w:firstLine="4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4.5.5 监理人在投标文件中填报或在合同附件约定的人员必须全部按时到位，对于人员不</w:t>
      </w:r>
      <w:r>
        <w:rPr>
          <w:rFonts w:ascii="宋体" w:hAnsi="宋体" w:eastAsia="宋体" w:cs="宋体"/>
          <w:color w:val="auto"/>
          <w:spacing w:val="-1"/>
          <w:sz w:val="22"/>
          <w:szCs w:val="22"/>
          <w:highlight w:val="none"/>
        </w:rPr>
        <w:t>及时到位的按违约进行：</w:t>
      </w:r>
    </w:p>
    <w:p w14:paraId="51E3AF02">
      <w:pPr>
        <w:spacing w:line="360" w:lineRule="auto"/>
        <w:ind w:left="7" w:firstLine="447"/>
        <w:jc w:val="both"/>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总监理工程师处违约金</w:t>
      </w:r>
      <w:r>
        <w:rPr>
          <w:rFonts w:ascii="宋体" w:hAnsi="宋体" w:eastAsia="宋体" w:cs="宋体"/>
          <w:color w:val="auto"/>
          <w:spacing w:val="-107"/>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3</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3"/>
          <w:sz w:val="22"/>
          <w:szCs w:val="22"/>
          <w:highlight w:val="none"/>
        </w:rPr>
        <w:t>万元/人次（用备选人替换首选人的调整不受此限）</w:t>
      </w:r>
      <w:r>
        <w:rPr>
          <w:rFonts w:hint="eastAsia" w:ascii="宋体" w:hAnsi="宋体" w:eastAsia="宋体" w:cs="宋体"/>
          <w:color w:val="auto"/>
          <w:spacing w:val="3"/>
          <w:sz w:val="22"/>
          <w:szCs w:val="22"/>
          <w:highlight w:val="none"/>
          <w:lang w:eastAsia="zh-CN"/>
        </w:rPr>
        <w:t>，</w:t>
      </w:r>
      <w:r>
        <w:rPr>
          <w:rFonts w:ascii="宋体" w:hAnsi="宋体" w:eastAsia="宋体" w:cs="宋体"/>
          <w:color w:val="auto"/>
          <w:sz w:val="22"/>
          <w:szCs w:val="22"/>
          <w:highlight w:val="none"/>
        </w:rPr>
        <w:t>其他主要监理人员</w:t>
      </w:r>
      <w:r>
        <w:rPr>
          <w:rFonts w:ascii="宋体" w:hAnsi="宋体" w:eastAsia="宋体" w:cs="宋体"/>
          <w:color w:val="auto"/>
          <w:spacing w:val="3"/>
          <w:sz w:val="22"/>
          <w:szCs w:val="22"/>
          <w:highlight w:val="none"/>
        </w:rPr>
        <w:t>的到位率必须达到</w:t>
      </w:r>
      <w:r>
        <w:rPr>
          <w:rFonts w:ascii="宋体" w:hAnsi="宋体" w:eastAsia="宋体" w:cs="宋体"/>
          <w:color w:val="auto"/>
          <w:spacing w:val="-41"/>
          <w:sz w:val="22"/>
          <w:szCs w:val="22"/>
          <w:highlight w:val="none"/>
        </w:rPr>
        <w:t xml:space="preserve"> </w:t>
      </w:r>
      <w:r>
        <w:rPr>
          <w:rFonts w:ascii="宋体" w:hAnsi="宋体" w:eastAsia="宋体" w:cs="宋体"/>
          <w:color w:val="auto"/>
          <w:spacing w:val="3"/>
          <w:sz w:val="22"/>
          <w:szCs w:val="22"/>
          <w:highlight w:val="none"/>
          <w:u w:val="single" w:color="auto"/>
        </w:rPr>
        <w:t>80%</w:t>
      </w:r>
      <w:r>
        <w:rPr>
          <w:rFonts w:ascii="宋体" w:hAnsi="宋体" w:eastAsia="宋体" w:cs="宋体"/>
          <w:color w:val="auto"/>
          <w:spacing w:val="3"/>
          <w:sz w:val="22"/>
          <w:szCs w:val="22"/>
          <w:highlight w:val="none"/>
        </w:rPr>
        <w:t>以上，如不足</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u w:val="single" w:color="auto"/>
        </w:rPr>
        <w:t>80</w:t>
      </w:r>
      <w:r>
        <w:rPr>
          <w:rFonts w:ascii="宋体" w:hAnsi="宋体" w:eastAsia="宋体" w:cs="宋体"/>
          <w:color w:val="auto"/>
          <w:spacing w:val="3"/>
          <w:sz w:val="22"/>
          <w:szCs w:val="22"/>
          <w:highlight w:val="none"/>
        </w:rPr>
        <w:t>%的（其他主要监理人员分批次进场的，以最终进场的所有人员计算</w:t>
      </w:r>
      <w:r>
        <w:rPr>
          <w:rFonts w:ascii="宋体" w:hAnsi="宋体" w:eastAsia="宋体" w:cs="宋体"/>
          <w:color w:val="auto"/>
          <w:spacing w:val="10"/>
          <w:sz w:val="22"/>
          <w:szCs w:val="22"/>
          <w:highlight w:val="none"/>
        </w:rPr>
        <w:t>），</w:t>
      </w:r>
      <w:r>
        <w:rPr>
          <w:rFonts w:ascii="宋体" w:hAnsi="宋体" w:eastAsia="宋体" w:cs="宋体"/>
          <w:color w:val="auto"/>
          <w:spacing w:val="3"/>
          <w:sz w:val="22"/>
          <w:szCs w:val="22"/>
          <w:highlight w:val="none"/>
        </w:rPr>
        <w:t>其差额部分处以违约金</w:t>
      </w:r>
      <w:r>
        <w:rPr>
          <w:rFonts w:ascii="宋体" w:hAnsi="宋体" w:eastAsia="宋体" w:cs="宋体"/>
          <w:color w:val="auto"/>
          <w:spacing w:val="-108"/>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1</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3"/>
          <w:sz w:val="22"/>
          <w:szCs w:val="22"/>
          <w:highlight w:val="none"/>
        </w:rPr>
        <w:t>万元/人次进行处罚。如因</w:t>
      </w:r>
      <w:r>
        <w:rPr>
          <w:rFonts w:ascii="宋体" w:hAnsi="宋体" w:eastAsia="宋体" w:cs="宋体"/>
          <w:color w:val="auto"/>
          <w:spacing w:val="2"/>
          <w:sz w:val="22"/>
          <w:szCs w:val="22"/>
          <w:highlight w:val="none"/>
        </w:rPr>
        <w:t>特殊原因确需对投标文件中的主要监理人员进行调整除按4.5.1</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项规定外，所代替的人选在资格、资历、能力等方</w:t>
      </w:r>
      <w:r>
        <w:rPr>
          <w:rFonts w:ascii="宋体" w:hAnsi="宋体" w:eastAsia="宋体" w:cs="宋体"/>
          <w:color w:val="auto"/>
          <w:spacing w:val="-1"/>
          <w:sz w:val="22"/>
          <w:szCs w:val="22"/>
          <w:highlight w:val="none"/>
        </w:rPr>
        <w:t>面均不得低于原来的人选，监理人须将更换人员的相关资料如任职证明、身份证、专业（执业）</w:t>
      </w:r>
      <w:r>
        <w:rPr>
          <w:rFonts w:ascii="宋体" w:hAnsi="宋体" w:eastAsia="宋体" w:cs="宋体"/>
          <w:color w:val="auto"/>
          <w:sz w:val="22"/>
          <w:szCs w:val="22"/>
          <w:highlight w:val="none"/>
        </w:rPr>
        <w:t>资格证书等复印件报委托人备案，并按上述</w:t>
      </w:r>
      <w:r>
        <w:rPr>
          <w:rFonts w:ascii="宋体" w:hAnsi="宋体" w:eastAsia="宋体" w:cs="宋体"/>
          <w:color w:val="auto"/>
          <w:spacing w:val="-1"/>
          <w:sz w:val="22"/>
          <w:szCs w:val="22"/>
          <w:highlight w:val="none"/>
        </w:rPr>
        <w:t>标准提交违约金。</w:t>
      </w:r>
    </w:p>
    <w:p w14:paraId="689F10AA">
      <w:pPr>
        <w:spacing w:line="360" w:lineRule="auto"/>
        <w:ind w:left="6" w:right="150" w:firstLine="4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4.5.6</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如果监理人需要对其在投标文件中提出的人员进场计划及计划调整，必须事先经过</w:t>
      </w:r>
      <w:r>
        <w:rPr>
          <w:rFonts w:ascii="宋体" w:hAnsi="宋体" w:eastAsia="宋体" w:cs="宋体"/>
          <w:color w:val="auto"/>
          <w:sz w:val="22"/>
          <w:szCs w:val="22"/>
          <w:highlight w:val="none"/>
        </w:rPr>
        <w:t>委托人的批准；所有监理人员需经委托人组织考核</w:t>
      </w:r>
      <w:r>
        <w:rPr>
          <w:rFonts w:ascii="宋体" w:hAnsi="宋体" w:eastAsia="宋体" w:cs="宋体"/>
          <w:color w:val="auto"/>
          <w:spacing w:val="-1"/>
          <w:sz w:val="22"/>
          <w:szCs w:val="22"/>
          <w:highlight w:val="none"/>
        </w:rPr>
        <w:t>合格后方可进场。</w:t>
      </w:r>
    </w:p>
    <w:p w14:paraId="57613CB1">
      <w:pPr>
        <w:spacing w:before="167" w:line="360" w:lineRule="auto"/>
        <w:ind w:left="448"/>
        <w:rPr>
          <w:rFonts w:ascii="宋体" w:hAnsi="宋体" w:eastAsia="宋体" w:cs="宋体"/>
          <w:color w:val="auto"/>
          <w:sz w:val="22"/>
          <w:szCs w:val="22"/>
          <w:highlight w:val="none"/>
        </w:rPr>
      </w:pPr>
      <w:r>
        <w:rPr>
          <w:rFonts w:ascii="宋体" w:hAnsi="宋体" w:eastAsia="宋体" w:cs="宋体"/>
          <w:color w:val="auto"/>
          <w:sz w:val="22"/>
          <w:szCs w:val="22"/>
          <w:highlight w:val="none"/>
        </w:rPr>
        <w:t>4.5.7 监理人员上岗时必须统一着装、挂牌，做到标志</w:t>
      </w:r>
      <w:r>
        <w:rPr>
          <w:rFonts w:ascii="宋体" w:hAnsi="宋体" w:eastAsia="宋体" w:cs="宋体"/>
          <w:color w:val="auto"/>
          <w:spacing w:val="-1"/>
          <w:sz w:val="22"/>
          <w:szCs w:val="22"/>
          <w:highlight w:val="none"/>
        </w:rPr>
        <w:t>明显，形象分明。</w:t>
      </w:r>
    </w:p>
    <w:p w14:paraId="65661370">
      <w:pPr>
        <w:spacing w:before="166" w:line="360" w:lineRule="auto"/>
        <w:ind w:left="13" w:right="150" w:firstLine="43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4.5.8</w:t>
      </w:r>
      <w:r>
        <w:rPr>
          <w:rFonts w:ascii="宋体" w:hAnsi="宋体" w:eastAsia="宋体" w:cs="宋体"/>
          <w:color w:val="auto"/>
          <w:spacing w:val="-48"/>
          <w:sz w:val="22"/>
          <w:szCs w:val="22"/>
          <w:highlight w:val="none"/>
        </w:rPr>
        <w:t xml:space="preserve"> </w:t>
      </w:r>
      <w:r>
        <w:rPr>
          <w:rFonts w:ascii="宋体" w:hAnsi="宋体" w:eastAsia="宋体" w:cs="宋体"/>
          <w:color w:val="auto"/>
          <w:sz w:val="22"/>
          <w:szCs w:val="22"/>
          <w:highlight w:val="none"/>
        </w:rPr>
        <w:t>在交(竣)工验收及缺陷责</w:t>
      </w:r>
      <w:r>
        <w:rPr>
          <w:rFonts w:ascii="宋体" w:hAnsi="宋体" w:eastAsia="宋体" w:cs="宋体"/>
          <w:color w:val="auto"/>
          <w:spacing w:val="5"/>
          <w:sz w:val="22"/>
          <w:szCs w:val="22"/>
          <w:highlight w:val="none"/>
        </w:rPr>
        <w:t>任期内，监理人应配备</w:t>
      </w:r>
      <w:r>
        <w:rPr>
          <w:rFonts w:ascii="宋体" w:hAnsi="宋体" w:eastAsia="宋体" w:cs="宋体"/>
          <w:color w:val="auto"/>
          <w:spacing w:val="-108"/>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1</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5"/>
          <w:sz w:val="22"/>
          <w:szCs w:val="22"/>
          <w:highlight w:val="none"/>
        </w:rPr>
        <w:t>名监理人员，且所安排人员应</w:t>
      </w:r>
      <w:r>
        <w:rPr>
          <w:rFonts w:ascii="宋体" w:hAnsi="宋体" w:eastAsia="宋体" w:cs="宋体"/>
          <w:color w:val="auto"/>
          <w:spacing w:val="-2"/>
          <w:sz w:val="22"/>
          <w:szCs w:val="22"/>
          <w:highlight w:val="none"/>
        </w:rPr>
        <w:t>到岗到位，不得随意更换。</w:t>
      </w:r>
    </w:p>
    <w:p w14:paraId="37A022F4">
      <w:pPr>
        <w:spacing w:before="168" w:line="360" w:lineRule="auto"/>
        <w:ind w:left="10" w:right="150" w:firstLine="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4.5.9</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监理人应根据广东省交通运输厅关于加强交通建设工程从业人员实名制管理和作业</w:t>
      </w:r>
      <w:r>
        <w:rPr>
          <w:rFonts w:ascii="宋体" w:hAnsi="宋体" w:eastAsia="宋体" w:cs="宋体"/>
          <w:color w:val="auto"/>
          <w:spacing w:val="1"/>
          <w:sz w:val="22"/>
          <w:szCs w:val="22"/>
          <w:highlight w:val="none"/>
        </w:rPr>
        <w:t>工人工资支付管理的通知（</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2"/>
          <w:szCs w:val="22"/>
          <w:highlight w:val="none"/>
        </w:rPr>
        <w:t>粤交基函〔 2020〕</w:t>
      </w:r>
      <w:r>
        <w:rPr>
          <w:rFonts w:ascii="宋体" w:hAnsi="宋体" w:eastAsia="宋体" w:cs="宋体"/>
          <w:color w:val="auto"/>
          <w:spacing w:val="36"/>
          <w:sz w:val="22"/>
          <w:szCs w:val="22"/>
          <w:highlight w:val="none"/>
        </w:rPr>
        <w:t xml:space="preserve"> </w:t>
      </w:r>
      <w:r>
        <w:rPr>
          <w:rFonts w:ascii="宋体" w:hAnsi="宋体" w:eastAsia="宋体" w:cs="宋体"/>
          <w:color w:val="auto"/>
          <w:spacing w:val="1"/>
          <w:sz w:val="22"/>
          <w:szCs w:val="22"/>
          <w:highlight w:val="none"/>
        </w:rPr>
        <w:t>177 号</w:t>
      </w:r>
      <w:r>
        <w:rPr>
          <w:rFonts w:ascii="宋体" w:hAnsi="宋体" w:eastAsia="宋体" w:cs="宋体"/>
          <w:color w:val="auto"/>
          <w:sz w:val="22"/>
          <w:szCs w:val="22"/>
          <w:highlight w:val="none"/>
        </w:rPr>
        <w:t>）</w:t>
      </w:r>
      <w:r>
        <w:rPr>
          <w:rFonts w:ascii="宋体" w:hAnsi="宋体" w:eastAsia="宋体" w:cs="宋体"/>
          <w:color w:val="auto"/>
          <w:spacing w:val="37"/>
          <w:sz w:val="22"/>
          <w:szCs w:val="22"/>
          <w:highlight w:val="none"/>
        </w:rPr>
        <w:t xml:space="preserve"> </w:t>
      </w:r>
      <w:r>
        <w:rPr>
          <w:rFonts w:ascii="宋体" w:hAnsi="宋体" w:eastAsia="宋体" w:cs="宋体"/>
          <w:color w:val="auto"/>
          <w:sz w:val="22"/>
          <w:szCs w:val="22"/>
          <w:highlight w:val="none"/>
        </w:rPr>
        <w:t>的要求， 做好从业人员实名制管</w:t>
      </w:r>
      <w:r>
        <w:rPr>
          <w:rFonts w:ascii="宋体" w:hAnsi="宋体" w:eastAsia="宋体" w:cs="宋体"/>
          <w:color w:val="auto"/>
          <w:spacing w:val="-1"/>
          <w:sz w:val="22"/>
          <w:szCs w:val="22"/>
          <w:highlight w:val="none"/>
        </w:rPr>
        <w:t>理要求， 具体要求根据委托人发布的相关办法执行。</w:t>
      </w:r>
    </w:p>
    <w:p w14:paraId="75B919F9">
      <w:pPr>
        <w:spacing w:before="168" w:line="360" w:lineRule="auto"/>
        <w:ind w:left="49" w:right="152" w:firstLine="3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4.5.10 委托人可批准部分未持有交通运输部监理</w:t>
      </w:r>
      <w:r>
        <w:rPr>
          <w:rFonts w:ascii="宋体" w:hAnsi="宋体" w:eastAsia="宋体" w:cs="宋体"/>
          <w:color w:val="auto"/>
          <w:spacing w:val="3"/>
          <w:sz w:val="22"/>
          <w:szCs w:val="22"/>
          <w:highlight w:val="none"/>
        </w:rPr>
        <w:t>工程师证人员以专业工程师身份进入项</w:t>
      </w:r>
      <w:r>
        <w:rPr>
          <w:rFonts w:ascii="宋体" w:hAnsi="宋体" w:eastAsia="宋体" w:cs="宋体"/>
          <w:color w:val="auto"/>
          <w:spacing w:val="-2"/>
          <w:sz w:val="22"/>
          <w:szCs w:val="22"/>
          <w:highlight w:val="none"/>
        </w:rPr>
        <w:t>目执业，书面批复并明确其在项目内的职权范围。比例不超</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30</w:t>
      </w:r>
      <w:r>
        <w:rPr>
          <w:rFonts w:ascii="宋体" w:hAnsi="宋体" w:eastAsia="宋体" w:cs="宋体"/>
          <w:color w:val="auto"/>
          <w:spacing w:val="-3"/>
          <w:sz w:val="22"/>
          <w:szCs w:val="22"/>
          <w:highlight w:val="none"/>
        </w:rPr>
        <w:t>%。</w:t>
      </w:r>
    </w:p>
    <w:p w14:paraId="48774E5A">
      <w:pPr>
        <w:spacing w:before="166" w:line="360" w:lineRule="auto"/>
        <w:ind w:left="448"/>
        <w:rPr>
          <w:rFonts w:ascii="宋体" w:hAnsi="宋体" w:eastAsia="宋体" w:cs="宋体"/>
          <w:color w:val="auto"/>
          <w:sz w:val="22"/>
          <w:szCs w:val="22"/>
          <w:highlight w:val="none"/>
        </w:rPr>
      </w:pPr>
      <w:r>
        <w:rPr>
          <w:rFonts w:ascii="宋体" w:hAnsi="宋体" w:eastAsia="宋体" w:cs="宋体"/>
          <w:color w:val="auto"/>
          <w:sz w:val="22"/>
          <w:szCs w:val="22"/>
          <w:highlight w:val="none"/>
        </w:rPr>
        <w:t>4.5.11 监理机构应制定监理人员培训方案，培</w:t>
      </w:r>
      <w:r>
        <w:rPr>
          <w:rFonts w:ascii="宋体" w:hAnsi="宋体" w:eastAsia="宋体" w:cs="宋体"/>
          <w:color w:val="auto"/>
          <w:spacing w:val="-1"/>
          <w:sz w:val="22"/>
          <w:szCs w:val="22"/>
          <w:highlight w:val="none"/>
        </w:rPr>
        <w:t>训内容应包括：</w:t>
      </w:r>
    </w:p>
    <w:p w14:paraId="5061B428">
      <w:pPr>
        <w:spacing w:before="168" w:line="360" w:lineRule="auto"/>
        <w:ind w:left="4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a）相关法律法规、规范及指南；</w:t>
      </w:r>
    </w:p>
    <w:p w14:paraId="08198906">
      <w:pPr>
        <w:spacing w:before="165" w:line="360" w:lineRule="auto"/>
        <w:ind w:left="445"/>
        <w:rPr>
          <w:rFonts w:ascii="宋体" w:hAnsi="宋体" w:eastAsia="宋体" w:cs="宋体"/>
          <w:color w:val="auto"/>
          <w:sz w:val="22"/>
          <w:szCs w:val="22"/>
          <w:highlight w:val="none"/>
        </w:rPr>
      </w:pPr>
      <w:bookmarkStart w:id="672" w:name="bookmark144"/>
      <w:bookmarkEnd w:id="672"/>
      <w:r>
        <w:rPr>
          <w:rFonts w:ascii="宋体" w:hAnsi="宋体" w:eastAsia="宋体" w:cs="宋体"/>
          <w:color w:val="auto"/>
          <w:sz w:val="22"/>
          <w:szCs w:val="22"/>
          <w:highlight w:val="none"/>
        </w:rPr>
        <w:t>b）监理基础知识、专业技术知识，分部分项工程质量安全</w:t>
      </w:r>
      <w:r>
        <w:rPr>
          <w:rFonts w:ascii="宋体" w:hAnsi="宋体" w:eastAsia="宋体" w:cs="宋体"/>
          <w:color w:val="auto"/>
          <w:spacing w:val="-1"/>
          <w:sz w:val="22"/>
          <w:szCs w:val="22"/>
          <w:highlight w:val="none"/>
        </w:rPr>
        <w:t>监理要点；</w:t>
      </w:r>
    </w:p>
    <w:p w14:paraId="276CCD19">
      <w:pPr>
        <w:spacing w:before="44" w:line="360" w:lineRule="auto"/>
        <w:ind w:left="2" w:right="118" w:firstLine="44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c）项目建设目标、建设理念、项目管理要求或建设单位下发的项</w:t>
      </w:r>
      <w:r>
        <w:rPr>
          <w:rFonts w:ascii="宋体" w:hAnsi="宋体" w:eastAsia="宋体" w:cs="宋体"/>
          <w:color w:val="auto"/>
          <w:spacing w:val="3"/>
          <w:sz w:val="22"/>
          <w:szCs w:val="22"/>
          <w:highlight w:val="none"/>
        </w:rPr>
        <w:t>目管理办法、工程特点</w:t>
      </w:r>
      <w:r>
        <w:rPr>
          <w:rFonts w:ascii="宋体" w:hAnsi="宋体" w:eastAsia="宋体" w:cs="宋体"/>
          <w:color w:val="auto"/>
          <w:sz w:val="22"/>
          <w:szCs w:val="22"/>
          <w:highlight w:val="none"/>
        </w:rPr>
        <w:t>和施工图设计文件，总体施工组织设计、承包人项目管理方案</w:t>
      </w:r>
      <w:r>
        <w:rPr>
          <w:rFonts w:ascii="宋体" w:hAnsi="宋体" w:eastAsia="宋体" w:cs="宋体"/>
          <w:color w:val="auto"/>
          <w:spacing w:val="-1"/>
          <w:sz w:val="22"/>
          <w:szCs w:val="22"/>
          <w:highlight w:val="none"/>
        </w:rPr>
        <w:t>及专项施工方案等；</w:t>
      </w:r>
    </w:p>
    <w:p w14:paraId="7B54C2B0">
      <w:pPr>
        <w:spacing w:before="167" w:line="360" w:lineRule="auto"/>
        <w:ind w:left="4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d）其他方面。</w:t>
      </w:r>
    </w:p>
    <w:p w14:paraId="1EB351DF">
      <w:pPr>
        <w:spacing w:line="360" w:lineRule="auto"/>
        <w:rPr>
          <w:rFonts w:ascii="Arial"/>
          <w:color w:val="auto"/>
          <w:sz w:val="21"/>
          <w:highlight w:val="none"/>
        </w:rPr>
      </w:pPr>
    </w:p>
    <w:p w14:paraId="33F909AE">
      <w:pPr>
        <w:spacing w:line="360" w:lineRule="auto"/>
        <w:rPr>
          <w:rFonts w:ascii="Arial"/>
          <w:color w:val="auto"/>
          <w:sz w:val="21"/>
          <w:highlight w:val="none"/>
        </w:rPr>
      </w:pPr>
    </w:p>
    <w:p w14:paraId="7414335D">
      <w:pPr>
        <w:spacing w:before="78" w:line="360"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4.6</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3"/>
          <w:sz w:val="24"/>
          <w:szCs w:val="24"/>
          <w:highlight w:val="none"/>
        </w:rPr>
        <w:t>撤换总监理工程师和其他人员</w:t>
      </w:r>
    </w:p>
    <w:p w14:paraId="5E763AE1">
      <w:pPr>
        <w:spacing w:before="175" w:line="360"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在</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4.6</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项段后增加如下内容：</w:t>
      </w:r>
    </w:p>
    <w:p w14:paraId="2B4E09E2">
      <w:pPr>
        <w:spacing w:before="166" w:line="360" w:lineRule="auto"/>
        <w:ind w:left="1" w:firstLine="44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尽管监理人已按投标文件中的人员进场计划派遣了监理人员，但若委托人认为现场监理人员仍不足以满足施工监理服务的需要而影响了对工程质量及进度的监控时，委托人有权要求监</w:t>
      </w:r>
      <w:r>
        <w:rPr>
          <w:rFonts w:ascii="宋体" w:hAnsi="宋体" w:eastAsia="宋体" w:cs="宋体"/>
          <w:color w:val="auto"/>
          <w:spacing w:val="-1"/>
          <w:sz w:val="22"/>
          <w:szCs w:val="22"/>
          <w:highlight w:val="none"/>
        </w:rPr>
        <w:t>理人另外增派或雇用监理人员。监理人在接到通知后应</w:t>
      </w:r>
      <w:r>
        <w:rPr>
          <w:rFonts w:ascii="宋体" w:hAnsi="宋体" w:eastAsia="宋体" w:cs="宋体"/>
          <w:color w:val="auto"/>
          <w:spacing w:val="-2"/>
          <w:sz w:val="22"/>
          <w:szCs w:val="22"/>
          <w:highlight w:val="none"/>
        </w:rPr>
        <w:t>立即执行委托人的指示，不得无故拖延，</w:t>
      </w:r>
      <w:r>
        <w:rPr>
          <w:rFonts w:ascii="宋体" w:hAnsi="宋体" w:eastAsia="宋体" w:cs="宋体"/>
          <w:color w:val="auto"/>
          <w:spacing w:val="1"/>
          <w:sz w:val="22"/>
          <w:szCs w:val="22"/>
          <w:highlight w:val="none"/>
        </w:rPr>
        <w:t>同时委托人也有权要求监理人减少监理人员。如监理人因此在投标报价的现场监理人员费用总</w:t>
      </w:r>
      <w:r>
        <w:rPr>
          <w:rFonts w:ascii="宋体" w:hAnsi="宋体" w:eastAsia="宋体" w:cs="宋体"/>
          <w:color w:val="auto"/>
          <w:sz w:val="22"/>
          <w:szCs w:val="22"/>
          <w:highlight w:val="none"/>
        </w:rPr>
        <w:t>额上需增减费用，则增加部分由委托人承担，减</w:t>
      </w:r>
      <w:r>
        <w:rPr>
          <w:rFonts w:ascii="宋体" w:hAnsi="宋体" w:eastAsia="宋体" w:cs="宋体"/>
          <w:color w:val="auto"/>
          <w:spacing w:val="-1"/>
          <w:sz w:val="22"/>
          <w:szCs w:val="22"/>
          <w:highlight w:val="none"/>
        </w:rPr>
        <w:t>少部分归委托人所有。</w:t>
      </w:r>
    </w:p>
    <w:p w14:paraId="2CB10EC9">
      <w:pPr>
        <w:spacing w:line="360" w:lineRule="auto"/>
        <w:rPr>
          <w:rFonts w:ascii="Arial"/>
          <w:color w:val="auto"/>
          <w:sz w:val="21"/>
          <w:highlight w:val="none"/>
        </w:rPr>
      </w:pPr>
    </w:p>
    <w:p w14:paraId="4B5A57CF">
      <w:pPr>
        <w:spacing w:before="78" w:line="360" w:lineRule="auto"/>
        <w:ind w:left="7"/>
        <w:outlineLvl w:val="1"/>
        <w:rPr>
          <w:rFonts w:ascii="宋体" w:hAnsi="宋体" w:eastAsia="宋体" w:cs="宋体"/>
          <w:color w:val="auto"/>
          <w:sz w:val="24"/>
          <w:szCs w:val="24"/>
          <w:highlight w:val="none"/>
        </w:rPr>
      </w:pPr>
      <w:bookmarkStart w:id="673" w:name="_Toc4735"/>
      <w:bookmarkStart w:id="674" w:name="_Toc30216"/>
      <w:bookmarkStart w:id="675" w:name="_Toc19124"/>
      <w:bookmarkStart w:id="676" w:name="_Toc30108"/>
      <w:r>
        <w:rPr>
          <w:rFonts w:ascii="宋体" w:hAnsi="宋体" w:eastAsia="宋体" w:cs="宋体"/>
          <w:b/>
          <w:bCs/>
          <w:color w:val="auto"/>
          <w:spacing w:val="-6"/>
          <w:sz w:val="24"/>
          <w:szCs w:val="24"/>
          <w:highlight w:val="none"/>
        </w:rPr>
        <w:t>5.</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6"/>
          <w:sz w:val="24"/>
          <w:szCs w:val="24"/>
          <w:highlight w:val="none"/>
        </w:rPr>
        <w:t>监理要求</w:t>
      </w:r>
      <w:bookmarkEnd w:id="673"/>
      <w:bookmarkEnd w:id="674"/>
      <w:bookmarkEnd w:id="675"/>
      <w:bookmarkEnd w:id="676"/>
    </w:p>
    <w:p w14:paraId="23632CA9">
      <w:pPr>
        <w:spacing w:before="289" w:line="360" w:lineRule="auto"/>
        <w:ind w:left="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5.1</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监理范围</w:t>
      </w:r>
    </w:p>
    <w:p w14:paraId="7028AB53">
      <w:pPr>
        <w:spacing w:before="177" w:line="360" w:lineRule="auto"/>
        <w:ind w:left="7" w:leftChars="0"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5.1.2 工程范围包括：</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路基、路面、绿化、交通安全设施及沿线附属设施等的施工监理工作。</w:t>
      </w:r>
    </w:p>
    <w:p w14:paraId="53B17690">
      <w:pPr>
        <w:spacing w:before="166" w:line="360" w:lineRule="auto"/>
        <w:ind w:left="7" w:leftChars="0" w:firstLine="438" w:firstLineChars="20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5.1.3 阶段范围包括：</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rPr>
        <w:t>施工准备阶段、施工阶段、交(竣)工验收及缺陷责任期阶段的施工监理、施工安全的监理</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2"/>
          <w:sz w:val="22"/>
          <w:szCs w:val="22"/>
          <w:highlight w:val="none"/>
        </w:rPr>
        <w:t>。</w:t>
      </w:r>
    </w:p>
    <w:p w14:paraId="08F69FD4">
      <w:pPr>
        <w:spacing w:before="164" w:line="360" w:lineRule="auto"/>
        <w:ind w:left="0" w:leftChars="0" w:firstLine="418" w:firstLineChars="190"/>
        <w:rPr>
          <w:rFonts w:hint="eastAsia" w:ascii="宋体" w:hAnsi="宋体" w:eastAsia="宋体" w:cs="宋体"/>
          <w:color w:val="auto"/>
          <w:sz w:val="22"/>
          <w:szCs w:val="22"/>
          <w:highlight w:val="none"/>
          <w:u w:val="single" w:color="auto"/>
        </w:rPr>
      </w:pPr>
      <w:r>
        <w:rPr>
          <w:rFonts w:ascii="宋体" w:hAnsi="宋体" w:eastAsia="宋体" w:cs="宋体"/>
          <w:color w:val="auto"/>
          <w:sz w:val="22"/>
          <w:szCs w:val="22"/>
          <w:highlight w:val="none"/>
        </w:rPr>
        <w:t>5.1.4 工作范围包括：</w:t>
      </w:r>
      <w:r>
        <w:rPr>
          <w:rFonts w:hint="eastAsia" w:ascii="宋体" w:hAnsi="宋体" w:eastAsia="宋体" w:cs="宋体"/>
          <w:color w:val="auto"/>
          <w:sz w:val="22"/>
          <w:szCs w:val="22"/>
          <w:highlight w:val="none"/>
          <w:u w:val="single" w:color="auto"/>
          <w:lang w:eastAsia="zh-CN"/>
        </w:rPr>
        <w:t>质量控制、进度控制、投资控制、合同管理、信息管理、组织协调和安全监理、项目的环境保护监理、水土保持的监理，参建各方竣工档案编制工作的监理，以及配合业主交、竣工验收和配合业主竣工验收前的结算与决算等有关工作</w:t>
      </w:r>
      <w:r>
        <w:rPr>
          <w:rFonts w:hint="eastAsia" w:ascii="宋体" w:hAnsi="宋体" w:eastAsia="宋体" w:cs="宋体"/>
          <w:color w:val="auto"/>
          <w:sz w:val="22"/>
          <w:szCs w:val="22"/>
          <w:highlight w:val="none"/>
          <w:u w:val="single" w:color="auto"/>
        </w:rPr>
        <w:t xml:space="preserve"> 。</w:t>
      </w:r>
    </w:p>
    <w:p w14:paraId="74A38CD5">
      <w:pPr>
        <w:spacing w:line="360" w:lineRule="auto"/>
        <w:rPr>
          <w:rFonts w:ascii="Arial"/>
          <w:color w:val="auto"/>
          <w:sz w:val="21"/>
          <w:highlight w:val="none"/>
        </w:rPr>
      </w:pPr>
    </w:p>
    <w:p w14:paraId="64D9CB57">
      <w:pPr>
        <w:spacing w:before="79" w:line="360" w:lineRule="auto"/>
        <w:ind w:left="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5.3</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监理内容</w:t>
      </w:r>
    </w:p>
    <w:p w14:paraId="0383339E">
      <w:pPr>
        <w:spacing w:before="175" w:line="360" w:lineRule="auto"/>
        <w:ind w:left="472"/>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（以下适用于二级监理管理的情形）</w:t>
      </w:r>
    </w:p>
    <w:p w14:paraId="3E3F322C">
      <w:pPr>
        <w:spacing w:before="162" w:line="360" w:lineRule="auto"/>
        <w:ind w:right="115" w:firstLine="442"/>
        <w:jc w:val="both"/>
        <w:rPr>
          <w:rFonts w:ascii="宋体" w:hAnsi="宋体" w:eastAsia="宋体" w:cs="宋体"/>
          <w:color w:val="auto"/>
          <w:sz w:val="22"/>
          <w:szCs w:val="22"/>
          <w:highlight w:val="none"/>
        </w:rPr>
      </w:pPr>
      <w:r>
        <w:rPr>
          <w:rFonts w:ascii="宋体" w:hAnsi="宋体" w:eastAsia="宋体" w:cs="宋体"/>
          <w:color w:val="auto"/>
          <w:spacing w:val="2"/>
          <w:sz w:val="20"/>
          <w:szCs w:val="20"/>
          <w:highlight w:val="none"/>
        </w:rPr>
        <w:t>□</w:t>
      </w:r>
      <w:r>
        <w:rPr>
          <w:rFonts w:ascii="宋体" w:hAnsi="宋体" w:eastAsia="宋体" w:cs="宋体"/>
          <w:color w:val="auto"/>
          <w:spacing w:val="2"/>
          <w:sz w:val="22"/>
          <w:szCs w:val="22"/>
          <w:highlight w:val="none"/>
        </w:rPr>
        <w:t>工程同时设置总监理工程师办公室和驻地监理工程师</w:t>
      </w:r>
      <w:r>
        <w:rPr>
          <w:rFonts w:ascii="宋体" w:hAnsi="宋体" w:eastAsia="宋体" w:cs="宋体"/>
          <w:color w:val="auto"/>
          <w:spacing w:val="1"/>
          <w:sz w:val="22"/>
          <w:szCs w:val="22"/>
          <w:highlight w:val="none"/>
        </w:rPr>
        <w:t>办公室：本项目施工监理机构不设置中心试验室。委托人通过单独招标方式，另行设置中心试验室，原监理机构中心试验室的相</w:t>
      </w:r>
      <w:r>
        <w:rPr>
          <w:rFonts w:ascii="宋体" w:hAnsi="宋体" w:eastAsia="宋体" w:cs="宋体"/>
          <w:color w:val="auto"/>
          <w:spacing w:val="-1"/>
          <w:sz w:val="22"/>
          <w:szCs w:val="22"/>
          <w:highlight w:val="none"/>
        </w:rPr>
        <w:t>关试验检测服务工作由中心试验室试验检测服务单位承担，具体约定见</w:t>
      </w:r>
      <w:r>
        <w:rPr>
          <w:rFonts w:ascii="宋体" w:hAnsi="宋体" w:eastAsia="宋体" w:cs="宋体"/>
          <w:color w:val="auto"/>
          <w:spacing w:val="-30"/>
          <w:sz w:val="22"/>
          <w:szCs w:val="22"/>
          <w:highlight w:val="none"/>
        </w:rPr>
        <w:t xml:space="preserve"> </w:t>
      </w:r>
      <w:r>
        <w:rPr>
          <w:rFonts w:ascii="宋体" w:hAnsi="宋体" w:eastAsia="宋体" w:cs="宋体"/>
          <w:color w:val="auto"/>
          <w:spacing w:val="-1"/>
          <w:sz w:val="22"/>
          <w:szCs w:val="22"/>
          <w:highlight w:val="none"/>
        </w:rPr>
        <w:t>13.6</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款；</w:t>
      </w:r>
    </w:p>
    <w:p w14:paraId="65320544">
      <w:pPr>
        <w:spacing w:before="1" w:line="360" w:lineRule="auto"/>
        <w:ind w:left="472"/>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（以下适用于一级监理管理的情形）</w:t>
      </w:r>
    </w:p>
    <w:p w14:paraId="431FC0F6">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0"/>
          <w:szCs w:val="20"/>
          <w:highlight w:val="none"/>
          <w:lang w:eastAsia="zh-CN"/>
        </w:rPr>
        <w:t>☑</w:t>
      </w:r>
      <w:r>
        <w:rPr>
          <w:rFonts w:ascii="宋体" w:hAnsi="宋体" w:eastAsia="宋体" w:cs="宋体"/>
          <w:color w:val="auto"/>
          <w:spacing w:val="2"/>
          <w:sz w:val="22"/>
          <w:szCs w:val="22"/>
          <w:highlight w:val="none"/>
        </w:rPr>
        <w:t>工程只设置总监理工程师办公室：</w:t>
      </w:r>
      <w:r>
        <w:rPr>
          <w:rFonts w:hint="eastAsia" w:ascii="宋体" w:hAnsi="宋体" w:eastAsia="宋体" w:cs="宋体"/>
          <w:color w:val="auto"/>
          <w:spacing w:val="2"/>
          <w:sz w:val="22"/>
          <w:szCs w:val="22"/>
          <w:highlight w:val="none"/>
        </w:rPr>
        <w:t>本项目施工监理机构设置中心试验室。</w:t>
      </w:r>
    </w:p>
    <w:p w14:paraId="0FC5048D">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本工程只设置总监理工程师办公室：监理人应按照招标文件的要求建立一个满足监理工作需要的中心试验室，中心试验室应在通过质里监督部门临时资质考核后方可开展工作。对监理中心试验室不能完成的非常规试验检测项目，在现场抽检后，送由监理人委托的并经业主同意的、具有交通行业试验检测资质并且通过计量认证的单位完成，费用由监理人自行承担。</w:t>
      </w:r>
    </w:p>
    <w:p w14:paraId="08C6895B">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试验检测工作的相关要求如下：</w:t>
      </w:r>
    </w:p>
    <w:p w14:paraId="77DD02EC">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a.监理人应按照《公路水运工程试验室试验检测管理办法》或其更新文件有关要求开展试验检测工作，即使监理人采取委托第三方试验检测机构承担检测工作，但仍然不减免监理人应对试验检测结果的准确性、时效性、完备性所负的责任。委托及试验检测的相关费用由监理人自行承担。</w:t>
      </w:r>
    </w:p>
    <w:p w14:paraId="339F5731">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b.监理人必须按照投标文件要求配备试验检测监理工程师。</w:t>
      </w:r>
    </w:p>
    <w:p w14:paraId="755F7170">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c.同一个合同段的施工、监理单位不能将检测任务委托给同一家检测机构,也不得委托同一家检测机构为其提供工地试验室服务。</w:t>
      </w:r>
    </w:p>
    <w:p w14:paraId="73291C65">
      <w:pPr>
        <w:keepNext w:val="0"/>
        <w:keepLines w:val="0"/>
        <w:pageBreakBefore w:val="0"/>
        <w:widowControl/>
        <w:kinsoku w:val="0"/>
        <w:wordWrap/>
        <w:overflowPunct/>
        <w:topLinePunct w:val="0"/>
        <w:autoSpaceDE w:val="0"/>
        <w:autoSpaceDN w:val="0"/>
        <w:bidi w:val="0"/>
        <w:adjustRightInd w:val="0"/>
        <w:snapToGrid w:val="0"/>
        <w:spacing w:line="360" w:lineRule="auto"/>
        <w:ind w:left="0" w:right="119" w:firstLine="442"/>
        <w:jc w:val="both"/>
        <w:textAlignment w:val="baseline"/>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d.试验室资质及各检查项目抽检频率必须满足现行监理规范及广东省、韶关市质量监督部门相应规定及要求。</w:t>
      </w:r>
    </w:p>
    <w:p w14:paraId="006355AF">
      <w:pPr>
        <w:keepNext w:val="0"/>
        <w:keepLines w:val="0"/>
        <w:pageBreakBefore w:val="0"/>
        <w:widowControl/>
        <w:kinsoku w:val="0"/>
        <w:wordWrap/>
        <w:overflowPunct/>
        <w:topLinePunct w:val="0"/>
        <w:autoSpaceDE w:val="0"/>
        <w:autoSpaceDN w:val="0"/>
        <w:bidi w:val="0"/>
        <w:adjustRightInd w:val="0"/>
        <w:snapToGrid w:val="0"/>
        <w:spacing w:line="360" w:lineRule="auto"/>
        <w:ind w:left="447"/>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5.3.3</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后增加第（48）~（52）项内容如下：</w:t>
      </w:r>
    </w:p>
    <w:p w14:paraId="0CD86A0B">
      <w:pPr>
        <w:keepNext w:val="0"/>
        <w:keepLines w:val="0"/>
        <w:pageBreakBefore w:val="0"/>
        <w:widowControl/>
        <w:kinsoku w:val="0"/>
        <w:wordWrap/>
        <w:overflowPunct/>
        <w:topLinePunct w:val="0"/>
        <w:autoSpaceDE w:val="0"/>
        <w:autoSpaceDN w:val="0"/>
        <w:bidi w:val="0"/>
        <w:adjustRightInd w:val="0"/>
        <w:snapToGrid w:val="0"/>
        <w:spacing w:line="360" w:lineRule="auto"/>
        <w:ind w:right="115" w:firstLine="448"/>
        <w:jc w:val="both"/>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（48）监理人应按照《广东省交通运输厅关于进一步加强公路施工便道取弃土场</w:t>
      </w:r>
      <w:r>
        <w:rPr>
          <w:rFonts w:ascii="宋体" w:hAnsi="宋体" w:eastAsia="宋体" w:cs="宋体"/>
          <w:color w:val="auto"/>
          <w:sz w:val="22"/>
          <w:szCs w:val="22"/>
          <w:highlight w:val="none"/>
        </w:rPr>
        <w:t>的设计和</w:t>
      </w:r>
      <w:r>
        <w:rPr>
          <w:rFonts w:ascii="宋体" w:hAnsi="宋体" w:eastAsia="宋体" w:cs="宋体"/>
          <w:color w:val="auto"/>
          <w:spacing w:val="1"/>
          <w:sz w:val="22"/>
          <w:szCs w:val="22"/>
          <w:highlight w:val="none"/>
        </w:rPr>
        <w:t>施工管理工作的通知》《广东省高速公路工程施工安全标准化指南》和《广东省公路工程施工标准化指南》的要求审核施工便道和取弃土场的选址和建设方案，并对该部分建设内容进行监</w:t>
      </w:r>
      <w:r>
        <w:rPr>
          <w:rFonts w:ascii="宋体" w:hAnsi="宋体" w:eastAsia="宋体" w:cs="宋体"/>
          <w:color w:val="auto"/>
          <w:spacing w:val="-4"/>
          <w:sz w:val="22"/>
          <w:szCs w:val="22"/>
          <w:highlight w:val="none"/>
        </w:rPr>
        <w:t>理。</w:t>
      </w:r>
    </w:p>
    <w:p w14:paraId="1A7549BD">
      <w:pPr>
        <w:keepNext w:val="0"/>
        <w:keepLines w:val="0"/>
        <w:pageBreakBefore w:val="0"/>
        <w:widowControl/>
        <w:kinsoku w:val="0"/>
        <w:wordWrap/>
        <w:overflowPunct/>
        <w:topLinePunct w:val="0"/>
        <w:autoSpaceDE w:val="0"/>
        <w:autoSpaceDN w:val="0"/>
        <w:bidi w:val="0"/>
        <w:adjustRightInd w:val="0"/>
        <w:snapToGrid w:val="0"/>
        <w:spacing w:line="360" w:lineRule="auto"/>
        <w:ind w:left="8" w:firstLine="441"/>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（49）监理人应根据《广东省交通运输厅关于切实加强我省高速公路路堑边坡管理的通知》</w:t>
      </w:r>
      <w:r>
        <w:rPr>
          <w:rFonts w:ascii="宋体" w:hAnsi="宋体" w:eastAsia="宋体" w:cs="宋体"/>
          <w:color w:val="auto"/>
          <w:spacing w:val="16"/>
          <w:sz w:val="22"/>
          <w:szCs w:val="22"/>
          <w:highlight w:val="none"/>
        </w:rPr>
        <w:t xml:space="preserve"> </w:t>
      </w:r>
      <w:r>
        <w:rPr>
          <w:rFonts w:ascii="宋体" w:hAnsi="宋体" w:eastAsia="宋体" w:cs="宋体"/>
          <w:color w:val="auto"/>
          <w:spacing w:val="-1"/>
          <w:sz w:val="22"/>
          <w:szCs w:val="22"/>
          <w:highlight w:val="none"/>
        </w:rPr>
        <w:t>（粤交基函〔2019〕680 号）要求审核施工承包人的开工报告。</w:t>
      </w:r>
    </w:p>
    <w:p w14:paraId="0811BB2D">
      <w:pPr>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48"/>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（50）监理机构应按照行业发展的需求，发展自身管理的数字化建设，开放</w:t>
      </w:r>
      <w:r>
        <w:rPr>
          <w:rFonts w:ascii="宋体" w:hAnsi="宋体" w:eastAsia="宋体" w:cs="宋体"/>
          <w:color w:val="auto"/>
          <w:sz w:val="22"/>
          <w:szCs w:val="22"/>
          <w:highlight w:val="none"/>
        </w:rPr>
        <w:t>数字化平台及</w:t>
      </w:r>
      <w:r>
        <w:rPr>
          <w:rFonts w:ascii="宋体" w:hAnsi="宋体" w:eastAsia="宋体" w:cs="宋体"/>
          <w:color w:val="auto"/>
          <w:spacing w:val="1"/>
          <w:sz w:val="22"/>
          <w:szCs w:val="22"/>
          <w:highlight w:val="none"/>
        </w:rPr>
        <w:t>相关数据接口，对接建设单位数字化管理系统，积极配合建设单位对项目管理数字化的统筹和整合，助力建设单位打通各参建单位不同系统之间的信息壁垒，形成适应于项目的综合性数字化管理平台。监理机构的管理应充分利用共享数据的一体化数字化技术和平台，评估保证体系</w:t>
      </w:r>
      <w:r>
        <w:rPr>
          <w:rFonts w:ascii="宋体" w:hAnsi="宋体" w:eastAsia="宋体" w:cs="宋体"/>
          <w:color w:val="auto"/>
          <w:sz w:val="22"/>
          <w:szCs w:val="22"/>
          <w:highlight w:val="none"/>
        </w:rPr>
        <w:t>的运行状况，分析管理的薄弱环节，利用数字化手段和数据为监理</w:t>
      </w:r>
      <w:r>
        <w:rPr>
          <w:rFonts w:ascii="宋体" w:hAnsi="宋体" w:eastAsia="宋体" w:cs="宋体"/>
          <w:color w:val="auto"/>
          <w:spacing w:val="-1"/>
          <w:sz w:val="22"/>
          <w:szCs w:val="22"/>
          <w:highlight w:val="none"/>
        </w:rPr>
        <w:t>管理工作提供支撑。</w:t>
      </w:r>
    </w:p>
    <w:p w14:paraId="1B8C5D43">
      <w:pPr>
        <w:keepNext w:val="0"/>
        <w:keepLines w:val="0"/>
        <w:pageBreakBefore w:val="0"/>
        <w:widowControl/>
        <w:kinsoku w:val="0"/>
        <w:wordWrap/>
        <w:overflowPunct/>
        <w:topLinePunct w:val="0"/>
        <w:autoSpaceDE w:val="0"/>
        <w:autoSpaceDN w:val="0"/>
        <w:bidi w:val="0"/>
        <w:adjustRightInd w:val="0"/>
        <w:snapToGrid w:val="0"/>
        <w:spacing w:line="360" w:lineRule="auto"/>
        <w:ind w:left="3" w:right="158" w:firstLine="446"/>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（51）施工单位进场之后，对施工单位质量安全等保证体系进行检查，并每半年</w:t>
      </w:r>
      <w:r>
        <w:rPr>
          <w:rFonts w:ascii="宋体" w:hAnsi="宋体" w:eastAsia="宋体" w:cs="宋体"/>
          <w:color w:val="auto"/>
          <w:sz w:val="22"/>
          <w:szCs w:val="22"/>
          <w:highlight w:val="none"/>
        </w:rPr>
        <w:t>对执行情</w:t>
      </w:r>
      <w:r>
        <w:rPr>
          <w:rFonts w:ascii="宋体" w:hAnsi="宋体" w:eastAsia="宋体" w:cs="宋体"/>
          <w:color w:val="auto"/>
          <w:spacing w:val="-2"/>
          <w:sz w:val="22"/>
          <w:szCs w:val="22"/>
          <w:highlight w:val="none"/>
        </w:rPr>
        <w:t>况进行检查。</w:t>
      </w:r>
    </w:p>
    <w:p w14:paraId="3278F573">
      <w:pPr>
        <w:keepNext w:val="0"/>
        <w:keepLines w:val="0"/>
        <w:pageBreakBefore w:val="0"/>
        <w:widowControl/>
        <w:kinsoku w:val="0"/>
        <w:wordWrap/>
        <w:overflowPunct/>
        <w:topLinePunct w:val="0"/>
        <w:autoSpaceDE w:val="0"/>
        <w:autoSpaceDN w:val="0"/>
        <w:bidi w:val="0"/>
        <w:adjustRightInd w:val="0"/>
        <w:snapToGrid w:val="0"/>
        <w:spacing w:line="360" w:lineRule="auto"/>
        <w:ind w:right="23" w:firstLine="449"/>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w:t>
      </w:r>
      <w:r>
        <w:rPr>
          <w:rFonts w:ascii="MingLiU-ExtB" w:hAnsi="MingLiU-ExtB" w:eastAsia="MingLiU-ExtB" w:cs="MingLiU-ExtB"/>
          <w:color w:val="auto"/>
          <w:spacing w:val="1"/>
          <w:sz w:val="22"/>
          <w:szCs w:val="22"/>
          <w:highlight w:val="none"/>
        </w:rPr>
        <w:t>52</w:t>
      </w:r>
      <w:r>
        <w:rPr>
          <w:rFonts w:ascii="宋体" w:hAnsi="宋体" w:eastAsia="宋体" w:cs="宋体"/>
          <w:color w:val="auto"/>
          <w:spacing w:val="1"/>
          <w:sz w:val="22"/>
          <w:szCs w:val="22"/>
          <w:highlight w:val="none"/>
        </w:rPr>
        <w:t>）总监办根据《广东省公路工程施工监理指南（试行）》的要求，一是重点</w:t>
      </w:r>
      <w:r>
        <w:rPr>
          <w:rFonts w:ascii="宋体" w:hAnsi="宋体" w:eastAsia="宋体" w:cs="宋体"/>
          <w:color w:val="auto"/>
          <w:sz w:val="22"/>
          <w:szCs w:val="22"/>
          <w:highlight w:val="none"/>
        </w:rPr>
        <w:t>审核施工</w:t>
      </w:r>
      <w:r>
        <w:rPr>
          <w:rFonts w:ascii="宋体" w:hAnsi="宋体" w:eastAsia="宋体" w:cs="宋体"/>
          <w:color w:val="auto"/>
          <w:spacing w:val="1"/>
          <w:sz w:val="22"/>
          <w:szCs w:val="22"/>
          <w:highlight w:val="none"/>
        </w:rPr>
        <w:t>单位的项目管理方案是否落实《广东省交通运输厅关于推进公路建设项目管理改革的指导意见</w:t>
      </w:r>
      <w:r>
        <w:rPr>
          <w:rFonts w:ascii="宋体" w:hAnsi="宋体" w:eastAsia="宋体" w:cs="宋体"/>
          <w:color w:val="auto"/>
          <w:spacing w:val="-1"/>
          <w:sz w:val="22"/>
          <w:szCs w:val="22"/>
          <w:highlight w:val="none"/>
        </w:rPr>
        <w:t>（试行）》和《广东省公路工程施工项目部管理指南（试行）》相关要求，是否满足施工单位、</w:t>
      </w:r>
      <w:r>
        <w:rPr>
          <w:rFonts w:ascii="宋体" w:hAnsi="宋体" w:eastAsia="宋体" w:cs="宋体"/>
          <w:color w:val="auto"/>
          <w:spacing w:val="1"/>
          <w:sz w:val="22"/>
          <w:szCs w:val="22"/>
          <w:highlight w:val="none"/>
        </w:rPr>
        <w:t>项目部、分包单位、劳务合作企业、施工班组、材料供应商与机械设备租赁商的多层次的管理机构</w:t>
      </w:r>
      <w:r>
        <w:rPr>
          <w:rFonts w:ascii="宋体" w:hAnsi="宋体" w:eastAsia="宋体" w:cs="宋体"/>
          <w:color w:val="auto"/>
          <w:spacing w:val="7"/>
          <w:sz w:val="22"/>
          <w:szCs w:val="22"/>
          <w:highlight w:val="none"/>
        </w:rPr>
        <w:t>，是否建立管监分离的质量保障体系。督促、指导、监管施工单位在施工全过程中落实项目管理方案；二是重点做好施工单位/项目部对施工分包单位的分包工程质量、安全、进度、资金使用和管理行为等全过程管理行为的监理工作，加强对施工单位/项目部内控管理体系和主要人员履约、设备、材料等穿透式管理的监理工作。</w:t>
      </w:r>
    </w:p>
    <w:p w14:paraId="377A6ABF">
      <w:pPr>
        <w:keepNext w:val="0"/>
        <w:keepLines w:val="0"/>
        <w:pageBreakBefore w:val="0"/>
        <w:widowControl/>
        <w:kinsoku w:val="0"/>
        <w:wordWrap/>
        <w:overflowPunct/>
        <w:topLinePunct w:val="0"/>
        <w:autoSpaceDE w:val="0"/>
        <w:autoSpaceDN w:val="0"/>
        <w:bidi w:val="0"/>
        <w:adjustRightInd w:val="0"/>
        <w:snapToGrid w:val="0"/>
        <w:spacing w:line="360" w:lineRule="auto"/>
        <w:ind w:right="161" w:firstLine="442"/>
        <w:jc w:val="both"/>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在实施过程中每季度至少对施工单位</w:t>
      </w:r>
      <w:r>
        <w:rPr>
          <w:rFonts w:ascii="MingLiU-ExtB" w:hAnsi="MingLiU-ExtB" w:eastAsia="MingLiU-ExtB" w:cs="MingLiU-ExtB"/>
          <w:color w:val="auto"/>
          <w:spacing w:val="4"/>
          <w:sz w:val="22"/>
          <w:szCs w:val="22"/>
          <w:highlight w:val="none"/>
        </w:rPr>
        <w:t>/</w:t>
      </w:r>
      <w:r>
        <w:rPr>
          <w:rFonts w:ascii="宋体" w:hAnsi="宋体" w:eastAsia="宋体" w:cs="宋体"/>
          <w:color w:val="auto"/>
          <w:spacing w:val="4"/>
          <w:sz w:val="22"/>
          <w:szCs w:val="22"/>
          <w:highlight w:val="none"/>
        </w:rPr>
        <w:t>项目部上述工作的落实情况进行一次全</w:t>
      </w:r>
      <w:r>
        <w:rPr>
          <w:rFonts w:ascii="宋体" w:hAnsi="宋体" w:eastAsia="宋体" w:cs="宋体"/>
          <w:color w:val="auto"/>
          <w:spacing w:val="3"/>
          <w:sz w:val="22"/>
          <w:szCs w:val="22"/>
          <w:highlight w:val="none"/>
        </w:rPr>
        <w:t>面核查，并</w:t>
      </w:r>
      <w:r>
        <w:rPr>
          <w:rFonts w:ascii="宋体" w:hAnsi="宋体" w:eastAsia="宋体" w:cs="宋体"/>
          <w:color w:val="auto"/>
          <w:spacing w:val="1"/>
          <w:sz w:val="22"/>
          <w:szCs w:val="22"/>
          <w:highlight w:val="none"/>
        </w:rPr>
        <w:t>将核查情况报发包人。施工单位未落实项目管理方案的，监理单位应及时督促整改，未及时整</w:t>
      </w:r>
      <w:r>
        <w:rPr>
          <w:rFonts w:ascii="宋体" w:hAnsi="宋体" w:eastAsia="宋体" w:cs="宋体"/>
          <w:color w:val="auto"/>
          <w:spacing w:val="-1"/>
          <w:sz w:val="22"/>
          <w:szCs w:val="22"/>
          <w:highlight w:val="none"/>
        </w:rPr>
        <w:t>改的，应及时报发包人协调处理。</w:t>
      </w:r>
    </w:p>
    <w:p w14:paraId="728EE6C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在5.3.3后增加5.3.4项如下：</w:t>
      </w:r>
    </w:p>
    <w:p w14:paraId="75105A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监理人检测工作包括但不限于以下内容：</w:t>
      </w:r>
    </w:p>
    <w:p w14:paraId="33D0E16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（1）在合同签订后 60天内（具体时间根据发包人的要求）完成监理人的中心试验室建设，包括仪器采购、安装和调试，仪器设备检定、校准和标定，制度和管理体系建设，资质认证等，并取得交通主管部门的备案。</w:t>
      </w:r>
    </w:p>
    <w:p w14:paraId="0B4A522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代表发包人及履行监理抽检职能对工程用材料、结构物成品、半成品和工程实体质量进行抽检及施工现场的原位试验检测抽检工作，及时向出具试验检测报告，并应设专门的留样室，对送检样品和试件，按规定在留样室留样备查。</w:t>
      </w:r>
    </w:p>
    <w:p w14:paraId="60161E9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6"/>
          <w:sz w:val="22"/>
          <w:szCs w:val="22"/>
          <w:highlight w:val="none"/>
        </w:rPr>
        <w:t>其中，发包人的抽检频率原则上不超过承包人自检频率的5%；监理人的试验检测服务单位的抽检频率不少于最新《公路工程施工监理规范》及最新《水运工程施工监理规范》相关规定</w:t>
      </w:r>
      <w:r>
        <w:rPr>
          <w:rFonts w:hint="eastAsia" w:ascii="宋体" w:hAnsi="宋体" w:eastAsia="宋体" w:cs="宋体"/>
          <w:color w:val="auto"/>
          <w:spacing w:val="1"/>
          <w:sz w:val="22"/>
          <w:szCs w:val="22"/>
          <w:highlight w:val="none"/>
        </w:rPr>
        <w:t>。</w:t>
      </w:r>
    </w:p>
    <w:p w14:paraId="3BFF17B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（3）对整个项目的试验检测工作进行统一规划和协调，统一全线范围内试验检测的技术标准、规范、规程、记录表格、试验检测报告表格、试验检测台帐、档案资料管理要求。</w:t>
      </w:r>
    </w:p>
    <w:p w14:paraId="4EF7C45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（4）组织对本合同范围内相关试验检测工作人员进行培训和考核，并对其岗位的适应性进行认定。</w:t>
      </w:r>
    </w:p>
    <w:p w14:paraId="1EDE200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（5）对混凝土配合比、沥青混合料配合比、土工击实等标准试验进行平行验证试验。</w:t>
      </w:r>
    </w:p>
    <w:p w14:paraId="15653B6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（6）按照合同要求，代表发包人对工程用材料、结构物成品、半成品和工程实体质量进行抽检。</w:t>
      </w:r>
    </w:p>
    <w:p w14:paraId="7B8FE0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（7）负责对各施工承包人的现场试验室进行检查，重点检查试验室的设备性能、人员资质、操作方法、试验资料管理、规章制度、台帐登记等。</w:t>
      </w:r>
    </w:p>
    <w:p w14:paraId="7539DBE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（8）指导承包人试验样品的采集、送检、试验等过程，确保试验检测结果的准确性、可靠性和公正性。</w:t>
      </w:r>
    </w:p>
    <w:p w14:paraId="29DE28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（9）对完工实体工程进行质量检测，发布质量检测情况报告。</w:t>
      </w:r>
    </w:p>
    <w:p w14:paraId="649BC30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（10）组织对试验检测工作事故进行调查，提出整改措施，并做好跟踪落实工作。</w:t>
      </w:r>
    </w:p>
    <w:p w14:paraId="2E9D70D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（11）召开试验检测工作会议或参与工地例会，协调解决试验检测工作中遇到的问题，明确试验检测工作要求及管理措施。</w:t>
      </w:r>
    </w:p>
    <w:p w14:paraId="55AA4F9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（12）参与新材料、新技术、新工艺等方面的科研试验工作。</w:t>
      </w:r>
    </w:p>
    <w:p w14:paraId="3EBA90B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（13）参与工程质量问题和事故的调查工作，做好相关的试验检测工作。</w:t>
      </w:r>
    </w:p>
    <w:p w14:paraId="4CBFD8A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（14）建立相对独立的资料管理体系，对所有试验检测成果、技术档案等资料及时分类，并按相关要求整理归档。资料管理应由专人负责，便于查找和使用。</w:t>
      </w:r>
    </w:p>
    <w:p w14:paraId="550ADC3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（15）参与发包人和主管部门组织阶段性工程验收工作，做好相关的试验检测工作。</w:t>
      </w:r>
    </w:p>
    <w:p w14:paraId="2EBBAFA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16）及时将监理人的中心试验室的试验检测结果和报告录入相关信息管理系统，做好代表发包人抽检部分试验检测数据和资料档案的归档工作，并对试验检测合同段内资料的归档进行统一管理。定期对试验检测结果进行统计分析，编写试验检测月报。</w:t>
      </w:r>
    </w:p>
    <w:p w14:paraId="74B8EC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（17）根据发包人安排，为科研单位、设计单位、咨询单位提供试验检测服务。</w:t>
      </w:r>
    </w:p>
    <w:p w14:paraId="7F49ED9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（18）完成发包人安排的其他试验检测任务。</w:t>
      </w:r>
    </w:p>
    <w:p w14:paraId="4F7C39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（19）监理人的中心试验室基本试验检测项目、频率见本合同条款附件。</w:t>
      </w:r>
    </w:p>
    <w:p w14:paraId="11A25FA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（20）监理人的中心试验室应在母体《公路水运工程试验检测等级证书》核定的专业、项目参数范围内完成相应承担试验检测项目并出具试验检测报告。</w:t>
      </w:r>
    </w:p>
    <w:p w14:paraId="45F94F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（21）按发包人要求提交监理人详细的工作规划、试验检测实施细则等文件，经评审后才可实施，同时作为发包人检查监督和验收监理人检测工作的依据。</w:t>
      </w:r>
    </w:p>
    <w:p w14:paraId="05868F5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（22）在接到发包人进场指令后，应按照合同要求进场，并在整个服务期内完成发包人所要求的的试验检测工作。发包人有权要求监理人定期提供与本工程有关的各种-形式的报告。</w:t>
      </w:r>
    </w:p>
    <w:p w14:paraId="72FC5D1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（23）在接到发包人、承包人要求现场试验检测的通知后，监理人必须及时在24小时内开展试验检测工作，并应于每批次检测完成后的3 日内提供本批次试验检测结果，以满足施工进度需要。</w:t>
      </w:r>
    </w:p>
    <w:p w14:paraId="455DA84D">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5.5</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监理服务形式</w:t>
      </w:r>
    </w:p>
    <w:p w14:paraId="65C7DFFF">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监理服务机构设置：</w:t>
      </w:r>
      <w:r>
        <w:rPr>
          <w:rFonts w:hint="eastAsia" w:ascii="宋体" w:hAnsi="宋体" w:eastAsia="宋体" w:cs="宋体"/>
          <w:color w:val="auto"/>
          <w:kern w:val="0"/>
          <w:sz w:val="24"/>
          <w:szCs w:val="24"/>
          <w:highlight w:val="none"/>
          <w:u w:val="single"/>
          <w:lang w:val="en-US" w:eastAsia="zh-CN"/>
        </w:rPr>
        <w:t>一</w:t>
      </w:r>
      <w:r>
        <w:rPr>
          <w:rFonts w:hint="eastAsia" w:ascii="宋体" w:hAnsi="宋体" w:eastAsia="宋体" w:cs="宋体"/>
          <w:color w:val="auto"/>
          <w:kern w:val="0"/>
          <w:sz w:val="24"/>
          <w:szCs w:val="24"/>
          <w:highlight w:val="none"/>
          <w:u w:val="single"/>
        </w:rPr>
        <w:t>级监理机构</w:t>
      </w:r>
      <w:r>
        <w:rPr>
          <w:rFonts w:ascii="宋体" w:hAnsi="宋体" w:eastAsia="宋体" w:cs="宋体"/>
          <w:color w:val="auto"/>
          <w:spacing w:val="-1"/>
          <w:sz w:val="22"/>
          <w:szCs w:val="22"/>
          <w:highlight w:val="none"/>
        </w:rPr>
        <w:t>。</w:t>
      </w:r>
    </w:p>
    <w:p w14:paraId="1A2438F2">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both"/>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总监理工程师办公室按</w:t>
      </w:r>
      <w:r>
        <w:rPr>
          <w:rFonts w:hint="eastAsia" w:ascii="宋体" w:hAnsi="宋体" w:eastAsia="宋体" w:cs="宋体"/>
          <w:color w:val="auto"/>
          <w:kern w:val="0"/>
          <w:sz w:val="24"/>
          <w:szCs w:val="24"/>
          <w:highlight w:val="none"/>
          <w:u w:val="single"/>
          <w:lang w:val="en-US" w:eastAsia="zh-CN"/>
        </w:rPr>
        <w:t xml:space="preserve"> 一级监理机构</w:t>
      </w:r>
      <w:r>
        <w:rPr>
          <w:rFonts w:ascii="宋体" w:hAnsi="宋体" w:eastAsia="宋体" w:cs="宋体"/>
          <w:color w:val="auto"/>
          <w:spacing w:val="-2"/>
          <w:sz w:val="22"/>
          <w:szCs w:val="22"/>
          <w:highlight w:val="none"/>
        </w:rPr>
        <w:t>组建，下设</w:t>
      </w:r>
      <w:r>
        <w:rPr>
          <w:rFonts w:ascii="宋体" w:hAnsi="宋体" w:eastAsia="宋体" w:cs="宋体"/>
          <w:color w:val="auto"/>
          <w:spacing w:val="35"/>
          <w:sz w:val="22"/>
          <w:szCs w:val="22"/>
          <w:highlight w:val="none"/>
          <w:u w:val="single" w:color="auto"/>
        </w:rPr>
        <w:t xml:space="preserve"> </w:t>
      </w:r>
      <w:r>
        <w:rPr>
          <w:rFonts w:hint="eastAsia" w:ascii="宋体" w:hAnsi="宋体" w:eastAsia="宋体" w:cs="宋体"/>
          <w:color w:val="auto"/>
          <w:spacing w:val="35"/>
          <w:sz w:val="22"/>
          <w:szCs w:val="22"/>
          <w:highlight w:val="none"/>
          <w:u w:val="single" w:color="auto"/>
          <w:lang w:val="en-US" w:eastAsia="zh-CN"/>
        </w:rPr>
        <w:t>/</w:t>
      </w:r>
      <w:r>
        <w:rPr>
          <w:rFonts w:ascii="宋体" w:hAnsi="宋体" w:eastAsia="宋体" w:cs="宋体"/>
          <w:color w:val="auto"/>
          <w:spacing w:val="35"/>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2"/>
          <w:sz w:val="22"/>
          <w:szCs w:val="22"/>
          <w:highlight w:val="none"/>
        </w:rPr>
        <w:t>个驻地监理工程师办公室。</w:t>
      </w:r>
    </w:p>
    <w:p w14:paraId="0725D9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5A08F21A">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监理服务目标</w:t>
      </w:r>
    </w:p>
    <w:p w14:paraId="474EA9A4">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40" w:firstLineChars="20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5.6.2 对第三方履约管理的服务目标：</w:t>
      </w:r>
      <w:r>
        <w:rPr>
          <w:rFonts w:hint="eastAsia" w:ascii="宋体" w:hAnsi="宋体" w:eastAsia="宋体" w:cs="宋体"/>
          <w:color w:val="auto"/>
          <w:sz w:val="22"/>
          <w:szCs w:val="22"/>
          <w:highlight w:val="none"/>
          <w:u w:val="single"/>
        </w:rPr>
        <w:t>确保工期，节省投资，保证安全，工程质量达到交工验收合格、竣工验收合格</w:t>
      </w:r>
      <w:r>
        <w:rPr>
          <w:rFonts w:ascii="宋体" w:hAnsi="宋体" w:eastAsia="宋体" w:cs="宋体"/>
          <w:color w:val="auto"/>
          <w:spacing w:val="-1"/>
          <w:sz w:val="22"/>
          <w:szCs w:val="22"/>
          <w:highlight w:val="none"/>
        </w:rPr>
        <w:t>。</w:t>
      </w:r>
    </w:p>
    <w:p w14:paraId="23EFF7A5">
      <w:pPr>
        <w:keepNext w:val="0"/>
        <w:keepLines w:val="0"/>
        <w:pageBreakBefore w:val="0"/>
        <w:widowControl/>
        <w:kinsoku w:val="0"/>
        <w:wordWrap/>
        <w:overflowPunct/>
        <w:topLinePunct w:val="0"/>
        <w:autoSpaceDE w:val="0"/>
        <w:autoSpaceDN w:val="0"/>
        <w:bidi w:val="0"/>
        <w:adjustRightInd w:val="0"/>
        <w:snapToGrid w:val="0"/>
        <w:spacing w:line="360" w:lineRule="auto"/>
        <w:ind w:left="22" w:right="133" w:firstLine="424"/>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5.6.3</w:t>
      </w:r>
      <w:r>
        <w:rPr>
          <w:rFonts w:ascii="宋体" w:hAnsi="宋体" w:eastAsia="宋体" w:cs="宋体"/>
          <w:color w:val="auto"/>
          <w:spacing w:val="-44"/>
          <w:sz w:val="22"/>
          <w:szCs w:val="22"/>
          <w:highlight w:val="none"/>
        </w:rPr>
        <w:t xml:space="preserve"> </w:t>
      </w:r>
      <w:r>
        <w:rPr>
          <w:rFonts w:ascii="宋体" w:hAnsi="宋体" w:eastAsia="宋体" w:cs="宋体"/>
          <w:color w:val="auto"/>
          <w:spacing w:val="2"/>
          <w:sz w:val="22"/>
          <w:szCs w:val="22"/>
          <w:highlight w:val="none"/>
        </w:rPr>
        <w:t>监理人应根据《公路工程施工监理规范》、广东省《公路工程造价管理指南》、合</w:t>
      </w:r>
      <w:r>
        <w:rPr>
          <w:rFonts w:ascii="宋体" w:hAnsi="宋体" w:eastAsia="宋体" w:cs="宋体"/>
          <w:color w:val="auto"/>
          <w:spacing w:val="-2"/>
          <w:sz w:val="22"/>
          <w:szCs w:val="22"/>
          <w:highlight w:val="none"/>
        </w:rPr>
        <w:t>同约定及工程设计要求和合同履行监理责任。</w:t>
      </w:r>
    </w:p>
    <w:p w14:paraId="0D2EFF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47687E40">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委托人对监理人的授权</w:t>
      </w:r>
    </w:p>
    <w:p w14:paraId="6C305DDB">
      <w:pPr>
        <w:keepNext w:val="0"/>
        <w:keepLines w:val="0"/>
        <w:pageBreakBefore w:val="0"/>
        <w:widowControl/>
        <w:kinsoku w:val="0"/>
        <w:wordWrap/>
        <w:overflowPunct/>
        <w:topLinePunct w:val="0"/>
        <w:autoSpaceDE w:val="0"/>
        <w:autoSpaceDN w:val="0"/>
        <w:bidi w:val="0"/>
        <w:adjustRightInd w:val="0"/>
        <w:snapToGrid w:val="0"/>
        <w:spacing w:line="360" w:lineRule="auto"/>
        <w:ind w:left="32" w:right="280" w:firstLine="421"/>
        <w:textAlignment w:val="baseline"/>
        <w:rPr>
          <w:rFonts w:ascii="宋体" w:hAnsi="宋体" w:eastAsia="宋体" w:cs="宋体"/>
          <w:color w:val="auto"/>
          <w:spacing w:val="1"/>
          <w:sz w:val="22"/>
          <w:szCs w:val="22"/>
          <w:highlight w:val="none"/>
        </w:rPr>
      </w:pPr>
    </w:p>
    <w:p w14:paraId="749D6B7E">
      <w:pPr>
        <w:keepNext w:val="0"/>
        <w:keepLines w:val="0"/>
        <w:pageBreakBefore w:val="0"/>
        <w:widowControl/>
        <w:kinsoku w:val="0"/>
        <w:wordWrap/>
        <w:overflowPunct/>
        <w:topLinePunct w:val="0"/>
        <w:autoSpaceDE w:val="0"/>
        <w:autoSpaceDN w:val="0"/>
        <w:bidi w:val="0"/>
        <w:adjustRightInd w:val="0"/>
        <w:snapToGrid w:val="0"/>
        <w:spacing w:line="360" w:lineRule="auto"/>
        <w:ind w:left="32" w:right="280" w:firstLine="421"/>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5.7.1 委托人对监理人的授权：监理人在行使以下规定的职权之前，应先取</w:t>
      </w:r>
      <w:r>
        <w:rPr>
          <w:rFonts w:ascii="宋体" w:hAnsi="宋体" w:eastAsia="宋体" w:cs="宋体"/>
          <w:color w:val="auto"/>
          <w:sz w:val="22"/>
          <w:szCs w:val="22"/>
          <w:highlight w:val="none"/>
        </w:rPr>
        <w:t>得委托人的专</w:t>
      </w:r>
      <w:r>
        <w:rPr>
          <w:rFonts w:ascii="宋体" w:hAnsi="宋体" w:eastAsia="宋体" w:cs="宋体"/>
          <w:color w:val="auto"/>
          <w:spacing w:val="-9"/>
          <w:sz w:val="22"/>
          <w:szCs w:val="22"/>
          <w:highlight w:val="none"/>
        </w:rPr>
        <w:t>门批准：</w:t>
      </w:r>
    </w:p>
    <w:p w14:paraId="0F1D7FA2">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（1）审核分包本工程的某非主体部分；</w:t>
      </w:r>
    </w:p>
    <w:p w14:paraId="3C72AE6B">
      <w:pPr>
        <w:keepNext w:val="0"/>
        <w:keepLines w:val="0"/>
        <w:pageBreakBefore w:val="0"/>
        <w:widowControl/>
        <w:kinsoku w:val="0"/>
        <w:wordWrap/>
        <w:overflowPunct/>
        <w:topLinePunct w:val="0"/>
        <w:autoSpaceDE w:val="0"/>
        <w:autoSpaceDN w:val="0"/>
        <w:bidi w:val="0"/>
        <w:adjustRightInd w:val="0"/>
        <w:snapToGrid w:val="0"/>
        <w:spacing w:line="360" w:lineRule="auto"/>
        <w:ind w:left="8" w:right="278" w:firstLine="447"/>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（2）核对施工队伍、人员和设备的进场情况是否与承包人投标文</w:t>
      </w:r>
      <w:r>
        <w:rPr>
          <w:rFonts w:ascii="宋体" w:hAnsi="宋体" w:eastAsia="宋体" w:cs="宋体"/>
          <w:color w:val="auto"/>
          <w:spacing w:val="3"/>
          <w:sz w:val="22"/>
          <w:szCs w:val="22"/>
          <w:highlight w:val="none"/>
        </w:rPr>
        <w:t>件承诺一致，发布开工</w:t>
      </w:r>
      <w:r>
        <w:rPr>
          <w:rFonts w:ascii="宋体" w:hAnsi="宋体" w:eastAsia="宋体" w:cs="宋体"/>
          <w:color w:val="auto"/>
          <w:spacing w:val="-1"/>
          <w:sz w:val="22"/>
          <w:szCs w:val="22"/>
          <w:highlight w:val="none"/>
        </w:rPr>
        <w:t>令、暂时停工或复工令；</w:t>
      </w:r>
    </w:p>
    <w:p w14:paraId="2AF20412">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（3）决定承包人有权得到的工程延期；</w:t>
      </w:r>
    </w:p>
    <w:p w14:paraId="0C2F4A64">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（4）审查批准技术规范(规格)或设计的变更；</w:t>
      </w:r>
    </w:p>
    <w:p w14:paraId="272C1DBF">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（5）下达变更指令；</w:t>
      </w:r>
    </w:p>
    <w:p w14:paraId="25ADBD4A">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（6）对新增施工细目的单价进行估价；</w:t>
      </w:r>
    </w:p>
    <w:p w14:paraId="59215DD6">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（7）审核有关暂列金额的使用；</w:t>
      </w:r>
    </w:p>
    <w:p w14:paraId="585E79A0">
      <w:pPr>
        <w:keepNext w:val="0"/>
        <w:keepLines w:val="0"/>
        <w:pageBreakBefore w:val="0"/>
        <w:widowControl/>
        <w:kinsoku w:val="0"/>
        <w:wordWrap/>
        <w:overflowPunct/>
        <w:topLinePunct w:val="0"/>
        <w:autoSpaceDE w:val="0"/>
        <w:autoSpaceDN w:val="0"/>
        <w:bidi w:val="0"/>
        <w:adjustRightInd w:val="0"/>
        <w:snapToGrid w:val="0"/>
        <w:spacing w:line="360" w:lineRule="auto"/>
        <w:ind w:left="5" w:right="145" w:firstLine="441"/>
        <w:jc w:val="both"/>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但如果发生紧急情况，监理人认为将造成人员伤亡，或危及本工程或邻近的财产需立即采</w:t>
      </w:r>
      <w:r>
        <w:rPr>
          <w:rFonts w:ascii="宋体" w:hAnsi="宋体" w:eastAsia="宋体" w:cs="宋体"/>
          <w:color w:val="auto"/>
          <w:spacing w:val="-1"/>
          <w:sz w:val="22"/>
          <w:szCs w:val="22"/>
          <w:highlight w:val="none"/>
        </w:rPr>
        <w:t>取行动，监理人有权在未征得委托人的批准的情况下向承包人发布处理紧急情况所必需的指令。</w:t>
      </w:r>
      <w:r>
        <w:rPr>
          <w:rFonts w:ascii="宋体" w:hAnsi="宋体" w:eastAsia="宋体" w:cs="宋体"/>
          <w:color w:val="auto"/>
          <w:sz w:val="22"/>
          <w:szCs w:val="22"/>
          <w:highlight w:val="none"/>
        </w:rPr>
        <w:t>但监理人随后应及时向委托人报告情况，并与委托人协商进一</w:t>
      </w:r>
      <w:r>
        <w:rPr>
          <w:rFonts w:ascii="宋体" w:hAnsi="宋体" w:eastAsia="宋体" w:cs="宋体"/>
          <w:color w:val="auto"/>
          <w:spacing w:val="-1"/>
          <w:sz w:val="22"/>
          <w:szCs w:val="22"/>
          <w:highlight w:val="none"/>
        </w:rPr>
        <w:t>步应采取的措施。</w:t>
      </w:r>
    </w:p>
    <w:p w14:paraId="7653DFB8">
      <w:pPr>
        <w:keepNext w:val="0"/>
        <w:keepLines w:val="0"/>
        <w:pageBreakBefore w:val="0"/>
        <w:widowControl/>
        <w:kinsoku w:val="0"/>
        <w:wordWrap/>
        <w:overflowPunct/>
        <w:topLinePunct w:val="0"/>
        <w:autoSpaceDE w:val="0"/>
        <w:autoSpaceDN w:val="0"/>
        <w:bidi w:val="0"/>
        <w:adjustRightInd w:val="0"/>
        <w:snapToGrid w:val="0"/>
        <w:spacing w:line="360" w:lineRule="auto"/>
        <w:ind w:left="450"/>
        <w:textAlignment w:val="baseline"/>
        <w:rPr>
          <w:rFonts w:ascii="宋体" w:hAnsi="宋体" w:eastAsia="宋体" w:cs="宋体"/>
          <w:color w:val="auto"/>
          <w:sz w:val="10"/>
          <w:szCs w:val="10"/>
          <w:highlight w:val="none"/>
        </w:rPr>
      </w:pPr>
      <w:r>
        <w:rPr>
          <w:rFonts w:ascii="宋体" w:hAnsi="宋体" w:eastAsia="宋体" w:cs="宋体"/>
          <w:color w:val="auto"/>
          <w:spacing w:val="-3"/>
          <w:sz w:val="22"/>
          <w:szCs w:val="22"/>
          <w:highlight w:val="none"/>
        </w:rPr>
        <w:t>增加第</w:t>
      </w:r>
      <w:r>
        <w:rPr>
          <w:rFonts w:ascii="宋体" w:hAnsi="宋体" w:eastAsia="宋体" w:cs="宋体"/>
          <w:color w:val="auto"/>
          <w:spacing w:val="-35"/>
          <w:sz w:val="22"/>
          <w:szCs w:val="22"/>
          <w:highlight w:val="none"/>
        </w:rPr>
        <w:t xml:space="preserve"> </w:t>
      </w:r>
      <w:r>
        <w:rPr>
          <w:rFonts w:ascii="宋体" w:hAnsi="宋体" w:eastAsia="宋体" w:cs="宋体"/>
          <w:color w:val="auto"/>
          <w:spacing w:val="-3"/>
          <w:sz w:val="22"/>
          <w:szCs w:val="22"/>
          <w:highlight w:val="none"/>
        </w:rPr>
        <w:t>5.8</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项-5.12</w:t>
      </w:r>
      <w:r>
        <w:rPr>
          <w:rFonts w:ascii="宋体" w:hAnsi="宋体" w:eastAsia="宋体" w:cs="宋体"/>
          <w:color w:val="auto"/>
          <w:spacing w:val="-46"/>
          <w:sz w:val="22"/>
          <w:szCs w:val="22"/>
          <w:highlight w:val="none"/>
        </w:rPr>
        <w:t xml:space="preserve"> </w:t>
      </w:r>
      <w:r>
        <w:rPr>
          <w:rFonts w:ascii="宋体" w:hAnsi="宋体" w:eastAsia="宋体" w:cs="宋体"/>
          <w:color w:val="auto"/>
          <w:spacing w:val="-3"/>
          <w:sz w:val="22"/>
          <w:szCs w:val="22"/>
          <w:highlight w:val="none"/>
        </w:rPr>
        <w:t>款</w:t>
      </w:r>
    </w:p>
    <w:p w14:paraId="65F817F9">
      <w:pPr>
        <w:keepNext w:val="0"/>
        <w:keepLines w:val="0"/>
        <w:pageBreakBefore w:val="0"/>
        <w:widowControl/>
        <w:kinsoku w:val="0"/>
        <w:wordWrap/>
        <w:overflowPunct/>
        <w:topLinePunct w:val="0"/>
        <w:autoSpaceDE w:val="0"/>
        <w:autoSpaceDN w:val="0"/>
        <w:bidi w:val="0"/>
        <w:adjustRightInd w:val="0"/>
        <w:snapToGrid w:val="0"/>
        <w:spacing w:line="360" w:lineRule="auto"/>
        <w:ind w:left="453"/>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5.8 监理驻地建设标准化</w:t>
      </w:r>
    </w:p>
    <w:p w14:paraId="792762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招标人对本项目采用标准化管理，监理人必须执行国家、广东省有关高速公路工程建</w:t>
      </w:r>
      <w:r>
        <w:rPr>
          <w:rFonts w:ascii="宋体" w:hAnsi="宋体" w:eastAsia="宋体" w:cs="宋体"/>
          <w:color w:val="auto"/>
          <w:sz w:val="22"/>
          <w:szCs w:val="22"/>
          <w:highlight w:val="none"/>
        </w:rPr>
        <w:t>设“双标</w:t>
      </w:r>
      <w:r>
        <w:rPr>
          <w:rFonts w:ascii="宋体" w:hAnsi="宋体" w:eastAsia="宋体" w:cs="宋体"/>
          <w:color w:val="auto"/>
          <w:spacing w:val="-81"/>
          <w:sz w:val="22"/>
          <w:szCs w:val="22"/>
          <w:highlight w:val="none"/>
        </w:rPr>
        <w:t xml:space="preserve"> </w:t>
      </w:r>
      <w:r>
        <w:rPr>
          <w:rFonts w:ascii="宋体" w:hAnsi="宋体" w:eastAsia="宋体" w:cs="宋体"/>
          <w:color w:val="auto"/>
          <w:sz w:val="22"/>
          <w:szCs w:val="22"/>
          <w:highlight w:val="none"/>
        </w:rPr>
        <w:t>”管理、品质公路、绿色公路的规定和要求。其相关文件资料有（包括但不限于</w:t>
      </w:r>
      <w:r>
        <w:rPr>
          <w:rFonts w:ascii="宋体" w:hAnsi="宋体" w:eastAsia="宋体" w:cs="宋体"/>
          <w:color w:val="auto"/>
          <w:spacing w:val="4"/>
          <w:sz w:val="22"/>
          <w:szCs w:val="22"/>
          <w:highlight w:val="none"/>
        </w:rPr>
        <w:t>）：</w:t>
      </w:r>
    </w:p>
    <w:p w14:paraId="38F164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
        <w:jc w:val="both"/>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①广东省公路工程施工标准化指南；②广东省高速公路优质工程管理办法；③广东省高速公路</w:t>
      </w:r>
      <w:r>
        <w:rPr>
          <w:rFonts w:ascii="宋体" w:hAnsi="宋体" w:eastAsia="宋体" w:cs="宋体"/>
          <w:color w:val="auto"/>
          <w:spacing w:val="-1"/>
          <w:sz w:val="22"/>
          <w:szCs w:val="22"/>
          <w:highlight w:val="none"/>
        </w:rPr>
        <w:t>工程优质优价和施工监理优监优酬实施意见</w:t>
      </w:r>
      <w:r>
        <w:rPr>
          <w:rFonts w:ascii="宋体" w:hAnsi="宋体" w:eastAsia="宋体" w:cs="宋体"/>
          <w:color w:val="auto"/>
          <w:spacing w:val="-1"/>
          <w:sz w:val="24"/>
          <w:szCs w:val="24"/>
          <w:highlight w:val="none"/>
        </w:rPr>
        <w:t>。</w:t>
      </w:r>
      <w:r>
        <w:rPr>
          <w:rFonts w:ascii="宋体" w:hAnsi="宋体" w:eastAsia="宋体" w:cs="宋体"/>
          <w:color w:val="auto"/>
          <w:spacing w:val="-1"/>
          <w:sz w:val="22"/>
          <w:szCs w:val="22"/>
          <w:highlight w:val="none"/>
        </w:rPr>
        <w:t>和招标人的要求。</w:t>
      </w:r>
    </w:p>
    <w:p w14:paraId="767FAAB9">
      <w:pPr>
        <w:keepNext w:val="0"/>
        <w:keepLines w:val="0"/>
        <w:pageBreakBefore w:val="0"/>
        <w:widowControl/>
        <w:kinsoku w:val="0"/>
        <w:wordWrap/>
        <w:overflowPunct/>
        <w:topLinePunct w:val="0"/>
        <w:autoSpaceDE w:val="0"/>
        <w:autoSpaceDN w:val="0"/>
        <w:bidi w:val="0"/>
        <w:adjustRightInd w:val="0"/>
        <w:snapToGrid w:val="0"/>
        <w:spacing w:line="360" w:lineRule="auto"/>
        <w:ind w:left="453"/>
        <w:textAlignment w:val="baseline"/>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5.9 平安工地建设要求</w:t>
      </w:r>
    </w:p>
    <w:p w14:paraId="42F55380">
      <w:pPr>
        <w:keepNext w:val="0"/>
        <w:keepLines w:val="0"/>
        <w:pageBreakBefore w:val="0"/>
        <w:widowControl/>
        <w:kinsoku w:val="0"/>
        <w:wordWrap/>
        <w:overflowPunct/>
        <w:topLinePunct w:val="0"/>
        <w:autoSpaceDE w:val="0"/>
        <w:autoSpaceDN w:val="0"/>
        <w:bidi w:val="0"/>
        <w:adjustRightInd w:val="0"/>
        <w:snapToGrid w:val="0"/>
        <w:spacing w:line="360" w:lineRule="auto"/>
        <w:ind w:left="14" w:firstLine="436"/>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本项目执行广东省交通运输厅“关于开展公路水运工程‘平安工地</w:t>
      </w:r>
      <w:r>
        <w:rPr>
          <w:rFonts w:ascii="宋体" w:hAnsi="宋体" w:eastAsia="宋体" w:cs="宋体"/>
          <w:color w:val="auto"/>
          <w:spacing w:val="-79"/>
          <w:sz w:val="22"/>
          <w:szCs w:val="22"/>
          <w:highlight w:val="none"/>
        </w:rPr>
        <w:t xml:space="preserve"> </w:t>
      </w:r>
      <w:r>
        <w:rPr>
          <w:rFonts w:ascii="宋体" w:hAnsi="宋体" w:eastAsia="宋体" w:cs="宋体"/>
          <w:color w:val="auto"/>
          <w:spacing w:val="1"/>
          <w:sz w:val="22"/>
          <w:szCs w:val="22"/>
          <w:highlight w:val="none"/>
        </w:rPr>
        <w:t>’考核评价工作的通知</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（交质监发〔2012〕679 号）等文件有关施工监理的要求。</w:t>
      </w:r>
    </w:p>
    <w:p w14:paraId="2634AA65">
      <w:pPr>
        <w:keepNext w:val="0"/>
        <w:keepLines w:val="0"/>
        <w:pageBreakBefore w:val="0"/>
        <w:widowControl/>
        <w:kinsoku w:val="0"/>
        <w:wordWrap/>
        <w:overflowPunct/>
        <w:topLinePunct w:val="0"/>
        <w:autoSpaceDE w:val="0"/>
        <w:autoSpaceDN w:val="0"/>
        <w:bidi w:val="0"/>
        <w:adjustRightInd w:val="0"/>
        <w:snapToGrid w:val="0"/>
        <w:spacing w:line="360" w:lineRule="auto"/>
        <w:ind w:left="45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5.10 精细化管理</w:t>
      </w:r>
    </w:p>
    <w:p w14:paraId="3A51B591">
      <w:pPr>
        <w:keepNext w:val="0"/>
        <w:keepLines w:val="0"/>
        <w:pageBreakBefore w:val="0"/>
        <w:widowControl/>
        <w:kinsoku w:val="0"/>
        <w:wordWrap/>
        <w:overflowPunct/>
        <w:topLinePunct w:val="0"/>
        <w:autoSpaceDE w:val="0"/>
        <w:autoSpaceDN w:val="0"/>
        <w:bidi w:val="0"/>
        <w:adjustRightInd w:val="0"/>
        <w:snapToGrid w:val="0"/>
        <w:spacing w:line="360" w:lineRule="auto"/>
        <w:ind w:left="9" w:right="330" w:firstLine="44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本项目执行《广东省公路工程施工标准化指南》《广东省公路工</w:t>
      </w:r>
      <w:r>
        <w:rPr>
          <w:rFonts w:ascii="宋体" w:hAnsi="宋体" w:eastAsia="宋体" w:cs="宋体"/>
          <w:color w:val="auto"/>
          <w:spacing w:val="-1"/>
          <w:sz w:val="22"/>
          <w:szCs w:val="22"/>
          <w:highlight w:val="none"/>
        </w:rPr>
        <w:t>程施工监理规范》和广东省交通运输厅发放的“广东省高速公路建设施工精细化管理规定</w:t>
      </w:r>
      <w:r>
        <w:rPr>
          <w:rFonts w:ascii="宋体" w:hAnsi="宋体" w:eastAsia="宋体" w:cs="宋体"/>
          <w:color w:val="auto"/>
          <w:spacing w:val="-79"/>
          <w:sz w:val="22"/>
          <w:szCs w:val="22"/>
          <w:highlight w:val="none"/>
        </w:rPr>
        <w:t xml:space="preserve"> </w:t>
      </w:r>
      <w:r>
        <w:rPr>
          <w:rFonts w:ascii="宋体" w:hAnsi="宋体" w:eastAsia="宋体" w:cs="宋体"/>
          <w:color w:val="auto"/>
          <w:spacing w:val="-1"/>
          <w:sz w:val="22"/>
          <w:szCs w:val="22"/>
          <w:highlight w:val="none"/>
        </w:rPr>
        <w:t>”的有关规定及委托人根据以</w:t>
      </w:r>
      <w:r>
        <w:rPr>
          <w:rFonts w:ascii="宋体" w:hAnsi="宋体" w:eastAsia="宋体" w:cs="宋体"/>
          <w:color w:val="auto"/>
          <w:sz w:val="22"/>
          <w:szCs w:val="22"/>
          <w:highlight w:val="none"/>
        </w:rPr>
        <w:t>上规定制定的相关精细化管理指南，在项目建设过程中实行精细化管理</w:t>
      </w:r>
      <w:r>
        <w:rPr>
          <w:rFonts w:ascii="宋体" w:hAnsi="宋体" w:eastAsia="宋体" w:cs="宋体"/>
          <w:color w:val="auto"/>
          <w:spacing w:val="-1"/>
          <w:sz w:val="22"/>
          <w:szCs w:val="22"/>
          <w:highlight w:val="none"/>
        </w:rPr>
        <w:t>。相关规定如有更新</w:t>
      </w:r>
      <w:r>
        <w:rPr>
          <w:rFonts w:ascii="宋体" w:hAnsi="宋体" w:eastAsia="宋体" w:cs="宋体"/>
          <w:color w:val="auto"/>
          <w:sz w:val="22"/>
          <w:szCs w:val="22"/>
          <w:highlight w:val="none"/>
        </w:rPr>
        <w:t>，以新颁布的为准。</w:t>
      </w:r>
    </w:p>
    <w:p w14:paraId="6B0E5EDC">
      <w:pPr>
        <w:keepNext w:val="0"/>
        <w:keepLines w:val="0"/>
        <w:pageBreakBefore w:val="0"/>
        <w:widowControl/>
        <w:kinsoku w:val="0"/>
        <w:wordWrap/>
        <w:overflowPunct/>
        <w:topLinePunct w:val="0"/>
        <w:autoSpaceDE w:val="0"/>
        <w:autoSpaceDN w:val="0"/>
        <w:bidi w:val="0"/>
        <w:adjustRightInd w:val="0"/>
        <w:snapToGrid w:val="0"/>
        <w:spacing w:line="360" w:lineRule="auto"/>
        <w:ind w:left="9" w:right="330" w:firstLine="44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5.11 建设“双标 ”管理活动</w:t>
      </w:r>
    </w:p>
    <w:p w14:paraId="4BEB98EA">
      <w:pPr>
        <w:keepNext w:val="0"/>
        <w:keepLines w:val="0"/>
        <w:pageBreakBefore w:val="0"/>
        <w:widowControl/>
        <w:kinsoku w:val="0"/>
        <w:wordWrap/>
        <w:overflowPunct/>
        <w:topLinePunct w:val="0"/>
        <w:autoSpaceDE w:val="0"/>
        <w:autoSpaceDN w:val="0"/>
        <w:bidi w:val="0"/>
        <w:adjustRightInd w:val="0"/>
        <w:snapToGrid w:val="0"/>
        <w:spacing w:line="360" w:lineRule="auto"/>
        <w:ind w:left="9" w:right="330" w:firstLine="44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委托人将在项目建设全过程中，全面推行高速公路建设“双标管理 ”(标准化管理、标杆管理)。监理人应配合委托人力争本项目实现“优质精品工程 ”的目标。</w:t>
      </w:r>
    </w:p>
    <w:p w14:paraId="3BE37AF7">
      <w:pPr>
        <w:keepNext w:val="0"/>
        <w:keepLines w:val="0"/>
        <w:pageBreakBefore w:val="0"/>
        <w:widowControl/>
        <w:kinsoku w:val="0"/>
        <w:wordWrap/>
        <w:overflowPunct/>
        <w:topLinePunct w:val="0"/>
        <w:autoSpaceDE w:val="0"/>
        <w:autoSpaceDN w:val="0"/>
        <w:bidi w:val="0"/>
        <w:adjustRightInd w:val="0"/>
        <w:snapToGrid w:val="0"/>
        <w:spacing w:line="360" w:lineRule="auto"/>
        <w:ind w:left="9" w:right="330" w:firstLine="440"/>
        <w:textAlignment w:val="baseline"/>
        <w:rPr>
          <w:rFonts w:ascii="宋体" w:hAnsi="宋体" w:eastAsia="宋体" w:cs="宋体"/>
          <w:color w:val="auto"/>
          <w:sz w:val="22"/>
          <w:szCs w:val="22"/>
          <w:highlight w:val="none"/>
        </w:rPr>
      </w:pPr>
      <w:bookmarkStart w:id="677" w:name="bookmark145"/>
      <w:bookmarkEnd w:id="677"/>
      <w:r>
        <w:rPr>
          <w:rFonts w:ascii="宋体" w:hAnsi="宋体" w:eastAsia="宋体" w:cs="宋体"/>
          <w:color w:val="auto"/>
          <w:sz w:val="22"/>
          <w:szCs w:val="22"/>
          <w:highlight w:val="none"/>
        </w:rPr>
        <w:t>本项目严格广东省交通运输厅印发《广东省公路工程施工标准化指南》（粤交基[2021]239号），投标人应无条件支持配合。</w:t>
      </w:r>
    </w:p>
    <w:p w14:paraId="0BD93988">
      <w:pPr>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5.12 质量安全综合检查</w:t>
      </w:r>
    </w:p>
    <w:p w14:paraId="0233C000">
      <w:pPr>
        <w:keepNext w:val="0"/>
        <w:keepLines w:val="0"/>
        <w:pageBreakBefore w:val="0"/>
        <w:widowControl/>
        <w:kinsoku w:val="0"/>
        <w:wordWrap/>
        <w:overflowPunct/>
        <w:topLinePunct w:val="0"/>
        <w:autoSpaceDE w:val="0"/>
        <w:autoSpaceDN w:val="0"/>
        <w:bidi w:val="0"/>
        <w:adjustRightInd w:val="0"/>
        <w:snapToGrid w:val="0"/>
        <w:spacing w:line="360" w:lineRule="auto"/>
        <w:ind w:right="19" w:firstLine="445"/>
        <w:jc w:val="both"/>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为进一步加强高速公路工程质量监督力度，调动参建各方的</w:t>
      </w:r>
      <w:r>
        <w:rPr>
          <w:rFonts w:ascii="宋体" w:hAnsi="宋体" w:eastAsia="宋体" w:cs="宋体"/>
          <w:color w:val="auto"/>
          <w:spacing w:val="-1"/>
          <w:sz w:val="22"/>
          <w:szCs w:val="22"/>
          <w:highlight w:val="none"/>
        </w:rPr>
        <w:t>主观能动性，提高高速公路工</w:t>
      </w:r>
      <w:r>
        <w:rPr>
          <w:rFonts w:ascii="宋体" w:hAnsi="宋体" w:eastAsia="宋体" w:cs="宋体"/>
          <w:color w:val="auto"/>
          <w:spacing w:val="-2"/>
          <w:sz w:val="22"/>
          <w:szCs w:val="22"/>
          <w:highlight w:val="none"/>
        </w:rPr>
        <w:t>程质量精细化管理水平，监理人应积极参与委托人组织开展的“质量监督综合检查评比</w:t>
      </w:r>
      <w:r>
        <w:rPr>
          <w:rFonts w:ascii="宋体" w:hAnsi="宋体" w:eastAsia="宋体" w:cs="宋体"/>
          <w:color w:val="auto"/>
          <w:spacing w:val="-81"/>
          <w:sz w:val="22"/>
          <w:szCs w:val="22"/>
          <w:highlight w:val="none"/>
        </w:rPr>
        <w:t xml:space="preserve"> </w:t>
      </w:r>
      <w:r>
        <w:rPr>
          <w:rFonts w:ascii="宋体" w:hAnsi="宋体" w:eastAsia="宋体" w:cs="宋体"/>
          <w:color w:val="auto"/>
          <w:spacing w:val="-3"/>
          <w:sz w:val="22"/>
          <w:szCs w:val="22"/>
          <w:highlight w:val="none"/>
        </w:rPr>
        <w:t>”活动，</w:t>
      </w:r>
      <w:r>
        <w:rPr>
          <w:rFonts w:ascii="宋体" w:hAnsi="宋体" w:eastAsia="宋体" w:cs="宋体"/>
          <w:color w:val="auto"/>
          <w:sz w:val="22"/>
          <w:szCs w:val="22"/>
          <w:highlight w:val="none"/>
        </w:rPr>
        <w:t>具体活动方案委托人将根据交通主管部门的有关</w:t>
      </w:r>
      <w:r>
        <w:rPr>
          <w:rFonts w:ascii="宋体" w:hAnsi="宋体" w:eastAsia="宋体" w:cs="宋体"/>
          <w:color w:val="auto"/>
          <w:spacing w:val="-1"/>
          <w:sz w:val="22"/>
          <w:szCs w:val="22"/>
          <w:highlight w:val="none"/>
        </w:rPr>
        <w:t>规定制订后发布。</w:t>
      </w:r>
    </w:p>
    <w:p w14:paraId="4F52FA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highlight w:val="none"/>
        </w:rPr>
      </w:pPr>
    </w:p>
    <w:p w14:paraId="5C370AEA">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outlineLvl w:val="1"/>
        <w:rPr>
          <w:rFonts w:ascii="宋体" w:hAnsi="宋体" w:eastAsia="宋体" w:cs="宋体"/>
          <w:color w:val="auto"/>
          <w:sz w:val="24"/>
          <w:szCs w:val="24"/>
          <w:highlight w:val="none"/>
        </w:rPr>
      </w:pPr>
      <w:bookmarkStart w:id="678" w:name="_Toc10088"/>
      <w:bookmarkStart w:id="679" w:name="_Toc13580"/>
      <w:bookmarkStart w:id="680" w:name="_Toc26248"/>
      <w:bookmarkStart w:id="681" w:name="_Toc3378"/>
      <w:r>
        <w:rPr>
          <w:rFonts w:ascii="宋体" w:hAnsi="宋体" w:eastAsia="宋体" w:cs="宋体"/>
          <w:b/>
          <w:bCs/>
          <w:color w:val="auto"/>
          <w:spacing w:val="-3"/>
          <w:sz w:val="24"/>
          <w:szCs w:val="24"/>
          <w:highlight w:val="none"/>
        </w:rPr>
        <w:t>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开始监理和完成监理</w:t>
      </w:r>
      <w:bookmarkEnd w:id="678"/>
      <w:bookmarkEnd w:id="679"/>
      <w:bookmarkEnd w:id="680"/>
      <w:bookmarkEnd w:id="681"/>
    </w:p>
    <w:p w14:paraId="64F85BC0">
      <w:pPr>
        <w:spacing w:before="290" w:line="360" w:lineRule="auto"/>
        <w:ind w:left="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6.1</w:t>
      </w:r>
      <w:r>
        <w:rPr>
          <w:rFonts w:ascii="宋体" w:hAnsi="宋体" w:eastAsia="宋体" w:cs="宋体"/>
          <w:color w:val="auto"/>
          <w:spacing w:val="12"/>
          <w:sz w:val="24"/>
          <w:szCs w:val="24"/>
          <w:highlight w:val="none"/>
        </w:rPr>
        <w:t xml:space="preserve"> </w:t>
      </w:r>
      <w:r>
        <w:rPr>
          <w:rFonts w:ascii="宋体" w:hAnsi="宋体" w:eastAsia="宋体" w:cs="宋体"/>
          <w:b/>
          <w:bCs/>
          <w:color w:val="auto"/>
          <w:spacing w:val="-5"/>
          <w:sz w:val="24"/>
          <w:szCs w:val="24"/>
          <w:highlight w:val="none"/>
        </w:rPr>
        <w:t>开始监理</w:t>
      </w:r>
    </w:p>
    <w:p w14:paraId="6C1BD4DC">
      <w:pPr>
        <w:spacing w:before="179" w:line="360" w:lineRule="auto"/>
        <w:jc w:val="right"/>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6.1.1 满足以下条件时，监理人应开始监理工作：</w:t>
      </w:r>
      <w:r>
        <w:rPr>
          <w:rFonts w:ascii="宋体" w:hAnsi="宋体" w:eastAsia="宋体" w:cs="宋体"/>
          <w:color w:val="auto"/>
          <w:spacing w:val="-1"/>
          <w:sz w:val="22"/>
          <w:szCs w:val="22"/>
          <w:highlight w:val="none"/>
          <w:u w:val="single" w:color="auto"/>
        </w:rPr>
        <w:t>以委托人发出开始监理的书面通知为准</w:t>
      </w:r>
      <w:r>
        <w:rPr>
          <w:rFonts w:ascii="宋体" w:hAnsi="宋体" w:eastAsia="宋体" w:cs="宋体"/>
          <w:color w:val="auto"/>
          <w:spacing w:val="-1"/>
          <w:sz w:val="22"/>
          <w:szCs w:val="22"/>
          <w:highlight w:val="none"/>
        </w:rPr>
        <w:t>。</w:t>
      </w:r>
    </w:p>
    <w:p w14:paraId="314536CA">
      <w:pPr>
        <w:spacing w:before="78" w:line="360"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6.2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监理周期延误</w:t>
      </w:r>
    </w:p>
    <w:p w14:paraId="496A7C9F">
      <w:pPr>
        <w:spacing w:before="165" w:line="360" w:lineRule="auto"/>
        <w:ind w:right="19" w:firstLine="445"/>
        <w:jc w:val="both"/>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由于非监理人责任造成监理服务期限延误的，延长监理服务期限的计算方法：根据具体的延误原因由发包人与监理人协商确定延长的服务期限；增加监理服务费用的计算方法如下：</w:t>
      </w:r>
    </w:p>
    <w:p w14:paraId="266C4BF8">
      <w:pPr>
        <w:spacing w:line="360" w:lineRule="auto"/>
        <w:ind w:firstLine="432" w:firstLineChars="20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（1）工程延期超过</w:t>
      </w:r>
      <w:r>
        <w:rPr>
          <w:rFonts w:hint="eastAsia" w:ascii="宋体" w:hAnsi="宋体" w:eastAsia="宋体" w:cs="宋体"/>
          <w:color w:val="auto"/>
          <w:spacing w:val="-2"/>
          <w:sz w:val="22"/>
          <w:szCs w:val="22"/>
          <w:highlight w:val="none"/>
          <w:u w:val="single"/>
        </w:rPr>
        <w:t xml:space="preserve"> 3</w:t>
      </w:r>
      <w:r>
        <w:rPr>
          <w:rFonts w:hint="eastAsia" w:ascii="宋体" w:hAnsi="宋体" w:eastAsia="宋体" w:cs="宋体"/>
          <w:color w:val="auto"/>
          <w:spacing w:val="-2"/>
          <w:sz w:val="22"/>
          <w:szCs w:val="22"/>
          <w:highlight w:val="none"/>
        </w:rPr>
        <w:t xml:space="preserve"> 个月以上时，委托人将按照合同工程量清单施工期中监理人员服务费、监理办公设施费、监理交通设施费、试验检测实施费、监理生活设施费施工期的报价，按实（扣除3 个月后）增加上述费用，其他费用不予增加。</w:t>
      </w:r>
      <w:r>
        <w:rPr>
          <w:rFonts w:hint="eastAsia" w:ascii="宋体" w:hAnsi="宋体" w:eastAsia="宋体" w:cs="宋体"/>
          <w:color w:val="auto"/>
          <w:spacing w:val="-2"/>
          <w:sz w:val="22"/>
          <w:szCs w:val="22"/>
          <w:highlight w:val="none"/>
          <w:lang w:eastAsia="zh-CN"/>
        </w:rPr>
        <w:t>因施工期监理服务时间的延长（</w:t>
      </w:r>
      <w:r>
        <w:rPr>
          <w:rFonts w:hint="eastAsia" w:ascii="宋体" w:hAnsi="宋体" w:eastAsia="宋体" w:cs="宋体"/>
          <w:color w:val="auto"/>
          <w:spacing w:val="-2"/>
          <w:sz w:val="22"/>
          <w:szCs w:val="22"/>
          <w:highlight w:val="none"/>
          <w:lang w:val="en-US" w:eastAsia="zh-CN"/>
        </w:rPr>
        <w:t>含建设期维护工程</w:t>
      </w:r>
      <w:r>
        <w:rPr>
          <w:rFonts w:hint="eastAsia" w:ascii="宋体" w:hAnsi="宋体" w:eastAsia="宋体" w:cs="宋体"/>
          <w:color w:val="auto"/>
          <w:spacing w:val="-2"/>
          <w:sz w:val="22"/>
          <w:szCs w:val="22"/>
          <w:highlight w:val="none"/>
          <w:lang w:eastAsia="zh-CN"/>
        </w:rPr>
        <w:t xml:space="preserve">）而补偿的费用不超过签约时的施工期监理服务费的15%，超过部分费用由监理人自行承担，发包人不再支付，且监理人必须继续按合同约定履行各项监理工作。延期期间，发包人要求监理人撤离现场的，不予补偿任何监理服务费。 </w:t>
      </w:r>
    </w:p>
    <w:p w14:paraId="6E40A3CF">
      <w:pPr>
        <w:spacing w:line="360" w:lineRule="auto"/>
        <w:ind w:firstLine="432" w:firstLineChars="2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（2）工程缩短超过 3 个月以上时，委托人将按照合同工程量清单施工期中监理人员服务费、监理办公设施费、监理交通设施费、试验检测实施费、监理生活设施费施工期的报价，按实（扣除3 个月后）减少上述费用，其他费用不予减少。</w:t>
      </w:r>
    </w:p>
    <w:p w14:paraId="32413822">
      <w:pPr>
        <w:spacing w:before="165" w:line="360" w:lineRule="auto"/>
        <w:ind w:right="19" w:firstLine="445"/>
        <w:jc w:val="both"/>
        <w:rPr>
          <w:rFonts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（3）若因监理人的原因致使监理服务时间延长，延长时间增加费用由监理人承担，若影响工期的并按 11.1.3 款进行违约处理。</w:t>
      </w:r>
    </w:p>
    <w:p w14:paraId="7CEAF40B">
      <w:pPr>
        <w:spacing w:before="79" w:line="221" w:lineRule="auto"/>
        <w:ind w:left="2"/>
        <w:outlineLvl w:val="1"/>
        <w:rPr>
          <w:rFonts w:ascii="宋体" w:hAnsi="宋体" w:eastAsia="宋体" w:cs="宋体"/>
          <w:color w:val="auto"/>
          <w:sz w:val="24"/>
          <w:szCs w:val="24"/>
          <w:highlight w:val="none"/>
        </w:rPr>
      </w:pPr>
      <w:bookmarkStart w:id="682" w:name="_Toc22038"/>
      <w:bookmarkStart w:id="683" w:name="_Toc23868"/>
      <w:bookmarkStart w:id="684" w:name="_Toc1368"/>
      <w:bookmarkStart w:id="685" w:name="_Toc20311"/>
      <w:r>
        <w:rPr>
          <w:rFonts w:ascii="宋体" w:hAnsi="宋体" w:eastAsia="宋体" w:cs="宋体"/>
          <w:b/>
          <w:bCs/>
          <w:color w:val="auto"/>
          <w:spacing w:val="-6"/>
          <w:sz w:val="24"/>
          <w:szCs w:val="24"/>
          <w:highlight w:val="none"/>
        </w:rPr>
        <w:t>8.</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6"/>
          <w:sz w:val="24"/>
          <w:szCs w:val="24"/>
          <w:highlight w:val="none"/>
        </w:rPr>
        <w:t>合同变更</w:t>
      </w:r>
      <w:bookmarkEnd w:id="682"/>
      <w:bookmarkEnd w:id="683"/>
      <w:bookmarkEnd w:id="684"/>
      <w:bookmarkEnd w:id="685"/>
    </w:p>
    <w:p w14:paraId="76298149">
      <w:pPr>
        <w:spacing w:before="289" w:line="220" w:lineRule="auto"/>
        <w:ind w:left="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8.1</w:t>
      </w:r>
      <w:r>
        <w:rPr>
          <w:rFonts w:ascii="宋体" w:hAnsi="宋体" w:eastAsia="宋体" w:cs="宋体"/>
          <w:color w:val="auto"/>
          <w:spacing w:val="13"/>
          <w:sz w:val="24"/>
          <w:szCs w:val="24"/>
          <w:highlight w:val="none"/>
        </w:rPr>
        <w:t xml:space="preserve"> </w:t>
      </w:r>
      <w:r>
        <w:rPr>
          <w:rFonts w:ascii="宋体" w:hAnsi="宋体" w:eastAsia="宋体" w:cs="宋体"/>
          <w:b/>
          <w:bCs/>
          <w:color w:val="auto"/>
          <w:spacing w:val="-5"/>
          <w:sz w:val="24"/>
          <w:szCs w:val="24"/>
          <w:highlight w:val="none"/>
        </w:rPr>
        <w:t>变更情形</w:t>
      </w:r>
    </w:p>
    <w:p w14:paraId="2B5AF642">
      <w:pPr>
        <w:spacing w:before="180" w:line="360" w:lineRule="auto"/>
        <w:ind w:left="1" w:right="19" w:firstLine="441"/>
        <w:rPr>
          <w:rFonts w:ascii="宋体" w:hAnsi="宋体" w:eastAsia="宋体" w:cs="宋体"/>
          <w:color w:val="auto"/>
          <w:sz w:val="22"/>
          <w:szCs w:val="22"/>
          <w:highlight w:val="none"/>
        </w:rPr>
      </w:pPr>
      <w:r>
        <w:rPr>
          <w:rFonts w:ascii="宋体" w:hAnsi="宋体" w:eastAsia="宋体" w:cs="宋体"/>
          <w:color w:val="auto"/>
          <w:sz w:val="22"/>
          <w:szCs w:val="22"/>
          <w:highlight w:val="none"/>
        </w:rPr>
        <w:t>8.1.1 合同变更时，监理服务期限的调整方法：</w:t>
      </w:r>
      <w:r>
        <w:rPr>
          <w:rFonts w:ascii="宋体" w:hAnsi="宋体" w:eastAsia="宋体" w:cs="宋体"/>
          <w:color w:val="auto"/>
          <w:sz w:val="22"/>
          <w:szCs w:val="22"/>
          <w:highlight w:val="none"/>
          <w:u w:val="single" w:color="auto"/>
        </w:rPr>
        <w:t>增加的监理服</w:t>
      </w:r>
      <w:r>
        <w:rPr>
          <w:rFonts w:ascii="宋体" w:hAnsi="宋体" w:eastAsia="宋体" w:cs="宋体"/>
          <w:color w:val="auto"/>
          <w:spacing w:val="-1"/>
          <w:sz w:val="22"/>
          <w:szCs w:val="22"/>
          <w:highlight w:val="none"/>
          <w:u w:val="single" w:color="auto"/>
        </w:rPr>
        <w:t>务期按6.2</w:t>
      </w:r>
      <w:r>
        <w:rPr>
          <w:rFonts w:ascii="宋体" w:hAnsi="宋体" w:eastAsia="宋体" w:cs="宋体"/>
          <w:color w:val="auto"/>
          <w:spacing w:val="-48"/>
          <w:sz w:val="22"/>
          <w:szCs w:val="22"/>
          <w:highlight w:val="none"/>
          <w:u w:val="single" w:color="auto"/>
        </w:rPr>
        <w:t xml:space="preserve"> </w:t>
      </w:r>
      <w:r>
        <w:rPr>
          <w:rFonts w:ascii="宋体" w:hAnsi="宋体" w:eastAsia="宋体" w:cs="宋体"/>
          <w:color w:val="auto"/>
          <w:spacing w:val="-1"/>
          <w:sz w:val="22"/>
          <w:szCs w:val="22"/>
          <w:highlight w:val="none"/>
          <w:u w:val="single" w:color="auto"/>
        </w:rPr>
        <w:t>款约定进行计算</w:t>
      </w:r>
      <w:r>
        <w:rPr>
          <w:rFonts w:ascii="宋体" w:hAnsi="宋体" w:eastAsia="宋体" w:cs="宋体"/>
          <w:color w:val="auto"/>
          <w:spacing w:val="-1"/>
          <w:sz w:val="22"/>
          <w:szCs w:val="22"/>
          <w:highlight w:val="none"/>
        </w:rPr>
        <w:t>；</w:t>
      </w:r>
      <w:r>
        <w:rPr>
          <w:rFonts w:ascii="宋体" w:hAnsi="宋体" w:eastAsia="宋体" w:cs="宋体"/>
          <w:color w:val="auto"/>
          <w:spacing w:val="2"/>
          <w:sz w:val="22"/>
          <w:szCs w:val="22"/>
          <w:highlight w:val="none"/>
        </w:rPr>
        <w:t>监理服务费用的调整方法：</w:t>
      </w:r>
      <w:r>
        <w:rPr>
          <w:rFonts w:ascii="宋体" w:hAnsi="宋体" w:eastAsia="宋体" w:cs="宋体"/>
          <w:color w:val="auto"/>
          <w:spacing w:val="2"/>
          <w:sz w:val="22"/>
          <w:szCs w:val="22"/>
          <w:highlight w:val="none"/>
          <w:u w:val="single" w:color="auto"/>
        </w:rPr>
        <w:t>增加的监理服务期内的费用按6.2</w:t>
      </w:r>
      <w:r>
        <w:rPr>
          <w:rFonts w:ascii="宋体" w:hAnsi="宋体" w:eastAsia="宋体" w:cs="宋体"/>
          <w:color w:val="auto"/>
          <w:spacing w:val="-48"/>
          <w:sz w:val="22"/>
          <w:szCs w:val="22"/>
          <w:highlight w:val="none"/>
          <w:u w:val="single" w:color="auto"/>
        </w:rPr>
        <w:t xml:space="preserve"> </w:t>
      </w:r>
      <w:r>
        <w:rPr>
          <w:rFonts w:ascii="宋体" w:hAnsi="宋体" w:eastAsia="宋体" w:cs="宋体"/>
          <w:color w:val="auto"/>
          <w:spacing w:val="2"/>
          <w:sz w:val="22"/>
          <w:szCs w:val="22"/>
          <w:highlight w:val="none"/>
          <w:u w:val="single" w:color="auto"/>
        </w:rPr>
        <w:t>款约定进</w:t>
      </w:r>
      <w:r>
        <w:rPr>
          <w:rFonts w:ascii="宋体" w:hAnsi="宋体" w:eastAsia="宋体" w:cs="宋体"/>
          <w:color w:val="auto"/>
          <w:spacing w:val="1"/>
          <w:sz w:val="22"/>
          <w:szCs w:val="22"/>
          <w:highlight w:val="none"/>
          <w:u w:val="single" w:color="auto"/>
        </w:rPr>
        <w:t>行计算。</w:t>
      </w:r>
    </w:p>
    <w:p w14:paraId="500077CE">
      <w:pPr>
        <w:spacing w:before="241" w:line="220" w:lineRule="auto"/>
        <w:ind w:left="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8.2.2</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4"/>
          <w:sz w:val="24"/>
          <w:szCs w:val="24"/>
          <w:highlight w:val="none"/>
        </w:rPr>
        <w:t>合理化建议</w:t>
      </w:r>
    </w:p>
    <w:p w14:paraId="39438C04">
      <w:pPr>
        <w:spacing w:before="177" w:line="289" w:lineRule="auto"/>
        <w:ind w:left="2" w:right="138" w:firstLine="44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8.2.2 监理人提出的合理化建议降低了工程投资、缩短了施工期限或者提高了工程</w:t>
      </w:r>
      <w:r>
        <w:rPr>
          <w:rFonts w:ascii="宋体" w:hAnsi="宋体" w:eastAsia="宋体" w:cs="宋体"/>
          <w:color w:val="auto"/>
          <w:sz w:val="22"/>
          <w:szCs w:val="22"/>
          <w:highlight w:val="none"/>
        </w:rPr>
        <w:t>经济效益的，委托人给予监理人如下奖励：</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7F568196">
      <w:pPr>
        <w:spacing w:line="300" w:lineRule="auto"/>
        <w:rPr>
          <w:rFonts w:ascii="Arial"/>
          <w:color w:val="auto"/>
          <w:sz w:val="21"/>
          <w:highlight w:val="none"/>
        </w:rPr>
      </w:pPr>
    </w:p>
    <w:p w14:paraId="2C9041BD">
      <w:pPr>
        <w:spacing w:before="79" w:line="219" w:lineRule="auto"/>
        <w:ind w:left="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增加</w:t>
      </w:r>
      <w:r>
        <w:rPr>
          <w:rFonts w:ascii="宋体" w:hAnsi="宋体" w:eastAsia="宋体" w:cs="宋体"/>
          <w:color w:val="auto"/>
          <w:spacing w:val="-35"/>
          <w:sz w:val="24"/>
          <w:szCs w:val="24"/>
          <w:highlight w:val="none"/>
        </w:rPr>
        <w:t xml:space="preserve"> </w:t>
      </w:r>
      <w:r>
        <w:rPr>
          <w:rFonts w:ascii="宋体" w:hAnsi="宋体" w:eastAsia="宋体" w:cs="宋体"/>
          <w:b/>
          <w:bCs/>
          <w:color w:val="auto"/>
          <w:spacing w:val="-5"/>
          <w:sz w:val="24"/>
          <w:szCs w:val="24"/>
          <w:highlight w:val="none"/>
        </w:rPr>
        <w:t>8.3</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5"/>
          <w:sz w:val="24"/>
          <w:szCs w:val="24"/>
          <w:highlight w:val="none"/>
        </w:rPr>
        <w:t>监理奖励和优监优酬</w:t>
      </w:r>
    </w:p>
    <w:p w14:paraId="65AA0D18">
      <w:pPr>
        <w:spacing w:before="79" w:line="219" w:lineRule="auto"/>
        <w:ind w:left="2"/>
        <w:rPr>
          <w:rFonts w:ascii="宋体" w:hAnsi="宋体" w:eastAsia="宋体" w:cs="宋体"/>
          <w:b/>
          <w:bCs/>
          <w:color w:val="auto"/>
          <w:spacing w:val="-5"/>
          <w:sz w:val="24"/>
          <w:szCs w:val="24"/>
          <w:highlight w:val="none"/>
        </w:rPr>
      </w:pPr>
    </w:p>
    <w:p w14:paraId="18CCAEB7">
      <w:pPr>
        <w:spacing w:before="48"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工程监理奖励和优监优酬</w:t>
      </w:r>
    </w:p>
    <w:p w14:paraId="758BD057">
      <w:pPr>
        <w:spacing w:before="177" w:line="220" w:lineRule="auto"/>
        <w:ind w:left="442"/>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8.3.</w:t>
      </w:r>
      <w:r>
        <w:rPr>
          <w:rFonts w:ascii="宋体" w:hAnsi="宋体" w:eastAsia="宋体" w:cs="宋体"/>
          <w:color w:val="auto"/>
          <w:spacing w:val="35"/>
          <w:sz w:val="22"/>
          <w:szCs w:val="22"/>
          <w:highlight w:val="none"/>
        </w:rPr>
        <w:t xml:space="preserve"> </w:t>
      </w:r>
      <w:r>
        <w:rPr>
          <w:rFonts w:ascii="宋体" w:hAnsi="宋体" w:eastAsia="宋体" w:cs="宋体"/>
          <w:color w:val="auto"/>
          <w:spacing w:val="-5"/>
          <w:sz w:val="22"/>
          <w:szCs w:val="22"/>
          <w:highlight w:val="none"/>
        </w:rPr>
        <w:t>1</w:t>
      </w:r>
      <w:r>
        <w:rPr>
          <w:rFonts w:ascii="宋体" w:hAnsi="宋体" w:eastAsia="宋体" w:cs="宋体"/>
          <w:color w:val="auto"/>
          <w:spacing w:val="-44"/>
          <w:sz w:val="22"/>
          <w:szCs w:val="22"/>
          <w:highlight w:val="none"/>
        </w:rPr>
        <w:t xml:space="preserve"> </w:t>
      </w:r>
      <w:r>
        <w:rPr>
          <w:rFonts w:ascii="宋体" w:hAnsi="宋体" w:eastAsia="宋体" w:cs="宋体"/>
          <w:color w:val="auto"/>
          <w:spacing w:val="-5"/>
          <w:sz w:val="22"/>
          <w:szCs w:val="22"/>
          <w:highlight w:val="none"/>
        </w:rPr>
        <w:t>工程监理奖励</w:t>
      </w:r>
    </w:p>
    <w:p w14:paraId="791AF861">
      <w:pPr>
        <w:spacing w:before="164" w:line="359" w:lineRule="auto"/>
        <w:ind w:right="2" w:firstLine="44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工程监理奖励在“报价文件表</w:t>
      </w:r>
      <w:r>
        <w:rPr>
          <w:rFonts w:ascii="宋体" w:hAnsi="宋体" w:eastAsia="宋体" w:cs="宋体"/>
          <w:color w:val="auto"/>
          <w:spacing w:val="-23"/>
          <w:sz w:val="22"/>
          <w:szCs w:val="22"/>
          <w:highlight w:val="none"/>
        </w:rPr>
        <w:t xml:space="preserve"> </w:t>
      </w:r>
      <w:r>
        <w:rPr>
          <w:rFonts w:ascii="宋体" w:hAnsi="宋体" w:eastAsia="宋体" w:cs="宋体"/>
          <w:color w:val="auto"/>
          <w:spacing w:val="4"/>
          <w:sz w:val="22"/>
          <w:szCs w:val="22"/>
          <w:highlight w:val="none"/>
        </w:rPr>
        <w:t>1 监理服务费</w:t>
      </w:r>
      <w:r>
        <w:rPr>
          <w:rFonts w:ascii="宋体" w:hAnsi="宋体" w:eastAsia="宋体" w:cs="宋体"/>
          <w:color w:val="auto"/>
          <w:spacing w:val="3"/>
          <w:sz w:val="22"/>
          <w:szCs w:val="22"/>
          <w:highlight w:val="none"/>
        </w:rPr>
        <w:t>报价汇总表</w:t>
      </w:r>
      <w:r>
        <w:rPr>
          <w:rFonts w:ascii="宋体" w:hAnsi="宋体" w:eastAsia="宋体" w:cs="宋体"/>
          <w:color w:val="auto"/>
          <w:spacing w:val="-76"/>
          <w:sz w:val="22"/>
          <w:szCs w:val="22"/>
          <w:highlight w:val="none"/>
        </w:rPr>
        <w:t xml:space="preserve"> </w:t>
      </w:r>
      <w:r>
        <w:rPr>
          <w:rFonts w:ascii="宋体" w:hAnsi="宋体" w:eastAsia="宋体" w:cs="宋体"/>
          <w:color w:val="auto"/>
          <w:spacing w:val="3"/>
          <w:sz w:val="22"/>
          <w:szCs w:val="22"/>
          <w:highlight w:val="none"/>
        </w:rPr>
        <w:t>”中单列，该部分费用仅限于本</w:t>
      </w:r>
      <w:r>
        <w:rPr>
          <w:rFonts w:ascii="宋体" w:hAnsi="宋体" w:eastAsia="宋体" w:cs="宋体"/>
          <w:color w:val="auto"/>
          <w:spacing w:val="1"/>
          <w:sz w:val="22"/>
          <w:szCs w:val="22"/>
          <w:highlight w:val="none"/>
        </w:rPr>
        <w:t>合同段使用（或整个项目统筹使用，具体以评比方案为准</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主要</w:t>
      </w:r>
      <w:r>
        <w:rPr>
          <w:rFonts w:ascii="宋体" w:hAnsi="宋体" w:eastAsia="宋体" w:cs="宋体"/>
          <w:color w:val="auto"/>
          <w:sz w:val="22"/>
          <w:szCs w:val="22"/>
          <w:highlight w:val="none"/>
        </w:rPr>
        <w:t>用于工程建设期间委托人对</w:t>
      </w:r>
      <w:r>
        <w:rPr>
          <w:rFonts w:ascii="宋体" w:hAnsi="宋体" w:eastAsia="宋体" w:cs="宋体"/>
          <w:color w:val="auto"/>
          <w:spacing w:val="1"/>
          <w:sz w:val="22"/>
          <w:szCs w:val="22"/>
          <w:highlight w:val="none"/>
        </w:rPr>
        <w:t>现场监理人员的奖励。监理人获得支付的额度取决于其所监理标段对应施工承包人完成进度的</w:t>
      </w:r>
      <w:r>
        <w:rPr>
          <w:rFonts w:ascii="宋体" w:hAnsi="宋体" w:eastAsia="宋体" w:cs="宋体"/>
          <w:color w:val="auto"/>
          <w:sz w:val="22"/>
          <w:szCs w:val="22"/>
          <w:highlight w:val="none"/>
        </w:rPr>
        <w:t>情况及在评比中的名次。有关评比方案委托人将在监理</w:t>
      </w:r>
      <w:r>
        <w:rPr>
          <w:rFonts w:ascii="宋体" w:hAnsi="宋体" w:eastAsia="宋体" w:cs="宋体"/>
          <w:color w:val="auto"/>
          <w:spacing w:val="-1"/>
          <w:sz w:val="22"/>
          <w:szCs w:val="22"/>
          <w:highlight w:val="none"/>
        </w:rPr>
        <w:t>人进场后予以制定。</w:t>
      </w:r>
    </w:p>
    <w:p w14:paraId="0F8C84BE">
      <w:pPr>
        <w:spacing w:before="1" w:line="359" w:lineRule="auto"/>
        <w:ind w:left="1" w:firstLine="43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委托人对监理人的工程监理奖励，监理人除代扣缴法律法规规定的税金外，应全额落实到</w:t>
      </w:r>
      <w:r>
        <w:rPr>
          <w:rFonts w:ascii="宋体" w:hAnsi="宋体" w:eastAsia="宋体" w:cs="宋体"/>
          <w:color w:val="auto"/>
          <w:spacing w:val="-2"/>
          <w:sz w:val="22"/>
          <w:szCs w:val="22"/>
          <w:highlight w:val="none"/>
        </w:rPr>
        <w:t>现场监理人员中。</w:t>
      </w:r>
    </w:p>
    <w:p w14:paraId="3D5A8DAD">
      <w:pPr>
        <w:spacing w:before="1" w:line="218"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8.3.2</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优监优酬价款</w:t>
      </w:r>
    </w:p>
    <w:p w14:paraId="55BD3E65">
      <w:pPr>
        <w:spacing w:before="164" w:line="360" w:lineRule="auto"/>
        <w:ind w:left="3" w:firstLine="438"/>
        <w:rPr>
          <w:rFonts w:ascii="宋体" w:hAnsi="宋体" w:eastAsia="宋体" w:cs="宋体"/>
          <w:color w:val="auto"/>
          <w:sz w:val="22"/>
          <w:szCs w:val="22"/>
          <w:highlight w:val="none"/>
        </w:rPr>
      </w:pPr>
      <w:r>
        <w:rPr>
          <w:rFonts w:ascii="宋体" w:hAnsi="宋体" w:eastAsia="宋体" w:cs="宋体"/>
          <w:color w:val="auto"/>
          <w:sz w:val="22"/>
          <w:szCs w:val="22"/>
          <w:highlight w:val="none"/>
        </w:rPr>
        <w:t>全面推行“双标管理</w:t>
      </w:r>
      <w:r>
        <w:rPr>
          <w:rFonts w:ascii="宋体" w:hAnsi="宋体" w:eastAsia="宋体" w:cs="宋体"/>
          <w:color w:val="auto"/>
          <w:spacing w:val="-81"/>
          <w:sz w:val="22"/>
          <w:szCs w:val="22"/>
          <w:highlight w:val="none"/>
        </w:rPr>
        <w:t xml:space="preserve"> </w:t>
      </w:r>
      <w:r>
        <w:rPr>
          <w:rFonts w:ascii="宋体" w:hAnsi="宋体" w:eastAsia="宋体" w:cs="宋体"/>
          <w:color w:val="auto"/>
          <w:sz w:val="22"/>
          <w:szCs w:val="22"/>
          <w:highlight w:val="none"/>
        </w:rPr>
        <w:t>”（标准化管理、标杆管理</w:t>
      </w:r>
      <w:r>
        <w:rPr>
          <w:rFonts w:ascii="宋体" w:hAnsi="宋体" w:eastAsia="宋体" w:cs="宋体"/>
          <w:color w:val="auto"/>
          <w:spacing w:val="8"/>
          <w:sz w:val="22"/>
          <w:szCs w:val="22"/>
          <w:highlight w:val="none"/>
        </w:rPr>
        <w:t>），</w:t>
      </w:r>
      <w:r>
        <w:rPr>
          <w:rFonts w:ascii="宋体" w:hAnsi="宋体" w:eastAsia="宋体" w:cs="宋体"/>
          <w:color w:val="auto"/>
          <w:sz w:val="22"/>
          <w:szCs w:val="22"/>
          <w:highlight w:val="none"/>
        </w:rPr>
        <w:t>建立工程施工监理优监优酬制度</w:t>
      </w:r>
      <w:r>
        <w:rPr>
          <w:rFonts w:ascii="宋体" w:hAnsi="宋体" w:eastAsia="宋体" w:cs="宋体"/>
          <w:color w:val="auto"/>
          <w:spacing w:val="-1"/>
          <w:sz w:val="22"/>
          <w:szCs w:val="22"/>
          <w:highlight w:val="none"/>
        </w:rPr>
        <w:t>，提</w:t>
      </w:r>
      <w:r>
        <w:rPr>
          <w:rFonts w:ascii="宋体" w:hAnsi="宋体" w:eastAsia="宋体" w:cs="宋体"/>
          <w:color w:val="auto"/>
          <w:spacing w:val="1"/>
          <w:sz w:val="22"/>
          <w:szCs w:val="22"/>
          <w:highlight w:val="none"/>
        </w:rPr>
        <w:t>高工程施工监理质量管理水平，本合同设立优监优酬价款，具体由委托人参照广东省交</w:t>
      </w:r>
      <w:r>
        <w:rPr>
          <w:rFonts w:ascii="宋体" w:hAnsi="宋体" w:eastAsia="宋体" w:cs="宋体"/>
          <w:color w:val="auto"/>
          <w:sz w:val="22"/>
          <w:szCs w:val="22"/>
          <w:highlight w:val="none"/>
        </w:rPr>
        <w:t>通运输</w:t>
      </w:r>
      <w:r>
        <w:rPr>
          <w:rFonts w:ascii="宋体" w:hAnsi="宋体" w:eastAsia="宋体" w:cs="宋体"/>
          <w:color w:val="auto"/>
          <w:spacing w:val="6"/>
          <w:sz w:val="22"/>
          <w:szCs w:val="22"/>
          <w:highlight w:val="none"/>
        </w:rPr>
        <w:t>厅《关于印发广东省高速公路工程优质优价和施工监理优监优酬实施意见的通知》（粤交基</w:t>
      </w:r>
      <w:r>
        <w:rPr>
          <w:rFonts w:ascii="宋体" w:hAnsi="宋体" w:eastAsia="宋体" w:cs="宋体"/>
          <w:color w:val="auto"/>
          <w:spacing w:val="-1"/>
          <w:sz w:val="22"/>
          <w:szCs w:val="22"/>
          <w:highlight w:val="none"/>
        </w:rPr>
        <w:t>〔2010〕1893</w:t>
      </w:r>
      <w:r>
        <w:rPr>
          <w:rFonts w:ascii="宋体" w:hAnsi="宋体" w:eastAsia="宋体" w:cs="宋体"/>
          <w:color w:val="auto"/>
          <w:spacing w:val="-36"/>
          <w:sz w:val="22"/>
          <w:szCs w:val="22"/>
          <w:highlight w:val="none"/>
        </w:rPr>
        <w:t xml:space="preserve"> </w:t>
      </w:r>
      <w:r>
        <w:rPr>
          <w:rFonts w:ascii="宋体" w:hAnsi="宋体" w:eastAsia="宋体" w:cs="宋体"/>
          <w:color w:val="auto"/>
          <w:spacing w:val="-1"/>
          <w:sz w:val="22"/>
          <w:szCs w:val="22"/>
          <w:highlight w:val="none"/>
        </w:rPr>
        <w:t>号）等文件的规定制订的本项目实施细则执行。</w:t>
      </w:r>
    </w:p>
    <w:p w14:paraId="4392AC61">
      <w:pPr>
        <w:spacing w:before="1" w:line="359" w:lineRule="auto"/>
        <w:ind w:firstLine="439"/>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委托人将根据工程实际开展各项工程的质量评比和奖罚，项目（如项目采用分段管理，则按项目段计列）用于奖励的金额原则上不超过项目（或项目段）各监理合同段投标报价（中标</w:t>
      </w:r>
      <w:r>
        <w:rPr>
          <w:rFonts w:ascii="宋体" w:hAnsi="宋体" w:eastAsia="宋体" w:cs="宋体"/>
          <w:color w:val="auto"/>
          <w:spacing w:val="-1"/>
          <w:sz w:val="22"/>
          <w:szCs w:val="22"/>
          <w:highlight w:val="none"/>
        </w:rPr>
        <w:t>价）合计金额的</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02"/>
          <w:sz w:val="22"/>
          <w:szCs w:val="22"/>
          <w:highlight w:val="none"/>
        </w:rPr>
        <w:t xml:space="preserve"> </w:t>
      </w:r>
      <w:r>
        <w:rPr>
          <w:rFonts w:ascii="宋体" w:hAnsi="宋体" w:eastAsia="宋体" w:cs="宋体"/>
          <w:color w:val="auto"/>
          <w:spacing w:val="-1"/>
          <w:sz w:val="22"/>
          <w:szCs w:val="22"/>
          <w:highlight w:val="none"/>
        </w:rPr>
        <w:t>%（含税金）。</w:t>
      </w:r>
    </w:p>
    <w:p w14:paraId="2D8A4BEF">
      <w:pPr>
        <w:spacing w:before="78" w:line="218" w:lineRule="auto"/>
        <w:ind w:left="1"/>
        <w:outlineLvl w:val="1"/>
        <w:rPr>
          <w:rFonts w:ascii="宋体" w:hAnsi="宋体" w:eastAsia="宋体" w:cs="宋体"/>
          <w:color w:val="auto"/>
          <w:sz w:val="24"/>
          <w:szCs w:val="24"/>
          <w:highlight w:val="none"/>
        </w:rPr>
      </w:pPr>
      <w:bookmarkStart w:id="686" w:name="_Toc28219"/>
      <w:bookmarkStart w:id="687" w:name="_Toc24358"/>
      <w:bookmarkStart w:id="688" w:name="_Toc32346"/>
      <w:bookmarkStart w:id="689" w:name="_Toc967"/>
      <w:r>
        <w:rPr>
          <w:rFonts w:ascii="宋体" w:hAnsi="宋体" w:eastAsia="宋体" w:cs="宋体"/>
          <w:b/>
          <w:bCs/>
          <w:color w:val="auto"/>
          <w:spacing w:val="-3"/>
          <w:sz w:val="24"/>
          <w:szCs w:val="24"/>
          <w:highlight w:val="none"/>
        </w:rPr>
        <w:t>9.</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合同价格与支付</w:t>
      </w:r>
      <w:bookmarkEnd w:id="686"/>
      <w:bookmarkEnd w:id="687"/>
      <w:bookmarkEnd w:id="688"/>
      <w:bookmarkEnd w:id="689"/>
    </w:p>
    <w:p w14:paraId="53085DE6">
      <w:pPr>
        <w:spacing w:before="293" w:line="218" w:lineRule="auto"/>
        <w:ind w:left="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9.1</w:t>
      </w:r>
      <w:r>
        <w:rPr>
          <w:rFonts w:ascii="宋体" w:hAnsi="宋体" w:eastAsia="宋体" w:cs="宋体"/>
          <w:color w:val="auto"/>
          <w:spacing w:val="13"/>
          <w:sz w:val="24"/>
          <w:szCs w:val="24"/>
          <w:highlight w:val="none"/>
        </w:rPr>
        <w:t xml:space="preserve"> </w:t>
      </w:r>
      <w:r>
        <w:rPr>
          <w:rFonts w:ascii="宋体" w:hAnsi="宋体" w:eastAsia="宋体" w:cs="宋体"/>
          <w:b/>
          <w:bCs/>
          <w:color w:val="auto"/>
          <w:spacing w:val="-5"/>
          <w:sz w:val="24"/>
          <w:szCs w:val="24"/>
          <w:highlight w:val="none"/>
        </w:rPr>
        <w:t>合同价格</w:t>
      </w:r>
    </w:p>
    <w:p w14:paraId="1BFD3E24">
      <w:pPr>
        <w:spacing w:before="181" w:line="219" w:lineRule="auto"/>
        <w:ind w:left="44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9.1.1 本合同的价款确定方式：</w:t>
      </w:r>
      <w:r>
        <w:rPr>
          <w:rFonts w:ascii="宋体" w:hAnsi="宋体" w:eastAsia="宋体" w:cs="宋体"/>
          <w:color w:val="auto"/>
          <w:spacing w:val="-1"/>
          <w:sz w:val="22"/>
          <w:szCs w:val="22"/>
          <w:highlight w:val="none"/>
          <w:u w:val="single" w:color="auto"/>
        </w:rPr>
        <w:t xml:space="preserve">  总价  </w:t>
      </w:r>
      <w:r>
        <w:rPr>
          <w:rFonts w:ascii="宋体" w:hAnsi="宋体" w:eastAsia="宋体" w:cs="宋体"/>
          <w:color w:val="auto"/>
          <w:spacing w:val="-1"/>
          <w:sz w:val="22"/>
          <w:szCs w:val="22"/>
          <w:highlight w:val="none"/>
        </w:rPr>
        <w:t>。</w:t>
      </w:r>
    </w:p>
    <w:p w14:paraId="7EA50690">
      <w:pPr>
        <w:spacing w:before="166" w:line="360" w:lineRule="auto"/>
        <w:ind w:firstLine="440"/>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本合同总价已包含监理人完成全部试验检测工作(含外委检测)所需的一切费用，监理人应 负责与选定的第三方检测机构结算并支付相关费用。</w:t>
      </w:r>
    </w:p>
    <w:p w14:paraId="6743D600">
      <w:pPr>
        <w:spacing w:before="166" w:line="360" w:lineRule="auto"/>
        <w:ind w:firstLine="44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在合同实施期间，由于人工、材料、设备等因素的市场价格变化导致本项目监理服务费用</w:t>
      </w:r>
      <w:r>
        <w:rPr>
          <w:rFonts w:ascii="宋体" w:hAnsi="宋体" w:eastAsia="宋体" w:cs="宋体"/>
          <w:color w:val="auto"/>
          <w:sz w:val="22"/>
          <w:szCs w:val="22"/>
          <w:highlight w:val="none"/>
        </w:rPr>
        <w:t>变化，合同价格的调整方式和风险范围划分：</w:t>
      </w:r>
      <w:r>
        <w:rPr>
          <w:rFonts w:ascii="宋体" w:hAnsi="宋体" w:eastAsia="宋体" w:cs="宋体"/>
          <w:color w:val="auto"/>
          <w:sz w:val="22"/>
          <w:szCs w:val="22"/>
          <w:highlight w:val="none"/>
          <w:u w:val="single" w:color="auto"/>
        </w:rPr>
        <w:t>监理服</w:t>
      </w:r>
      <w:r>
        <w:rPr>
          <w:rFonts w:ascii="宋体" w:hAnsi="宋体" w:eastAsia="宋体" w:cs="宋体"/>
          <w:color w:val="auto"/>
          <w:spacing w:val="-1"/>
          <w:sz w:val="22"/>
          <w:szCs w:val="22"/>
          <w:highlight w:val="none"/>
          <w:u w:val="single" w:color="auto"/>
        </w:rPr>
        <w:t>务费不进行调整</w:t>
      </w:r>
      <w:r>
        <w:rPr>
          <w:rFonts w:ascii="宋体" w:hAnsi="宋体" w:eastAsia="宋体" w:cs="宋体"/>
          <w:color w:val="auto"/>
          <w:spacing w:val="-1"/>
          <w:sz w:val="22"/>
          <w:szCs w:val="22"/>
          <w:highlight w:val="none"/>
        </w:rPr>
        <w:t>。</w:t>
      </w:r>
    </w:p>
    <w:p w14:paraId="30EEB28C">
      <w:pPr>
        <w:spacing w:before="243" w:line="219" w:lineRule="auto"/>
        <w:ind w:left="1"/>
        <w:rPr>
          <w:rFonts w:hint="eastAsia" w:ascii="宋体" w:hAnsi="宋体" w:eastAsia="宋体" w:cs="宋体"/>
          <w:b/>
          <w:bCs/>
          <w:color w:val="auto"/>
          <w:spacing w:val="-8"/>
          <w:sz w:val="24"/>
          <w:szCs w:val="24"/>
          <w:highlight w:val="none"/>
          <w:lang w:val="en-US" w:eastAsia="zh-CN"/>
        </w:rPr>
      </w:pPr>
      <w:r>
        <w:rPr>
          <w:rFonts w:ascii="宋体" w:hAnsi="宋体" w:eastAsia="宋体" w:cs="宋体"/>
          <w:b/>
          <w:bCs/>
          <w:color w:val="auto"/>
          <w:spacing w:val="-8"/>
          <w:sz w:val="24"/>
          <w:szCs w:val="24"/>
          <w:highlight w:val="none"/>
        </w:rPr>
        <w:t>9.</w:t>
      </w:r>
      <w:r>
        <w:rPr>
          <w:rFonts w:hint="eastAsia" w:ascii="宋体" w:hAnsi="宋体" w:eastAsia="宋体" w:cs="宋体"/>
          <w:b/>
          <w:bCs/>
          <w:color w:val="auto"/>
          <w:spacing w:val="-8"/>
          <w:sz w:val="24"/>
          <w:szCs w:val="24"/>
          <w:highlight w:val="none"/>
          <w:lang w:val="en-US" w:eastAsia="zh-CN"/>
        </w:rPr>
        <w:t>2</w:t>
      </w:r>
      <w:r>
        <w:rPr>
          <w:rFonts w:ascii="宋体" w:hAnsi="宋体" w:eastAsia="宋体" w:cs="宋体"/>
          <w:b/>
          <w:bCs/>
          <w:color w:val="auto"/>
          <w:spacing w:val="-8"/>
          <w:sz w:val="24"/>
          <w:szCs w:val="24"/>
          <w:highlight w:val="none"/>
        </w:rPr>
        <w:t xml:space="preserve"> </w:t>
      </w:r>
      <w:r>
        <w:rPr>
          <w:rFonts w:hint="eastAsia" w:ascii="宋体" w:hAnsi="宋体" w:eastAsia="宋体" w:cs="宋体"/>
          <w:b/>
          <w:bCs/>
          <w:color w:val="auto"/>
          <w:spacing w:val="-8"/>
          <w:sz w:val="24"/>
          <w:szCs w:val="24"/>
          <w:highlight w:val="none"/>
          <w:lang w:val="en-US" w:eastAsia="zh-CN"/>
        </w:rPr>
        <w:t>预付款</w:t>
      </w:r>
    </w:p>
    <w:p w14:paraId="5361047C">
      <w:pPr>
        <w:spacing w:before="166" w:line="360" w:lineRule="auto"/>
        <w:ind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为使监理服务能够及时开展，</w:t>
      </w:r>
      <w:r>
        <w:rPr>
          <w:rFonts w:hint="eastAsia" w:ascii="宋体" w:hAnsi="宋体" w:cs="Times New Roman"/>
          <w:color w:val="auto"/>
          <w:sz w:val="24"/>
          <w:highlight w:val="none"/>
          <w:lang w:val="en-US" w:eastAsia="zh-CN"/>
        </w:rPr>
        <w:t>合同签订后支付合同金额的0%作为监理的预付款，上述预付款支付以上级财政专项资金到位为前提。</w:t>
      </w:r>
    </w:p>
    <w:p w14:paraId="3E475114">
      <w:pPr>
        <w:spacing w:before="166" w:line="360" w:lineRule="auto"/>
        <w:ind w:firstLine="440"/>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eastAsia="zh-CN"/>
        </w:rPr>
        <w:t>预付款在</w:t>
      </w:r>
      <w:r>
        <w:rPr>
          <w:rFonts w:hint="eastAsia" w:ascii="宋体" w:hAnsi="宋体" w:eastAsia="宋体" w:cs="宋体"/>
          <w:color w:val="auto"/>
          <w:spacing w:val="1"/>
          <w:sz w:val="22"/>
          <w:szCs w:val="22"/>
          <w:highlight w:val="none"/>
          <w:lang w:val="en-US" w:eastAsia="zh-CN"/>
        </w:rPr>
        <w:t>第一期</w:t>
      </w:r>
      <w:r>
        <w:rPr>
          <w:rFonts w:hint="eastAsia" w:ascii="宋体" w:hAnsi="宋体" w:eastAsia="宋体" w:cs="宋体"/>
          <w:color w:val="auto"/>
          <w:spacing w:val="1"/>
          <w:sz w:val="22"/>
          <w:szCs w:val="22"/>
          <w:highlight w:val="none"/>
          <w:lang w:eastAsia="zh-CN"/>
        </w:rPr>
        <w:t>监理服务费</w:t>
      </w:r>
      <w:r>
        <w:rPr>
          <w:rFonts w:hint="eastAsia" w:ascii="宋体" w:hAnsi="宋体" w:eastAsia="宋体" w:cs="宋体"/>
          <w:color w:val="auto"/>
          <w:spacing w:val="1"/>
          <w:sz w:val="22"/>
          <w:szCs w:val="22"/>
          <w:highlight w:val="none"/>
          <w:lang w:val="en-US" w:eastAsia="zh-CN"/>
        </w:rPr>
        <w:t>进度款中一次性扣回。</w:t>
      </w:r>
    </w:p>
    <w:p w14:paraId="3B812875">
      <w:pPr>
        <w:spacing w:before="166" w:line="360" w:lineRule="auto"/>
        <w:ind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预付款应专用于本工程的监理。监理人无须向委托人提交预付款保函，但监理人提交的履约保证金对预付款的正常使用承担保证责任。</w:t>
      </w:r>
    </w:p>
    <w:p w14:paraId="37EEC9FB">
      <w:pPr>
        <w:spacing w:before="243" w:line="219" w:lineRule="auto"/>
        <w:ind w:left="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9.3</w:t>
      </w:r>
      <w:r>
        <w:rPr>
          <w:rFonts w:ascii="宋体" w:hAnsi="宋体" w:eastAsia="宋体" w:cs="宋体"/>
          <w:color w:val="auto"/>
          <w:spacing w:val="34"/>
          <w:sz w:val="24"/>
          <w:szCs w:val="24"/>
          <w:highlight w:val="none"/>
        </w:rPr>
        <w:t xml:space="preserve"> </w:t>
      </w:r>
      <w:bookmarkStart w:id="690" w:name="OLE_LINK1"/>
      <w:r>
        <w:rPr>
          <w:rFonts w:ascii="宋体" w:hAnsi="宋体" w:eastAsia="宋体" w:cs="宋体"/>
          <w:b/>
          <w:bCs/>
          <w:color w:val="auto"/>
          <w:spacing w:val="-8"/>
          <w:sz w:val="24"/>
          <w:szCs w:val="24"/>
          <w:highlight w:val="none"/>
        </w:rPr>
        <w:t>中期支付</w:t>
      </w:r>
    </w:p>
    <w:p w14:paraId="629F8444">
      <w:pPr>
        <w:keepNext w:val="0"/>
        <w:keepLines w:val="0"/>
        <w:pageBreakBefore w:val="0"/>
        <w:widowControl/>
        <w:kinsoku w:val="0"/>
        <w:wordWrap/>
        <w:overflowPunct/>
        <w:topLinePunct w:val="0"/>
        <w:autoSpaceDE w:val="0"/>
        <w:autoSpaceDN w:val="0"/>
        <w:bidi w:val="0"/>
        <w:adjustRightInd w:val="0"/>
        <w:snapToGrid w:val="0"/>
        <w:spacing w:line="240" w:lineRule="exact"/>
        <w:ind w:left="11" w:leftChars="0" w:firstLine="444" w:firstLineChars="200"/>
        <w:textAlignment w:val="baseline"/>
        <w:rPr>
          <w:rFonts w:hint="eastAsia" w:ascii="宋体" w:hAnsi="宋体" w:eastAsia="宋体" w:cs="宋体"/>
          <w:color w:val="auto"/>
          <w:spacing w:val="1"/>
          <w:sz w:val="22"/>
          <w:szCs w:val="22"/>
          <w:highlight w:val="none"/>
        </w:rPr>
      </w:pPr>
    </w:p>
    <w:p w14:paraId="7A64B091">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本款细化为：</w:t>
      </w:r>
    </w:p>
    <w:p w14:paraId="002C11E5">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16"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6"/>
          <w:sz w:val="22"/>
          <w:szCs w:val="22"/>
          <w:highlight w:val="none"/>
        </w:rPr>
        <w:t>监理服务费的支付分为中期支付、结算支付和缺陷责任期满及竣工验收支付，中期支付是施工期的支付，将按季度分期支付，中期支付总额占监理服务费总额的80％（若发包人在完成监理范内部分施工招标后，统计或预测监理范围内实际的监理服务费与暂定的监理服务费有超过10％或以上偏差时，发包人有权调低中期支付比例）；结算支付为支付至监理服务费结算价的97％，按下述第二款执行；剩余3％为缺陷责任期满及竣工验收监理服务费，按下述第三款执行</w:t>
      </w:r>
      <w:r>
        <w:rPr>
          <w:rFonts w:hint="eastAsia" w:ascii="宋体" w:hAnsi="宋体" w:eastAsia="宋体" w:cs="宋体"/>
          <w:color w:val="auto"/>
          <w:spacing w:val="1"/>
          <w:sz w:val="22"/>
          <w:szCs w:val="22"/>
          <w:highlight w:val="none"/>
        </w:rPr>
        <w:t>。</w:t>
      </w:r>
    </w:p>
    <w:p w14:paraId="422A801F">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一、中期支付</w:t>
      </w:r>
    </w:p>
    <w:p w14:paraId="11FD5C91">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上一季度的监理服务费将在下一季度的第一个月上旬支付，监理人应在每季度未向招标人提交支付申请，招标人将根据支付申请审批支付，支付申请包括以下栏目：</w:t>
      </w:r>
    </w:p>
    <w:p w14:paraId="12952708">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（1）正常常服务的费用</w:t>
      </w:r>
    </w:p>
    <w:p w14:paraId="2F0EAA62">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计算式：监理服务费总额×该季度监理管辖范围内各施工合同段承包人完成的工作量费用总额／承包人合同价总额×80％</w:t>
      </w:r>
    </w:p>
    <w:p w14:paraId="41542086">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6"/>
          <w:sz w:val="22"/>
          <w:szCs w:val="22"/>
          <w:highlight w:val="none"/>
          <w:lang w:val="en-US" w:eastAsia="zh-CN"/>
        </w:rPr>
        <w:t>监理服务费变更费用经双方协商确认后，在监理服务所对应工作期限内按季度支付或按双方签订的补充协议约定的支付方式进行支付。为保障监理人基本工作的开展，如本季度计量的监理服务费总额不足50万元，按50万元进行计量，超计量部分在下季度的计量款中予以扣回</w:t>
      </w:r>
      <w:r>
        <w:rPr>
          <w:rFonts w:hint="eastAsia" w:ascii="宋体" w:hAnsi="宋体" w:eastAsia="宋体" w:cs="宋体"/>
          <w:color w:val="auto"/>
          <w:spacing w:val="1"/>
          <w:sz w:val="22"/>
          <w:szCs w:val="22"/>
          <w:highlight w:val="none"/>
          <w:lang w:val="en-US" w:eastAsia="zh-CN"/>
        </w:rPr>
        <w:t>。</w:t>
      </w:r>
    </w:p>
    <w:p w14:paraId="102D38C9">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rPr>
        <w:t>）按本监理合同条款的规定本季应得的奖励及证明资料；</w:t>
      </w:r>
    </w:p>
    <w:p w14:paraId="30B4E856">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）按合同规定本季应得的其他费用；</w:t>
      </w:r>
    </w:p>
    <w:p w14:paraId="354627D4">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rPr>
        <w:t>）按本监理合同条款的规定本季应扣除的违约金以及赔偿金；</w:t>
      </w:r>
    </w:p>
    <w:p w14:paraId="474C545B">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中期支付的上限为监理服务费总额的80％（若发包人在完成监理范围内部分施工招标后，统计或预测监理范围内实际的监理服务费与暂定的监理服务费有超过10%或以上偏差时，发包人有权调低中期支付比例）。</w:t>
      </w:r>
    </w:p>
    <w:p w14:paraId="2F81A778">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二、结算支付</w:t>
      </w:r>
    </w:p>
    <w:p w14:paraId="4902391B">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监理服务费的3％作为保留金，在监理范围内所有工程交工验收达到合同约定等级并且监理人完成结算手续办理、竣工资料整理移交后支付至结算监理服务费的97％，若交工验收不合格或者未按发包人书面通知规定时间内完成结算手续办理和竣工资料整理的不予支付。</w:t>
      </w:r>
    </w:p>
    <w:p w14:paraId="498355B8">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三、缺陷责任期满及竣工验收支付</w:t>
      </w:r>
    </w:p>
    <w:p w14:paraId="54894EE2">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在工程经验收合格且缺陷责任期满，发包人签发《工程缺陷责任终止证书》并且竣工决算（或财务决算）批复后28天内支付剩余结算监理服务费（扣除相关的缺陷责任修复费用，如果有），工程竣工验收之前，如果根据造价主管部门或政府审计部门审核结果须要扣回监理人相关合同款项的，监理人必须无条件按照发包人通知的时限和金额退回相关款项。</w:t>
      </w:r>
    </w:p>
    <w:p w14:paraId="07FED228">
      <w:pPr>
        <w:keepNext w:val="0"/>
        <w:keepLines w:val="0"/>
        <w:pageBreakBefore w:val="0"/>
        <w:widowControl/>
        <w:kinsoku w:val="0"/>
        <w:wordWrap/>
        <w:overflowPunct/>
        <w:topLinePunct w:val="0"/>
        <w:autoSpaceDE w:val="0"/>
        <w:autoSpaceDN w:val="0"/>
        <w:bidi w:val="0"/>
        <w:adjustRightInd w:val="0"/>
        <w:snapToGrid w:val="0"/>
        <w:spacing w:line="360" w:lineRule="auto"/>
        <w:ind w:left="11" w:leftChars="0" w:firstLine="444" w:firstLineChars="200"/>
        <w:textAlignment w:val="baseline"/>
        <w:rPr>
          <w:rFonts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9.3.5 最终结清付款涉及政府投资资金的，支付规定如下：按本专业条款缺陷责任期满及竣工验收支付规定执行。</w:t>
      </w:r>
    </w:p>
    <w:bookmarkEnd w:id="690"/>
    <w:p w14:paraId="3EE32649">
      <w:pPr>
        <w:spacing w:before="78" w:line="219" w:lineRule="auto"/>
        <w:ind w:left="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9.5</w:t>
      </w:r>
      <w:r>
        <w:rPr>
          <w:rFonts w:ascii="宋体" w:hAnsi="宋体" w:eastAsia="宋体" w:cs="宋体"/>
          <w:color w:val="auto"/>
          <w:spacing w:val="20"/>
          <w:sz w:val="24"/>
          <w:szCs w:val="24"/>
          <w:highlight w:val="none"/>
        </w:rPr>
        <w:t xml:space="preserve"> </w:t>
      </w:r>
      <w:r>
        <w:rPr>
          <w:rFonts w:ascii="宋体" w:hAnsi="宋体" w:eastAsia="宋体" w:cs="宋体"/>
          <w:b/>
          <w:bCs/>
          <w:color w:val="auto"/>
          <w:spacing w:val="-6"/>
          <w:sz w:val="24"/>
          <w:szCs w:val="24"/>
          <w:highlight w:val="none"/>
        </w:rPr>
        <w:t>暂列金额</w:t>
      </w:r>
    </w:p>
    <w:p w14:paraId="2E638870">
      <w:pPr>
        <w:spacing w:before="144" w:line="393" w:lineRule="auto"/>
        <w:ind w:left="450"/>
        <w:rPr>
          <w:rFonts w:ascii="宋体" w:hAnsi="宋体" w:eastAsia="宋体" w:cs="宋体"/>
          <w:b/>
          <w:bCs/>
          <w:color w:val="auto"/>
          <w:spacing w:val="-10"/>
          <w:sz w:val="24"/>
          <w:szCs w:val="24"/>
          <w:highlight w:val="none"/>
        </w:rPr>
      </w:pPr>
      <w:r>
        <w:rPr>
          <w:rFonts w:ascii="宋体" w:hAnsi="宋体" w:eastAsia="宋体" w:cs="宋体"/>
          <w:color w:val="auto"/>
          <w:spacing w:val="-2"/>
          <w:sz w:val="22"/>
          <w:szCs w:val="22"/>
          <w:highlight w:val="none"/>
        </w:rPr>
        <w:t>本合同的暂列金额为监理服务费的</w:t>
      </w:r>
      <w:r>
        <w:rPr>
          <w:rFonts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val="en-US" w:eastAsia="zh-CN"/>
        </w:rPr>
        <w:t>/</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69"/>
          <w:sz w:val="22"/>
          <w:szCs w:val="22"/>
          <w:highlight w:val="none"/>
        </w:rPr>
        <w:t xml:space="preserve"> </w:t>
      </w:r>
      <w:r>
        <w:rPr>
          <w:rFonts w:ascii="宋体" w:hAnsi="宋体" w:eastAsia="宋体" w:cs="宋体"/>
          <w:color w:val="auto"/>
          <w:spacing w:val="-2"/>
          <w:sz w:val="22"/>
          <w:szCs w:val="22"/>
          <w:highlight w:val="none"/>
        </w:rPr>
        <w:t>％。</w:t>
      </w:r>
    </w:p>
    <w:p w14:paraId="2510F5E4">
      <w:pPr>
        <w:spacing w:before="78" w:line="224" w:lineRule="auto"/>
        <w:ind w:left="26"/>
        <w:outlineLvl w:val="1"/>
        <w:rPr>
          <w:rFonts w:ascii="宋体" w:hAnsi="宋体" w:eastAsia="宋体" w:cs="宋体"/>
          <w:color w:val="auto"/>
          <w:sz w:val="24"/>
          <w:szCs w:val="24"/>
          <w:highlight w:val="none"/>
        </w:rPr>
      </w:pPr>
      <w:bookmarkStart w:id="691" w:name="_Toc20827"/>
      <w:bookmarkStart w:id="692" w:name="_Toc8594"/>
      <w:bookmarkStart w:id="693" w:name="_Toc1793"/>
      <w:bookmarkStart w:id="694" w:name="_Toc22891"/>
      <w:r>
        <w:rPr>
          <w:rFonts w:ascii="宋体" w:hAnsi="宋体" w:eastAsia="宋体" w:cs="宋体"/>
          <w:b/>
          <w:bCs/>
          <w:color w:val="auto"/>
          <w:spacing w:val="-10"/>
          <w:sz w:val="24"/>
          <w:szCs w:val="24"/>
          <w:highlight w:val="none"/>
        </w:rPr>
        <w:t>11.</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0"/>
          <w:sz w:val="24"/>
          <w:szCs w:val="24"/>
          <w:highlight w:val="none"/>
        </w:rPr>
        <w:t>违约</w:t>
      </w:r>
      <w:bookmarkEnd w:id="691"/>
      <w:bookmarkEnd w:id="692"/>
      <w:bookmarkEnd w:id="693"/>
      <w:bookmarkEnd w:id="694"/>
    </w:p>
    <w:p w14:paraId="20D54BC1">
      <w:pPr>
        <w:spacing w:before="285" w:line="222" w:lineRule="auto"/>
        <w:ind w:left="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11.1</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监理人违约</w:t>
      </w:r>
    </w:p>
    <w:p w14:paraId="4C02EFF1">
      <w:pPr>
        <w:spacing w:before="173" w:line="221" w:lineRule="auto"/>
        <w:ind w:left="46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11.1.2</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款细化如下：</w:t>
      </w:r>
    </w:p>
    <w:p w14:paraId="4169C7B2">
      <w:pPr>
        <w:spacing w:before="167" w:line="220" w:lineRule="auto"/>
        <w:ind w:left="46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11.1.2 监理人发生违约情况时，委托人有权向监理人课以违约金，具体约定如下：</w:t>
      </w:r>
    </w:p>
    <w:p w14:paraId="693CEFBA">
      <w:pPr>
        <w:rPr>
          <w:rFonts w:ascii="Arial"/>
          <w:color w:val="auto"/>
          <w:sz w:val="21"/>
          <w:highlight w:val="none"/>
        </w:rPr>
      </w:pPr>
    </w:p>
    <w:p w14:paraId="0971777A">
      <w:pPr>
        <w:spacing w:before="92" w:line="234" w:lineRule="auto"/>
        <w:ind w:left="3212"/>
        <w:rPr>
          <w:rFonts w:ascii="宋体" w:hAnsi="宋体" w:eastAsia="宋体" w:cs="宋体"/>
          <w:color w:val="auto"/>
          <w:sz w:val="13"/>
          <w:szCs w:val="13"/>
          <w:highlight w:val="none"/>
        </w:rPr>
      </w:pPr>
      <w:r>
        <w:rPr>
          <w:rFonts w:ascii="宋体" w:hAnsi="宋体" w:eastAsia="宋体" w:cs="宋体"/>
          <w:b/>
          <w:bCs/>
          <w:color w:val="auto"/>
          <w:spacing w:val="-3"/>
          <w:sz w:val="28"/>
          <w:szCs w:val="28"/>
          <w:highlight w:val="none"/>
        </w:rPr>
        <w:t>监理人违约金一览表</w:t>
      </w:r>
    </w:p>
    <w:p w14:paraId="2A1AC9AD">
      <w:pPr>
        <w:spacing w:line="229" w:lineRule="exact"/>
        <w:rPr>
          <w:color w:val="auto"/>
          <w:highlight w:val="none"/>
        </w:rPr>
      </w:pPr>
    </w:p>
    <w:tbl>
      <w:tblPr>
        <w:tblStyle w:val="22"/>
        <w:tblW w:w="0" w:type="auto"/>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845"/>
        <w:gridCol w:w="7366"/>
        <w:gridCol w:w="74"/>
      </w:tblGrid>
      <w:tr w14:paraId="0643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10" w:type="dxa"/>
            <w:textDirection w:val="tbRlV"/>
            <w:vAlign w:val="top"/>
          </w:tcPr>
          <w:p w14:paraId="4A64DEB9">
            <w:pPr>
              <w:pStyle w:val="23"/>
              <w:spacing w:before="193" w:line="216" w:lineRule="auto"/>
              <w:ind w:left="193"/>
              <w:rPr>
                <w:color w:val="auto"/>
                <w:highlight w:val="none"/>
              </w:rPr>
            </w:pPr>
            <w:r>
              <w:rPr>
                <w:b/>
                <w:bCs/>
                <w:color w:val="auto"/>
                <w:spacing w:val="6"/>
                <w:highlight w:val="none"/>
              </w:rPr>
              <w:t>类</w:t>
            </w:r>
            <w:r>
              <w:rPr>
                <w:color w:val="auto"/>
                <w:spacing w:val="-7"/>
                <w:highlight w:val="none"/>
              </w:rPr>
              <w:t xml:space="preserve"> </w:t>
            </w:r>
            <w:r>
              <w:rPr>
                <w:b/>
                <w:bCs/>
                <w:color w:val="auto"/>
                <w:spacing w:val="6"/>
                <w:highlight w:val="none"/>
              </w:rPr>
              <w:t>别</w:t>
            </w:r>
          </w:p>
        </w:tc>
        <w:tc>
          <w:tcPr>
            <w:tcW w:w="845" w:type="dxa"/>
            <w:vAlign w:val="top"/>
          </w:tcPr>
          <w:p w14:paraId="2B1A01B7">
            <w:pPr>
              <w:spacing w:line="249" w:lineRule="auto"/>
              <w:rPr>
                <w:rFonts w:ascii="Arial"/>
                <w:color w:val="auto"/>
                <w:sz w:val="21"/>
                <w:highlight w:val="none"/>
              </w:rPr>
            </w:pPr>
          </w:p>
          <w:p w14:paraId="2F6B7756">
            <w:pPr>
              <w:pStyle w:val="23"/>
              <w:spacing w:before="65" w:line="229" w:lineRule="auto"/>
              <w:ind w:left="222"/>
              <w:rPr>
                <w:color w:val="auto"/>
                <w:highlight w:val="none"/>
              </w:rPr>
            </w:pPr>
            <w:r>
              <w:rPr>
                <w:b/>
                <w:bCs/>
                <w:color w:val="auto"/>
                <w:spacing w:val="4"/>
                <w:highlight w:val="none"/>
              </w:rPr>
              <w:t>序号</w:t>
            </w:r>
          </w:p>
        </w:tc>
        <w:tc>
          <w:tcPr>
            <w:tcW w:w="7440" w:type="dxa"/>
            <w:gridSpan w:val="2"/>
            <w:vAlign w:val="top"/>
          </w:tcPr>
          <w:p w14:paraId="5A3A2128">
            <w:pPr>
              <w:spacing w:line="249" w:lineRule="auto"/>
              <w:rPr>
                <w:rFonts w:ascii="Arial"/>
                <w:color w:val="auto"/>
                <w:sz w:val="21"/>
                <w:highlight w:val="none"/>
              </w:rPr>
            </w:pPr>
          </w:p>
          <w:p w14:paraId="11C90CCD">
            <w:pPr>
              <w:pStyle w:val="23"/>
              <w:spacing w:before="65" w:line="228" w:lineRule="auto"/>
              <w:ind w:left="3033"/>
              <w:rPr>
                <w:color w:val="auto"/>
                <w:highlight w:val="none"/>
              </w:rPr>
            </w:pPr>
            <w:r>
              <w:rPr>
                <w:b/>
                <w:bCs/>
                <w:color w:val="auto"/>
                <w:spacing w:val="6"/>
                <w:highlight w:val="none"/>
              </w:rPr>
              <w:t>违约项目</w:t>
            </w:r>
          </w:p>
        </w:tc>
      </w:tr>
      <w:tr w14:paraId="78F78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610" w:type="dxa"/>
            <w:vMerge w:val="restart"/>
            <w:textDirection w:val="tbRlV"/>
            <w:vAlign w:val="top"/>
          </w:tcPr>
          <w:p w14:paraId="2021EA7A">
            <w:pPr>
              <w:pStyle w:val="23"/>
              <w:spacing w:before="194" w:line="216" w:lineRule="auto"/>
              <w:ind w:left="2473"/>
              <w:rPr>
                <w:color w:val="auto"/>
                <w:highlight w:val="none"/>
              </w:rPr>
            </w:pPr>
            <w:r>
              <w:rPr>
                <w:b/>
                <w:bCs/>
                <w:color w:val="auto"/>
                <w:spacing w:val="6"/>
                <w:highlight w:val="none"/>
              </w:rPr>
              <w:t>职</w:t>
            </w:r>
            <w:r>
              <w:rPr>
                <w:color w:val="auto"/>
                <w:spacing w:val="-5"/>
                <w:highlight w:val="none"/>
              </w:rPr>
              <w:t xml:space="preserve"> </w:t>
            </w:r>
            <w:r>
              <w:rPr>
                <w:b/>
                <w:bCs/>
                <w:color w:val="auto"/>
                <w:spacing w:val="6"/>
                <w:highlight w:val="none"/>
              </w:rPr>
              <w:t>业</w:t>
            </w:r>
            <w:r>
              <w:rPr>
                <w:color w:val="auto"/>
                <w:spacing w:val="-6"/>
                <w:highlight w:val="none"/>
              </w:rPr>
              <w:t xml:space="preserve"> </w:t>
            </w:r>
            <w:r>
              <w:rPr>
                <w:b/>
                <w:bCs/>
                <w:color w:val="auto"/>
                <w:spacing w:val="6"/>
                <w:highlight w:val="none"/>
              </w:rPr>
              <w:t>操</w:t>
            </w:r>
            <w:r>
              <w:rPr>
                <w:color w:val="auto"/>
                <w:spacing w:val="-9"/>
                <w:highlight w:val="none"/>
              </w:rPr>
              <w:t xml:space="preserve"> </w:t>
            </w:r>
            <w:r>
              <w:rPr>
                <w:b/>
                <w:bCs/>
                <w:color w:val="auto"/>
                <w:spacing w:val="6"/>
                <w:highlight w:val="none"/>
              </w:rPr>
              <w:t>守</w:t>
            </w:r>
          </w:p>
        </w:tc>
        <w:tc>
          <w:tcPr>
            <w:tcW w:w="845" w:type="dxa"/>
            <w:vAlign w:val="top"/>
          </w:tcPr>
          <w:p w14:paraId="2D27FA73">
            <w:pPr>
              <w:spacing w:line="243" w:lineRule="auto"/>
              <w:rPr>
                <w:rFonts w:ascii="Arial"/>
                <w:color w:val="auto"/>
                <w:sz w:val="21"/>
                <w:highlight w:val="none"/>
              </w:rPr>
            </w:pPr>
          </w:p>
          <w:p w14:paraId="36F0C154">
            <w:pPr>
              <w:spacing w:line="244" w:lineRule="auto"/>
              <w:rPr>
                <w:rFonts w:ascii="Arial"/>
                <w:color w:val="auto"/>
                <w:sz w:val="21"/>
                <w:highlight w:val="none"/>
              </w:rPr>
            </w:pPr>
          </w:p>
          <w:p w14:paraId="29986EB2">
            <w:pPr>
              <w:spacing w:line="244" w:lineRule="auto"/>
              <w:rPr>
                <w:rFonts w:ascii="Arial"/>
                <w:color w:val="auto"/>
                <w:sz w:val="21"/>
                <w:highlight w:val="none"/>
              </w:rPr>
            </w:pPr>
          </w:p>
          <w:p w14:paraId="4B53E29C">
            <w:pPr>
              <w:spacing w:before="58" w:line="195" w:lineRule="auto"/>
              <w:ind w:left="39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1</w:t>
            </w:r>
          </w:p>
        </w:tc>
        <w:tc>
          <w:tcPr>
            <w:tcW w:w="7440" w:type="dxa"/>
            <w:gridSpan w:val="2"/>
            <w:vAlign w:val="top"/>
          </w:tcPr>
          <w:p w14:paraId="2D71EA4E">
            <w:pPr>
              <w:pStyle w:val="23"/>
              <w:spacing w:before="116" w:line="279" w:lineRule="auto"/>
              <w:ind w:left="116" w:right="101" w:firstLine="2"/>
              <w:jc w:val="both"/>
              <w:rPr>
                <w:color w:val="auto"/>
                <w:highlight w:val="none"/>
              </w:rPr>
            </w:pPr>
            <w:r>
              <w:rPr>
                <w:color w:val="auto"/>
                <w:spacing w:val="12"/>
                <w:highlight w:val="none"/>
              </w:rPr>
              <w:t>监理工程师如在质量及安全管理、计量和变更设计工作中弄虚作假，包括但不仅限于存在质量不合格项目或承包人未实施的项目进入月度计量的情况，每发</w:t>
            </w:r>
            <w:r>
              <w:rPr>
                <w:color w:val="auto"/>
                <w:spacing w:val="5"/>
                <w:highlight w:val="none"/>
              </w:rPr>
              <w:t>现一次：</w:t>
            </w:r>
          </w:p>
          <w:p w14:paraId="69396814">
            <w:pPr>
              <w:pStyle w:val="23"/>
              <w:spacing w:before="2" w:line="228" w:lineRule="auto"/>
              <w:ind w:left="122"/>
              <w:rPr>
                <w:color w:val="auto"/>
                <w:highlight w:val="none"/>
              </w:rPr>
            </w:pPr>
            <w:r>
              <w:rPr>
                <w:color w:val="auto"/>
                <w:sz w:val="18"/>
                <w:szCs w:val="18"/>
                <w:highlight w:val="none"/>
              </w:rPr>
              <w:t xml:space="preserve">（1） </w:t>
            </w:r>
            <w:r>
              <w:rPr>
                <w:color w:val="auto"/>
                <w:highlight w:val="none"/>
              </w:rPr>
              <w:t>扣除监理服务费</w:t>
            </w:r>
            <w:r>
              <w:rPr>
                <w:color w:val="auto"/>
                <w:spacing w:val="-43"/>
                <w:highlight w:val="none"/>
              </w:rPr>
              <w:t xml:space="preserve"> </w:t>
            </w:r>
            <w:r>
              <w:rPr>
                <w:rFonts w:ascii="Times New Roman" w:hAnsi="Times New Roman" w:eastAsia="Times New Roman" w:cs="Times New Roman"/>
                <w:color w:val="auto"/>
                <w:highlight w:val="none"/>
                <w:u w:val="single" w:color="auto"/>
              </w:rPr>
              <w:t>5</w:t>
            </w:r>
            <w:r>
              <w:rPr>
                <w:rFonts w:ascii="Times New Roman" w:hAnsi="Times New Roman" w:eastAsia="Times New Roman" w:cs="Times New Roman"/>
                <w:color w:val="auto"/>
                <w:highlight w:val="none"/>
              </w:rPr>
              <w:t xml:space="preserve"> </w:t>
            </w:r>
            <w:r>
              <w:rPr>
                <w:color w:val="auto"/>
                <w:highlight w:val="none"/>
              </w:rPr>
              <w:t>万元，同时替换该监理工程师；</w:t>
            </w:r>
          </w:p>
          <w:p w14:paraId="57666D29">
            <w:pPr>
              <w:pStyle w:val="23"/>
              <w:spacing w:before="55" w:line="227" w:lineRule="auto"/>
              <w:ind w:left="122"/>
              <w:rPr>
                <w:color w:val="auto"/>
                <w:highlight w:val="none"/>
              </w:rPr>
            </w:pPr>
            <w:r>
              <w:rPr>
                <w:color w:val="auto"/>
                <w:spacing w:val="8"/>
                <w:sz w:val="18"/>
                <w:szCs w:val="18"/>
                <w:highlight w:val="none"/>
              </w:rPr>
              <w:t>（2）</w:t>
            </w:r>
            <w:r>
              <w:rPr>
                <w:color w:val="auto"/>
                <w:spacing w:val="-11"/>
                <w:sz w:val="18"/>
                <w:szCs w:val="18"/>
                <w:highlight w:val="none"/>
              </w:rPr>
              <w:t xml:space="preserve"> </w:t>
            </w:r>
            <w:r>
              <w:rPr>
                <w:color w:val="auto"/>
                <w:spacing w:val="8"/>
                <w:highlight w:val="none"/>
              </w:rPr>
              <w:t>如给委托人造成重大损失、情节严重的将移交司法机关处理。</w:t>
            </w:r>
          </w:p>
        </w:tc>
      </w:tr>
      <w:tr w14:paraId="2E4E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610" w:type="dxa"/>
            <w:vMerge w:val="continue"/>
            <w:textDirection w:val="tbRlV"/>
            <w:vAlign w:val="top"/>
          </w:tcPr>
          <w:p w14:paraId="6A5672BC">
            <w:pPr>
              <w:rPr>
                <w:rFonts w:ascii="Arial"/>
                <w:color w:val="auto"/>
                <w:sz w:val="21"/>
                <w:highlight w:val="none"/>
              </w:rPr>
            </w:pPr>
          </w:p>
        </w:tc>
        <w:tc>
          <w:tcPr>
            <w:tcW w:w="845" w:type="dxa"/>
            <w:vAlign w:val="top"/>
          </w:tcPr>
          <w:p w14:paraId="79AF463E">
            <w:pPr>
              <w:spacing w:line="328" w:lineRule="auto"/>
              <w:rPr>
                <w:rFonts w:ascii="Arial"/>
                <w:color w:val="auto"/>
                <w:sz w:val="21"/>
                <w:highlight w:val="none"/>
              </w:rPr>
            </w:pPr>
          </w:p>
          <w:p w14:paraId="1F5F53B9">
            <w:pPr>
              <w:spacing w:line="328" w:lineRule="auto"/>
              <w:rPr>
                <w:rFonts w:ascii="Arial"/>
                <w:color w:val="auto"/>
                <w:sz w:val="21"/>
                <w:highlight w:val="none"/>
              </w:rPr>
            </w:pPr>
          </w:p>
          <w:p w14:paraId="13552410">
            <w:pPr>
              <w:spacing w:before="58" w:line="195" w:lineRule="auto"/>
              <w:ind w:left="37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2</w:t>
            </w:r>
          </w:p>
        </w:tc>
        <w:tc>
          <w:tcPr>
            <w:tcW w:w="7440" w:type="dxa"/>
            <w:gridSpan w:val="2"/>
            <w:vAlign w:val="top"/>
          </w:tcPr>
          <w:p w14:paraId="652A5641">
            <w:pPr>
              <w:pStyle w:val="23"/>
              <w:spacing w:before="118" w:line="280" w:lineRule="auto"/>
              <w:ind w:left="119" w:right="187" w:hanging="1"/>
              <w:rPr>
                <w:color w:val="auto"/>
                <w:highlight w:val="none"/>
              </w:rPr>
            </w:pPr>
            <w:r>
              <w:rPr>
                <w:color w:val="auto"/>
                <w:spacing w:val="10"/>
                <w:highlight w:val="none"/>
              </w:rPr>
              <w:t>监理工程师不得借职务之便违规向承包人介绍分</w:t>
            </w:r>
            <w:r>
              <w:rPr>
                <w:color w:val="auto"/>
                <w:spacing w:val="9"/>
                <w:highlight w:val="none"/>
              </w:rPr>
              <w:t>包队伍、推销原材料、介绍务</w:t>
            </w:r>
            <w:r>
              <w:rPr>
                <w:color w:val="auto"/>
                <w:spacing w:val="7"/>
                <w:highlight w:val="none"/>
              </w:rPr>
              <w:t>工人员，如有发生：</w:t>
            </w:r>
          </w:p>
          <w:p w14:paraId="1090B5CB">
            <w:pPr>
              <w:pStyle w:val="23"/>
              <w:spacing w:line="227" w:lineRule="auto"/>
              <w:ind w:left="122"/>
              <w:rPr>
                <w:color w:val="auto"/>
                <w:highlight w:val="none"/>
              </w:rPr>
            </w:pPr>
            <w:r>
              <w:rPr>
                <w:color w:val="auto"/>
                <w:spacing w:val="-2"/>
                <w:sz w:val="18"/>
                <w:szCs w:val="18"/>
                <w:highlight w:val="none"/>
              </w:rPr>
              <w:t xml:space="preserve">（1） </w:t>
            </w:r>
            <w:r>
              <w:rPr>
                <w:color w:val="auto"/>
                <w:spacing w:val="-2"/>
                <w:highlight w:val="none"/>
              </w:rPr>
              <w:t>扣除监理服务费</w:t>
            </w:r>
            <w:r>
              <w:rPr>
                <w:color w:val="auto"/>
                <w:spacing w:val="-43"/>
                <w:highlight w:val="none"/>
              </w:rPr>
              <w:t xml:space="preserve"> </w:t>
            </w:r>
            <w:r>
              <w:rPr>
                <w:rFonts w:ascii="Times New Roman" w:hAnsi="Times New Roman" w:eastAsia="Times New Roman" w:cs="Times New Roman"/>
                <w:color w:val="auto"/>
                <w:spacing w:val="-2"/>
                <w:highlight w:val="none"/>
                <w:u w:val="single" w:color="auto"/>
              </w:rPr>
              <w:t>5</w:t>
            </w:r>
            <w:r>
              <w:rPr>
                <w:rFonts w:ascii="Times New Roman" w:hAnsi="Times New Roman" w:eastAsia="Times New Roman" w:cs="Times New Roman"/>
                <w:color w:val="auto"/>
                <w:spacing w:val="-2"/>
                <w:highlight w:val="none"/>
              </w:rPr>
              <w:t xml:space="preserve"> </w:t>
            </w:r>
            <w:r>
              <w:rPr>
                <w:color w:val="auto"/>
                <w:spacing w:val="-2"/>
                <w:highlight w:val="none"/>
              </w:rPr>
              <w:t>万元；</w:t>
            </w:r>
          </w:p>
          <w:p w14:paraId="0411A4F8">
            <w:pPr>
              <w:pStyle w:val="23"/>
              <w:spacing w:before="58" w:line="227" w:lineRule="auto"/>
              <w:ind w:left="122"/>
              <w:rPr>
                <w:color w:val="auto"/>
                <w:highlight w:val="none"/>
              </w:rPr>
            </w:pPr>
            <w:r>
              <w:rPr>
                <w:color w:val="auto"/>
                <w:spacing w:val="8"/>
                <w:sz w:val="18"/>
                <w:szCs w:val="18"/>
                <w:highlight w:val="none"/>
              </w:rPr>
              <w:t>（2）</w:t>
            </w:r>
            <w:r>
              <w:rPr>
                <w:color w:val="auto"/>
                <w:spacing w:val="-7"/>
                <w:sz w:val="18"/>
                <w:szCs w:val="18"/>
                <w:highlight w:val="none"/>
              </w:rPr>
              <w:t xml:space="preserve"> </w:t>
            </w:r>
            <w:r>
              <w:rPr>
                <w:color w:val="auto"/>
                <w:spacing w:val="8"/>
                <w:highlight w:val="none"/>
              </w:rPr>
              <w:t>撤换该监理工程师并将分包队伍、材料供应商及有关人员清除出场。</w:t>
            </w:r>
          </w:p>
        </w:tc>
      </w:tr>
      <w:tr w14:paraId="176B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610" w:type="dxa"/>
            <w:vMerge w:val="continue"/>
            <w:textDirection w:val="tbRlV"/>
            <w:vAlign w:val="top"/>
          </w:tcPr>
          <w:p w14:paraId="443F1FAB">
            <w:pPr>
              <w:rPr>
                <w:rFonts w:ascii="Arial"/>
                <w:color w:val="auto"/>
                <w:sz w:val="21"/>
                <w:highlight w:val="none"/>
              </w:rPr>
            </w:pPr>
          </w:p>
        </w:tc>
        <w:tc>
          <w:tcPr>
            <w:tcW w:w="845" w:type="dxa"/>
            <w:vAlign w:val="top"/>
          </w:tcPr>
          <w:p w14:paraId="2B47C8A8">
            <w:pPr>
              <w:spacing w:line="330" w:lineRule="auto"/>
              <w:rPr>
                <w:rFonts w:ascii="Arial"/>
                <w:color w:val="auto"/>
                <w:sz w:val="21"/>
                <w:highlight w:val="none"/>
              </w:rPr>
            </w:pPr>
          </w:p>
          <w:p w14:paraId="5F741B37">
            <w:pPr>
              <w:spacing w:line="330" w:lineRule="auto"/>
              <w:rPr>
                <w:rFonts w:ascii="Arial"/>
                <w:color w:val="auto"/>
                <w:sz w:val="21"/>
                <w:highlight w:val="none"/>
              </w:rPr>
            </w:pPr>
          </w:p>
          <w:p w14:paraId="7BD75CBA">
            <w:pPr>
              <w:spacing w:before="57" w:line="195"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3</w:t>
            </w:r>
          </w:p>
        </w:tc>
        <w:tc>
          <w:tcPr>
            <w:tcW w:w="7440" w:type="dxa"/>
            <w:gridSpan w:val="2"/>
            <w:vAlign w:val="top"/>
          </w:tcPr>
          <w:p w14:paraId="3E49D492">
            <w:pPr>
              <w:pStyle w:val="23"/>
              <w:spacing w:before="135" w:line="280" w:lineRule="auto"/>
              <w:ind w:left="117" w:right="91" w:firstLine="1"/>
              <w:jc w:val="both"/>
              <w:rPr>
                <w:color w:val="auto"/>
                <w:highlight w:val="none"/>
              </w:rPr>
            </w:pPr>
            <w:r>
              <w:rPr>
                <w:color w:val="auto"/>
                <w:spacing w:val="19"/>
                <w:highlight w:val="none"/>
              </w:rPr>
              <w:t>监理工程师在监理工作中发生越权审批或肢解变更</w:t>
            </w:r>
            <w:r>
              <w:rPr>
                <w:color w:val="auto"/>
                <w:spacing w:val="18"/>
                <w:highlight w:val="none"/>
              </w:rPr>
              <w:t>项目、变相越权审批等行</w:t>
            </w:r>
            <w:r>
              <w:rPr>
                <w:color w:val="auto"/>
                <w:spacing w:val="6"/>
                <w:highlight w:val="none"/>
              </w:rPr>
              <w:t>为，每次处以</w:t>
            </w:r>
            <w:r>
              <w:rPr>
                <w:color w:val="auto"/>
                <w:spacing w:val="-6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6"/>
                <w:highlight w:val="none"/>
                <w:u w:val="single" w:color="auto"/>
              </w:rPr>
              <w:t>1</w:t>
            </w:r>
            <w:r>
              <w:rPr>
                <w:rFonts w:ascii="Times New Roman" w:hAnsi="Times New Roman" w:eastAsia="Times New Roman" w:cs="Times New Roman"/>
                <w:color w:val="auto"/>
                <w:spacing w:val="6"/>
                <w:highlight w:val="none"/>
              </w:rPr>
              <w:t xml:space="preserve"> </w:t>
            </w:r>
            <w:r>
              <w:rPr>
                <w:color w:val="auto"/>
                <w:spacing w:val="6"/>
                <w:highlight w:val="none"/>
              </w:rPr>
              <w:t>万元的违约金，情节特别严重的处以</w:t>
            </w:r>
            <w:r>
              <w:rPr>
                <w:color w:val="auto"/>
                <w:spacing w:val="-50"/>
                <w:highlight w:val="none"/>
              </w:rPr>
              <w:t xml:space="preserve"> </w:t>
            </w:r>
            <w:r>
              <w:rPr>
                <w:rFonts w:ascii="Times New Roman" w:hAnsi="Times New Roman" w:eastAsia="Times New Roman" w:cs="Times New Roman"/>
                <w:color w:val="auto"/>
                <w:spacing w:val="6"/>
                <w:highlight w:val="none"/>
                <w:u w:val="single" w:color="auto"/>
              </w:rPr>
              <w:t>3</w:t>
            </w:r>
            <w:r>
              <w:rPr>
                <w:rFonts w:ascii="Times New Roman" w:hAnsi="Times New Roman" w:eastAsia="Times New Roman" w:cs="Times New Roman"/>
                <w:color w:val="auto"/>
                <w:spacing w:val="6"/>
                <w:highlight w:val="none"/>
              </w:rPr>
              <w:t xml:space="preserve"> </w:t>
            </w:r>
            <w:r>
              <w:rPr>
                <w:color w:val="auto"/>
                <w:spacing w:val="5"/>
                <w:highlight w:val="none"/>
              </w:rPr>
              <w:t>万元的违约金，给委托人</w:t>
            </w:r>
            <w:r>
              <w:rPr>
                <w:color w:val="auto"/>
                <w:spacing w:val="4"/>
                <w:highlight w:val="none"/>
              </w:rPr>
              <w:t>造成经济损失的，监理人应以损失额的</w:t>
            </w:r>
            <w:r>
              <w:rPr>
                <w:color w:val="auto"/>
                <w:spacing w:val="-40"/>
                <w:highlight w:val="none"/>
              </w:rPr>
              <w:t xml:space="preserve"> </w:t>
            </w:r>
            <w:r>
              <w:rPr>
                <w:rFonts w:ascii="Times New Roman" w:hAnsi="Times New Roman" w:eastAsia="Times New Roman" w:cs="Times New Roman"/>
                <w:color w:val="auto"/>
                <w:spacing w:val="4"/>
                <w:highlight w:val="none"/>
                <w:u w:val="single" w:color="auto"/>
              </w:rPr>
              <w:t>30</w:t>
            </w:r>
            <w:r>
              <w:rPr>
                <w:rFonts w:ascii="Calibri" w:hAnsi="Calibri" w:eastAsia="Calibri" w:cs="Calibri"/>
                <w:color w:val="auto"/>
                <w:spacing w:val="4"/>
                <w:highlight w:val="none"/>
              </w:rPr>
              <w:t>%</w:t>
            </w:r>
            <w:r>
              <w:rPr>
                <w:color w:val="auto"/>
                <w:spacing w:val="4"/>
                <w:highlight w:val="none"/>
              </w:rPr>
              <w:t>（在合同条款</w:t>
            </w:r>
            <w:r>
              <w:rPr>
                <w:color w:val="auto"/>
                <w:spacing w:val="-35"/>
                <w:highlight w:val="none"/>
              </w:rPr>
              <w:t xml:space="preserve"> </w:t>
            </w:r>
            <w:r>
              <w:rPr>
                <w:rFonts w:ascii="Times New Roman" w:hAnsi="Times New Roman" w:eastAsia="Times New Roman" w:cs="Times New Roman"/>
                <w:color w:val="auto"/>
                <w:spacing w:val="4"/>
                <w:highlight w:val="none"/>
              </w:rPr>
              <w:t>11</w:t>
            </w:r>
            <w:r>
              <w:rPr>
                <w:rFonts w:ascii="Calibri" w:hAnsi="Calibri" w:eastAsia="Calibri" w:cs="Calibri"/>
                <w:color w:val="auto"/>
                <w:spacing w:val="4"/>
                <w:highlight w:val="none"/>
              </w:rPr>
              <w:t>.</w:t>
            </w:r>
            <w:r>
              <w:rPr>
                <w:rFonts w:ascii="Times New Roman" w:hAnsi="Times New Roman" w:eastAsia="Times New Roman" w:cs="Times New Roman"/>
                <w:color w:val="auto"/>
                <w:spacing w:val="4"/>
                <w:highlight w:val="none"/>
              </w:rPr>
              <w:t xml:space="preserve">5 </w:t>
            </w:r>
            <w:r>
              <w:rPr>
                <w:color w:val="auto"/>
                <w:spacing w:val="4"/>
                <w:highlight w:val="none"/>
              </w:rPr>
              <w:t>款规定的赔偿限额</w:t>
            </w:r>
            <w:r>
              <w:rPr>
                <w:color w:val="auto"/>
                <w:spacing w:val="1"/>
                <w:highlight w:val="none"/>
              </w:rPr>
              <w:t>内）赔付给委托人，同</w:t>
            </w:r>
            <w:r>
              <w:rPr>
                <w:color w:val="auto"/>
                <w:spacing w:val="-48"/>
                <w:highlight w:val="none"/>
              </w:rPr>
              <w:t xml:space="preserve"> </w:t>
            </w:r>
            <w:r>
              <w:rPr>
                <w:color w:val="auto"/>
                <w:spacing w:val="1"/>
                <w:highlight w:val="none"/>
              </w:rPr>
              <w:t>时该人员必须被撤换。</w:t>
            </w:r>
          </w:p>
        </w:tc>
      </w:tr>
      <w:tr w14:paraId="2DB5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10" w:type="dxa"/>
            <w:vMerge w:val="continue"/>
            <w:textDirection w:val="tbRlV"/>
            <w:vAlign w:val="top"/>
          </w:tcPr>
          <w:p w14:paraId="67D267F9">
            <w:pPr>
              <w:rPr>
                <w:rFonts w:ascii="Arial"/>
                <w:color w:val="auto"/>
                <w:sz w:val="21"/>
                <w:highlight w:val="none"/>
              </w:rPr>
            </w:pPr>
          </w:p>
        </w:tc>
        <w:tc>
          <w:tcPr>
            <w:tcW w:w="845" w:type="dxa"/>
            <w:vAlign w:val="top"/>
          </w:tcPr>
          <w:p w14:paraId="212FDC41">
            <w:pPr>
              <w:spacing w:line="278" w:lineRule="auto"/>
              <w:rPr>
                <w:rFonts w:ascii="Arial"/>
                <w:color w:val="auto"/>
                <w:sz w:val="21"/>
                <w:highlight w:val="none"/>
              </w:rPr>
            </w:pPr>
          </w:p>
          <w:p w14:paraId="0086EF11">
            <w:pPr>
              <w:spacing w:line="279" w:lineRule="auto"/>
              <w:rPr>
                <w:rFonts w:ascii="Arial"/>
                <w:color w:val="auto"/>
                <w:sz w:val="21"/>
                <w:highlight w:val="none"/>
              </w:rPr>
            </w:pPr>
          </w:p>
          <w:p w14:paraId="14583FAF">
            <w:pPr>
              <w:spacing w:before="58" w:line="195" w:lineRule="auto"/>
              <w:ind w:left="37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4</w:t>
            </w:r>
          </w:p>
        </w:tc>
        <w:tc>
          <w:tcPr>
            <w:tcW w:w="7440" w:type="dxa"/>
            <w:gridSpan w:val="2"/>
            <w:vAlign w:val="top"/>
          </w:tcPr>
          <w:p w14:paraId="7DA16BA7">
            <w:pPr>
              <w:pStyle w:val="23"/>
              <w:spacing w:before="35" w:line="227" w:lineRule="auto"/>
              <w:ind w:left="121"/>
              <w:rPr>
                <w:color w:val="auto"/>
                <w:highlight w:val="none"/>
              </w:rPr>
            </w:pPr>
            <w:r>
              <w:rPr>
                <w:color w:val="auto"/>
                <w:spacing w:val="9"/>
                <w:highlight w:val="none"/>
              </w:rPr>
              <w:t>如发现监理人的投标文件中所报业绩资料有弄虚作假的：</w:t>
            </w:r>
          </w:p>
          <w:p w14:paraId="75AD6351">
            <w:pPr>
              <w:pStyle w:val="23"/>
              <w:spacing w:before="53" w:line="228" w:lineRule="auto"/>
              <w:ind w:left="128"/>
              <w:rPr>
                <w:color w:val="auto"/>
                <w:highlight w:val="none"/>
              </w:rPr>
            </w:pPr>
            <w:r>
              <w:rPr>
                <w:color w:val="auto"/>
                <w:spacing w:val="7"/>
                <w:highlight w:val="none"/>
              </w:rPr>
              <w:t>（</w:t>
            </w:r>
            <w:r>
              <w:rPr>
                <w:rFonts w:ascii="Times New Roman" w:hAnsi="Times New Roman" w:eastAsia="Times New Roman" w:cs="Times New Roman"/>
                <w:color w:val="auto"/>
                <w:spacing w:val="7"/>
                <w:highlight w:val="none"/>
              </w:rPr>
              <w:t>1</w:t>
            </w:r>
            <w:r>
              <w:rPr>
                <w:color w:val="auto"/>
                <w:spacing w:val="7"/>
                <w:highlight w:val="none"/>
              </w:rPr>
              <w:t>）发现一项处以监理服务费</w:t>
            </w:r>
            <w:r>
              <w:rPr>
                <w:rFonts w:ascii="Times New Roman" w:hAnsi="Times New Roman" w:eastAsia="Times New Roman" w:cs="Times New Roman"/>
                <w:color w:val="auto"/>
                <w:spacing w:val="7"/>
                <w:highlight w:val="none"/>
                <w:u w:val="single" w:color="auto"/>
              </w:rPr>
              <w:t xml:space="preserve"> 5 </w:t>
            </w:r>
            <w:r>
              <w:rPr>
                <w:color w:val="auto"/>
                <w:spacing w:val="7"/>
                <w:highlight w:val="none"/>
              </w:rPr>
              <w:t>万元的违约金；</w:t>
            </w:r>
          </w:p>
          <w:p w14:paraId="68C907DA">
            <w:pPr>
              <w:pStyle w:val="23"/>
              <w:spacing w:before="55" w:line="254" w:lineRule="auto"/>
              <w:ind w:left="118" w:right="98" w:firstLine="9"/>
              <w:rPr>
                <w:color w:val="auto"/>
                <w:highlight w:val="none"/>
              </w:rPr>
            </w:pPr>
            <w:r>
              <w:rPr>
                <w:color w:val="auto"/>
                <w:spacing w:val="15"/>
                <w:highlight w:val="none"/>
              </w:rPr>
              <w:t>（</w:t>
            </w:r>
            <w:r>
              <w:rPr>
                <w:rFonts w:ascii="Times New Roman" w:hAnsi="Times New Roman" w:eastAsia="Times New Roman" w:cs="Times New Roman"/>
                <w:color w:val="auto"/>
                <w:spacing w:val="15"/>
                <w:highlight w:val="none"/>
              </w:rPr>
              <w:t>2</w:t>
            </w:r>
            <w:r>
              <w:rPr>
                <w:color w:val="auto"/>
                <w:spacing w:val="15"/>
                <w:highlight w:val="none"/>
              </w:rPr>
              <w:t>）情况恶劣的，委托人有权单方面终止监理合同，并没收监理人的</w:t>
            </w:r>
            <w:r>
              <w:rPr>
                <w:color w:val="auto"/>
                <w:spacing w:val="14"/>
                <w:highlight w:val="none"/>
              </w:rPr>
              <w:t>履约担</w:t>
            </w:r>
            <w:r>
              <w:rPr>
                <w:color w:val="auto"/>
                <w:spacing w:val="2"/>
                <w:highlight w:val="none"/>
              </w:rPr>
              <w:t>保金。</w:t>
            </w:r>
          </w:p>
        </w:tc>
      </w:tr>
      <w:tr w14:paraId="141A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610" w:type="dxa"/>
            <w:vMerge w:val="continue"/>
            <w:textDirection w:val="tbRlV"/>
            <w:vAlign w:val="top"/>
          </w:tcPr>
          <w:p w14:paraId="4A50BC0C">
            <w:pPr>
              <w:rPr>
                <w:rFonts w:ascii="Arial"/>
                <w:color w:val="auto"/>
                <w:sz w:val="21"/>
                <w:highlight w:val="none"/>
              </w:rPr>
            </w:pPr>
          </w:p>
        </w:tc>
        <w:tc>
          <w:tcPr>
            <w:tcW w:w="845" w:type="dxa"/>
            <w:vAlign w:val="top"/>
          </w:tcPr>
          <w:p w14:paraId="5017AD3F">
            <w:pPr>
              <w:spacing w:line="386" w:lineRule="auto"/>
              <w:rPr>
                <w:rFonts w:ascii="Arial"/>
                <w:color w:val="auto"/>
                <w:sz w:val="21"/>
                <w:highlight w:val="none"/>
              </w:rPr>
            </w:pPr>
          </w:p>
          <w:p w14:paraId="045FA483">
            <w:pPr>
              <w:spacing w:before="57" w:line="192" w:lineRule="auto"/>
              <w:ind w:left="381"/>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5</w:t>
            </w:r>
          </w:p>
        </w:tc>
        <w:tc>
          <w:tcPr>
            <w:tcW w:w="7440" w:type="dxa"/>
            <w:gridSpan w:val="2"/>
            <w:vAlign w:val="top"/>
          </w:tcPr>
          <w:p w14:paraId="1D43A369">
            <w:pPr>
              <w:pStyle w:val="23"/>
              <w:spacing w:before="138" w:line="227" w:lineRule="auto"/>
              <w:ind w:left="120"/>
              <w:rPr>
                <w:color w:val="auto"/>
                <w:highlight w:val="none"/>
              </w:rPr>
            </w:pPr>
            <w:r>
              <w:rPr>
                <w:color w:val="auto"/>
                <w:spacing w:val="9"/>
                <w:highlight w:val="none"/>
              </w:rPr>
              <w:t>投标文件中所报主要监理人员中的工作经历或证件有弄虚作假的：</w:t>
            </w:r>
          </w:p>
          <w:p w14:paraId="47D252DC">
            <w:pPr>
              <w:pStyle w:val="23"/>
              <w:spacing w:before="56" w:line="228" w:lineRule="auto"/>
              <w:ind w:left="122"/>
              <w:rPr>
                <w:color w:val="auto"/>
                <w:highlight w:val="none"/>
              </w:rPr>
            </w:pPr>
            <w:r>
              <w:rPr>
                <w:color w:val="auto"/>
                <w:spacing w:val="1"/>
                <w:sz w:val="18"/>
                <w:szCs w:val="18"/>
                <w:highlight w:val="none"/>
              </w:rPr>
              <w:t xml:space="preserve">（1） </w:t>
            </w:r>
            <w:r>
              <w:rPr>
                <w:color w:val="auto"/>
                <w:spacing w:val="1"/>
                <w:highlight w:val="none"/>
              </w:rPr>
              <w:t>发现一人处以监理服务费</w:t>
            </w:r>
            <w:r>
              <w:rPr>
                <w:color w:val="auto"/>
                <w:spacing w:val="-6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1"/>
                <w:highlight w:val="none"/>
                <w:u w:val="single" w:color="auto"/>
              </w:rPr>
              <w:t>1</w:t>
            </w:r>
            <w:r>
              <w:rPr>
                <w:rFonts w:ascii="Times New Roman" w:hAnsi="Times New Roman" w:eastAsia="Times New Roman" w:cs="Times New Roman"/>
                <w:color w:val="auto"/>
                <w:spacing w:val="1"/>
                <w:highlight w:val="none"/>
              </w:rPr>
              <w:t xml:space="preserve"> </w:t>
            </w:r>
            <w:r>
              <w:rPr>
                <w:color w:val="auto"/>
                <w:spacing w:val="1"/>
                <w:highlight w:val="none"/>
              </w:rPr>
              <w:t>万元</w:t>
            </w:r>
            <w:r>
              <w:rPr>
                <w:color w:val="auto"/>
                <w:highlight w:val="none"/>
              </w:rPr>
              <w:t>的违约金；</w:t>
            </w:r>
          </w:p>
          <w:p w14:paraId="24F47B40">
            <w:pPr>
              <w:pStyle w:val="23"/>
              <w:spacing w:before="55" w:line="228" w:lineRule="auto"/>
              <w:ind w:left="122"/>
              <w:rPr>
                <w:color w:val="auto"/>
                <w:highlight w:val="none"/>
              </w:rPr>
            </w:pPr>
            <w:r>
              <w:rPr>
                <w:color w:val="auto"/>
                <w:spacing w:val="2"/>
                <w:sz w:val="18"/>
                <w:szCs w:val="18"/>
                <w:highlight w:val="none"/>
              </w:rPr>
              <w:t xml:space="preserve">（2） </w:t>
            </w:r>
            <w:r>
              <w:rPr>
                <w:color w:val="auto"/>
                <w:spacing w:val="2"/>
                <w:highlight w:val="none"/>
              </w:rPr>
              <w:t>情节恶劣的，委托人有权要求更换该人员。</w:t>
            </w:r>
          </w:p>
        </w:tc>
      </w:tr>
      <w:tr w14:paraId="6576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10" w:type="dxa"/>
            <w:vMerge w:val="continue"/>
            <w:vAlign w:val="top"/>
          </w:tcPr>
          <w:p w14:paraId="4CA6BFBB">
            <w:pPr>
              <w:rPr>
                <w:rFonts w:ascii="Arial"/>
                <w:color w:val="auto"/>
                <w:sz w:val="21"/>
                <w:highlight w:val="none"/>
              </w:rPr>
            </w:pPr>
          </w:p>
        </w:tc>
        <w:tc>
          <w:tcPr>
            <w:tcW w:w="845" w:type="dxa"/>
            <w:vAlign w:val="top"/>
          </w:tcPr>
          <w:p w14:paraId="289B8D1A">
            <w:pPr>
              <w:spacing w:line="245" w:lineRule="auto"/>
              <w:rPr>
                <w:rFonts w:ascii="Arial"/>
                <w:color w:val="auto"/>
                <w:sz w:val="21"/>
                <w:highlight w:val="none"/>
              </w:rPr>
            </w:pPr>
          </w:p>
          <w:p w14:paraId="65FB922A">
            <w:pPr>
              <w:spacing w:line="245" w:lineRule="auto"/>
              <w:rPr>
                <w:rFonts w:ascii="Arial"/>
                <w:color w:val="auto"/>
                <w:sz w:val="21"/>
                <w:highlight w:val="none"/>
              </w:rPr>
            </w:pPr>
          </w:p>
          <w:p w14:paraId="24BF2AB4">
            <w:pPr>
              <w:spacing w:line="245" w:lineRule="auto"/>
              <w:rPr>
                <w:rFonts w:ascii="Arial"/>
                <w:color w:val="auto"/>
                <w:sz w:val="21"/>
                <w:highlight w:val="none"/>
              </w:rPr>
            </w:pPr>
          </w:p>
          <w:p w14:paraId="2AB1DADD">
            <w:pPr>
              <w:spacing w:before="57" w:line="195" w:lineRule="auto"/>
              <w:ind w:left="38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6</w:t>
            </w:r>
          </w:p>
        </w:tc>
        <w:tc>
          <w:tcPr>
            <w:tcW w:w="7440" w:type="dxa"/>
            <w:gridSpan w:val="2"/>
            <w:vAlign w:val="top"/>
          </w:tcPr>
          <w:p w14:paraId="271D8303">
            <w:pPr>
              <w:pStyle w:val="23"/>
              <w:spacing w:before="190" w:line="279" w:lineRule="auto"/>
              <w:ind w:left="117" w:right="177" w:firstLine="2"/>
              <w:rPr>
                <w:color w:val="auto"/>
                <w:highlight w:val="none"/>
              </w:rPr>
            </w:pPr>
            <w:r>
              <w:rPr>
                <w:color w:val="auto"/>
                <w:spacing w:val="7"/>
                <w:highlight w:val="none"/>
              </w:rPr>
              <w:t>投标时列报的人员不能满足</w:t>
            </w:r>
            <w:r>
              <w:rPr>
                <w:color w:val="auto"/>
                <w:spacing w:val="-33"/>
                <w:highlight w:val="none"/>
              </w:rPr>
              <w:t xml:space="preserve"> </w:t>
            </w:r>
            <w:r>
              <w:rPr>
                <w:rFonts w:ascii="Times New Roman" w:hAnsi="Times New Roman" w:eastAsia="Times New Roman" w:cs="Times New Roman"/>
                <w:color w:val="auto"/>
                <w:spacing w:val="7"/>
                <w:highlight w:val="none"/>
              </w:rPr>
              <w:t>5</w:t>
            </w:r>
            <w:r>
              <w:rPr>
                <w:rFonts w:ascii="Times New Roman" w:hAnsi="Times New Roman" w:eastAsia="Times New Roman" w:cs="Times New Roman"/>
                <w:color w:val="auto"/>
                <w:spacing w:val="7"/>
                <w:highlight w:val="none"/>
                <w:u w:val="single" w:color="auto"/>
              </w:rPr>
              <w:t>0</w:t>
            </w:r>
            <w:r>
              <w:rPr>
                <w:rFonts w:ascii="Calibri" w:hAnsi="Calibri" w:eastAsia="Calibri" w:cs="Calibri"/>
                <w:color w:val="auto"/>
                <w:spacing w:val="7"/>
                <w:highlight w:val="none"/>
              </w:rPr>
              <w:t>%</w:t>
            </w:r>
            <w:r>
              <w:rPr>
                <w:color w:val="auto"/>
                <w:spacing w:val="7"/>
                <w:highlight w:val="none"/>
              </w:rPr>
              <w:t>为本单位自有人员的（</w:t>
            </w:r>
            <w:r>
              <w:rPr>
                <w:color w:val="auto"/>
                <w:spacing w:val="-20"/>
                <w:highlight w:val="none"/>
              </w:rPr>
              <w:t xml:space="preserve"> </w:t>
            </w:r>
            <w:r>
              <w:rPr>
                <w:color w:val="auto"/>
                <w:spacing w:val="7"/>
                <w:highlight w:val="none"/>
              </w:rPr>
              <w:t>自有人员是指为监理人</w:t>
            </w:r>
            <w:r>
              <w:rPr>
                <w:color w:val="auto"/>
                <w:spacing w:val="4"/>
                <w:highlight w:val="none"/>
              </w:rPr>
              <w:t>服务年限不少于</w:t>
            </w:r>
            <w:r>
              <w:rPr>
                <w:color w:val="auto"/>
                <w:spacing w:val="-48"/>
                <w:highlight w:val="none"/>
              </w:rPr>
              <w:t xml:space="preserve"> </w:t>
            </w:r>
            <w:r>
              <w:rPr>
                <w:rFonts w:ascii="Times New Roman" w:hAnsi="Times New Roman" w:eastAsia="Times New Roman" w:cs="Times New Roman"/>
                <w:color w:val="auto"/>
                <w:spacing w:val="4"/>
                <w:highlight w:val="none"/>
              </w:rPr>
              <w:t xml:space="preserve">3 </w:t>
            </w:r>
            <w:r>
              <w:rPr>
                <w:color w:val="auto"/>
                <w:spacing w:val="4"/>
                <w:highlight w:val="none"/>
              </w:rPr>
              <w:t>年的人员</w:t>
            </w:r>
            <w:r>
              <w:rPr>
                <w:color w:val="auto"/>
                <w:spacing w:val="17"/>
                <w:highlight w:val="none"/>
              </w:rPr>
              <w:t>），</w:t>
            </w:r>
            <w:r>
              <w:rPr>
                <w:color w:val="auto"/>
                <w:spacing w:val="4"/>
                <w:highlight w:val="none"/>
              </w:rPr>
              <w:t>按下列条款处理：</w:t>
            </w:r>
          </w:p>
          <w:p w14:paraId="3E0EA25E">
            <w:pPr>
              <w:pStyle w:val="23"/>
              <w:spacing w:line="228" w:lineRule="auto"/>
              <w:ind w:left="122"/>
              <w:rPr>
                <w:color w:val="auto"/>
                <w:highlight w:val="none"/>
              </w:rPr>
            </w:pPr>
            <w:r>
              <w:rPr>
                <w:color w:val="auto"/>
                <w:spacing w:val="-1"/>
                <w:sz w:val="18"/>
                <w:szCs w:val="18"/>
                <w:highlight w:val="none"/>
              </w:rPr>
              <w:t xml:space="preserve">（1） </w:t>
            </w:r>
            <w:r>
              <w:rPr>
                <w:color w:val="auto"/>
                <w:spacing w:val="-1"/>
                <w:highlight w:val="none"/>
              </w:rPr>
              <w:t>处以</w:t>
            </w:r>
            <w:r>
              <w:rPr>
                <w:rFonts w:ascii="Times New Roman" w:hAnsi="Times New Roman" w:eastAsia="Times New Roman" w:cs="Times New Roman"/>
                <w:color w:val="auto"/>
                <w:spacing w:val="-1"/>
                <w:highlight w:val="none"/>
                <w:u w:val="single" w:color="auto"/>
              </w:rPr>
              <w:t>5</w:t>
            </w:r>
            <w:r>
              <w:rPr>
                <w:rFonts w:ascii="Times New Roman" w:hAnsi="Times New Roman" w:eastAsia="Times New Roman" w:cs="Times New Roman"/>
                <w:color w:val="auto"/>
                <w:spacing w:val="-1"/>
                <w:highlight w:val="none"/>
              </w:rPr>
              <w:t xml:space="preserve"> </w:t>
            </w:r>
            <w:r>
              <w:rPr>
                <w:color w:val="auto"/>
                <w:spacing w:val="-1"/>
                <w:highlight w:val="none"/>
              </w:rPr>
              <w:t>万元的违约金；</w:t>
            </w:r>
          </w:p>
          <w:p w14:paraId="6C7266F8">
            <w:pPr>
              <w:pStyle w:val="23"/>
              <w:spacing w:before="22" w:line="284" w:lineRule="auto"/>
              <w:ind w:left="109" w:right="317" w:firstLine="12"/>
              <w:rPr>
                <w:color w:val="auto"/>
                <w:highlight w:val="none"/>
              </w:rPr>
            </w:pPr>
            <w:r>
              <w:rPr>
                <w:color w:val="auto"/>
                <w:spacing w:val="6"/>
                <w:sz w:val="18"/>
                <w:szCs w:val="18"/>
                <w:highlight w:val="none"/>
              </w:rPr>
              <w:t xml:space="preserve">（2） </w:t>
            </w:r>
            <w:r>
              <w:rPr>
                <w:color w:val="auto"/>
                <w:spacing w:val="6"/>
                <w:highlight w:val="none"/>
              </w:rPr>
              <w:t>同时须按要求补足至最低限度要求，如不执行，委托人将处以</w:t>
            </w:r>
            <w:r>
              <w:rPr>
                <w:color w:val="auto"/>
                <w:spacing w:val="-46"/>
                <w:highlight w:val="none"/>
              </w:rPr>
              <w:t xml:space="preserve"> </w:t>
            </w:r>
            <w:r>
              <w:rPr>
                <w:rFonts w:ascii="Times New Roman" w:hAnsi="Times New Roman" w:eastAsia="Times New Roman" w:cs="Times New Roman"/>
                <w:color w:val="auto"/>
                <w:spacing w:val="6"/>
                <w:highlight w:val="none"/>
                <w:u w:val="single" w:color="auto"/>
              </w:rPr>
              <w:t>500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w:t>
            </w:r>
            <w:r>
              <w:rPr>
                <w:rFonts w:ascii="Calibri" w:hAnsi="Calibri" w:eastAsia="Calibri" w:cs="Calibri"/>
                <w:color w:val="auto"/>
                <w:spacing w:val="9"/>
                <w:highlight w:val="none"/>
              </w:rPr>
              <w:t>/</w:t>
            </w:r>
            <w:r>
              <w:rPr>
                <w:color w:val="auto"/>
                <w:spacing w:val="9"/>
                <w:highlight w:val="none"/>
              </w:rPr>
              <w:t>人的违约金直至监理人纠正至满足要求为止。</w:t>
            </w:r>
          </w:p>
        </w:tc>
      </w:tr>
      <w:tr w14:paraId="5B43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vAlign w:val="top"/>
          </w:tcPr>
          <w:p w14:paraId="4D5D2555">
            <w:pPr>
              <w:rPr>
                <w:rFonts w:ascii="Arial"/>
                <w:color w:val="auto"/>
                <w:sz w:val="21"/>
                <w:highlight w:val="none"/>
              </w:rPr>
            </w:pPr>
          </w:p>
        </w:tc>
        <w:tc>
          <w:tcPr>
            <w:tcW w:w="845" w:type="dxa"/>
            <w:vAlign w:val="top"/>
          </w:tcPr>
          <w:p w14:paraId="5DED0895">
            <w:pPr>
              <w:spacing w:line="260" w:lineRule="auto"/>
              <w:rPr>
                <w:rFonts w:ascii="Arial"/>
                <w:color w:val="auto"/>
                <w:sz w:val="21"/>
                <w:highlight w:val="none"/>
              </w:rPr>
            </w:pPr>
          </w:p>
          <w:p w14:paraId="29E0B99D">
            <w:pPr>
              <w:spacing w:before="58" w:line="192"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7</w:t>
            </w:r>
          </w:p>
        </w:tc>
        <w:tc>
          <w:tcPr>
            <w:tcW w:w="7440" w:type="dxa"/>
            <w:gridSpan w:val="2"/>
            <w:vAlign w:val="top"/>
          </w:tcPr>
          <w:p w14:paraId="22AB9DD2">
            <w:pPr>
              <w:pStyle w:val="23"/>
              <w:spacing w:before="130" w:line="267" w:lineRule="auto"/>
              <w:ind w:left="120" w:right="187" w:hanging="2"/>
              <w:rPr>
                <w:color w:val="auto"/>
                <w:highlight w:val="none"/>
              </w:rPr>
            </w:pPr>
            <w:r>
              <w:rPr>
                <w:color w:val="auto"/>
                <w:spacing w:val="10"/>
                <w:highlight w:val="none"/>
              </w:rPr>
              <w:t>监理人或监理人员不得以任何名义向承包人索要</w:t>
            </w:r>
            <w:r>
              <w:rPr>
                <w:color w:val="auto"/>
                <w:spacing w:val="9"/>
                <w:highlight w:val="none"/>
              </w:rPr>
              <w:t>各种费用、物品或器具等，每</w:t>
            </w:r>
            <w:r>
              <w:rPr>
                <w:color w:val="auto"/>
                <w:spacing w:val="7"/>
                <w:highlight w:val="none"/>
              </w:rPr>
              <w:t>发现一次处以监理服务费</w:t>
            </w:r>
            <w:r>
              <w:rPr>
                <w:color w:val="auto"/>
                <w:spacing w:val="-42"/>
                <w:highlight w:val="none"/>
              </w:rPr>
              <w:t xml:space="preserve"> </w:t>
            </w:r>
            <w:r>
              <w:rPr>
                <w:rFonts w:ascii="Times New Roman" w:hAnsi="Times New Roman" w:eastAsia="Times New Roman" w:cs="Times New Roman"/>
                <w:color w:val="auto"/>
                <w:spacing w:val="-24"/>
                <w:highlight w:val="none"/>
                <w:u w:val="single" w:color="auto"/>
              </w:rPr>
              <w:t xml:space="preserve"> </w:t>
            </w:r>
            <w:r>
              <w:rPr>
                <w:rFonts w:ascii="Times New Roman" w:hAnsi="Times New Roman" w:eastAsia="Times New Roman" w:cs="Times New Roman"/>
                <w:color w:val="auto"/>
                <w:spacing w:val="7"/>
                <w:highlight w:val="none"/>
                <w:u w:val="single" w:color="auto"/>
              </w:rPr>
              <w:t>10</w:t>
            </w:r>
            <w:r>
              <w:rPr>
                <w:rFonts w:ascii="Times New Roman" w:hAnsi="Times New Roman" w:eastAsia="Times New Roman" w:cs="Times New Roman"/>
                <w:color w:val="auto"/>
                <w:spacing w:val="7"/>
                <w:highlight w:val="none"/>
              </w:rPr>
              <w:t xml:space="preserve"> </w:t>
            </w:r>
            <w:r>
              <w:rPr>
                <w:color w:val="auto"/>
                <w:spacing w:val="7"/>
                <w:highlight w:val="none"/>
              </w:rPr>
              <w:t>万元的违约金，并撤换该人员。</w:t>
            </w:r>
          </w:p>
        </w:tc>
      </w:tr>
      <w:tr w14:paraId="219E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10" w:type="dxa"/>
            <w:vMerge w:val="continue"/>
            <w:vAlign w:val="top"/>
          </w:tcPr>
          <w:p w14:paraId="15DA0C27">
            <w:pPr>
              <w:rPr>
                <w:rFonts w:ascii="Arial"/>
                <w:color w:val="auto"/>
                <w:sz w:val="21"/>
                <w:highlight w:val="none"/>
              </w:rPr>
            </w:pPr>
          </w:p>
        </w:tc>
        <w:tc>
          <w:tcPr>
            <w:tcW w:w="845" w:type="dxa"/>
            <w:vAlign w:val="top"/>
          </w:tcPr>
          <w:p w14:paraId="2E234F5B">
            <w:pPr>
              <w:spacing w:line="256" w:lineRule="auto"/>
              <w:rPr>
                <w:rFonts w:ascii="Arial"/>
                <w:color w:val="auto"/>
                <w:sz w:val="21"/>
                <w:highlight w:val="none"/>
              </w:rPr>
            </w:pPr>
          </w:p>
          <w:p w14:paraId="40A4F087">
            <w:pPr>
              <w:spacing w:before="57" w:line="195" w:lineRule="auto"/>
              <w:ind w:left="38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8</w:t>
            </w:r>
          </w:p>
        </w:tc>
        <w:tc>
          <w:tcPr>
            <w:tcW w:w="7440" w:type="dxa"/>
            <w:gridSpan w:val="2"/>
            <w:vAlign w:val="top"/>
          </w:tcPr>
          <w:p w14:paraId="34AC0328">
            <w:pPr>
              <w:pStyle w:val="23"/>
              <w:spacing w:before="129" w:line="267" w:lineRule="auto"/>
              <w:ind w:left="117" w:right="187" w:firstLine="1"/>
              <w:rPr>
                <w:color w:val="auto"/>
                <w:highlight w:val="none"/>
              </w:rPr>
            </w:pPr>
            <w:r>
              <w:rPr>
                <w:color w:val="auto"/>
                <w:spacing w:val="10"/>
                <w:highlight w:val="none"/>
              </w:rPr>
              <w:t>监理人违反监理合同的规定，将监理服务的任何</w:t>
            </w:r>
            <w:r>
              <w:rPr>
                <w:color w:val="auto"/>
                <w:spacing w:val="9"/>
                <w:highlight w:val="none"/>
              </w:rPr>
              <w:t>部分转让或分包的，委托人有权单方面终止监理合同，并没收监理人的履约担保金。</w:t>
            </w:r>
          </w:p>
        </w:tc>
      </w:tr>
      <w:tr w14:paraId="2291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610" w:type="dxa"/>
            <w:vMerge w:val="continue"/>
            <w:vAlign w:val="top"/>
          </w:tcPr>
          <w:p w14:paraId="0453D9B1">
            <w:pPr>
              <w:rPr>
                <w:rFonts w:ascii="Arial"/>
                <w:color w:val="auto"/>
                <w:sz w:val="21"/>
                <w:highlight w:val="none"/>
              </w:rPr>
            </w:pPr>
          </w:p>
        </w:tc>
        <w:tc>
          <w:tcPr>
            <w:tcW w:w="845" w:type="dxa"/>
            <w:vAlign w:val="top"/>
          </w:tcPr>
          <w:p w14:paraId="39B6FF24">
            <w:pPr>
              <w:spacing w:before="216" w:line="195"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9</w:t>
            </w:r>
          </w:p>
        </w:tc>
        <w:tc>
          <w:tcPr>
            <w:tcW w:w="7440" w:type="dxa"/>
            <w:gridSpan w:val="2"/>
            <w:vAlign w:val="top"/>
          </w:tcPr>
          <w:p w14:paraId="4F0F7A32">
            <w:pPr>
              <w:pStyle w:val="23"/>
              <w:spacing w:before="118" w:line="279" w:lineRule="auto"/>
              <w:ind w:left="134" w:right="187" w:hanging="16"/>
              <w:rPr>
                <w:color w:val="auto"/>
                <w:highlight w:val="none"/>
              </w:rPr>
            </w:pPr>
            <w:r>
              <w:rPr>
                <w:color w:val="auto"/>
                <w:spacing w:val="10"/>
                <w:highlight w:val="none"/>
              </w:rPr>
              <w:t>监理人不履行职责，造成工程质量、安全事故或</w:t>
            </w:r>
            <w:r>
              <w:rPr>
                <w:color w:val="auto"/>
                <w:spacing w:val="9"/>
                <w:highlight w:val="none"/>
              </w:rPr>
              <w:t>与承包人串通损害委托人利益</w:t>
            </w:r>
            <w:r>
              <w:rPr>
                <w:color w:val="auto"/>
                <w:spacing w:val="7"/>
                <w:highlight w:val="none"/>
              </w:rPr>
              <w:t>的，委托人有权采取以下措施：</w:t>
            </w:r>
          </w:p>
          <w:p w14:paraId="10421C49">
            <w:pPr>
              <w:pStyle w:val="23"/>
              <w:spacing w:before="1" w:line="254" w:lineRule="auto"/>
              <w:ind w:left="118" w:right="391" w:firstLine="4"/>
              <w:rPr>
                <w:color w:val="auto"/>
                <w:highlight w:val="none"/>
              </w:rPr>
            </w:pPr>
            <w:r>
              <w:rPr>
                <w:color w:val="auto"/>
                <w:spacing w:val="6"/>
                <w:sz w:val="18"/>
                <w:szCs w:val="18"/>
                <w:highlight w:val="none"/>
              </w:rPr>
              <w:t xml:space="preserve">（1） </w:t>
            </w:r>
            <w:r>
              <w:rPr>
                <w:color w:val="auto"/>
                <w:spacing w:val="6"/>
                <w:highlight w:val="none"/>
              </w:rPr>
              <w:t>处以</w:t>
            </w:r>
            <w:r>
              <w:rPr>
                <w:rFonts w:ascii="Times New Roman" w:hAnsi="Times New Roman" w:eastAsia="Times New Roman" w:cs="Times New Roman"/>
                <w:color w:val="auto"/>
                <w:spacing w:val="6"/>
                <w:highlight w:val="none"/>
                <w:u w:val="single" w:color="auto"/>
              </w:rPr>
              <w:t>2</w:t>
            </w:r>
            <w:r>
              <w:rPr>
                <w:rFonts w:ascii="Times New Roman" w:hAnsi="Times New Roman" w:eastAsia="Times New Roman" w:cs="Times New Roman"/>
                <w:color w:val="auto"/>
                <w:spacing w:val="6"/>
                <w:highlight w:val="none"/>
              </w:rPr>
              <w:t xml:space="preserve"> </w:t>
            </w:r>
            <w:r>
              <w:rPr>
                <w:color w:val="auto"/>
                <w:spacing w:val="6"/>
                <w:highlight w:val="none"/>
              </w:rPr>
              <w:t>万元的违约金。给委托人造成经济损失的，监理人应以损失额的</w:t>
            </w:r>
            <w:r>
              <w:rPr>
                <w:rFonts w:ascii="Times New Roman" w:hAnsi="Times New Roman" w:eastAsia="Times New Roman" w:cs="Times New Roman"/>
                <w:color w:val="auto"/>
                <w:spacing w:val="7"/>
                <w:highlight w:val="none"/>
                <w:u w:val="single" w:color="auto"/>
              </w:rPr>
              <w:t>30</w:t>
            </w:r>
            <w:r>
              <w:rPr>
                <w:rFonts w:ascii="Calibri" w:hAnsi="Calibri" w:eastAsia="Calibri" w:cs="Calibri"/>
                <w:color w:val="auto"/>
                <w:spacing w:val="7"/>
                <w:highlight w:val="none"/>
              </w:rPr>
              <w:t>%</w:t>
            </w:r>
            <w:r>
              <w:rPr>
                <w:color w:val="auto"/>
                <w:spacing w:val="7"/>
                <w:highlight w:val="none"/>
              </w:rPr>
              <w:t>（在合同条款</w:t>
            </w:r>
            <w:r>
              <w:rPr>
                <w:color w:val="auto"/>
                <w:spacing w:val="-26"/>
                <w:highlight w:val="none"/>
              </w:rPr>
              <w:t xml:space="preserve"> </w:t>
            </w:r>
            <w:r>
              <w:rPr>
                <w:rFonts w:ascii="Calibri" w:hAnsi="Calibri" w:eastAsia="Calibri" w:cs="Calibri"/>
                <w:color w:val="auto"/>
                <w:spacing w:val="7"/>
                <w:highlight w:val="none"/>
              </w:rPr>
              <w:t>11.5</w:t>
            </w:r>
            <w:r>
              <w:rPr>
                <w:rFonts w:ascii="Calibri" w:hAnsi="Calibri" w:eastAsia="Calibri" w:cs="Calibri"/>
                <w:color w:val="auto"/>
                <w:spacing w:val="14"/>
                <w:highlight w:val="none"/>
              </w:rPr>
              <w:t xml:space="preserve"> </w:t>
            </w:r>
            <w:r>
              <w:rPr>
                <w:color w:val="auto"/>
                <w:spacing w:val="7"/>
                <w:highlight w:val="none"/>
              </w:rPr>
              <w:t>款规定的赔偿限额内）赔付给委托人。</w:t>
            </w:r>
          </w:p>
          <w:p w14:paraId="19915FFC">
            <w:pPr>
              <w:pStyle w:val="23"/>
              <w:spacing w:before="55" w:line="254" w:lineRule="auto"/>
              <w:ind w:left="118" w:right="463" w:firstLine="6"/>
              <w:rPr>
                <w:color w:val="auto"/>
                <w:highlight w:val="none"/>
              </w:rPr>
            </w:pPr>
            <w:r>
              <w:rPr>
                <w:color w:val="auto"/>
                <w:spacing w:val="9"/>
                <w:sz w:val="18"/>
                <w:szCs w:val="18"/>
                <w:highlight w:val="none"/>
              </w:rPr>
              <w:t xml:space="preserve">（2） </w:t>
            </w:r>
            <w:r>
              <w:rPr>
                <w:color w:val="auto"/>
                <w:spacing w:val="9"/>
                <w:highlight w:val="none"/>
              </w:rPr>
              <w:t>情节严重的，委托人将单方面终止监理合同，并没收监理人的履约担</w:t>
            </w:r>
            <w:r>
              <w:rPr>
                <w:color w:val="auto"/>
                <w:highlight w:val="none"/>
              </w:rPr>
              <w:t>保。</w:t>
            </w:r>
          </w:p>
        </w:tc>
      </w:tr>
      <w:tr w14:paraId="5202B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0" w:type="dxa"/>
            <w:vMerge w:val="restart"/>
            <w:tcBorders>
              <w:bottom w:val="nil"/>
            </w:tcBorders>
            <w:textDirection w:val="tbRlV"/>
            <w:vAlign w:val="top"/>
          </w:tcPr>
          <w:p w14:paraId="019A3ACC">
            <w:pPr>
              <w:pStyle w:val="23"/>
              <w:spacing w:before="194" w:line="217" w:lineRule="auto"/>
              <w:ind w:left="3274"/>
              <w:rPr>
                <w:color w:val="auto"/>
                <w:highlight w:val="none"/>
              </w:rPr>
            </w:pPr>
            <w:r>
              <w:rPr>
                <w:b/>
                <w:bCs/>
                <w:color w:val="auto"/>
                <w:spacing w:val="6"/>
                <w:highlight w:val="none"/>
              </w:rPr>
              <w:t>工</w:t>
            </w:r>
            <w:r>
              <w:rPr>
                <w:color w:val="auto"/>
                <w:spacing w:val="-8"/>
                <w:highlight w:val="none"/>
              </w:rPr>
              <w:t xml:space="preserve"> </w:t>
            </w:r>
            <w:r>
              <w:rPr>
                <w:b/>
                <w:bCs/>
                <w:color w:val="auto"/>
                <w:spacing w:val="6"/>
                <w:highlight w:val="none"/>
              </w:rPr>
              <w:t>作</w:t>
            </w:r>
            <w:r>
              <w:rPr>
                <w:color w:val="auto"/>
                <w:spacing w:val="-6"/>
                <w:highlight w:val="none"/>
              </w:rPr>
              <w:t xml:space="preserve"> </w:t>
            </w:r>
            <w:r>
              <w:rPr>
                <w:b/>
                <w:bCs/>
                <w:color w:val="auto"/>
                <w:spacing w:val="6"/>
                <w:highlight w:val="none"/>
              </w:rPr>
              <w:t>态</w:t>
            </w:r>
            <w:r>
              <w:rPr>
                <w:color w:val="auto"/>
                <w:spacing w:val="-6"/>
                <w:highlight w:val="none"/>
              </w:rPr>
              <w:t xml:space="preserve"> </w:t>
            </w:r>
            <w:r>
              <w:rPr>
                <w:b/>
                <w:bCs/>
                <w:color w:val="auto"/>
                <w:spacing w:val="6"/>
                <w:highlight w:val="none"/>
              </w:rPr>
              <w:t>度</w:t>
            </w:r>
          </w:p>
        </w:tc>
        <w:tc>
          <w:tcPr>
            <w:tcW w:w="845" w:type="dxa"/>
            <w:vAlign w:val="top"/>
          </w:tcPr>
          <w:p w14:paraId="0D4A16A5">
            <w:pPr>
              <w:spacing w:line="382" w:lineRule="auto"/>
              <w:rPr>
                <w:rFonts w:ascii="Arial"/>
                <w:color w:val="auto"/>
                <w:sz w:val="21"/>
                <w:highlight w:val="none"/>
              </w:rPr>
            </w:pPr>
          </w:p>
          <w:p w14:paraId="7B7135C6">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10</w:t>
            </w:r>
          </w:p>
        </w:tc>
        <w:tc>
          <w:tcPr>
            <w:tcW w:w="7440" w:type="dxa"/>
            <w:gridSpan w:val="2"/>
            <w:vAlign w:val="top"/>
          </w:tcPr>
          <w:p w14:paraId="2CB66E20">
            <w:pPr>
              <w:pStyle w:val="23"/>
              <w:spacing w:before="131" w:line="270" w:lineRule="auto"/>
              <w:ind w:left="117" w:right="79" w:firstLine="2"/>
              <w:jc w:val="both"/>
              <w:rPr>
                <w:color w:val="auto"/>
                <w:highlight w:val="none"/>
              </w:rPr>
            </w:pPr>
            <w:r>
              <w:rPr>
                <w:color w:val="auto"/>
                <w:spacing w:val="7"/>
                <w:highlight w:val="none"/>
              </w:rPr>
              <w:t>最新《公路工程施工监理规范》</w:t>
            </w:r>
            <w:r>
              <w:rPr>
                <w:color w:val="auto"/>
                <w:spacing w:val="4"/>
                <w:highlight w:val="none"/>
              </w:rPr>
              <w:t xml:space="preserve"> </w:t>
            </w:r>
            <w:r>
              <w:rPr>
                <w:color w:val="auto"/>
                <w:spacing w:val="7"/>
                <w:highlight w:val="none"/>
              </w:rPr>
              <w:t>附录</w:t>
            </w:r>
            <w:r>
              <w:rPr>
                <w:color w:val="auto"/>
                <w:spacing w:val="-48"/>
                <w:highlight w:val="none"/>
              </w:rPr>
              <w:t xml:space="preserve"> </w:t>
            </w:r>
            <w:r>
              <w:rPr>
                <w:rFonts w:ascii="Times New Roman" w:hAnsi="Times New Roman" w:eastAsia="Times New Roman" w:cs="Times New Roman"/>
                <w:color w:val="auto"/>
                <w:spacing w:val="7"/>
                <w:highlight w:val="none"/>
              </w:rPr>
              <w:t>A</w:t>
            </w:r>
            <w:r>
              <w:rPr>
                <w:rFonts w:ascii="Times New Roman" w:hAnsi="Times New Roman" w:eastAsia="Times New Roman" w:cs="Times New Roman"/>
                <w:color w:val="auto"/>
                <w:spacing w:val="26"/>
                <w:highlight w:val="none"/>
              </w:rPr>
              <w:t xml:space="preserve"> </w:t>
            </w:r>
            <w:r>
              <w:rPr>
                <w:color w:val="auto"/>
                <w:spacing w:val="7"/>
                <w:highlight w:val="none"/>
              </w:rPr>
              <w:t>中规定的工序、部位必须进行旁站，隐</w:t>
            </w:r>
            <w:r>
              <w:rPr>
                <w:color w:val="auto"/>
                <w:spacing w:val="16"/>
                <w:highlight w:val="none"/>
              </w:rPr>
              <w:t>蔽工程必须全过程旁站。若发现无旁站时，每发现一次给予监理人</w:t>
            </w:r>
            <w:r>
              <w:rPr>
                <w:color w:val="auto"/>
                <w:spacing w:val="-24"/>
                <w:highlight w:val="none"/>
              </w:rPr>
              <w:t xml:space="preserve"> </w:t>
            </w:r>
            <w:r>
              <w:rPr>
                <w:rFonts w:ascii="Times New Roman" w:hAnsi="Times New Roman" w:eastAsia="Times New Roman" w:cs="Times New Roman"/>
                <w:color w:val="auto"/>
                <w:spacing w:val="16"/>
                <w:highlight w:val="none"/>
                <w:u w:val="single" w:color="auto"/>
              </w:rPr>
              <w:t>3000</w:t>
            </w:r>
            <w:r>
              <w:rPr>
                <w:color w:val="auto"/>
                <w:spacing w:val="16"/>
                <w:highlight w:val="none"/>
              </w:rPr>
              <w:t>元的</w:t>
            </w:r>
            <w:r>
              <w:rPr>
                <w:color w:val="auto"/>
                <w:spacing w:val="5"/>
                <w:highlight w:val="none"/>
              </w:rPr>
              <w:t>违约金。</w:t>
            </w:r>
          </w:p>
        </w:tc>
      </w:tr>
      <w:tr w14:paraId="12BB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10" w:type="dxa"/>
            <w:vMerge w:val="continue"/>
            <w:tcBorders>
              <w:top w:val="nil"/>
              <w:bottom w:val="nil"/>
            </w:tcBorders>
            <w:textDirection w:val="tbRlV"/>
            <w:vAlign w:val="top"/>
          </w:tcPr>
          <w:p w14:paraId="53B402F8">
            <w:pPr>
              <w:rPr>
                <w:rFonts w:ascii="Arial"/>
                <w:color w:val="auto"/>
                <w:sz w:val="21"/>
                <w:highlight w:val="none"/>
              </w:rPr>
            </w:pPr>
          </w:p>
        </w:tc>
        <w:tc>
          <w:tcPr>
            <w:tcW w:w="845" w:type="dxa"/>
            <w:vAlign w:val="top"/>
          </w:tcPr>
          <w:p w14:paraId="0ECD1CF4">
            <w:pPr>
              <w:spacing w:line="259" w:lineRule="auto"/>
              <w:rPr>
                <w:rFonts w:ascii="Arial"/>
                <w:color w:val="auto"/>
                <w:sz w:val="21"/>
                <w:highlight w:val="none"/>
              </w:rPr>
            </w:pPr>
          </w:p>
          <w:p w14:paraId="79BBA5C2">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11</w:t>
            </w:r>
          </w:p>
        </w:tc>
        <w:tc>
          <w:tcPr>
            <w:tcW w:w="7440" w:type="dxa"/>
            <w:gridSpan w:val="2"/>
            <w:vAlign w:val="top"/>
          </w:tcPr>
          <w:p w14:paraId="7BF2D552">
            <w:pPr>
              <w:pStyle w:val="23"/>
              <w:spacing w:before="187" w:line="286" w:lineRule="auto"/>
              <w:ind w:left="118"/>
              <w:rPr>
                <w:color w:val="auto"/>
                <w:highlight w:val="none"/>
              </w:rPr>
            </w:pPr>
            <w:r>
              <w:rPr>
                <w:color w:val="auto"/>
                <w:spacing w:val="8"/>
                <w:highlight w:val="none"/>
              </w:rPr>
              <w:t>监理人员必须及时检查和签认现场资料，如违反处以</w:t>
            </w:r>
            <w:r>
              <w:rPr>
                <w:color w:val="auto"/>
                <w:spacing w:val="-44"/>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w:t>
            </w:r>
          </w:p>
        </w:tc>
      </w:tr>
      <w:tr w14:paraId="3A82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2B2A5EE8">
            <w:pPr>
              <w:rPr>
                <w:rFonts w:ascii="Arial"/>
                <w:color w:val="auto"/>
                <w:sz w:val="21"/>
                <w:highlight w:val="none"/>
              </w:rPr>
            </w:pPr>
          </w:p>
        </w:tc>
        <w:tc>
          <w:tcPr>
            <w:tcW w:w="845" w:type="dxa"/>
            <w:vAlign w:val="top"/>
          </w:tcPr>
          <w:p w14:paraId="6FA743E5">
            <w:pPr>
              <w:spacing w:line="256" w:lineRule="auto"/>
              <w:rPr>
                <w:rFonts w:ascii="Arial"/>
                <w:color w:val="auto"/>
                <w:sz w:val="21"/>
                <w:highlight w:val="none"/>
              </w:rPr>
            </w:pPr>
          </w:p>
          <w:p w14:paraId="43C31F8E">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12</w:t>
            </w:r>
          </w:p>
        </w:tc>
        <w:tc>
          <w:tcPr>
            <w:tcW w:w="7440" w:type="dxa"/>
            <w:gridSpan w:val="2"/>
            <w:vAlign w:val="top"/>
          </w:tcPr>
          <w:p w14:paraId="6F90103E">
            <w:pPr>
              <w:pStyle w:val="23"/>
              <w:spacing w:before="132" w:line="266" w:lineRule="auto"/>
              <w:ind w:left="140" w:right="187" w:hanging="22"/>
              <w:rPr>
                <w:color w:val="auto"/>
                <w:highlight w:val="none"/>
              </w:rPr>
            </w:pPr>
            <w:r>
              <w:rPr>
                <w:color w:val="auto"/>
                <w:spacing w:val="10"/>
                <w:highlight w:val="none"/>
              </w:rPr>
              <w:t>监理人员未发现施工现场严重违规作业或发现但</w:t>
            </w:r>
            <w:r>
              <w:rPr>
                <w:color w:val="auto"/>
                <w:spacing w:val="9"/>
                <w:highlight w:val="none"/>
              </w:rPr>
              <w:t>没有采取有效措施制止的，处</w:t>
            </w:r>
            <w:r>
              <w:rPr>
                <w:color w:val="auto"/>
                <w:spacing w:val="5"/>
                <w:highlight w:val="none"/>
              </w:rPr>
              <w:t>以</w:t>
            </w:r>
            <w:r>
              <w:rPr>
                <w:color w:val="auto"/>
                <w:spacing w:val="-33"/>
                <w:highlight w:val="none"/>
              </w:rPr>
              <w:t xml:space="preserve"> </w:t>
            </w:r>
            <w:r>
              <w:rPr>
                <w:rFonts w:ascii="Times New Roman" w:hAnsi="Times New Roman" w:eastAsia="Times New Roman" w:cs="Times New Roman"/>
                <w:color w:val="auto"/>
                <w:spacing w:val="5"/>
                <w:highlight w:val="none"/>
                <w:u w:val="single" w:color="auto"/>
              </w:rPr>
              <w:t>5000</w:t>
            </w:r>
            <w:r>
              <w:rPr>
                <w:rFonts w:ascii="Times New Roman" w:hAnsi="Times New Roman" w:eastAsia="Times New Roman" w:cs="Times New Roman"/>
                <w:color w:val="auto"/>
                <w:spacing w:val="5"/>
                <w:highlight w:val="none"/>
              </w:rPr>
              <w:t xml:space="preserve"> </w:t>
            </w:r>
            <w:r>
              <w:rPr>
                <w:color w:val="auto"/>
                <w:spacing w:val="5"/>
                <w:highlight w:val="none"/>
              </w:rPr>
              <w:t>元</w:t>
            </w:r>
            <w:r>
              <w:rPr>
                <w:rFonts w:ascii="Calibri" w:hAnsi="Calibri" w:eastAsia="Calibri" w:cs="Calibri"/>
                <w:color w:val="auto"/>
                <w:spacing w:val="5"/>
                <w:highlight w:val="none"/>
              </w:rPr>
              <w:t>/</w:t>
            </w:r>
            <w:r>
              <w:rPr>
                <w:color w:val="auto"/>
                <w:spacing w:val="5"/>
                <w:highlight w:val="none"/>
              </w:rPr>
              <w:t>次的违约金，撤换有关人员。</w:t>
            </w:r>
          </w:p>
        </w:tc>
      </w:tr>
      <w:tr w14:paraId="7BB1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33FED517">
            <w:pPr>
              <w:rPr>
                <w:rFonts w:ascii="Arial"/>
                <w:color w:val="auto"/>
                <w:sz w:val="21"/>
                <w:highlight w:val="none"/>
              </w:rPr>
            </w:pPr>
          </w:p>
        </w:tc>
        <w:tc>
          <w:tcPr>
            <w:tcW w:w="845" w:type="dxa"/>
            <w:vAlign w:val="top"/>
          </w:tcPr>
          <w:p w14:paraId="515629B8">
            <w:pPr>
              <w:spacing w:line="445" w:lineRule="auto"/>
              <w:rPr>
                <w:rFonts w:ascii="Arial"/>
                <w:color w:val="auto"/>
                <w:sz w:val="21"/>
                <w:highlight w:val="none"/>
              </w:rPr>
            </w:pPr>
          </w:p>
          <w:p w14:paraId="4B2F6E0C">
            <w:pPr>
              <w:spacing w:before="58"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13</w:t>
            </w:r>
          </w:p>
        </w:tc>
        <w:tc>
          <w:tcPr>
            <w:tcW w:w="7440" w:type="dxa"/>
            <w:gridSpan w:val="2"/>
            <w:vAlign w:val="top"/>
          </w:tcPr>
          <w:p w14:paraId="39D1E5A7">
            <w:pPr>
              <w:pStyle w:val="23"/>
              <w:spacing w:before="134" w:line="265" w:lineRule="auto"/>
              <w:ind w:left="117" w:right="201"/>
              <w:rPr>
                <w:color w:val="auto"/>
                <w:highlight w:val="none"/>
              </w:rPr>
            </w:pPr>
            <w:r>
              <w:rPr>
                <w:color w:val="auto"/>
                <w:spacing w:val="9"/>
                <w:highlight w:val="none"/>
              </w:rPr>
              <w:t>监理工程师抽验频率达不到</w:t>
            </w:r>
            <w:r>
              <w:rPr>
                <w:color w:val="auto"/>
                <w:spacing w:val="-45"/>
                <w:highlight w:val="none"/>
              </w:rPr>
              <w:t xml:space="preserve"> </w:t>
            </w:r>
            <w:r>
              <w:rPr>
                <w:rFonts w:ascii="Times New Roman" w:hAnsi="Times New Roman" w:eastAsia="Times New Roman" w:cs="Times New Roman"/>
                <w:color w:val="auto"/>
                <w:spacing w:val="9"/>
                <w:highlight w:val="none"/>
              </w:rPr>
              <w:t>20</w:t>
            </w:r>
            <w:r>
              <w:rPr>
                <w:rFonts w:ascii="Calibri" w:hAnsi="Calibri" w:eastAsia="Calibri" w:cs="Calibri"/>
                <w:color w:val="auto"/>
                <w:spacing w:val="9"/>
                <w:highlight w:val="none"/>
              </w:rPr>
              <w:t>%</w:t>
            </w:r>
            <w:r>
              <w:rPr>
                <w:color w:val="auto"/>
                <w:spacing w:val="9"/>
                <w:highlight w:val="none"/>
              </w:rPr>
              <w:t>或规范规定的频率的：按被检项目单元每少一</w:t>
            </w:r>
            <w:r>
              <w:rPr>
                <w:color w:val="auto"/>
                <w:spacing w:val="8"/>
                <w:highlight w:val="none"/>
              </w:rPr>
              <w:t>个百分点给予</w:t>
            </w:r>
            <w:r>
              <w:rPr>
                <w:color w:val="auto"/>
                <w:spacing w:val="-43"/>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元的违约金，同时视实际情</w:t>
            </w:r>
            <w:r>
              <w:rPr>
                <w:color w:val="auto"/>
                <w:spacing w:val="7"/>
                <w:highlight w:val="none"/>
              </w:rPr>
              <w:t>况进行补检；</w:t>
            </w:r>
          </w:p>
        </w:tc>
      </w:tr>
      <w:tr w14:paraId="78B4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2221BEFE">
            <w:pPr>
              <w:rPr>
                <w:rFonts w:ascii="Arial"/>
                <w:color w:val="auto"/>
                <w:sz w:val="21"/>
                <w:highlight w:val="none"/>
              </w:rPr>
            </w:pPr>
          </w:p>
        </w:tc>
        <w:tc>
          <w:tcPr>
            <w:tcW w:w="845" w:type="dxa"/>
            <w:vAlign w:val="top"/>
          </w:tcPr>
          <w:p w14:paraId="3BBBA7AE">
            <w:pPr>
              <w:spacing w:before="233"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14</w:t>
            </w:r>
          </w:p>
        </w:tc>
        <w:tc>
          <w:tcPr>
            <w:tcW w:w="7440" w:type="dxa"/>
            <w:gridSpan w:val="2"/>
            <w:vAlign w:val="top"/>
          </w:tcPr>
          <w:p w14:paraId="2004A07A">
            <w:pPr>
              <w:pStyle w:val="23"/>
              <w:spacing w:before="132" w:line="266" w:lineRule="auto"/>
              <w:ind w:left="118" w:right="187"/>
              <w:rPr>
                <w:color w:val="auto"/>
                <w:highlight w:val="none"/>
              </w:rPr>
            </w:pPr>
            <w:r>
              <w:rPr>
                <w:color w:val="auto"/>
                <w:spacing w:val="10"/>
                <w:highlight w:val="none"/>
              </w:rPr>
              <w:t>监理工程师不得利用承包人的试验室和不得使用</w:t>
            </w:r>
            <w:r>
              <w:rPr>
                <w:color w:val="auto"/>
                <w:spacing w:val="9"/>
                <w:highlight w:val="none"/>
              </w:rPr>
              <w:t>承包人仪器设备或采取旁站的</w:t>
            </w:r>
            <w:r>
              <w:rPr>
                <w:color w:val="auto"/>
                <w:spacing w:val="7"/>
                <w:highlight w:val="none"/>
              </w:rPr>
              <w:t>方式采集抽验数据，发现一次给予</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元的违</w:t>
            </w:r>
            <w:r>
              <w:rPr>
                <w:color w:val="auto"/>
                <w:spacing w:val="6"/>
                <w:highlight w:val="none"/>
              </w:rPr>
              <w:t>约金。</w:t>
            </w:r>
          </w:p>
        </w:tc>
      </w:tr>
      <w:tr w14:paraId="5075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10" w:type="dxa"/>
            <w:vMerge w:val="continue"/>
            <w:tcBorders>
              <w:top w:val="nil"/>
              <w:bottom w:val="nil"/>
            </w:tcBorders>
            <w:textDirection w:val="tbRlV"/>
            <w:vAlign w:val="top"/>
          </w:tcPr>
          <w:p w14:paraId="668154A2">
            <w:pPr>
              <w:rPr>
                <w:rFonts w:ascii="Arial"/>
                <w:color w:val="auto"/>
                <w:sz w:val="21"/>
                <w:highlight w:val="none"/>
              </w:rPr>
            </w:pPr>
          </w:p>
        </w:tc>
        <w:tc>
          <w:tcPr>
            <w:tcW w:w="845" w:type="dxa"/>
            <w:vAlign w:val="top"/>
          </w:tcPr>
          <w:p w14:paraId="39DFB22B">
            <w:pPr>
              <w:spacing w:line="292" w:lineRule="auto"/>
              <w:rPr>
                <w:rFonts w:ascii="Arial"/>
                <w:color w:val="auto"/>
                <w:sz w:val="21"/>
                <w:highlight w:val="none"/>
              </w:rPr>
            </w:pPr>
          </w:p>
          <w:p w14:paraId="43D46E5F">
            <w:pPr>
              <w:spacing w:line="292" w:lineRule="auto"/>
              <w:rPr>
                <w:rFonts w:ascii="Arial"/>
                <w:color w:val="auto"/>
                <w:sz w:val="21"/>
                <w:highlight w:val="none"/>
              </w:rPr>
            </w:pPr>
          </w:p>
          <w:p w14:paraId="5A0BEF28">
            <w:pPr>
              <w:spacing w:line="292" w:lineRule="auto"/>
              <w:rPr>
                <w:rFonts w:ascii="Arial"/>
                <w:color w:val="auto"/>
                <w:sz w:val="21"/>
                <w:highlight w:val="none"/>
              </w:rPr>
            </w:pPr>
          </w:p>
          <w:p w14:paraId="3D6189B4">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15</w:t>
            </w:r>
          </w:p>
        </w:tc>
        <w:tc>
          <w:tcPr>
            <w:tcW w:w="7440" w:type="dxa"/>
            <w:gridSpan w:val="2"/>
            <w:vAlign w:val="top"/>
          </w:tcPr>
          <w:p w14:paraId="6AE3BE45">
            <w:pPr>
              <w:pStyle w:val="23"/>
              <w:spacing w:before="189" w:line="274" w:lineRule="auto"/>
              <w:ind w:left="149" w:right="101"/>
              <w:jc w:val="both"/>
              <w:rPr>
                <w:color w:val="auto"/>
                <w:highlight w:val="none"/>
              </w:rPr>
            </w:pPr>
            <w:r>
              <w:rPr>
                <w:color w:val="auto"/>
                <w:spacing w:val="11"/>
                <w:highlight w:val="none"/>
              </w:rPr>
              <w:t>经监理工程师审核后上报的计划统计报表、计量支付报表及工程变更资料，如</w:t>
            </w:r>
            <w:r>
              <w:rPr>
                <w:color w:val="auto"/>
                <w:spacing w:val="8"/>
                <w:highlight w:val="none"/>
              </w:rPr>
              <w:t>出现未按规定时间报送</w:t>
            </w:r>
            <w:r>
              <w:rPr>
                <w:rFonts w:ascii="Calibri" w:hAnsi="Calibri" w:eastAsia="Calibri" w:cs="Calibri"/>
                <w:color w:val="auto"/>
                <w:spacing w:val="8"/>
                <w:highlight w:val="none"/>
              </w:rPr>
              <w:t>,</w:t>
            </w:r>
            <w:r>
              <w:rPr>
                <w:color w:val="auto"/>
                <w:spacing w:val="8"/>
                <w:highlight w:val="none"/>
              </w:rPr>
              <w:t>处以</w:t>
            </w:r>
            <w:r>
              <w:rPr>
                <w:color w:val="auto"/>
                <w:spacing w:val="-58"/>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次的违约金；出现人为错漏、不负责任</w:t>
            </w:r>
            <w:r>
              <w:rPr>
                <w:color w:val="auto"/>
                <w:spacing w:val="23"/>
                <w:highlight w:val="none"/>
              </w:rPr>
              <w:t>乱签字、不按合同条款规定计量导致出现偏差且单项偏差</w:t>
            </w:r>
            <w:r>
              <w:rPr>
                <w:color w:val="auto"/>
                <w:spacing w:val="22"/>
                <w:highlight w:val="none"/>
              </w:rPr>
              <w:t>达到</w:t>
            </w:r>
            <w:r>
              <w:rPr>
                <w:color w:val="auto"/>
                <w:spacing w:val="-19"/>
                <w:highlight w:val="none"/>
              </w:rPr>
              <w:t xml:space="preserve"> </w:t>
            </w:r>
            <w:r>
              <w:rPr>
                <w:rFonts w:ascii="Times New Roman" w:hAnsi="Times New Roman" w:eastAsia="Times New Roman" w:cs="Times New Roman"/>
                <w:color w:val="auto"/>
                <w:spacing w:val="22"/>
                <w:highlight w:val="none"/>
              </w:rPr>
              <w:t>20</w:t>
            </w:r>
            <w:r>
              <w:rPr>
                <w:rFonts w:ascii="Calibri" w:hAnsi="Calibri" w:eastAsia="Calibri" w:cs="Calibri"/>
                <w:color w:val="auto"/>
                <w:spacing w:val="22"/>
                <w:highlight w:val="none"/>
              </w:rPr>
              <w:t>%</w:t>
            </w:r>
            <w:r>
              <w:rPr>
                <w:color w:val="auto"/>
                <w:spacing w:val="22"/>
                <w:highlight w:val="none"/>
              </w:rPr>
              <w:t>或以上</w:t>
            </w:r>
            <w:r>
              <w:rPr>
                <w:color w:val="auto"/>
                <w:spacing w:val="8"/>
                <w:highlight w:val="none"/>
              </w:rPr>
              <w:t>的，处以</w:t>
            </w:r>
            <w:r>
              <w:rPr>
                <w:rFonts w:ascii="Times New Roman" w:hAnsi="Times New Roman" w:eastAsia="Times New Roman" w:cs="Times New Roman"/>
                <w:color w:val="auto"/>
                <w:spacing w:val="8"/>
                <w:highlight w:val="none"/>
                <w:u w:val="single" w:color="auto"/>
              </w:rPr>
              <w:t>3000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次的违约金，撤换有关人员。</w:t>
            </w:r>
          </w:p>
        </w:tc>
      </w:tr>
      <w:tr w14:paraId="5EB2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10" w:type="dxa"/>
            <w:vMerge w:val="continue"/>
            <w:tcBorders>
              <w:top w:val="nil"/>
              <w:bottom w:val="nil"/>
            </w:tcBorders>
            <w:textDirection w:val="tbRlV"/>
            <w:vAlign w:val="top"/>
          </w:tcPr>
          <w:p w14:paraId="234EB542">
            <w:pPr>
              <w:rPr>
                <w:rFonts w:ascii="Arial"/>
                <w:color w:val="auto"/>
                <w:sz w:val="21"/>
                <w:highlight w:val="none"/>
              </w:rPr>
            </w:pPr>
          </w:p>
        </w:tc>
        <w:tc>
          <w:tcPr>
            <w:tcW w:w="845" w:type="dxa"/>
            <w:vAlign w:val="top"/>
          </w:tcPr>
          <w:p w14:paraId="6BA54D86">
            <w:pPr>
              <w:spacing w:line="257" w:lineRule="auto"/>
              <w:rPr>
                <w:rFonts w:ascii="Arial"/>
                <w:color w:val="auto"/>
                <w:sz w:val="21"/>
                <w:highlight w:val="none"/>
              </w:rPr>
            </w:pPr>
          </w:p>
          <w:p w14:paraId="60AC242D">
            <w:pPr>
              <w:spacing w:line="257" w:lineRule="auto"/>
              <w:rPr>
                <w:rFonts w:ascii="Arial"/>
                <w:color w:val="auto"/>
                <w:sz w:val="21"/>
                <w:highlight w:val="none"/>
              </w:rPr>
            </w:pPr>
          </w:p>
          <w:p w14:paraId="6621258A">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16</w:t>
            </w:r>
          </w:p>
        </w:tc>
        <w:tc>
          <w:tcPr>
            <w:tcW w:w="7440" w:type="dxa"/>
            <w:gridSpan w:val="2"/>
            <w:vAlign w:val="top"/>
          </w:tcPr>
          <w:p w14:paraId="5F20035C">
            <w:pPr>
              <w:pStyle w:val="23"/>
              <w:spacing w:before="191" w:line="281" w:lineRule="auto"/>
              <w:ind w:left="117" w:right="187"/>
              <w:rPr>
                <w:color w:val="auto"/>
                <w:highlight w:val="none"/>
              </w:rPr>
            </w:pPr>
            <w:r>
              <w:rPr>
                <w:color w:val="auto"/>
                <w:spacing w:val="10"/>
                <w:highlight w:val="none"/>
              </w:rPr>
              <w:t>监理人未按要求建立有关台账及整理有关资料的</w:t>
            </w:r>
            <w:r>
              <w:rPr>
                <w:color w:val="auto"/>
                <w:spacing w:val="9"/>
                <w:highlight w:val="none"/>
              </w:rPr>
              <w:t>，或台账及资料反映的内容与</w:t>
            </w:r>
            <w:r>
              <w:rPr>
                <w:color w:val="auto"/>
                <w:spacing w:val="8"/>
                <w:highlight w:val="none"/>
              </w:rPr>
              <w:t>工程实施进展脱节的，发现一次给予</w:t>
            </w:r>
            <w:r>
              <w:rPr>
                <w:color w:val="auto"/>
                <w:spacing w:val="-25"/>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元的违约金；监理人未按委托人要求提供有关资料及工程汇报材料，或未及时提供的，发现一次处以</w:t>
            </w:r>
            <w:r>
              <w:rPr>
                <w:color w:val="auto"/>
                <w:spacing w:val="-27"/>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w:t>
            </w:r>
            <w:r>
              <w:rPr>
                <w:color w:val="auto"/>
                <w:spacing w:val="5"/>
                <w:highlight w:val="none"/>
              </w:rPr>
              <w:t>违约金。</w:t>
            </w:r>
          </w:p>
        </w:tc>
      </w:tr>
      <w:tr w14:paraId="3BCF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610" w:type="dxa"/>
            <w:vMerge w:val="continue"/>
            <w:tcBorders>
              <w:top w:val="nil"/>
            </w:tcBorders>
            <w:textDirection w:val="tbRlV"/>
            <w:vAlign w:val="top"/>
          </w:tcPr>
          <w:p w14:paraId="41E931C7">
            <w:pPr>
              <w:rPr>
                <w:rFonts w:ascii="Arial"/>
                <w:color w:val="auto"/>
                <w:sz w:val="21"/>
                <w:highlight w:val="none"/>
              </w:rPr>
            </w:pPr>
          </w:p>
        </w:tc>
        <w:tc>
          <w:tcPr>
            <w:tcW w:w="845" w:type="dxa"/>
            <w:vAlign w:val="top"/>
          </w:tcPr>
          <w:p w14:paraId="2A681214">
            <w:pPr>
              <w:spacing w:line="259" w:lineRule="auto"/>
              <w:rPr>
                <w:rFonts w:ascii="Arial"/>
                <w:color w:val="auto"/>
                <w:sz w:val="21"/>
                <w:highlight w:val="none"/>
              </w:rPr>
            </w:pPr>
          </w:p>
          <w:p w14:paraId="2D72D5D6">
            <w:pPr>
              <w:spacing w:line="260" w:lineRule="auto"/>
              <w:rPr>
                <w:rFonts w:ascii="Arial"/>
                <w:color w:val="auto"/>
                <w:sz w:val="21"/>
                <w:highlight w:val="none"/>
              </w:rPr>
            </w:pPr>
          </w:p>
          <w:p w14:paraId="73B6CD64">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17</w:t>
            </w:r>
          </w:p>
        </w:tc>
        <w:tc>
          <w:tcPr>
            <w:tcW w:w="7440" w:type="dxa"/>
            <w:gridSpan w:val="2"/>
            <w:vAlign w:val="top"/>
          </w:tcPr>
          <w:p w14:paraId="2B19FB7A">
            <w:pPr>
              <w:pStyle w:val="23"/>
              <w:spacing w:before="192" w:line="280" w:lineRule="auto"/>
              <w:ind w:left="118" w:right="101"/>
              <w:jc w:val="both"/>
              <w:rPr>
                <w:color w:val="auto"/>
                <w:highlight w:val="none"/>
              </w:rPr>
            </w:pPr>
            <w:r>
              <w:rPr>
                <w:color w:val="auto"/>
                <w:spacing w:val="12"/>
                <w:highlight w:val="none"/>
              </w:rPr>
              <w:t>监理人应负责编制竣工档案与结算文件的一致性，重点审查竣工图工程量与结算工程量的一致性，若发现竣工图工程量与结算工程量不一致，每发现一违约</w:t>
            </w:r>
            <w:r>
              <w:rPr>
                <w:color w:val="auto"/>
                <w:spacing w:val="2"/>
                <w:highlight w:val="none"/>
              </w:rPr>
              <w:t>金款</w:t>
            </w:r>
            <w:r>
              <w:rPr>
                <w:color w:val="auto"/>
                <w:spacing w:val="-40"/>
                <w:highlight w:val="none"/>
              </w:rPr>
              <w:t xml:space="preserve"> </w:t>
            </w:r>
            <w:r>
              <w:rPr>
                <w:rFonts w:ascii="Times New Roman" w:hAnsi="Times New Roman" w:eastAsia="Times New Roman" w:cs="Times New Roman"/>
                <w:color w:val="auto"/>
                <w:spacing w:val="2"/>
                <w:highlight w:val="none"/>
                <w:u w:val="single" w:color="auto"/>
              </w:rPr>
              <w:t>500</w:t>
            </w:r>
            <w:r>
              <w:rPr>
                <w:rFonts w:ascii="Times New Roman" w:hAnsi="Times New Roman" w:eastAsia="Times New Roman" w:cs="Times New Roman"/>
                <w:color w:val="auto"/>
                <w:spacing w:val="2"/>
                <w:highlight w:val="none"/>
              </w:rPr>
              <w:t xml:space="preserve"> </w:t>
            </w:r>
            <w:r>
              <w:rPr>
                <w:color w:val="auto"/>
                <w:spacing w:val="2"/>
                <w:highlight w:val="none"/>
              </w:rPr>
              <w:t>元。</w:t>
            </w:r>
          </w:p>
        </w:tc>
      </w:tr>
      <w:tr w14:paraId="29E4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10" w:type="dxa"/>
            <w:vMerge w:val="restart"/>
            <w:tcBorders>
              <w:bottom w:val="nil"/>
            </w:tcBorders>
            <w:textDirection w:val="tbRlV"/>
            <w:vAlign w:val="top"/>
          </w:tcPr>
          <w:p w14:paraId="0E8E43B4">
            <w:pPr>
              <w:pStyle w:val="23"/>
              <w:spacing w:before="194" w:line="215" w:lineRule="auto"/>
              <w:ind w:left="2114"/>
              <w:rPr>
                <w:color w:val="auto"/>
                <w:highlight w:val="none"/>
              </w:rPr>
            </w:pPr>
            <w:r>
              <w:rPr>
                <w:b/>
                <w:bCs/>
                <w:color w:val="auto"/>
                <w:spacing w:val="6"/>
                <w:highlight w:val="none"/>
              </w:rPr>
              <w:t>人</w:t>
            </w:r>
            <w:r>
              <w:rPr>
                <w:color w:val="auto"/>
                <w:spacing w:val="-7"/>
                <w:highlight w:val="none"/>
              </w:rPr>
              <w:t xml:space="preserve"> </w:t>
            </w:r>
            <w:r>
              <w:rPr>
                <w:b/>
                <w:bCs/>
                <w:color w:val="auto"/>
                <w:spacing w:val="6"/>
                <w:highlight w:val="none"/>
              </w:rPr>
              <w:t>员</w:t>
            </w:r>
          </w:p>
        </w:tc>
        <w:tc>
          <w:tcPr>
            <w:tcW w:w="845" w:type="dxa"/>
            <w:vAlign w:val="top"/>
          </w:tcPr>
          <w:p w14:paraId="263B6EDD">
            <w:pPr>
              <w:spacing w:line="253" w:lineRule="auto"/>
              <w:rPr>
                <w:rFonts w:ascii="Arial"/>
                <w:color w:val="auto"/>
                <w:sz w:val="21"/>
                <w:highlight w:val="none"/>
              </w:rPr>
            </w:pPr>
          </w:p>
          <w:p w14:paraId="074058A8">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18</w:t>
            </w:r>
          </w:p>
        </w:tc>
        <w:tc>
          <w:tcPr>
            <w:tcW w:w="7440" w:type="dxa"/>
            <w:gridSpan w:val="2"/>
            <w:vAlign w:val="top"/>
          </w:tcPr>
          <w:p w14:paraId="76DE6FF4">
            <w:pPr>
              <w:pStyle w:val="23"/>
              <w:spacing w:before="177" w:line="286" w:lineRule="auto"/>
              <w:ind w:left="118"/>
              <w:rPr>
                <w:color w:val="auto"/>
                <w:highlight w:val="none"/>
              </w:rPr>
            </w:pPr>
            <w:r>
              <w:rPr>
                <w:color w:val="auto"/>
                <w:spacing w:val="9"/>
                <w:highlight w:val="none"/>
              </w:rPr>
              <w:t>监理人未经委托人同意擅自更换档案管理人员</w:t>
            </w:r>
            <w:r>
              <w:rPr>
                <w:color w:val="auto"/>
                <w:spacing w:val="8"/>
                <w:highlight w:val="none"/>
              </w:rPr>
              <w:t>的，处以</w:t>
            </w:r>
            <w:r>
              <w:rPr>
                <w:color w:val="auto"/>
                <w:spacing w:val="-48"/>
                <w:highlight w:val="none"/>
              </w:rPr>
              <w:t xml:space="preserve"> </w:t>
            </w:r>
            <w:r>
              <w:rPr>
                <w:rFonts w:ascii="Times New Roman" w:hAnsi="Times New Roman" w:eastAsia="Times New Roman" w:cs="Times New Roman"/>
                <w:color w:val="auto"/>
                <w:spacing w:val="8"/>
                <w:highlight w:val="none"/>
                <w:u w:val="single" w:color="auto"/>
              </w:rPr>
              <w:t>2</w:t>
            </w:r>
            <w:r>
              <w:rPr>
                <w:rFonts w:ascii="Times New Roman" w:hAnsi="Times New Roman" w:eastAsia="Times New Roman" w:cs="Times New Roman"/>
                <w:color w:val="auto"/>
                <w:spacing w:val="8"/>
                <w:highlight w:val="none"/>
              </w:rPr>
              <w:t xml:space="preserve"> </w:t>
            </w:r>
            <w:r>
              <w:rPr>
                <w:color w:val="auto"/>
                <w:spacing w:val="8"/>
                <w:highlight w:val="none"/>
              </w:rPr>
              <w:t>万元</w:t>
            </w:r>
            <w:r>
              <w:rPr>
                <w:rFonts w:ascii="Calibri" w:hAnsi="Calibri" w:eastAsia="Calibri" w:cs="Calibri"/>
                <w:color w:val="auto"/>
                <w:spacing w:val="8"/>
                <w:highlight w:val="none"/>
              </w:rPr>
              <w:t>/</w:t>
            </w:r>
            <w:r>
              <w:rPr>
                <w:color w:val="auto"/>
                <w:spacing w:val="8"/>
                <w:highlight w:val="none"/>
              </w:rPr>
              <w:t>人的违约金。</w:t>
            </w:r>
          </w:p>
        </w:tc>
      </w:tr>
      <w:tr w14:paraId="0DAB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610" w:type="dxa"/>
            <w:vMerge w:val="continue"/>
            <w:tcBorders>
              <w:top w:val="nil"/>
              <w:bottom w:val="nil"/>
            </w:tcBorders>
            <w:textDirection w:val="tbRlV"/>
            <w:vAlign w:val="top"/>
          </w:tcPr>
          <w:p w14:paraId="603908BB">
            <w:pPr>
              <w:rPr>
                <w:rFonts w:ascii="Arial"/>
                <w:color w:val="auto"/>
                <w:sz w:val="21"/>
                <w:highlight w:val="none"/>
              </w:rPr>
            </w:pPr>
          </w:p>
        </w:tc>
        <w:tc>
          <w:tcPr>
            <w:tcW w:w="845" w:type="dxa"/>
            <w:vAlign w:val="top"/>
          </w:tcPr>
          <w:p w14:paraId="531010E7">
            <w:pPr>
              <w:spacing w:line="338" w:lineRule="auto"/>
              <w:rPr>
                <w:rFonts w:ascii="Arial"/>
                <w:color w:val="auto"/>
                <w:sz w:val="21"/>
                <w:highlight w:val="none"/>
              </w:rPr>
            </w:pPr>
          </w:p>
          <w:p w14:paraId="0C89CE9B">
            <w:pPr>
              <w:spacing w:line="339" w:lineRule="auto"/>
              <w:rPr>
                <w:rFonts w:ascii="Arial"/>
                <w:color w:val="auto"/>
                <w:sz w:val="21"/>
                <w:highlight w:val="none"/>
              </w:rPr>
            </w:pPr>
          </w:p>
          <w:p w14:paraId="63AB9B63">
            <w:pPr>
              <w:spacing w:before="58"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19</w:t>
            </w:r>
          </w:p>
        </w:tc>
        <w:tc>
          <w:tcPr>
            <w:tcW w:w="7440" w:type="dxa"/>
            <w:gridSpan w:val="2"/>
            <w:vAlign w:val="top"/>
          </w:tcPr>
          <w:p w14:paraId="5AED8378">
            <w:pPr>
              <w:pStyle w:val="23"/>
              <w:spacing w:before="157" w:line="236" w:lineRule="auto"/>
              <w:ind w:left="121" w:right="187" w:hanging="4"/>
              <w:rPr>
                <w:color w:val="auto"/>
                <w:highlight w:val="none"/>
              </w:rPr>
            </w:pPr>
            <w:r>
              <w:rPr>
                <w:color w:val="auto"/>
                <w:spacing w:val="10"/>
                <w:highlight w:val="none"/>
              </w:rPr>
              <w:t>委托人要求核查的监理人员的证件原件（执业资格证</w:t>
            </w:r>
            <w:r>
              <w:rPr>
                <w:color w:val="auto"/>
                <w:spacing w:val="9"/>
                <w:highlight w:val="none"/>
              </w:rPr>
              <w:t>、职称证等）不能提供或</w:t>
            </w:r>
            <w:r>
              <w:rPr>
                <w:color w:val="auto"/>
                <w:spacing w:val="8"/>
                <w:highlight w:val="none"/>
              </w:rPr>
              <w:t>不能按时提供的，按下列条款处理：</w:t>
            </w:r>
          </w:p>
          <w:p w14:paraId="0645E7CE">
            <w:pPr>
              <w:pStyle w:val="23"/>
              <w:spacing w:line="282" w:lineRule="auto"/>
              <w:ind w:left="128"/>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1</w:t>
            </w:r>
            <w:r>
              <w:rPr>
                <w:color w:val="auto"/>
                <w:spacing w:val="4"/>
                <w:highlight w:val="none"/>
              </w:rPr>
              <w:t>）处以</w:t>
            </w:r>
            <w:r>
              <w:rPr>
                <w:rFonts w:ascii="Times New Roman" w:hAnsi="Times New Roman" w:eastAsia="Times New Roman" w:cs="Times New Roman"/>
                <w:color w:val="auto"/>
                <w:spacing w:val="37"/>
                <w:highlight w:val="none"/>
                <w:u w:val="single" w:color="auto"/>
              </w:rPr>
              <w:t xml:space="preserve"> </w:t>
            </w:r>
            <w:r>
              <w:rPr>
                <w:rFonts w:ascii="Times New Roman" w:hAnsi="Times New Roman" w:eastAsia="Times New Roman" w:cs="Times New Roman"/>
                <w:color w:val="auto"/>
                <w:spacing w:val="4"/>
                <w:highlight w:val="none"/>
                <w:u w:val="single" w:color="auto"/>
              </w:rPr>
              <w:t xml:space="preserve">1 </w:t>
            </w:r>
            <w:r>
              <w:rPr>
                <w:color w:val="auto"/>
                <w:spacing w:val="4"/>
                <w:highlight w:val="none"/>
              </w:rPr>
              <w:t>万元</w:t>
            </w:r>
            <w:r>
              <w:rPr>
                <w:rFonts w:ascii="Calibri" w:hAnsi="Calibri" w:eastAsia="Calibri" w:cs="Calibri"/>
                <w:color w:val="auto"/>
                <w:spacing w:val="4"/>
                <w:highlight w:val="none"/>
              </w:rPr>
              <w:t>/</w:t>
            </w:r>
            <w:r>
              <w:rPr>
                <w:color w:val="auto"/>
                <w:spacing w:val="4"/>
                <w:highlight w:val="none"/>
              </w:rPr>
              <w:t>人次的违约金；</w:t>
            </w:r>
          </w:p>
          <w:p w14:paraId="55C1E372">
            <w:pPr>
              <w:pStyle w:val="23"/>
              <w:spacing w:line="253" w:lineRule="auto"/>
              <w:ind w:left="119" w:right="27" w:firstLine="8"/>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2</w:t>
            </w:r>
            <w:r>
              <w:rPr>
                <w:color w:val="auto"/>
                <w:spacing w:val="8"/>
                <w:highlight w:val="none"/>
              </w:rPr>
              <w:t>）同时委托人有权要求监理人进行更换，如不按要求进行更换的，处以</w:t>
            </w:r>
            <w:r>
              <w:rPr>
                <w:color w:val="auto"/>
                <w:spacing w:val="-43"/>
                <w:highlight w:val="none"/>
              </w:rPr>
              <w:t xml:space="preserve"> </w:t>
            </w:r>
            <w:r>
              <w:rPr>
                <w:rFonts w:ascii="Times New Roman" w:hAnsi="Times New Roman" w:eastAsia="Times New Roman" w:cs="Times New Roman"/>
                <w:color w:val="auto"/>
                <w:spacing w:val="-26"/>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天的违约金直至监理人更换为止。</w:t>
            </w:r>
          </w:p>
        </w:tc>
      </w:tr>
      <w:tr w14:paraId="3461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10" w:type="dxa"/>
            <w:vMerge w:val="continue"/>
            <w:tcBorders>
              <w:top w:val="nil"/>
              <w:bottom w:val="nil"/>
            </w:tcBorders>
            <w:textDirection w:val="tbRlV"/>
            <w:vAlign w:val="top"/>
          </w:tcPr>
          <w:p w14:paraId="6975FC9D">
            <w:pPr>
              <w:rPr>
                <w:rFonts w:ascii="Arial"/>
                <w:color w:val="auto"/>
                <w:sz w:val="21"/>
                <w:highlight w:val="none"/>
              </w:rPr>
            </w:pPr>
          </w:p>
        </w:tc>
        <w:tc>
          <w:tcPr>
            <w:tcW w:w="845" w:type="dxa"/>
            <w:vAlign w:val="top"/>
          </w:tcPr>
          <w:p w14:paraId="04499542">
            <w:pPr>
              <w:spacing w:line="254" w:lineRule="auto"/>
              <w:rPr>
                <w:rFonts w:ascii="Arial"/>
                <w:color w:val="auto"/>
                <w:sz w:val="21"/>
                <w:highlight w:val="none"/>
              </w:rPr>
            </w:pPr>
          </w:p>
          <w:p w14:paraId="0D6C9C28">
            <w:pPr>
              <w:spacing w:line="254" w:lineRule="auto"/>
              <w:rPr>
                <w:rFonts w:ascii="Arial"/>
                <w:color w:val="auto"/>
                <w:sz w:val="21"/>
                <w:highlight w:val="none"/>
              </w:rPr>
            </w:pPr>
          </w:p>
          <w:p w14:paraId="54B6B3FF">
            <w:pPr>
              <w:spacing w:line="255" w:lineRule="auto"/>
              <w:rPr>
                <w:rFonts w:ascii="Arial"/>
                <w:color w:val="auto"/>
                <w:sz w:val="21"/>
                <w:highlight w:val="none"/>
              </w:rPr>
            </w:pPr>
          </w:p>
          <w:p w14:paraId="1EA04A3B">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20</w:t>
            </w:r>
          </w:p>
        </w:tc>
        <w:tc>
          <w:tcPr>
            <w:tcW w:w="7440" w:type="dxa"/>
            <w:gridSpan w:val="2"/>
            <w:vAlign w:val="top"/>
          </w:tcPr>
          <w:p w14:paraId="03EF9BB1">
            <w:pPr>
              <w:pStyle w:val="23"/>
              <w:spacing w:before="35"/>
              <w:ind w:left="120" w:right="187" w:hanging="3"/>
              <w:jc w:val="both"/>
              <w:rPr>
                <w:color w:val="auto"/>
                <w:highlight w:val="none"/>
              </w:rPr>
            </w:pPr>
            <w:r>
              <w:rPr>
                <w:color w:val="auto"/>
                <w:spacing w:val="10"/>
                <w:highlight w:val="none"/>
              </w:rPr>
              <w:t>委托人发现监理人在投标时列报的监理人员不完全满</w:t>
            </w:r>
            <w:r>
              <w:rPr>
                <w:color w:val="auto"/>
                <w:spacing w:val="9"/>
                <w:highlight w:val="none"/>
              </w:rPr>
              <w:t>足相应岗位资格要求（如</w:t>
            </w:r>
            <w:r>
              <w:rPr>
                <w:color w:val="auto"/>
                <w:spacing w:val="10"/>
                <w:highlight w:val="none"/>
              </w:rPr>
              <w:t>工作经验，工作能力、监理服务年限、年龄</w:t>
            </w:r>
            <w:r>
              <w:rPr>
                <w:color w:val="auto"/>
                <w:spacing w:val="9"/>
                <w:highlight w:val="none"/>
              </w:rPr>
              <w:t>、执业资格证等）的，按下列条款</w:t>
            </w:r>
            <w:r>
              <w:rPr>
                <w:color w:val="auto"/>
                <w:spacing w:val="2"/>
                <w:highlight w:val="none"/>
              </w:rPr>
              <w:t>处理：</w:t>
            </w:r>
          </w:p>
          <w:p w14:paraId="27895B92">
            <w:pPr>
              <w:pStyle w:val="23"/>
              <w:spacing w:line="282" w:lineRule="auto"/>
              <w:ind w:left="128"/>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）处以</w:t>
            </w:r>
            <w:r>
              <w:rPr>
                <w:rFonts w:ascii="Times New Roman" w:hAnsi="Times New Roman" w:eastAsia="Times New Roman" w:cs="Times New Roman"/>
                <w:color w:val="auto"/>
                <w:spacing w:val="5"/>
                <w:highlight w:val="none"/>
                <w:u w:val="single" w:color="auto"/>
              </w:rPr>
              <w:t xml:space="preserve"> 3 </w:t>
            </w:r>
            <w:r>
              <w:rPr>
                <w:color w:val="auto"/>
                <w:spacing w:val="5"/>
                <w:highlight w:val="none"/>
              </w:rPr>
              <w:t>万元</w:t>
            </w:r>
            <w:r>
              <w:rPr>
                <w:rFonts w:ascii="Calibri" w:hAnsi="Calibri" w:eastAsia="Calibri" w:cs="Calibri"/>
                <w:color w:val="auto"/>
                <w:spacing w:val="5"/>
                <w:highlight w:val="none"/>
              </w:rPr>
              <w:t>/</w:t>
            </w:r>
            <w:r>
              <w:rPr>
                <w:color w:val="auto"/>
                <w:spacing w:val="5"/>
                <w:highlight w:val="none"/>
              </w:rPr>
              <w:t>人的违约金；</w:t>
            </w:r>
          </w:p>
          <w:p w14:paraId="19D62809">
            <w:pPr>
              <w:pStyle w:val="23"/>
              <w:spacing w:before="1" w:line="233" w:lineRule="auto"/>
              <w:ind w:left="119" w:right="27" w:firstLine="8"/>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2</w:t>
            </w:r>
            <w:r>
              <w:rPr>
                <w:color w:val="auto"/>
                <w:spacing w:val="8"/>
                <w:highlight w:val="none"/>
              </w:rPr>
              <w:t>）同时委托人有权要求监理人进行更换，如不按要求进行更换的，处以</w:t>
            </w:r>
            <w:r>
              <w:rPr>
                <w:color w:val="auto"/>
                <w:spacing w:val="-43"/>
                <w:highlight w:val="none"/>
              </w:rPr>
              <w:t xml:space="preserve"> </w:t>
            </w:r>
            <w:r>
              <w:rPr>
                <w:rFonts w:ascii="Times New Roman" w:hAnsi="Times New Roman" w:eastAsia="Times New Roman" w:cs="Times New Roman"/>
                <w:color w:val="auto"/>
                <w:spacing w:val="-26"/>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天</w:t>
            </w:r>
            <w:r>
              <w:rPr>
                <w:rFonts w:ascii="Calibri" w:hAnsi="Calibri" w:eastAsia="Calibri" w:cs="Calibri"/>
                <w:color w:val="auto"/>
                <w:spacing w:val="8"/>
                <w:highlight w:val="none"/>
              </w:rPr>
              <w:t>/</w:t>
            </w:r>
            <w:r>
              <w:rPr>
                <w:color w:val="auto"/>
                <w:spacing w:val="8"/>
                <w:highlight w:val="none"/>
              </w:rPr>
              <w:t>人的违约金直至监理人更换为止。</w:t>
            </w:r>
          </w:p>
        </w:tc>
      </w:tr>
      <w:tr w14:paraId="20DC6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10" w:type="dxa"/>
            <w:vMerge w:val="continue"/>
            <w:tcBorders>
              <w:top w:val="nil"/>
            </w:tcBorders>
            <w:textDirection w:val="tbRlV"/>
            <w:vAlign w:val="top"/>
          </w:tcPr>
          <w:p w14:paraId="101B8D6C">
            <w:pPr>
              <w:rPr>
                <w:rFonts w:ascii="Arial"/>
                <w:color w:val="auto"/>
                <w:sz w:val="21"/>
                <w:highlight w:val="none"/>
              </w:rPr>
            </w:pPr>
          </w:p>
        </w:tc>
        <w:tc>
          <w:tcPr>
            <w:tcW w:w="845" w:type="dxa"/>
            <w:vAlign w:val="top"/>
          </w:tcPr>
          <w:p w14:paraId="0420B6D6">
            <w:pPr>
              <w:spacing w:line="259" w:lineRule="auto"/>
              <w:rPr>
                <w:rFonts w:ascii="Arial"/>
                <w:color w:val="auto"/>
                <w:sz w:val="21"/>
                <w:highlight w:val="none"/>
              </w:rPr>
            </w:pPr>
          </w:p>
          <w:p w14:paraId="4AED845F">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21</w:t>
            </w:r>
          </w:p>
        </w:tc>
        <w:tc>
          <w:tcPr>
            <w:tcW w:w="7440" w:type="dxa"/>
            <w:gridSpan w:val="2"/>
            <w:vAlign w:val="top"/>
          </w:tcPr>
          <w:p w14:paraId="2ACA8F66">
            <w:pPr>
              <w:spacing w:line="241" w:lineRule="auto"/>
              <w:rPr>
                <w:rFonts w:ascii="Arial"/>
                <w:color w:val="auto"/>
                <w:sz w:val="21"/>
                <w:highlight w:val="none"/>
              </w:rPr>
            </w:pPr>
          </w:p>
          <w:p w14:paraId="03A2165E">
            <w:pPr>
              <w:pStyle w:val="23"/>
              <w:spacing w:before="65" w:line="269" w:lineRule="auto"/>
              <w:ind w:left="124" w:right="238" w:hanging="7"/>
              <w:rPr>
                <w:color w:val="auto"/>
                <w:highlight w:val="none"/>
              </w:rPr>
            </w:pPr>
            <w:r>
              <w:rPr>
                <w:color w:val="auto"/>
                <w:spacing w:val="8"/>
                <w:highlight w:val="none"/>
              </w:rPr>
              <w:t>委托人有权根据工程进展和工程建设需要增加监理人员，监理人应配合解决，</w:t>
            </w:r>
            <w:r>
              <w:rPr>
                <w:color w:val="auto"/>
                <w:spacing w:val="7"/>
                <w:highlight w:val="none"/>
              </w:rPr>
              <w:t>否则处以</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w:t>
            </w:r>
            <w:r>
              <w:rPr>
                <w:rFonts w:ascii="Calibri" w:hAnsi="Calibri" w:eastAsia="Calibri" w:cs="Calibri"/>
                <w:color w:val="auto"/>
                <w:spacing w:val="7"/>
                <w:highlight w:val="none"/>
              </w:rPr>
              <w:t>/</w:t>
            </w:r>
            <w:r>
              <w:rPr>
                <w:color w:val="auto"/>
                <w:spacing w:val="7"/>
                <w:highlight w:val="none"/>
              </w:rPr>
              <w:t>天</w:t>
            </w:r>
            <w:r>
              <w:rPr>
                <w:rFonts w:ascii="Calibri" w:hAnsi="Calibri" w:eastAsia="Calibri" w:cs="Calibri"/>
                <w:color w:val="auto"/>
                <w:spacing w:val="7"/>
                <w:highlight w:val="none"/>
              </w:rPr>
              <w:t>/</w:t>
            </w:r>
            <w:r>
              <w:rPr>
                <w:color w:val="auto"/>
                <w:spacing w:val="7"/>
                <w:highlight w:val="none"/>
              </w:rPr>
              <w:t>人的违约金直</w:t>
            </w:r>
            <w:r>
              <w:rPr>
                <w:color w:val="auto"/>
                <w:spacing w:val="6"/>
                <w:highlight w:val="none"/>
              </w:rPr>
              <w:t>至监理人员到位为止。</w:t>
            </w:r>
          </w:p>
        </w:tc>
      </w:tr>
      <w:tr w14:paraId="1BD1C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trPr>
        <w:tc>
          <w:tcPr>
            <w:tcW w:w="610" w:type="dxa"/>
            <w:vMerge w:val="restart"/>
            <w:tcBorders>
              <w:bottom w:val="nil"/>
            </w:tcBorders>
            <w:vAlign w:val="top"/>
          </w:tcPr>
          <w:p w14:paraId="11298CB6">
            <w:pPr>
              <w:rPr>
                <w:rFonts w:ascii="Arial"/>
                <w:color w:val="auto"/>
                <w:sz w:val="21"/>
                <w:highlight w:val="none"/>
              </w:rPr>
            </w:pPr>
          </w:p>
        </w:tc>
        <w:tc>
          <w:tcPr>
            <w:tcW w:w="845" w:type="dxa"/>
            <w:vAlign w:val="top"/>
          </w:tcPr>
          <w:p w14:paraId="79A999A9">
            <w:pPr>
              <w:spacing w:line="256" w:lineRule="auto"/>
              <w:rPr>
                <w:rFonts w:ascii="Arial"/>
                <w:color w:val="auto"/>
                <w:sz w:val="21"/>
                <w:highlight w:val="none"/>
              </w:rPr>
            </w:pPr>
          </w:p>
          <w:p w14:paraId="0605A3D7">
            <w:pPr>
              <w:spacing w:line="256" w:lineRule="auto"/>
              <w:rPr>
                <w:rFonts w:ascii="Arial"/>
                <w:color w:val="auto"/>
                <w:sz w:val="21"/>
                <w:highlight w:val="none"/>
              </w:rPr>
            </w:pPr>
          </w:p>
          <w:p w14:paraId="45B640A8">
            <w:pPr>
              <w:spacing w:line="256" w:lineRule="auto"/>
              <w:rPr>
                <w:rFonts w:ascii="Arial"/>
                <w:color w:val="auto"/>
                <w:sz w:val="21"/>
                <w:highlight w:val="none"/>
              </w:rPr>
            </w:pPr>
          </w:p>
          <w:p w14:paraId="471F0A84">
            <w:pPr>
              <w:spacing w:line="257" w:lineRule="auto"/>
              <w:rPr>
                <w:rFonts w:ascii="Arial"/>
                <w:color w:val="auto"/>
                <w:sz w:val="21"/>
                <w:highlight w:val="none"/>
              </w:rPr>
            </w:pPr>
          </w:p>
          <w:p w14:paraId="70DE53E7">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22</w:t>
            </w:r>
          </w:p>
        </w:tc>
        <w:tc>
          <w:tcPr>
            <w:tcW w:w="7440" w:type="dxa"/>
            <w:gridSpan w:val="2"/>
            <w:vAlign w:val="top"/>
          </w:tcPr>
          <w:p w14:paraId="6EB42BF5">
            <w:pPr>
              <w:pStyle w:val="23"/>
              <w:spacing w:before="125" w:line="277" w:lineRule="auto"/>
              <w:ind w:left="118" w:right="120"/>
              <w:rPr>
                <w:color w:val="auto"/>
                <w:highlight w:val="none"/>
              </w:rPr>
            </w:pPr>
            <w:r>
              <w:rPr>
                <w:color w:val="auto"/>
                <w:spacing w:val="12"/>
                <w:highlight w:val="none"/>
              </w:rPr>
              <w:t>监理人拟投入本项目的总监（驻地）、专业监</w:t>
            </w:r>
            <w:r>
              <w:rPr>
                <w:color w:val="auto"/>
                <w:spacing w:val="11"/>
                <w:highlight w:val="none"/>
              </w:rPr>
              <w:t>理工程师等必须为本项目专职人</w:t>
            </w:r>
            <w:r>
              <w:rPr>
                <w:color w:val="auto"/>
                <w:spacing w:val="10"/>
                <w:highlight w:val="none"/>
              </w:rPr>
              <w:t>员，不得兼任其他项目监理职务；必须保证每月</w:t>
            </w:r>
            <w:r>
              <w:rPr>
                <w:rFonts w:ascii="Times New Roman" w:hAnsi="Times New Roman" w:eastAsia="Times New Roman" w:cs="Times New Roman"/>
                <w:color w:val="auto"/>
                <w:spacing w:val="10"/>
                <w:highlight w:val="none"/>
              </w:rPr>
              <w:t xml:space="preserve">22 </w:t>
            </w:r>
            <w:r>
              <w:rPr>
                <w:color w:val="auto"/>
                <w:spacing w:val="10"/>
                <w:highlight w:val="none"/>
              </w:rPr>
              <w:t>天以上留在施工现场；离</w:t>
            </w:r>
            <w:r>
              <w:rPr>
                <w:color w:val="auto"/>
                <w:spacing w:val="8"/>
                <w:highlight w:val="none"/>
              </w:rPr>
              <w:t>开施工现场超过</w:t>
            </w:r>
            <w:r>
              <w:rPr>
                <w:color w:val="auto"/>
                <w:spacing w:val="-47"/>
                <w:highlight w:val="none"/>
              </w:rPr>
              <w:t xml:space="preserve"> </w:t>
            </w:r>
            <w:r>
              <w:rPr>
                <w:rFonts w:ascii="Times New Roman" w:hAnsi="Times New Roman" w:eastAsia="Times New Roman" w:cs="Times New Roman"/>
                <w:color w:val="auto"/>
                <w:spacing w:val="8"/>
                <w:highlight w:val="none"/>
              </w:rPr>
              <w:t xml:space="preserve">2 </w:t>
            </w:r>
            <w:r>
              <w:rPr>
                <w:color w:val="auto"/>
                <w:spacing w:val="8"/>
                <w:highlight w:val="none"/>
              </w:rPr>
              <w:t>天（含</w:t>
            </w:r>
            <w:r>
              <w:rPr>
                <w:color w:val="auto"/>
                <w:spacing w:val="-48"/>
                <w:highlight w:val="none"/>
              </w:rPr>
              <w:t xml:space="preserve"> </w:t>
            </w:r>
            <w:r>
              <w:rPr>
                <w:rFonts w:ascii="Times New Roman" w:hAnsi="Times New Roman" w:eastAsia="Times New Roman" w:cs="Times New Roman"/>
                <w:color w:val="auto"/>
                <w:spacing w:val="8"/>
                <w:highlight w:val="none"/>
              </w:rPr>
              <w:t xml:space="preserve">2 </w:t>
            </w:r>
            <w:r>
              <w:rPr>
                <w:color w:val="auto"/>
                <w:spacing w:val="8"/>
                <w:highlight w:val="none"/>
              </w:rPr>
              <w:t>天）时间须经委托</w:t>
            </w:r>
            <w:r>
              <w:rPr>
                <w:color w:val="auto"/>
                <w:spacing w:val="7"/>
                <w:highlight w:val="none"/>
              </w:rPr>
              <w:t>人批准。如违反：</w:t>
            </w:r>
          </w:p>
          <w:p w14:paraId="452DFDC6">
            <w:pPr>
              <w:pStyle w:val="23"/>
              <w:spacing w:before="1" w:line="269" w:lineRule="auto"/>
              <w:ind w:left="119" w:right="142" w:firstLine="5"/>
              <w:rPr>
                <w:color w:val="auto"/>
                <w:highlight w:val="none"/>
              </w:rPr>
            </w:pPr>
            <w:r>
              <w:rPr>
                <w:color w:val="auto"/>
                <w:spacing w:val="4"/>
                <w:sz w:val="18"/>
                <w:szCs w:val="18"/>
                <w:highlight w:val="none"/>
              </w:rPr>
              <w:t xml:space="preserve">（1） </w:t>
            </w:r>
            <w:r>
              <w:rPr>
                <w:color w:val="auto"/>
                <w:spacing w:val="4"/>
                <w:highlight w:val="none"/>
              </w:rPr>
              <w:t>兼任其他项目监理职务的，处以</w:t>
            </w:r>
            <w:r>
              <w:rPr>
                <w:color w:val="auto"/>
                <w:spacing w:val="-50"/>
                <w:highlight w:val="none"/>
              </w:rPr>
              <w:t xml:space="preserve"> </w:t>
            </w:r>
            <w:r>
              <w:rPr>
                <w:rFonts w:ascii="Times New Roman" w:hAnsi="Times New Roman" w:eastAsia="Times New Roman" w:cs="Times New Roman"/>
                <w:color w:val="auto"/>
                <w:spacing w:val="4"/>
                <w:highlight w:val="none"/>
                <w:u w:val="single" w:color="auto"/>
              </w:rPr>
              <w:t>5</w:t>
            </w:r>
            <w:r>
              <w:rPr>
                <w:rFonts w:ascii="Times New Roman" w:hAnsi="Times New Roman" w:eastAsia="Times New Roman" w:cs="Times New Roman"/>
                <w:color w:val="auto"/>
                <w:spacing w:val="4"/>
                <w:highlight w:val="none"/>
              </w:rPr>
              <w:t xml:space="preserve"> </w:t>
            </w:r>
            <w:r>
              <w:rPr>
                <w:color w:val="auto"/>
                <w:spacing w:val="4"/>
                <w:highlight w:val="none"/>
              </w:rPr>
              <w:t>万元</w:t>
            </w:r>
            <w:r>
              <w:rPr>
                <w:rFonts w:ascii="Calibri" w:hAnsi="Calibri" w:eastAsia="Calibri" w:cs="Calibri"/>
                <w:color w:val="auto"/>
                <w:spacing w:val="3"/>
                <w:highlight w:val="none"/>
              </w:rPr>
              <w:t>/</w:t>
            </w:r>
            <w:r>
              <w:rPr>
                <w:color w:val="auto"/>
                <w:spacing w:val="3"/>
                <w:highlight w:val="none"/>
              </w:rPr>
              <w:t>人的违约金，同时处以</w:t>
            </w:r>
            <w:r>
              <w:rPr>
                <w:color w:val="auto"/>
                <w:spacing w:val="-51"/>
                <w:highlight w:val="none"/>
              </w:rPr>
              <w:t xml:space="preserve"> </w:t>
            </w:r>
            <w:r>
              <w:rPr>
                <w:rFonts w:ascii="Times New Roman" w:hAnsi="Times New Roman" w:eastAsia="Times New Roman" w:cs="Times New Roman"/>
                <w:color w:val="auto"/>
                <w:spacing w:val="3"/>
                <w:highlight w:val="none"/>
                <w:u w:val="single" w:color="auto"/>
              </w:rPr>
              <w:t>5000</w:t>
            </w:r>
            <w:r>
              <w:rPr>
                <w:color w:val="auto"/>
                <w:spacing w:val="3"/>
                <w:highlight w:val="none"/>
              </w:rPr>
              <w:t>元</w:t>
            </w:r>
            <w:r>
              <w:rPr>
                <w:rFonts w:ascii="Calibri" w:hAnsi="Calibri" w:eastAsia="Calibri" w:cs="Calibri"/>
                <w:color w:val="auto"/>
                <w:spacing w:val="3"/>
                <w:highlight w:val="none"/>
              </w:rPr>
              <w:t>/</w:t>
            </w:r>
            <w:r>
              <w:rPr>
                <w:color w:val="auto"/>
                <w:spacing w:val="3"/>
                <w:highlight w:val="none"/>
              </w:rPr>
              <w:t>天</w:t>
            </w:r>
            <w:r>
              <w:rPr>
                <w:rFonts w:ascii="Calibri" w:hAnsi="Calibri" w:eastAsia="Calibri" w:cs="Calibri"/>
                <w:color w:val="auto"/>
                <w:spacing w:val="3"/>
                <w:highlight w:val="none"/>
              </w:rPr>
              <w:t>/</w:t>
            </w:r>
            <w:r>
              <w:rPr>
                <w:color w:val="auto"/>
                <w:spacing w:val="8"/>
                <w:highlight w:val="none"/>
              </w:rPr>
              <w:t>人次的违约金直至监理人纠正为止；</w:t>
            </w:r>
          </w:p>
          <w:p w14:paraId="005C9B49">
            <w:pPr>
              <w:pStyle w:val="23"/>
              <w:spacing w:before="23" w:line="286" w:lineRule="auto"/>
              <w:ind w:left="122"/>
              <w:rPr>
                <w:color w:val="auto"/>
                <w:highlight w:val="none"/>
              </w:rPr>
            </w:pPr>
            <w:r>
              <w:rPr>
                <w:color w:val="auto"/>
                <w:spacing w:val="6"/>
                <w:sz w:val="18"/>
                <w:szCs w:val="18"/>
                <w:highlight w:val="none"/>
              </w:rPr>
              <w:t>（2）</w:t>
            </w:r>
            <w:r>
              <w:rPr>
                <w:color w:val="auto"/>
                <w:spacing w:val="-2"/>
                <w:sz w:val="18"/>
                <w:szCs w:val="18"/>
                <w:highlight w:val="none"/>
              </w:rPr>
              <w:t xml:space="preserve"> </w:t>
            </w:r>
            <w:r>
              <w:rPr>
                <w:color w:val="auto"/>
                <w:spacing w:val="6"/>
                <w:highlight w:val="none"/>
              </w:rPr>
              <w:t>不足</w:t>
            </w:r>
            <w:r>
              <w:rPr>
                <w:rFonts w:ascii="Times New Roman" w:hAnsi="Times New Roman" w:eastAsia="Times New Roman" w:cs="Times New Roman"/>
                <w:color w:val="auto"/>
                <w:spacing w:val="6"/>
                <w:highlight w:val="none"/>
              </w:rPr>
              <w:t>22</w:t>
            </w:r>
            <w:r>
              <w:rPr>
                <w:rFonts w:ascii="Times New Roman" w:hAnsi="Times New Roman" w:eastAsia="Times New Roman" w:cs="Times New Roman"/>
                <w:color w:val="auto"/>
                <w:spacing w:val="-17"/>
                <w:highlight w:val="none"/>
              </w:rPr>
              <w:t xml:space="preserve"> </w:t>
            </w:r>
            <w:r>
              <w:rPr>
                <w:color w:val="auto"/>
                <w:spacing w:val="6"/>
                <w:highlight w:val="none"/>
              </w:rPr>
              <w:t>天</w:t>
            </w:r>
            <w:r>
              <w:rPr>
                <w:rFonts w:ascii="Calibri" w:hAnsi="Calibri" w:eastAsia="Calibri" w:cs="Calibri"/>
                <w:color w:val="auto"/>
                <w:spacing w:val="6"/>
                <w:highlight w:val="none"/>
              </w:rPr>
              <w:t>/</w:t>
            </w:r>
            <w:r>
              <w:rPr>
                <w:color w:val="auto"/>
                <w:spacing w:val="6"/>
                <w:highlight w:val="none"/>
              </w:rPr>
              <w:t>月留在现场的，同时处以不足天数的违约金：</w:t>
            </w:r>
            <w:r>
              <w:rPr>
                <w:rFonts w:ascii="Times New Roman" w:hAnsi="Times New Roman" w:eastAsia="Times New Roman" w:cs="Times New Roman"/>
                <w:color w:val="auto"/>
                <w:spacing w:val="6"/>
                <w:highlight w:val="none"/>
                <w:u w:val="single" w:color="auto"/>
              </w:rPr>
              <w:t>5000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w:t>
            </w:r>
          </w:p>
          <w:p w14:paraId="49438B53">
            <w:pPr>
              <w:pStyle w:val="23"/>
              <w:spacing w:before="24" w:line="249" w:lineRule="auto"/>
              <w:ind w:left="109" w:right="429" w:firstLine="12"/>
              <w:rPr>
                <w:color w:val="auto"/>
                <w:highlight w:val="none"/>
              </w:rPr>
            </w:pPr>
            <w:r>
              <w:rPr>
                <w:color w:val="auto"/>
                <w:spacing w:val="4"/>
                <w:sz w:val="18"/>
                <w:szCs w:val="18"/>
                <w:highlight w:val="none"/>
              </w:rPr>
              <w:t xml:space="preserve">（3） </w:t>
            </w:r>
            <w:r>
              <w:rPr>
                <w:color w:val="auto"/>
                <w:spacing w:val="4"/>
                <w:highlight w:val="none"/>
              </w:rPr>
              <w:t>未经委托人同意擅自离开现场超过</w:t>
            </w:r>
            <w:r>
              <w:rPr>
                <w:color w:val="auto"/>
                <w:spacing w:val="-55"/>
                <w:highlight w:val="none"/>
              </w:rPr>
              <w:t xml:space="preserve"> </w:t>
            </w:r>
            <w:r>
              <w:rPr>
                <w:rFonts w:ascii="Times New Roman" w:hAnsi="Times New Roman" w:eastAsia="Times New Roman" w:cs="Times New Roman"/>
                <w:color w:val="auto"/>
                <w:spacing w:val="4"/>
                <w:highlight w:val="none"/>
              </w:rPr>
              <w:t xml:space="preserve">2 </w:t>
            </w:r>
            <w:r>
              <w:rPr>
                <w:color w:val="auto"/>
                <w:spacing w:val="4"/>
                <w:highlight w:val="none"/>
              </w:rPr>
              <w:t>天时间的，按超过天数处</w:t>
            </w:r>
            <w:r>
              <w:rPr>
                <w:color w:val="auto"/>
                <w:spacing w:val="3"/>
                <w:highlight w:val="none"/>
              </w:rPr>
              <w:t>以</w:t>
            </w:r>
            <w:r>
              <w:rPr>
                <w:rFonts w:ascii="Times New Roman" w:hAnsi="Times New Roman" w:eastAsia="Times New Roman" w:cs="Times New Roman"/>
                <w:color w:val="auto"/>
                <w:spacing w:val="3"/>
                <w:highlight w:val="none"/>
                <w:u w:val="single" w:color="auto"/>
              </w:rPr>
              <w:t>5000</w:t>
            </w:r>
            <w:r>
              <w:rPr>
                <w:color w:val="auto"/>
                <w:spacing w:val="3"/>
                <w:highlight w:val="none"/>
              </w:rPr>
              <w:t>元</w:t>
            </w:r>
            <w:r>
              <w:rPr>
                <w:rFonts w:ascii="Calibri" w:hAnsi="Calibri" w:eastAsia="Calibri" w:cs="Calibri"/>
                <w:color w:val="auto"/>
                <w:spacing w:val="7"/>
                <w:highlight w:val="none"/>
              </w:rPr>
              <w:t>/</w:t>
            </w:r>
            <w:r>
              <w:rPr>
                <w:color w:val="auto"/>
                <w:spacing w:val="7"/>
                <w:highlight w:val="none"/>
              </w:rPr>
              <w:t>天的违约金。</w:t>
            </w:r>
          </w:p>
        </w:tc>
      </w:tr>
      <w:tr w14:paraId="3009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610" w:type="dxa"/>
            <w:vMerge w:val="continue"/>
            <w:tcBorders>
              <w:top w:val="nil"/>
            </w:tcBorders>
            <w:vAlign w:val="top"/>
          </w:tcPr>
          <w:p w14:paraId="177235B0">
            <w:pPr>
              <w:rPr>
                <w:rFonts w:ascii="Arial"/>
                <w:color w:val="auto"/>
                <w:sz w:val="21"/>
                <w:highlight w:val="none"/>
              </w:rPr>
            </w:pPr>
          </w:p>
        </w:tc>
        <w:tc>
          <w:tcPr>
            <w:tcW w:w="845" w:type="dxa"/>
            <w:vAlign w:val="top"/>
          </w:tcPr>
          <w:p w14:paraId="42D6E4A0">
            <w:pPr>
              <w:spacing w:line="259" w:lineRule="auto"/>
              <w:rPr>
                <w:rFonts w:ascii="Arial"/>
                <w:color w:val="auto"/>
                <w:sz w:val="21"/>
                <w:highlight w:val="none"/>
              </w:rPr>
            </w:pPr>
          </w:p>
          <w:p w14:paraId="67B957E9">
            <w:pPr>
              <w:spacing w:line="260" w:lineRule="auto"/>
              <w:rPr>
                <w:rFonts w:ascii="Arial"/>
                <w:color w:val="auto"/>
                <w:sz w:val="21"/>
                <w:highlight w:val="none"/>
              </w:rPr>
            </w:pPr>
          </w:p>
          <w:p w14:paraId="33108B8E">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23</w:t>
            </w:r>
          </w:p>
        </w:tc>
        <w:tc>
          <w:tcPr>
            <w:tcW w:w="7440" w:type="dxa"/>
            <w:gridSpan w:val="2"/>
            <w:vAlign w:val="top"/>
          </w:tcPr>
          <w:p w14:paraId="63CEA50F">
            <w:pPr>
              <w:pStyle w:val="23"/>
              <w:spacing w:before="128" w:line="272" w:lineRule="auto"/>
              <w:ind w:left="117" w:right="101"/>
              <w:jc w:val="both"/>
              <w:rPr>
                <w:color w:val="auto"/>
                <w:highlight w:val="none"/>
              </w:rPr>
            </w:pPr>
            <w:r>
              <w:rPr>
                <w:color w:val="auto"/>
                <w:spacing w:val="12"/>
                <w:highlight w:val="none"/>
              </w:rPr>
              <w:t>监理人应按合同规定自行配备试验、检测等必要设备并要按合同规定的规格保质保量按时到位投入使用，否则按不到位仪器设备清单价格或市场价格（如无</w:t>
            </w:r>
            <w:r>
              <w:rPr>
                <w:color w:val="auto"/>
                <w:spacing w:val="6"/>
                <w:highlight w:val="none"/>
              </w:rPr>
              <w:t>清单价格）</w:t>
            </w:r>
            <w:r>
              <w:rPr>
                <w:color w:val="auto"/>
                <w:spacing w:val="-55"/>
                <w:highlight w:val="none"/>
              </w:rPr>
              <w:t xml:space="preserve"> </w:t>
            </w:r>
            <w:r>
              <w:rPr>
                <w:color w:val="auto"/>
                <w:spacing w:val="6"/>
                <w:highlight w:val="none"/>
              </w:rPr>
              <w:t>的两倍从监理服务费总额中予以扣除，并处以</w:t>
            </w:r>
            <w:r>
              <w:rPr>
                <w:color w:val="auto"/>
                <w:spacing w:val="-57"/>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6"/>
                <w:highlight w:val="none"/>
                <w:u w:val="single" w:color="auto"/>
              </w:rPr>
              <w:t>1000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天的违约金直</w:t>
            </w:r>
            <w:r>
              <w:rPr>
                <w:color w:val="auto"/>
                <w:spacing w:val="9"/>
                <w:highlight w:val="none"/>
              </w:rPr>
              <w:t>至该仪器或设备到位为止</w:t>
            </w:r>
          </w:p>
        </w:tc>
      </w:tr>
      <w:tr w14:paraId="6D1F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0" w:type="dxa"/>
            <w:textDirection w:val="tbRlV"/>
            <w:vAlign w:val="top"/>
          </w:tcPr>
          <w:p w14:paraId="0C5BC5E1">
            <w:pPr>
              <w:pStyle w:val="23"/>
              <w:spacing w:before="194" w:line="215" w:lineRule="auto"/>
              <w:ind w:left="259"/>
              <w:rPr>
                <w:color w:val="auto"/>
                <w:highlight w:val="none"/>
              </w:rPr>
            </w:pPr>
            <w:r>
              <w:rPr>
                <w:b/>
                <w:bCs/>
                <w:color w:val="auto"/>
                <w:spacing w:val="6"/>
                <w:highlight w:val="none"/>
              </w:rPr>
              <w:t>设</w:t>
            </w:r>
            <w:r>
              <w:rPr>
                <w:color w:val="auto"/>
                <w:spacing w:val="-7"/>
                <w:highlight w:val="none"/>
              </w:rPr>
              <w:t xml:space="preserve"> </w:t>
            </w:r>
            <w:r>
              <w:rPr>
                <w:b/>
                <w:bCs/>
                <w:color w:val="auto"/>
                <w:spacing w:val="6"/>
                <w:highlight w:val="none"/>
              </w:rPr>
              <w:t>备</w:t>
            </w:r>
          </w:p>
        </w:tc>
        <w:tc>
          <w:tcPr>
            <w:tcW w:w="845" w:type="dxa"/>
            <w:vAlign w:val="top"/>
          </w:tcPr>
          <w:p w14:paraId="5DD65A71">
            <w:pPr>
              <w:spacing w:line="384" w:lineRule="auto"/>
              <w:rPr>
                <w:rFonts w:ascii="Arial"/>
                <w:color w:val="auto"/>
                <w:sz w:val="21"/>
                <w:highlight w:val="none"/>
              </w:rPr>
            </w:pPr>
          </w:p>
          <w:p w14:paraId="18B48EE0">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24</w:t>
            </w:r>
          </w:p>
        </w:tc>
        <w:tc>
          <w:tcPr>
            <w:tcW w:w="7440" w:type="dxa"/>
            <w:gridSpan w:val="2"/>
            <w:vAlign w:val="top"/>
          </w:tcPr>
          <w:p w14:paraId="25361CD9">
            <w:pPr>
              <w:pStyle w:val="23"/>
              <w:spacing w:before="134" w:line="269" w:lineRule="auto"/>
              <w:ind w:left="117" w:right="101"/>
              <w:jc w:val="both"/>
              <w:rPr>
                <w:color w:val="auto"/>
                <w:highlight w:val="none"/>
              </w:rPr>
            </w:pPr>
            <w:r>
              <w:rPr>
                <w:color w:val="auto"/>
                <w:spacing w:val="12"/>
                <w:highlight w:val="none"/>
              </w:rPr>
              <w:t>根据工程实际需要，委托人有权要求监理人增加仪器、设备的数量或新增部分仪器或设备，如监理人拒绝执行，委托人将按书面通知要求到位的最后期限起</w:t>
            </w:r>
            <w:r>
              <w:rPr>
                <w:color w:val="auto"/>
                <w:spacing w:val="7"/>
                <w:highlight w:val="none"/>
              </w:rPr>
              <w:t>算，处以</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w:t>
            </w:r>
            <w:r>
              <w:rPr>
                <w:rFonts w:ascii="Calibri" w:hAnsi="Calibri" w:eastAsia="Calibri" w:cs="Calibri"/>
                <w:color w:val="auto"/>
                <w:spacing w:val="7"/>
                <w:highlight w:val="none"/>
              </w:rPr>
              <w:t>/</w:t>
            </w:r>
            <w:r>
              <w:rPr>
                <w:color w:val="auto"/>
                <w:spacing w:val="7"/>
                <w:highlight w:val="none"/>
              </w:rPr>
              <w:t>天的违约金直至该仪器或设备到位为止。</w:t>
            </w:r>
          </w:p>
        </w:tc>
      </w:tr>
      <w:tr w14:paraId="0545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610" w:type="dxa"/>
            <w:textDirection w:val="tbRlV"/>
            <w:vAlign w:val="center"/>
          </w:tcPr>
          <w:p w14:paraId="30E88AE6">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color w:val="auto"/>
                <w:highlight w:val="none"/>
              </w:rPr>
            </w:pPr>
            <w:r>
              <w:rPr>
                <w:b/>
                <w:bCs/>
                <w:color w:val="auto"/>
                <w:spacing w:val="6"/>
                <w:highlight w:val="none"/>
              </w:rPr>
              <w:t>工</w:t>
            </w:r>
            <w:r>
              <w:rPr>
                <w:b/>
                <w:bCs/>
                <w:color w:val="auto"/>
                <w:spacing w:val="-9"/>
                <w:highlight w:val="none"/>
              </w:rPr>
              <w:t xml:space="preserve"> </w:t>
            </w:r>
            <w:r>
              <w:rPr>
                <w:b/>
                <w:bCs/>
                <w:color w:val="auto"/>
                <w:spacing w:val="6"/>
                <w:highlight w:val="none"/>
              </w:rPr>
              <w:t>期</w:t>
            </w:r>
          </w:p>
        </w:tc>
        <w:tc>
          <w:tcPr>
            <w:tcW w:w="845" w:type="dxa"/>
            <w:vAlign w:val="top"/>
          </w:tcPr>
          <w:p w14:paraId="22001B4D">
            <w:pPr>
              <w:spacing w:line="384" w:lineRule="auto"/>
              <w:rPr>
                <w:rFonts w:ascii="Arial"/>
                <w:color w:val="auto"/>
                <w:sz w:val="21"/>
                <w:highlight w:val="none"/>
              </w:rPr>
            </w:pPr>
          </w:p>
          <w:p w14:paraId="02810E18">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25</w:t>
            </w:r>
          </w:p>
        </w:tc>
        <w:tc>
          <w:tcPr>
            <w:tcW w:w="7440" w:type="dxa"/>
            <w:gridSpan w:val="2"/>
            <w:vAlign w:val="top"/>
          </w:tcPr>
          <w:p w14:paraId="070A07E5">
            <w:pPr>
              <w:pStyle w:val="23"/>
              <w:spacing w:before="133" w:line="269" w:lineRule="auto"/>
              <w:ind w:left="119" w:right="101" w:firstLine="14"/>
              <w:jc w:val="both"/>
              <w:rPr>
                <w:color w:val="auto"/>
                <w:highlight w:val="none"/>
              </w:rPr>
            </w:pPr>
            <w:r>
              <w:rPr>
                <w:color w:val="auto"/>
                <w:spacing w:val="11"/>
                <w:highlight w:val="none"/>
              </w:rPr>
              <w:t>因监理原因整个工程未按期完工（包括任何一个合同段没有按期完工</w:t>
            </w:r>
            <w:r>
              <w:rPr>
                <w:color w:val="auto"/>
                <w:spacing w:val="2"/>
                <w:highlight w:val="none"/>
              </w:rPr>
              <w:t>）</w:t>
            </w:r>
            <w:r>
              <w:rPr>
                <w:color w:val="auto"/>
                <w:spacing w:val="-58"/>
                <w:highlight w:val="none"/>
              </w:rPr>
              <w:t xml:space="preserve"> </w:t>
            </w:r>
            <w:r>
              <w:rPr>
                <w:color w:val="auto"/>
                <w:spacing w:val="2"/>
                <w:highlight w:val="none"/>
              </w:rPr>
              <w:t>，</w:t>
            </w:r>
            <w:r>
              <w:rPr>
                <w:color w:val="auto"/>
                <w:spacing w:val="11"/>
                <w:highlight w:val="none"/>
              </w:rPr>
              <w:t>监理</w:t>
            </w:r>
            <w:r>
              <w:rPr>
                <w:color w:val="auto"/>
                <w:spacing w:val="12"/>
                <w:highlight w:val="none"/>
              </w:rPr>
              <w:t>人须承担以下责任：每拖延一天，委托人按未按期完工合同段承包人的拖期损</w:t>
            </w:r>
            <w:r>
              <w:rPr>
                <w:color w:val="auto"/>
                <w:spacing w:val="7"/>
                <w:highlight w:val="none"/>
              </w:rPr>
              <w:t>失赔偿金的</w:t>
            </w:r>
            <w:r>
              <w:rPr>
                <w:rFonts w:ascii="Times New Roman" w:hAnsi="Times New Roman" w:eastAsia="Times New Roman" w:cs="Times New Roman"/>
                <w:color w:val="auto"/>
                <w:spacing w:val="7"/>
                <w:highlight w:val="none"/>
                <w:u w:val="single" w:color="auto"/>
              </w:rPr>
              <w:t>5</w:t>
            </w:r>
            <w:r>
              <w:rPr>
                <w:rFonts w:ascii="Calibri" w:hAnsi="Calibri" w:eastAsia="Calibri" w:cs="Calibri"/>
                <w:color w:val="auto"/>
                <w:spacing w:val="7"/>
                <w:highlight w:val="none"/>
                <w:u w:val="single" w:color="auto"/>
              </w:rPr>
              <w:t>%</w:t>
            </w:r>
            <w:r>
              <w:rPr>
                <w:color w:val="auto"/>
                <w:spacing w:val="7"/>
                <w:highlight w:val="none"/>
              </w:rPr>
              <w:t>计罚。</w:t>
            </w:r>
          </w:p>
        </w:tc>
      </w:tr>
      <w:tr w14:paraId="5681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0" w:type="dxa"/>
            <w:vMerge w:val="restart"/>
            <w:textDirection w:val="tbLrV"/>
            <w:vAlign w:val="center"/>
          </w:tcPr>
          <w:p w14:paraId="669DB2DD">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rFonts w:hint="eastAsia"/>
                <w:b/>
                <w:bCs/>
                <w:color w:val="auto"/>
                <w:highlight w:val="none"/>
                <w:lang w:val="en-US" w:eastAsia="zh-CN"/>
              </w:rPr>
            </w:pPr>
            <w:r>
              <w:rPr>
                <w:rFonts w:hint="eastAsia"/>
                <w:b/>
                <w:bCs/>
                <w:color w:val="auto"/>
                <w:highlight w:val="none"/>
                <w:lang w:val="en-US" w:eastAsia="zh-CN"/>
              </w:rPr>
              <w:t>其他</w:t>
            </w:r>
          </w:p>
        </w:tc>
        <w:tc>
          <w:tcPr>
            <w:tcW w:w="845" w:type="dxa"/>
            <w:vAlign w:val="top"/>
          </w:tcPr>
          <w:p w14:paraId="5F20617E">
            <w:pPr>
              <w:spacing w:line="384" w:lineRule="auto"/>
              <w:rPr>
                <w:rFonts w:ascii="Arial"/>
                <w:color w:val="auto"/>
                <w:sz w:val="21"/>
                <w:highlight w:val="none"/>
              </w:rPr>
            </w:pPr>
          </w:p>
          <w:p w14:paraId="0AC6D76F">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26</w:t>
            </w:r>
          </w:p>
        </w:tc>
        <w:tc>
          <w:tcPr>
            <w:tcW w:w="7440" w:type="dxa"/>
            <w:gridSpan w:val="2"/>
            <w:vAlign w:val="top"/>
          </w:tcPr>
          <w:p w14:paraId="12BD20A4">
            <w:pPr>
              <w:pStyle w:val="23"/>
              <w:spacing w:before="131" w:line="270" w:lineRule="auto"/>
              <w:ind w:left="117" w:right="101" w:firstLine="3"/>
              <w:jc w:val="both"/>
              <w:rPr>
                <w:color w:val="auto"/>
                <w:highlight w:val="none"/>
              </w:rPr>
            </w:pPr>
            <w:r>
              <w:rPr>
                <w:color w:val="auto"/>
                <w:spacing w:val="12"/>
                <w:highlight w:val="none"/>
              </w:rPr>
              <w:t>未按照《广东省公路施工标准化指南》和《广东省高速公路工程施工组织设计和施工方案标准化管理指南》有关规定进行管理或开展监理工作的，每次处以</w:t>
            </w:r>
            <w:r>
              <w:rPr>
                <w:color w:val="auto"/>
                <w:spacing w:val="3"/>
                <w:highlight w:val="none"/>
              </w:rPr>
              <w:t>违约金</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3"/>
                <w:highlight w:val="none"/>
                <w:u w:val="single" w:color="auto"/>
              </w:rPr>
              <w:t>1</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000</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10</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000</w:t>
            </w:r>
            <w:r>
              <w:rPr>
                <w:rFonts w:ascii="Times New Roman" w:hAnsi="Times New Roman" w:eastAsia="Times New Roman" w:cs="Times New Roman"/>
                <w:color w:val="auto"/>
                <w:spacing w:val="3"/>
                <w:highlight w:val="none"/>
              </w:rPr>
              <w:t xml:space="preserve"> </w:t>
            </w:r>
            <w:r>
              <w:rPr>
                <w:color w:val="auto"/>
                <w:spacing w:val="3"/>
                <w:highlight w:val="none"/>
              </w:rPr>
              <w:t>元。</w:t>
            </w:r>
          </w:p>
        </w:tc>
      </w:tr>
      <w:tr w14:paraId="44AEF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10" w:type="dxa"/>
            <w:vMerge w:val="continue"/>
            <w:textDirection w:val="tbLrV"/>
            <w:vAlign w:val="center"/>
          </w:tcPr>
          <w:p w14:paraId="2895B62B">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b/>
                <w:bCs/>
                <w:color w:val="auto"/>
                <w:highlight w:val="none"/>
              </w:rPr>
            </w:pPr>
          </w:p>
        </w:tc>
        <w:tc>
          <w:tcPr>
            <w:tcW w:w="845" w:type="dxa"/>
            <w:vAlign w:val="top"/>
          </w:tcPr>
          <w:p w14:paraId="3884E5D8">
            <w:pPr>
              <w:spacing w:line="447" w:lineRule="auto"/>
              <w:rPr>
                <w:rFonts w:ascii="Arial"/>
                <w:color w:val="auto"/>
                <w:sz w:val="21"/>
                <w:highlight w:val="none"/>
              </w:rPr>
            </w:pPr>
          </w:p>
          <w:p w14:paraId="53A9C01B">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27</w:t>
            </w:r>
          </w:p>
        </w:tc>
        <w:tc>
          <w:tcPr>
            <w:tcW w:w="7440" w:type="dxa"/>
            <w:gridSpan w:val="2"/>
            <w:vAlign w:val="top"/>
          </w:tcPr>
          <w:p w14:paraId="03BDB8DC">
            <w:pPr>
              <w:pStyle w:val="23"/>
              <w:spacing w:before="284" w:line="278" w:lineRule="auto"/>
              <w:ind w:left="118" w:right="152"/>
              <w:rPr>
                <w:color w:val="auto"/>
                <w:highlight w:val="none"/>
              </w:rPr>
            </w:pPr>
            <w:r>
              <w:rPr>
                <w:color w:val="auto"/>
                <w:spacing w:val="11"/>
                <w:highlight w:val="none"/>
              </w:rPr>
              <w:t>监理人中标法人单位未按合同约定或发包人要求，</w:t>
            </w:r>
            <w:r>
              <w:rPr>
                <w:color w:val="auto"/>
                <w:spacing w:val="10"/>
                <w:highlight w:val="none"/>
              </w:rPr>
              <w:t>对总监办进行监管和支持，</w:t>
            </w:r>
            <w:r>
              <w:rPr>
                <w:color w:val="auto"/>
                <w:spacing w:val="7"/>
                <w:highlight w:val="none"/>
              </w:rPr>
              <w:t>重要事项未提级管理，每次处以违约金</w:t>
            </w:r>
            <w:r>
              <w:rPr>
                <w:color w:val="auto"/>
                <w:spacing w:val="-27"/>
                <w:highlight w:val="none"/>
              </w:rPr>
              <w:t xml:space="preserve"> </w:t>
            </w:r>
            <w:r>
              <w:rPr>
                <w:rFonts w:ascii="Calibri" w:hAnsi="Calibri" w:eastAsia="Calibri" w:cs="Calibri"/>
                <w:color w:val="auto"/>
                <w:spacing w:val="7"/>
                <w:highlight w:val="none"/>
                <w:u w:val="single" w:color="auto"/>
              </w:rPr>
              <w:t>5</w:t>
            </w:r>
            <w:r>
              <w:rPr>
                <w:rFonts w:ascii="Calibri" w:hAnsi="Calibri" w:eastAsia="Calibri" w:cs="Calibri"/>
                <w:color w:val="auto"/>
                <w:spacing w:val="23"/>
                <w:w w:val="101"/>
                <w:highlight w:val="none"/>
                <w:u w:val="single" w:color="auto"/>
              </w:rPr>
              <w:t xml:space="preserve"> </w:t>
            </w:r>
            <w:r>
              <w:rPr>
                <w:color w:val="auto"/>
                <w:spacing w:val="7"/>
                <w:highlight w:val="none"/>
              </w:rPr>
              <w:t>万元。</w:t>
            </w:r>
          </w:p>
        </w:tc>
      </w:tr>
      <w:tr w14:paraId="41C4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1134" w:hRule="atLeast"/>
        </w:trPr>
        <w:tc>
          <w:tcPr>
            <w:tcW w:w="610" w:type="dxa"/>
            <w:vMerge w:val="continue"/>
            <w:textDirection w:val="tbLrV"/>
            <w:vAlign w:val="center"/>
          </w:tcPr>
          <w:p w14:paraId="37354D2F">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b/>
                <w:bCs/>
                <w:color w:val="auto"/>
                <w:highlight w:val="none"/>
              </w:rPr>
            </w:pPr>
          </w:p>
        </w:tc>
        <w:tc>
          <w:tcPr>
            <w:tcW w:w="845" w:type="dxa"/>
            <w:vAlign w:val="top"/>
          </w:tcPr>
          <w:p w14:paraId="26A5FE54">
            <w:pPr>
              <w:spacing w:line="281" w:lineRule="auto"/>
              <w:rPr>
                <w:rFonts w:ascii="Arial"/>
                <w:color w:val="auto"/>
                <w:sz w:val="21"/>
                <w:highlight w:val="none"/>
              </w:rPr>
            </w:pPr>
          </w:p>
          <w:p w14:paraId="75FDAB72">
            <w:pPr>
              <w:spacing w:before="58" w:line="195" w:lineRule="auto"/>
              <w:ind w:left="33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28</w:t>
            </w:r>
          </w:p>
        </w:tc>
        <w:tc>
          <w:tcPr>
            <w:tcW w:w="7366" w:type="dxa"/>
            <w:vAlign w:val="top"/>
          </w:tcPr>
          <w:p w14:paraId="34F46C71">
            <w:pPr>
              <w:pStyle w:val="23"/>
              <w:spacing w:before="117" w:line="262" w:lineRule="auto"/>
              <w:ind w:left="121" w:right="114" w:hanging="4"/>
              <w:rPr>
                <w:color w:val="auto"/>
                <w:highlight w:val="none"/>
              </w:rPr>
            </w:pPr>
            <w:r>
              <w:rPr>
                <w:color w:val="auto"/>
                <w:spacing w:val="13"/>
                <w:highlight w:val="none"/>
              </w:rPr>
              <w:t>监理人未按合同约定或发包人要求组织监理人员适岗培训，每次处以违约金</w:t>
            </w:r>
            <w:r>
              <w:rPr>
                <w:color w:val="auto"/>
                <w:spacing w:val="-32"/>
                <w:highlight w:val="none"/>
              </w:rPr>
              <w:t xml:space="preserve"> </w:t>
            </w:r>
            <w:r>
              <w:rPr>
                <w:rFonts w:ascii="Calibri" w:hAnsi="Calibri" w:eastAsia="Calibri" w:cs="Calibri"/>
                <w:color w:val="auto"/>
                <w:spacing w:val="13"/>
                <w:highlight w:val="none"/>
                <w:u w:val="single" w:color="auto"/>
              </w:rPr>
              <w:t>5</w:t>
            </w:r>
            <w:r>
              <w:rPr>
                <w:color w:val="auto"/>
                <w:spacing w:val="1"/>
                <w:highlight w:val="none"/>
              </w:rPr>
              <w:t>万元。</w:t>
            </w:r>
          </w:p>
        </w:tc>
      </w:tr>
      <w:tr w14:paraId="695F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1134" w:hRule="atLeast"/>
        </w:trPr>
        <w:tc>
          <w:tcPr>
            <w:tcW w:w="610" w:type="dxa"/>
            <w:vMerge w:val="continue"/>
            <w:textDirection w:val="tbLrV"/>
            <w:vAlign w:val="center"/>
          </w:tcPr>
          <w:p w14:paraId="05CBB6AD">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b/>
                <w:bCs/>
                <w:color w:val="auto"/>
                <w:highlight w:val="none"/>
              </w:rPr>
            </w:pPr>
          </w:p>
        </w:tc>
        <w:tc>
          <w:tcPr>
            <w:tcW w:w="845" w:type="dxa"/>
            <w:vAlign w:val="top"/>
          </w:tcPr>
          <w:p w14:paraId="4061D809">
            <w:pPr>
              <w:spacing w:before="181" w:line="195" w:lineRule="auto"/>
              <w:ind w:left="33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29</w:t>
            </w:r>
          </w:p>
        </w:tc>
        <w:tc>
          <w:tcPr>
            <w:tcW w:w="7366" w:type="dxa"/>
            <w:vAlign w:val="top"/>
          </w:tcPr>
          <w:p w14:paraId="38D0CDDC">
            <w:pPr>
              <w:pStyle w:val="23"/>
              <w:spacing w:before="126" w:line="266" w:lineRule="auto"/>
              <w:ind w:left="121" w:right="114"/>
              <w:rPr>
                <w:color w:val="auto"/>
                <w:highlight w:val="none"/>
              </w:rPr>
            </w:pPr>
            <w:r>
              <w:rPr>
                <w:color w:val="auto"/>
                <w:spacing w:val="13"/>
                <w:highlight w:val="none"/>
              </w:rPr>
              <w:t>总监办未按合同约定工作内容，积极协助发包人进行管理，每次处</w:t>
            </w:r>
            <w:r>
              <w:rPr>
                <w:color w:val="auto"/>
                <w:spacing w:val="12"/>
                <w:highlight w:val="none"/>
              </w:rPr>
              <w:t>以违约金</w:t>
            </w:r>
            <w:r>
              <w:rPr>
                <w:color w:val="auto"/>
                <w:spacing w:val="-32"/>
                <w:highlight w:val="none"/>
              </w:rPr>
              <w:t xml:space="preserve"> </w:t>
            </w:r>
            <w:r>
              <w:rPr>
                <w:rFonts w:ascii="Calibri" w:hAnsi="Calibri" w:eastAsia="Calibri" w:cs="Calibri"/>
                <w:color w:val="auto"/>
                <w:spacing w:val="12"/>
                <w:highlight w:val="none"/>
              </w:rPr>
              <w:t>5</w:t>
            </w:r>
            <w:r>
              <w:rPr>
                <w:color w:val="auto"/>
                <w:spacing w:val="1"/>
                <w:highlight w:val="none"/>
              </w:rPr>
              <w:t>万元。</w:t>
            </w:r>
          </w:p>
        </w:tc>
      </w:tr>
      <w:tr w14:paraId="0FF3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90" w:hRule="atLeast"/>
        </w:trPr>
        <w:tc>
          <w:tcPr>
            <w:tcW w:w="610" w:type="dxa"/>
            <w:vMerge w:val="continue"/>
            <w:textDirection w:val="tbLrV"/>
            <w:vAlign w:val="center"/>
          </w:tcPr>
          <w:p w14:paraId="2B7C0C4A">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b/>
                <w:bCs/>
                <w:color w:val="auto"/>
                <w:highlight w:val="none"/>
              </w:rPr>
            </w:pPr>
          </w:p>
        </w:tc>
        <w:tc>
          <w:tcPr>
            <w:tcW w:w="845" w:type="dxa"/>
            <w:vAlign w:val="top"/>
          </w:tcPr>
          <w:p w14:paraId="56638DB0">
            <w:pPr>
              <w:spacing w:line="336" w:lineRule="auto"/>
              <w:rPr>
                <w:rFonts w:ascii="Arial"/>
                <w:color w:val="auto"/>
                <w:sz w:val="21"/>
                <w:highlight w:val="none"/>
              </w:rPr>
            </w:pPr>
          </w:p>
          <w:p w14:paraId="361886AB">
            <w:pPr>
              <w:spacing w:line="337" w:lineRule="auto"/>
              <w:rPr>
                <w:rFonts w:ascii="Arial"/>
                <w:color w:val="auto"/>
                <w:sz w:val="21"/>
                <w:highlight w:val="none"/>
              </w:rPr>
            </w:pPr>
          </w:p>
          <w:p w14:paraId="76497FB9">
            <w:pPr>
              <w:spacing w:before="58" w:line="195" w:lineRule="auto"/>
              <w:ind w:left="33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30</w:t>
            </w:r>
          </w:p>
        </w:tc>
        <w:tc>
          <w:tcPr>
            <w:tcW w:w="7366" w:type="dxa"/>
            <w:vAlign w:val="top"/>
          </w:tcPr>
          <w:p w14:paraId="2631F976">
            <w:pPr>
              <w:pStyle w:val="23"/>
              <w:spacing w:before="117" w:line="282" w:lineRule="auto"/>
              <w:ind w:left="118" w:right="114" w:hanging="2"/>
              <w:rPr>
                <w:color w:val="auto"/>
                <w:highlight w:val="none"/>
              </w:rPr>
            </w:pPr>
            <w:r>
              <w:rPr>
                <w:color w:val="auto"/>
                <w:spacing w:val="11"/>
                <w:highlight w:val="none"/>
              </w:rPr>
              <w:t>对施工单位的《项目管理方案》审查不到位，视情况处每次</w:t>
            </w:r>
            <w:r>
              <w:rPr>
                <w:color w:val="auto"/>
                <w:spacing w:val="-10"/>
                <w:highlight w:val="none"/>
              </w:rPr>
              <w:t xml:space="preserve"> </w:t>
            </w:r>
            <w:r>
              <w:rPr>
                <w:rFonts w:ascii="Calibri" w:hAnsi="Calibri" w:eastAsia="Calibri" w:cs="Calibri"/>
                <w:color w:val="auto"/>
                <w:spacing w:val="11"/>
                <w:highlight w:val="none"/>
              </w:rPr>
              <w:t>1</w:t>
            </w:r>
            <w:r>
              <w:rPr>
                <w:rFonts w:ascii="Calibri" w:hAnsi="Calibri" w:eastAsia="Calibri" w:cs="Calibri"/>
                <w:color w:val="auto"/>
                <w:spacing w:val="28"/>
                <w:w w:val="101"/>
                <w:highlight w:val="none"/>
              </w:rPr>
              <w:t xml:space="preserve"> </w:t>
            </w:r>
            <w:r>
              <w:rPr>
                <w:color w:val="auto"/>
                <w:spacing w:val="11"/>
                <w:highlight w:val="none"/>
              </w:rPr>
              <w:t>万—</w:t>
            </w:r>
            <w:r>
              <w:rPr>
                <w:rFonts w:ascii="Calibri" w:hAnsi="Calibri" w:eastAsia="Calibri" w:cs="Calibri"/>
                <w:color w:val="auto"/>
                <w:spacing w:val="11"/>
                <w:highlight w:val="none"/>
              </w:rPr>
              <w:t>2</w:t>
            </w:r>
            <w:r>
              <w:rPr>
                <w:rFonts w:ascii="Calibri" w:hAnsi="Calibri" w:eastAsia="Calibri" w:cs="Calibri"/>
                <w:color w:val="auto"/>
                <w:spacing w:val="27"/>
                <w:w w:val="101"/>
                <w:highlight w:val="none"/>
              </w:rPr>
              <w:t xml:space="preserve"> </w:t>
            </w:r>
            <w:r>
              <w:rPr>
                <w:color w:val="auto"/>
                <w:spacing w:val="11"/>
                <w:highlight w:val="none"/>
              </w:rPr>
              <w:t>万元违约</w:t>
            </w:r>
            <w:r>
              <w:rPr>
                <w:color w:val="auto"/>
                <w:spacing w:val="-1"/>
                <w:highlight w:val="none"/>
              </w:rPr>
              <w:t>金。</w:t>
            </w:r>
          </w:p>
          <w:p w14:paraId="54881148">
            <w:pPr>
              <w:pStyle w:val="23"/>
              <w:spacing w:before="78" w:line="228" w:lineRule="auto"/>
              <w:ind w:left="120"/>
              <w:rPr>
                <w:color w:val="auto"/>
                <w:highlight w:val="none"/>
              </w:rPr>
            </w:pPr>
            <w:r>
              <w:rPr>
                <w:color w:val="auto"/>
                <w:spacing w:val="5"/>
                <w:highlight w:val="none"/>
              </w:rPr>
              <w:t>未按时检查处以违约金</w:t>
            </w:r>
            <w:r>
              <w:rPr>
                <w:color w:val="auto"/>
                <w:spacing w:val="-31"/>
                <w:highlight w:val="none"/>
              </w:rPr>
              <w:t xml:space="preserve"> </w:t>
            </w:r>
            <w:r>
              <w:rPr>
                <w:rFonts w:ascii="Calibri" w:hAnsi="Calibri" w:eastAsia="Calibri" w:cs="Calibri"/>
                <w:color w:val="auto"/>
                <w:spacing w:val="5"/>
                <w:highlight w:val="none"/>
              </w:rPr>
              <w:t>0.5</w:t>
            </w:r>
            <w:r>
              <w:rPr>
                <w:rFonts w:ascii="Calibri" w:hAnsi="Calibri" w:eastAsia="Calibri" w:cs="Calibri"/>
                <w:color w:val="auto"/>
                <w:spacing w:val="26"/>
                <w:highlight w:val="none"/>
              </w:rPr>
              <w:t xml:space="preserve"> </w:t>
            </w:r>
            <w:r>
              <w:rPr>
                <w:color w:val="auto"/>
                <w:spacing w:val="5"/>
                <w:highlight w:val="none"/>
              </w:rPr>
              <w:t>万—</w:t>
            </w:r>
            <w:r>
              <w:rPr>
                <w:rFonts w:ascii="Calibri" w:hAnsi="Calibri" w:eastAsia="Calibri" w:cs="Calibri"/>
                <w:color w:val="auto"/>
                <w:spacing w:val="5"/>
                <w:highlight w:val="none"/>
              </w:rPr>
              <w:t>1</w:t>
            </w:r>
            <w:r>
              <w:rPr>
                <w:rFonts w:ascii="Calibri" w:hAnsi="Calibri" w:eastAsia="Calibri" w:cs="Calibri"/>
                <w:color w:val="auto"/>
                <w:spacing w:val="23"/>
                <w:highlight w:val="none"/>
              </w:rPr>
              <w:t xml:space="preserve"> </w:t>
            </w:r>
            <w:r>
              <w:rPr>
                <w:color w:val="auto"/>
                <w:spacing w:val="5"/>
                <w:highlight w:val="none"/>
              </w:rPr>
              <w:t>万元。</w:t>
            </w:r>
          </w:p>
          <w:p w14:paraId="08749DBA">
            <w:pPr>
              <w:pStyle w:val="23"/>
              <w:spacing w:before="149" w:line="211" w:lineRule="auto"/>
              <w:ind w:left="116"/>
              <w:rPr>
                <w:color w:val="auto"/>
                <w:sz w:val="22"/>
                <w:szCs w:val="22"/>
                <w:highlight w:val="none"/>
              </w:rPr>
            </w:pPr>
            <w:r>
              <w:rPr>
                <w:color w:val="auto"/>
                <w:spacing w:val="7"/>
                <w:highlight w:val="none"/>
              </w:rPr>
              <w:t>检查不到位，没有及时督促整改处以违约金</w:t>
            </w:r>
            <w:r>
              <w:rPr>
                <w:color w:val="auto"/>
                <w:spacing w:val="-37"/>
                <w:highlight w:val="none"/>
              </w:rPr>
              <w:t xml:space="preserve"> </w:t>
            </w:r>
            <w:r>
              <w:rPr>
                <w:rFonts w:ascii="Calibri" w:hAnsi="Calibri" w:eastAsia="Calibri" w:cs="Calibri"/>
                <w:color w:val="auto"/>
                <w:spacing w:val="7"/>
                <w:highlight w:val="none"/>
              </w:rPr>
              <w:t>0.5</w:t>
            </w:r>
            <w:r>
              <w:rPr>
                <w:rFonts w:ascii="Calibri" w:hAnsi="Calibri" w:eastAsia="Calibri" w:cs="Calibri"/>
                <w:color w:val="auto"/>
                <w:spacing w:val="23"/>
                <w:highlight w:val="none"/>
              </w:rPr>
              <w:t xml:space="preserve"> </w:t>
            </w:r>
            <w:r>
              <w:rPr>
                <w:color w:val="auto"/>
                <w:spacing w:val="7"/>
                <w:highlight w:val="none"/>
              </w:rPr>
              <w:t>万—</w:t>
            </w:r>
            <w:r>
              <w:rPr>
                <w:rFonts w:ascii="Calibri" w:hAnsi="Calibri" w:eastAsia="Calibri" w:cs="Calibri"/>
                <w:color w:val="auto"/>
                <w:spacing w:val="7"/>
                <w:highlight w:val="none"/>
              </w:rPr>
              <w:t>1</w:t>
            </w:r>
            <w:r>
              <w:rPr>
                <w:rFonts w:ascii="Calibri" w:hAnsi="Calibri" w:eastAsia="Calibri" w:cs="Calibri"/>
                <w:color w:val="auto"/>
                <w:spacing w:val="25"/>
                <w:w w:val="101"/>
                <w:highlight w:val="none"/>
              </w:rPr>
              <w:t xml:space="preserve"> </w:t>
            </w:r>
            <w:r>
              <w:rPr>
                <w:color w:val="auto"/>
                <w:spacing w:val="7"/>
                <w:highlight w:val="none"/>
              </w:rPr>
              <w:t>万元</w:t>
            </w:r>
            <w:r>
              <w:rPr>
                <w:color w:val="auto"/>
                <w:spacing w:val="7"/>
                <w:sz w:val="22"/>
                <w:szCs w:val="22"/>
                <w:highlight w:val="none"/>
              </w:rPr>
              <w:t>。</w:t>
            </w:r>
          </w:p>
        </w:tc>
      </w:tr>
      <w:tr w14:paraId="1F10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90" w:hRule="atLeast"/>
        </w:trPr>
        <w:tc>
          <w:tcPr>
            <w:tcW w:w="610" w:type="dxa"/>
            <w:vMerge w:val="restart"/>
            <w:textDirection w:val="tbLrV"/>
            <w:vAlign w:val="center"/>
          </w:tcPr>
          <w:p w14:paraId="7EAAF78E">
            <w:pPr>
              <w:pStyle w:val="23"/>
              <w:keepNext w:val="0"/>
              <w:keepLines w:val="0"/>
              <w:pageBreakBefore w:val="0"/>
              <w:widowControl/>
              <w:kinsoku w:val="0"/>
              <w:wordWrap/>
              <w:overflowPunct/>
              <w:topLinePunct w:val="0"/>
              <w:autoSpaceDE w:val="0"/>
              <w:autoSpaceDN w:val="0"/>
              <w:bidi w:val="0"/>
              <w:adjustRightInd/>
              <w:snapToGrid/>
              <w:spacing w:line="240" w:lineRule="auto"/>
              <w:ind w:left="113" w:right="113" w:rightChars="0"/>
              <w:jc w:val="center"/>
              <w:textAlignment w:val="baseline"/>
              <w:rPr>
                <w:rFonts w:ascii="Calibri" w:hAnsi="Calibri" w:eastAsia="Calibri" w:cs="Calibri"/>
                <w:b/>
                <w:bCs/>
                <w:color w:val="auto"/>
                <w:spacing w:val="7"/>
                <w:highlight w:val="none"/>
                <w:u w:val="single" w:color="auto"/>
              </w:rPr>
            </w:pPr>
            <w:r>
              <w:rPr>
                <w:rFonts w:hint="eastAsia"/>
                <w:b/>
                <w:bCs/>
                <w:color w:val="auto"/>
                <w:highlight w:val="none"/>
                <w:lang w:val="en-US" w:eastAsia="zh-CN"/>
              </w:rPr>
              <w:t>安全罚款</w:t>
            </w:r>
          </w:p>
        </w:tc>
        <w:tc>
          <w:tcPr>
            <w:tcW w:w="845" w:type="dxa"/>
            <w:vAlign w:val="top"/>
          </w:tcPr>
          <w:p w14:paraId="47737E52">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r>
              <w:rPr>
                <w:rFonts w:ascii="Calibri" w:hAnsi="Calibri" w:eastAsia="Calibri" w:cs="Calibri"/>
                <w:strike w:val="0"/>
                <w:dstrike w:val="0"/>
                <w:color w:val="auto"/>
                <w:spacing w:val="7"/>
                <w:highlight w:val="none"/>
                <w:u w:val="none" w:color="auto"/>
              </w:rPr>
              <w:t>1</w:t>
            </w:r>
          </w:p>
        </w:tc>
        <w:tc>
          <w:tcPr>
            <w:tcW w:w="7366" w:type="dxa"/>
            <w:vAlign w:val="top"/>
          </w:tcPr>
          <w:p w14:paraId="5CCB0CF3">
            <w:pPr>
              <w:pStyle w:val="23"/>
              <w:spacing w:before="130" w:line="221" w:lineRule="auto"/>
              <w:ind w:left="223"/>
              <w:rPr>
                <w:rFonts w:ascii="Times New Roman" w:hAnsi="Times New Roman" w:eastAsia="Times New Roman" w:cs="Times New Roman"/>
                <w:color w:val="auto"/>
                <w:highlight w:val="none"/>
              </w:rPr>
            </w:pPr>
            <w:r>
              <w:rPr>
                <w:color w:val="auto"/>
                <w:spacing w:val="8"/>
                <w:highlight w:val="none"/>
              </w:rPr>
              <w:t>监理人员违反施工现场安全管理规定的，每人次罚款</w:t>
            </w:r>
            <w:r>
              <w:rPr>
                <w:color w:val="auto"/>
                <w:spacing w:val="-37"/>
                <w:highlight w:val="none"/>
              </w:rPr>
              <w:t xml:space="preserve"> </w:t>
            </w: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7"/>
                <w:highlight w:val="none"/>
              </w:rPr>
              <w:t xml:space="preserve">00 </w:t>
            </w:r>
            <w:r>
              <w:rPr>
                <w:color w:val="auto"/>
                <w:spacing w:val="7"/>
                <w:highlight w:val="none"/>
              </w:rPr>
              <w:t>元</w:t>
            </w:r>
            <w:r>
              <w:rPr>
                <w:rFonts w:ascii="Times New Roman" w:hAnsi="Times New Roman" w:eastAsia="Times New Roman" w:cs="Times New Roman"/>
                <w:color w:val="auto"/>
                <w:spacing w:val="7"/>
                <w:highlight w:val="none"/>
              </w:rPr>
              <w:t>;</w:t>
            </w:r>
          </w:p>
        </w:tc>
      </w:tr>
      <w:tr w14:paraId="7B53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697" w:hRule="atLeast"/>
        </w:trPr>
        <w:tc>
          <w:tcPr>
            <w:tcW w:w="610" w:type="dxa"/>
            <w:vMerge w:val="continue"/>
            <w:textDirection w:val="tbRlV"/>
            <w:vAlign w:val="top"/>
          </w:tcPr>
          <w:p w14:paraId="07773B0B">
            <w:pPr>
              <w:pStyle w:val="23"/>
              <w:spacing w:before="133" w:line="269" w:lineRule="auto"/>
              <w:ind w:left="119" w:right="101" w:firstLine="14"/>
              <w:jc w:val="both"/>
              <w:rPr>
                <w:rFonts w:ascii="Calibri" w:hAnsi="Calibri" w:eastAsia="Calibri" w:cs="Calibri"/>
                <w:color w:val="auto"/>
                <w:spacing w:val="7"/>
                <w:highlight w:val="none"/>
                <w:u w:val="single" w:color="auto"/>
              </w:rPr>
            </w:pPr>
          </w:p>
        </w:tc>
        <w:tc>
          <w:tcPr>
            <w:tcW w:w="845" w:type="dxa"/>
            <w:vAlign w:val="top"/>
          </w:tcPr>
          <w:p w14:paraId="6CEE6285">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12CC86FF">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r>
              <w:rPr>
                <w:rFonts w:ascii="Calibri" w:hAnsi="Calibri" w:eastAsia="Calibri" w:cs="Calibri"/>
                <w:strike w:val="0"/>
                <w:dstrike w:val="0"/>
                <w:color w:val="auto"/>
                <w:spacing w:val="7"/>
                <w:highlight w:val="none"/>
                <w:u w:val="none" w:color="auto"/>
              </w:rPr>
              <w:t>2</w:t>
            </w:r>
          </w:p>
        </w:tc>
        <w:tc>
          <w:tcPr>
            <w:tcW w:w="7366" w:type="dxa"/>
            <w:vAlign w:val="top"/>
          </w:tcPr>
          <w:p w14:paraId="32B9754F">
            <w:pPr>
              <w:pStyle w:val="23"/>
              <w:spacing w:before="121" w:line="261" w:lineRule="auto"/>
              <w:ind w:left="225" w:right="301" w:hanging="4"/>
              <w:rPr>
                <w:rFonts w:ascii="Times New Roman" w:hAnsi="Times New Roman" w:eastAsia="Times New Roman" w:cs="Times New Roman"/>
                <w:color w:val="auto"/>
                <w:highlight w:val="none"/>
              </w:rPr>
            </w:pPr>
            <w:r>
              <w:rPr>
                <w:color w:val="auto"/>
                <w:spacing w:val="10"/>
                <w:highlight w:val="none"/>
              </w:rPr>
              <w:t>施工现场存在严重安全隐患，监理人未及时发现或发</w:t>
            </w:r>
            <w:r>
              <w:rPr>
                <w:color w:val="auto"/>
                <w:spacing w:val="9"/>
                <w:highlight w:val="none"/>
              </w:rPr>
              <w:t>现后未采取措施的，每</w:t>
            </w:r>
            <w:r>
              <w:rPr>
                <w:color w:val="auto"/>
                <w:spacing w:val="3"/>
                <w:highlight w:val="none"/>
              </w:rPr>
              <w:t>项罚款</w:t>
            </w:r>
            <w:r>
              <w:rPr>
                <w:color w:val="auto"/>
                <w:spacing w:val="-37"/>
                <w:highlight w:val="none"/>
              </w:rPr>
              <w:t xml:space="preserve"> </w:t>
            </w:r>
            <w:r>
              <w:rPr>
                <w:rFonts w:ascii="Times New Roman" w:hAnsi="Times New Roman" w:eastAsia="Times New Roman" w:cs="Times New Roman"/>
                <w:color w:val="auto"/>
                <w:spacing w:val="3"/>
                <w:highlight w:val="none"/>
              </w:rPr>
              <w:t xml:space="preserve">3000 </w:t>
            </w:r>
            <w:r>
              <w:rPr>
                <w:color w:val="auto"/>
                <w:spacing w:val="3"/>
                <w:highlight w:val="none"/>
              </w:rPr>
              <w:t>元</w:t>
            </w:r>
            <w:r>
              <w:rPr>
                <w:rFonts w:ascii="Times New Roman" w:hAnsi="Times New Roman" w:eastAsia="Times New Roman" w:cs="Times New Roman"/>
                <w:color w:val="auto"/>
                <w:spacing w:val="3"/>
                <w:highlight w:val="none"/>
              </w:rPr>
              <w:t>;</w:t>
            </w:r>
          </w:p>
        </w:tc>
      </w:tr>
      <w:tr w14:paraId="2DB3C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697" w:hRule="atLeast"/>
        </w:trPr>
        <w:tc>
          <w:tcPr>
            <w:tcW w:w="610" w:type="dxa"/>
            <w:vMerge w:val="continue"/>
            <w:textDirection w:val="tbRlV"/>
            <w:vAlign w:val="top"/>
          </w:tcPr>
          <w:p w14:paraId="33989E6C">
            <w:pPr>
              <w:pStyle w:val="23"/>
              <w:spacing w:before="133" w:line="269" w:lineRule="auto"/>
              <w:ind w:left="119" w:right="101" w:firstLine="14"/>
              <w:jc w:val="both"/>
              <w:rPr>
                <w:rFonts w:ascii="Calibri" w:hAnsi="Calibri" w:eastAsia="Calibri" w:cs="Calibri"/>
                <w:color w:val="auto"/>
                <w:spacing w:val="7"/>
                <w:highlight w:val="none"/>
                <w:u w:val="single" w:color="auto"/>
              </w:rPr>
            </w:pPr>
          </w:p>
        </w:tc>
        <w:tc>
          <w:tcPr>
            <w:tcW w:w="845" w:type="dxa"/>
            <w:vAlign w:val="top"/>
          </w:tcPr>
          <w:p w14:paraId="5EC2DDD7">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7E33C4B3">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r>
              <w:rPr>
                <w:rFonts w:ascii="Calibri" w:hAnsi="Calibri" w:eastAsia="Calibri" w:cs="Calibri"/>
                <w:strike w:val="0"/>
                <w:dstrike w:val="0"/>
                <w:color w:val="auto"/>
                <w:spacing w:val="7"/>
                <w:highlight w:val="none"/>
                <w:u w:val="none" w:color="auto"/>
              </w:rPr>
              <w:t>3</w:t>
            </w:r>
          </w:p>
        </w:tc>
        <w:tc>
          <w:tcPr>
            <w:tcW w:w="7366" w:type="dxa"/>
            <w:vAlign w:val="top"/>
          </w:tcPr>
          <w:p w14:paraId="5145CD70">
            <w:pPr>
              <w:pStyle w:val="23"/>
              <w:spacing w:before="121" w:line="261" w:lineRule="auto"/>
              <w:ind w:left="230" w:right="301" w:hanging="9"/>
              <w:rPr>
                <w:rFonts w:ascii="Times New Roman" w:hAnsi="Times New Roman" w:eastAsia="Times New Roman" w:cs="Times New Roman"/>
                <w:color w:val="auto"/>
                <w:highlight w:val="none"/>
              </w:rPr>
            </w:pPr>
            <w:r>
              <w:rPr>
                <w:color w:val="auto"/>
                <w:spacing w:val="10"/>
                <w:highlight w:val="none"/>
              </w:rPr>
              <w:t>施工单位未按规定整改期限及时整改安全隐患，监理</w:t>
            </w:r>
            <w:r>
              <w:rPr>
                <w:color w:val="auto"/>
                <w:spacing w:val="9"/>
                <w:highlight w:val="none"/>
              </w:rPr>
              <w:t>人未采取措施的，每项</w:t>
            </w:r>
            <w:r>
              <w:rPr>
                <w:color w:val="auto"/>
                <w:highlight w:val="none"/>
              </w:rPr>
              <w:t>罚款</w:t>
            </w:r>
            <w:r>
              <w:rPr>
                <w:color w:val="auto"/>
                <w:spacing w:val="-23"/>
                <w:highlight w:val="none"/>
              </w:rPr>
              <w:t xml:space="preserve"> </w:t>
            </w:r>
            <w:r>
              <w:rPr>
                <w:rFonts w:ascii="Times New Roman" w:hAnsi="Times New Roman" w:eastAsia="Times New Roman" w:cs="Times New Roman"/>
                <w:color w:val="auto"/>
                <w:highlight w:val="none"/>
              </w:rPr>
              <w:t xml:space="preserve">1000 </w:t>
            </w:r>
            <w:r>
              <w:rPr>
                <w:color w:val="auto"/>
                <w:highlight w:val="none"/>
              </w:rPr>
              <w:t>元</w:t>
            </w:r>
            <w:r>
              <w:rPr>
                <w:rFonts w:ascii="Times New Roman" w:hAnsi="Times New Roman" w:eastAsia="Times New Roman" w:cs="Times New Roman"/>
                <w:color w:val="auto"/>
                <w:highlight w:val="none"/>
              </w:rPr>
              <w:t>;</w:t>
            </w:r>
          </w:p>
        </w:tc>
      </w:tr>
      <w:tr w14:paraId="16AC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3726" w:hRule="atLeast"/>
        </w:trPr>
        <w:tc>
          <w:tcPr>
            <w:tcW w:w="610" w:type="dxa"/>
            <w:vMerge w:val="continue"/>
            <w:textDirection w:val="tbRlV"/>
            <w:vAlign w:val="top"/>
          </w:tcPr>
          <w:p w14:paraId="33AF195A">
            <w:pPr>
              <w:pStyle w:val="23"/>
              <w:spacing w:before="133" w:line="269" w:lineRule="auto"/>
              <w:ind w:left="119" w:right="101" w:firstLine="14"/>
              <w:jc w:val="both"/>
              <w:rPr>
                <w:rFonts w:ascii="Calibri" w:hAnsi="Calibri" w:eastAsia="Calibri" w:cs="Calibri"/>
                <w:color w:val="auto"/>
                <w:spacing w:val="7"/>
                <w:highlight w:val="none"/>
                <w:u w:val="single" w:color="auto"/>
              </w:rPr>
            </w:pPr>
          </w:p>
        </w:tc>
        <w:tc>
          <w:tcPr>
            <w:tcW w:w="845" w:type="dxa"/>
            <w:vAlign w:val="top"/>
          </w:tcPr>
          <w:p w14:paraId="33B41BB0">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0FB02EF3">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5E0DA5A7">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6746598B">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2A134637">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4C6340BE">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692BA7F5">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27CACE58">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r>
              <w:rPr>
                <w:rFonts w:ascii="Calibri" w:hAnsi="Calibri" w:eastAsia="Calibri" w:cs="Calibri"/>
                <w:strike w:val="0"/>
                <w:dstrike w:val="0"/>
                <w:color w:val="auto"/>
                <w:spacing w:val="7"/>
                <w:highlight w:val="none"/>
                <w:u w:val="none" w:color="auto"/>
              </w:rPr>
              <w:t>4</w:t>
            </w:r>
          </w:p>
        </w:tc>
        <w:tc>
          <w:tcPr>
            <w:tcW w:w="7366" w:type="dxa"/>
            <w:vAlign w:val="top"/>
          </w:tcPr>
          <w:p w14:paraId="7FF7221F">
            <w:pPr>
              <w:pStyle w:val="23"/>
              <w:spacing w:before="119" w:line="227" w:lineRule="auto"/>
              <w:ind w:left="221"/>
              <w:rPr>
                <w:color w:val="auto"/>
                <w:highlight w:val="none"/>
              </w:rPr>
            </w:pPr>
            <w:r>
              <w:rPr>
                <w:color w:val="auto"/>
                <w:spacing w:val="8"/>
                <w:highlight w:val="none"/>
              </w:rPr>
              <w:t>施工单位存在下列情况，监理人未采取措施的，每项罚款</w:t>
            </w:r>
            <w:r>
              <w:rPr>
                <w:color w:val="auto"/>
                <w:spacing w:val="-43"/>
                <w:highlight w:val="none"/>
              </w:rPr>
              <w:t xml:space="preserve"> </w:t>
            </w:r>
            <w:r>
              <w:rPr>
                <w:rFonts w:ascii="Times New Roman" w:hAnsi="Times New Roman" w:eastAsia="Times New Roman" w:cs="Times New Roman"/>
                <w:color w:val="auto"/>
                <w:spacing w:val="8"/>
                <w:highlight w:val="none"/>
              </w:rPr>
              <w:t xml:space="preserve">2000 </w:t>
            </w:r>
            <w:r>
              <w:rPr>
                <w:color w:val="auto"/>
                <w:spacing w:val="8"/>
                <w:highlight w:val="none"/>
              </w:rPr>
              <w:t>元：</w:t>
            </w:r>
          </w:p>
          <w:p w14:paraId="009A6D2D">
            <w:pPr>
              <w:pStyle w:val="23"/>
              <w:spacing w:before="143" w:line="226" w:lineRule="auto"/>
              <w:ind w:left="232"/>
              <w:rPr>
                <w:color w:val="auto"/>
                <w:highlight w:val="none"/>
              </w:rPr>
            </w:pPr>
            <w:r>
              <w:rPr>
                <w:color w:val="auto"/>
                <w:spacing w:val="8"/>
                <w:highlight w:val="none"/>
              </w:rPr>
              <w:t>（一）未按规定开展桥梁隧道工程施工安全风险评估的。</w:t>
            </w:r>
          </w:p>
          <w:p w14:paraId="7E48FD20">
            <w:pPr>
              <w:pStyle w:val="23"/>
              <w:spacing w:before="145" w:line="254" w:lineRule="auto"/>
              <w:ind w:left="223" w:right="205" w:firstLine="9"/>
              <w:rPr>
                <w:color w:val="auto"/>
                <w:highlight w:val="none"/>
              </w:rPr>
            </w:pPr>
            <w:r>
              <w:rPr>
                <w:color w:val="auto"/>
                <w:spacing w:val="12"/>
                <w:highlight w:val="none"/>
              </w:rPr>
              <w:t>（二）未按规定完成专项施工安全技术方案的编制、论证、审核、审批手续</w:t>
            </w:r>
            <w:r>
              <w:rPr>
                <w:color w:val="auto"/>
                <w:spacing w:val="6"/>
                <w:highlight w:val="none"/>
              </w:rPr>
              <w:t>而擅自施工的。</w:t>
            </w:r>
          </w:p>
          <w:p w14:paraId="05A64D08">
            <w:pPr>
              <w:pStyle w:val="23"/>
              <w:spacing w:before="141" w:line="228" w:lineRule="auto"/>
              <w:ind w:left="232"/>
              <w:rPr>
                <w:color w:val="auto"/>
                <w:highlight w:val="none"/>
              </w:rPr>
            </w:pPr>
            <w:r>
              <w:rPr>
                <w:color w:val="auto"/>
                <w:spacing w:val="8"/>
                <w:highlight w:val="none"/>
              </w:rPr>
              <w:t>（三）未按已审批专项方案的安全技术要求施工的。</w:t>
            </w:r>
          </w:p>
          <w:p w14:paraId="40282AE7">
            <w:pPr>
              <w:pStyle w:val="23"/>
              <w:spacing w:before="144" w:line="228" w:lineRule="auto"/>
              <w:ind w:left="232"/>
              <w:rPr>
                <w:color w:val="auto"/>
                <w:highlight w:val="none"/>
              </w:rPr>
            </w:pPr>
            <w:r>
              <w:rPr>
                <w:color w:val="auto"/>
                <w:spacing w:val="9"/>
                <w:highlight w:val="none"/>
              </w:rPr>
              <w:t>（四）危险性较大分部分项工程未经组织验收而擅自开展下一步施工的。</w:t>
            </w:r>
          </w:p>
          <w:p w14:paraId="04C486A5">
            <w:pPr>
              <w:pStyle w:val="23"/>
              <w:spacing w:before="142" w:line="252" w:lineRule="auto"/>
              <w:ind w:left="222" w:right="205" w:firstLine="10"/>
              <w:rPr>
                <w:color w:val="auto"/>
                <w:highlight w:val="none"/>
              </w:rPr>
            </w:pPr>
            <w:r>
              <w:rPr>
                <w:color w:val="auto"/>
                <w:spacing w:val="12"/>
                <w:highlight w:val="none"/>
              </w:rPr>
              <w:t>（五）未按规定办理爆破工程施工、涉石油天燃气管道施工、跨路施工、交</w:t>
            </w:r>
            <w:r>
              <w:rPr>
                <w:color w:val="auto"/>
                <w:spacing w:val="9"/>
                <w:highlight w:val="none"/>
              </w:rPr>
              <w:t>通管制及水上水下作业的相关安全许可手续而擅自施工的。</w:t>
            </w:r>
          </w:p>
          <w:p w14:paraId="70D65695">
            <w:pPr>
              <w:pStyle w:val="23"/>
              <w:spacing w:before="145" w:line="227" w:lineRule="auto"/>
              <w:ind w:left="232"/>
              <w:rPr>
                <w:color w:val="auto"/>
                <w:highlight w:val="none"/>
              </w:rPr>
            </w:pPr>
            <w:r>
              <w:rPr>
                <w:color w:val="auto"/>
                <w:spacing w:val="9"/>
                <w:highlight w:val="none"/>
              </w:rPr>
              <w:t>（六）所使用的特种设备未经生产许可或未经专业检测机构检验合格的。</w:t>
            </w:r>
          </w:p>
          <w:p w14:paraId="1B64D2E3">
            <w:pPr>
              <w:pStyle w:val="23"/>
              <w:spacing w:before="142" w:line="228" w:lineRule="auto"/>
              <w:ind w:left="232"/>
              <w:rPr>
                <w:color w:val="auto"/>
                <w:highlight w:val="none"/>
              </w:rPr>
            </w:pPr>
            <w:r>
              <w:rPr>
                <w:color w:val="auto"/>
                <w:spacing w:val="8"/>
                <w:highlight w:val="none"/>
              </w:rPr>
              <w:t>（七）未按照上级文件要求贯彻落实实名制系统。</w:t>
            </w:r>
          </w:p>
        </w:tc>
      </w:tr>
      <w:tr w14:paraId="707D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1866" w:hRule="atLeast"/>
        </w:trPr>
        <w:tc>
          <w:tcPr>
            <w:tcW w:w="610" w:type="dxa"/>
            <w:vMerge w:val="continue"/>
            <w:textDirection w:val="tbRlV"/>
            <w:vAlign w:val="top"/>
          </w:tcPr>
          <w:p w14:paraId="2405FBFD">
            <w:pPr>
              <w:pStyle w:val="23"/>
              <w:spacing w:before="133" w:line="269" w:lineRule="auto"/>
              <w:ind w:left="119" w:right="101" w:firstLine="14"/>
              <w:jc w:val="both"/>
              <w:rPr>
                <w:rFonts w:ascii="Calibri" w:hAnsi="Calibri" w:eastAsia="Calibri" w:cs="Calibri"/>
                <w:color w:val="auto"/>
                <w:spacing w:val="7"/>
                <w:highlight w:val="none"/>
                <w:u w:val="single" w:color="auto"/>
              </w:rPr>
            </w:pPr>
          </w:p>
        </w:tc>
        <w:tc>
          <w:tcPr>
            <w:tcW w:w="845" w:type="dxa"/>
            <w:vAlign w:val="top"/>
          </w:tcPr>
          <w:p w14:paraId="2A966D85">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42D19148">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080AF22A">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p>
          <w:p w14:paraId="0241A179">
            <w:pPr>
              <w:pStyle w:val="23"/>
              <w:spacing w:before="133" w:line="269" w:lineRule="auto"/>
              <w:ind w:left="119" w:right="101" w:firstLine="14"/>
              <w:jc w:val="center"/>
              <w:rPr>
                <w:rFonts w:ascii="Calibri" w:hAnsi="Calibri" w:eastAsia="Calibri" w:cs="Calibri"/>
                <w:strike w:val="0"/>
                <w:dstrike w:val="0"/>
                <w:color w:val="auto"/>
                <w:spacing w:val="7"/>
                <w:highlight w:val="none"/>
                <w:u w:val="none" w:color="auto"/>
              </w:rPr>
            </w:pPr>
            <w:r>
              <w:rPr>
                <w:rFonts w:ascii="Calibri" w:hAnsi="Calibri" w:eastAsia="Calibri" w:cs="Calibri"/>
                <w:strike w:val="0"/>
                <w:dstrike w:val="0"/>
                <w:color w:val="auto"/>
                <w:spacing w:val="7"/>
                <w:highlight w:val="none"/>
                <w:u w:val="none" w:color="auto"/>
              </w:rPr>
              <w:t>5</w:t>
            </w:r>
          </w:p>
        </w:tc>
        <w:tc>
          <w:tcPr>
            <w:tcW w:w="7366" w:type="dxa"/>
            <w:vAlign w:val="top"/>
          </w:tcPr>
          <w:p w14:paraId="3A0A5DD5">
            <w:pPr>
              <w:pStyle w:val="23"/>
              <w:spacing w:before="123" w:line="228" w:lineRule="auto"/>
              <w:ind w:left="228"/>
              <w:rPr>
                <w:color w:val="auto"/>
                <w:highlight w:val="none"/>
              </w:rPr>
            </w:pPr>
            <w:r>
              <w:rPr>
                <w:color w:val="auto"/>
                <w:spacing w:val="6"/>
                <w:highlight w:val="none"/>
              </w:rPr>
              <w:t>总监办存在下列情况的，每项罚款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2000 </w:t>
            </w:r>
            <w:r>
              <w:rPr>
                <w:color w:val="auto"/>
                <w:spacing w:val="6"/>
                <w:highlight w:val="none"/>
              </w:rPr>
              <w:t>元：</w:t>
            </w:r>
          </w:p>
          <w:p w14:paraId="3ADE449C">
            <w:pPr>
              <w:pStyle w:val="23"/>
              <w:spacing w:before="142" w:line="227" w:lineRule="auto"/>
              <w:ind w:left="232"/>
              <w:rPr>
                <w:color w:val="auto"/>
                <w:highlight w:val="none"/>
              </w:rPr>
            </w:pPr>
            <w:r>
              <w:rPr>
                <w:color w:val="auto"/>
                <w:spacing w:val="9"/>
                <w:highlight w:val="none"/>
              </w:rPr>
              <w:t>（一）未按规定制定安全管理规章制度、安全监理规（计）</w:t>
            </w:r>
            <w:r>
              <w:rPr>
                <w:color w:val="auto"/>
                <w:spacing w:val="8"/>
                <w:highlight w:val="none"/>
              </w:rPr>
              <w:t>划的；</w:t>
            </w:r>
          </w:p>
          <w:p w14:paraId="4F15E03A">
            <w:pPr>
              <w:pStyle w:val="23"/>
              <w:spacing w:before="143" w:line="253" w:lineRule="auto"/>
              <w:ind w:left="222" w:right="205" w:firstLine="10"/>
              <w:rPr>
                <w:color w:val="auto"/>
                <w:highlight w:val="none"/>
              </w:rPr>
            </w:pPr>
            <w:r>
              <w:rPr>
                <w:color w:val="auto"/>
                <w:spacing w:val="12"/>
                <w:highlight w:val="none"/>
              </w:rPr>
              <w:t>（二）未按制定的安全管理规章制度、安全监理规（计）划的要求开展安全</w:t>
            </w:r>
            <w:r>
              <w:rPr>
                <w:color w:val="auto"/>
                <w:spacing w:val="8"/>
                <w:highlight w:val="none"/>
              </w:rPr>
              <w:t>检查、安全会议、教育培训、安全技术交底、</w:t>
            </w:r>
            <w:r>
              <w:rPr>
                <w:color w:val="auto"/>
                <w:spacing w:val="-50"/>
                <w:highlight w:val="none"/>
              </w:rPr>
              <w:t xml:space="preserve"> </w:t>
            </w:r>
            <w:r>
              <w:rPr>
                <w:color w:val="auto"/>
                <w:spacing w:val="8"/>
                <w:highlight w:val="none"/>
              </w:rPr>
              <w:t>自我考评、建立</w:t>
            </w:r>
            <w:r>
              <w:rPr>
                <w:color w:val="auto"/>
                <w:spacing w:val="7"/>
                <w:highlight w:val="none"/>
              </w:rPr>
              <w:t>管理台账的；</w:t>
            </w:r>
          </w:p>
          <w:p w14:paraId="022B23BE">
            <w:pPr>
              <w:pStyle w:val="23"/>
              <w:spacing w:before="142" w:line="228" w:lineRule="auto"/>
              <w:ind w:left="232"/>
              <w:rPr>
                <w:color w:val="auto"/>
                <w:highlight w:val="none"/>
              </w:rPr>
            </w:pPr>
            <w:r>
              <w:rPr>
                <w:color w:val="auto"/>
                <w:spacing w:val="8"/>
                <w:highlight w:val="none"/>
              </w:rPr>
              <w:t>（三）未按规定报送安全管理资料的。</w:t>
            </w:r>
          </w:p>
        </w:tc>
      </w:tr>
      <w:tr w14:paraId="3F88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1777" w:hRule="atLeast"/>
        </w:trPr>
        <w:tc>
          <w:tcPr>
            <w:tcW w:w="610" w:type="dxa"/>
            <w:vMerge w:val="continue"/>
            <w:textDirection w:val="tbRlV"/>
            <w:vAlign w:val="top"/>
          </w:tcPr>
          <w:p w14:paraId="323442BF">
            <w:pPr>
              <w:rPr>
                <w:rFonts w:ascii="Arial"/>
                <w:color w:val="auto"/>
                <w:sz w:val="21"/>
                <w:highlight w:val="none"/>
              </w:rPr>
            </w:pPr>
          </w:p>
        </w:tc>
        <w:tc>
          <w:tcPr>
            <w:tcW w:w="845" w:type="dxa"/>
            <w:vAlign w:val="top"/>
          </w:tcPr>
          <w:p w14:paraId="348DC4A1">
            <w:pPr>
              <w:spacing w:line="277" w:lineRule="auto"/>
              <w:jc w:val="center"/>
              <w:rPr>
                <w:rFonts w:ascii="Arial"/>
                <w:strike w:val="0"/>
                <w:dstrike w:val="0"/>
                <w:color w:val="auto"/>
                <w:sz w:val="21"/>
                <w:highlight w:val="none"/>
                <w:u w:val="none" w:color="auto"/>
              </w:rPr>
            </w:pPr>
          </w:p>
          <w:p w14:paraId="5D2A120A">
            <w:pPr>
              <w:spacing w:line="277" w:lineRule="auto"/>
              <w:jc w:val="center"/>
              <w:rPr>
                <w:rFonts w:ascii="Arial"/>
                <w:strike w:val="0"/>
                <w:dstrike w:val="0"/>
                <w:color w:val="auto"/>
                <w:sz w:val="21"/>
                <w:highlight w:val="none"/>
                <w:u w:val="none" w:color="auto"/>
              </w:rPr>
            </w:pPr>
          </w:p>
          <w:p w14:paraId="79E4C519">
            <w:pPr>
              <w:spacing w:line="278" w:lineRule="auto"/>
              <w:jc w:val="center"/>
              <w:rPr>
                <w:rFonts w:ascii="Arial"/>
                <w:strike w:val="0"/>
                <w:dstrike w:val="0"/>
                <w:color w:val="auto"/>
                <w:sz w:val="21"/>
                <w:highlight w:val="none"/>
                <w:u w:val="none" w:color="auto"/>
              </w:rPr>
            </w:pPr>
          </w:p>
          <w:p w14:paraId="1EE3C01F">
            <w:pPr>
              <w:spacing w:before="57" w:line="195" w:lineRule="auto"/>
              <w:ind w:left="377"/>
              <w:jc w:val="both"/>
              <w:rPr>
                <w:rFonts w:ascii="Times New Roman" w:hAnsi="Times New Roman" w:eastAsia="Times New Roman" w:cs="Times New Roman"/>
                <w:strike w:val="0"/>
                <w:dstrike w:val="0"/>
                <w:color w:val="auto"/>
                <w:sz w:val="20"/>
                <w:szCs w:val="20"/>
                <w:highlight w:val="none"/>
                <w:u w:val="none" w:color="auto"/>
              </w:rPr>
            </w:pPr>
            <w:r>
              <w:rPr>
                <w:rFonts w:ascii="Times New Roman" w:hAnsi="Times New Roman" w:eastAsia="Times New Roman" w:cs="Times New Roman"/>
                <w:strike w:val="0"/>
                <w:dstrike w:val="0"/>
                <w:color w:val="auto"/>
                <w:sz w:val="20"/>
                <w:szCs w:val="20"/>
                <w:highlight w:val="none"/>
                <w:u w:val="none" w:color="auto"/>
              </w:rPr>
              <w:t>6</w:t>
            </w:r>
          </w:p>
        </w:tc>
        <w:tc>
          <w:tcPr>
            <w:tcW w:w="7366" w:type="dxa"/>
            <w:vAlign w:val="top"/>
          </w:tcPr>
          <w:p w14:paraId="15273F56">
            <w:pPr>
              <w:pStyle w:val="23"/>
              <w:spacing w:before="121" w:line="228" w:lineRule="auto"/>
              <w:ind w:left="228"/>
              <w:rPr>
                <w:color w:val="auto"/>
                <w:highlight w:val="none"/>
              </w:rPr>
            </w:pPr>
            <w:r>
              <w:rPr>
                <w:color w:val="auto"/>
                <w:spacing w:val="6"/>
                <w:highlight w:val="none"/>
              </w:rPr>
              <w:t>总监办存在下列情况的，每次罚款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3000 </w:t>
            </w:r>
            <w:r>
              <w:rPr>
                <w:color w:val="auto"/>
                <w:spacing w:val="6"/>
                <w:highlight w:val="none"/>
              </w:rPr>
              <w:t>元：</w:t>
            </w:r>
          </w:p>
          <w:p w14:paraId="5FFAB652">
            <w:pPr>
              <w:pStyle w:val="23"/>
              <w:spacing w:before="143" w:line="253" w:lineRule="auto"/>
              <w:ind w:left="225" w:right="205" w:firstLine="6"/>
              <w:rPr>
                <w:color w:val="auto"/>
                <w:highlight w:val="none"/>
              </w:rPr>
            </w:pPr>
            <w:r>
              <w:rPr>
                <w:color w:val="auto"/>
                <w:spacing w:val="12"/>
                <w:highlight w:val="none"/>
              </w:rPr>
              <w:t>（一）总监办安全负责人及专职安全监理未经请假批准，未参加建设单位组</w:t>
            </w:r>
            <w:r>
              <w:rPr>
                <w:color w:val="auto"/>
                <w:spacing w:val="8"/>
                <w:highlight w:val="none"/>
              </w:rPr>
              <w:t>织的安全生产管理活动的。</w:t>
            </w:r>
          </w:p>
          <w:p w14:paraId="1F2CF3D4">
            <w:pPr>
              <w:pStyle w:val="23"/>
              <w:spacing w:before="144" w:line="252" w:lineRule="auto"/>
              <w:ind w:left="225" w:right="205" w:firstLine="7"/>
              <w:rPr>
                <w:color w:val="auto"/>
                <w:highlight w:val="none"/>
              </w:rPr>
            </w:pPr>
            <w:r>
              <w:rPr>
                <w:color w:val="auto"/>
                <w:spacing w:val="12"/>
                <w:highlight w:val="none"/>
              </w:rPr>
              <w:t>（二）爆破作业、预制梁吊装、大型构件吊装、大型设备拼装、挂篮移篮施</w:t>
            </w:r>
            <w:r>
              <w:rPr>
                <w:color w:val="auto"/>
                <w:spacing w:val="9"/>
                <w:highlight w:val="none"/>
              </w:rPr>
              <w:t>工、架桥机或移动模架移机施工现场无监理人员监督管理的。</w:t>
            </w:r>
          </w:p>
        </w:tc>
      </w:tr>
      <w:tr w14:paraId="74CFA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786" w:hRule="atLeast"/>
        </w:trPr>
        <w:tc>
          <w:tcPr>
            <w:tcW w:w="610" w:type="dxa"/>
            <w:vMerge w:val="continue"/>
            <w:textDirection w:val="tbRlV"/>
            <w:vAlign w:val="top"/>
          </w:tcPr>
          <w:p w14:paraId="6BC95352">
            <w:pPr>
              <w:rPr>
                <w:rFonts w:ascii="Arial"/>
                <w:color w:val="auto"/>
                <w:sz w:val="21"/>
                <w:highlight w:val="none"/>
              </w:rPr>
            </w:pPr>
          </w:p>
        </w:tc>
        <w:tc>
          <w:tcPr>
            <w:tcW w:w="845" w:type="dxa"/>
            <w:vAlign w:val="top"/>
          </w:tcPr>
          <w:p w14:paraId="49078E0E">
            <w:pPr>
              <w:spacing w:line="342" w:lineRule="auto"/>
              <w:rPr>
                <w:rFonts w:ascii="Arial"/>
                <w:color w:val="auto"/>
                <w:sz w:val="21"/>
                <w:highlight w:val="none"/>
              </w:rPr>
            </w:pPr>
          </w:p>
          <w:p w14:paraId="4221C934">
            <w:pPr>
              <w:spacing w:before="57" w:line="192" w:lineRule="auto"/>
              <w:ind w:left="376"/>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7</w:t>
            </w:r>
          </w:p>
        </w:tc>
        <w:tc>
          <w:tcPr>
            <w:tcW w:w="7366" w:type="dxa"/>
            <w:vAlign w:val="top"/>
          </w:tcPr>
          <w:p w14:paraId="764D15E4">
            <w:pPr>
              <w:pStyle w:val="23"/>
              <w:spacing w:before="122" w:line="228" w:lineRule="auto"/>
              <w:ind w:left="228"/>
              <w:rPr>
                <w:color w:val="auto"/>
                <w:highlight w:val="none"/>
              </w:rPr>
            </w:pPr>
            <w:r>
              <w:rPr>
                <w:color w:val="auto"/>
                <w:spacing w:val="6"/>
                <w:highlight w:val="none"/>
              </w:rPr>
              <w:t>总监办存在下列情况的，每项罚款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5000 </w:t>
            </w:r>
            <w:r>
              <w:rPr>
                <w:color w:val="auto"/>
                <w:spacing w:val="6"/>
                <w:highlight w:val="none"/>
              </w:rPr>
              <w:t>元：</w:t>
            </w:r>
          </w:p>
          <w:p w14:paraId="42DEBE92">
            <w:pPr>
              <w:pStyle w:val="23"/>
              <w:spacing w:before="141" w:line="228" w:lineRule="auto"/>
              <w:ind w:left="232"/>
              <w:rPr>
                <w:color w:val="auto"/>
                <w:spacing w:val="12"/>
                <w:highlight w:val="none"/>
              </w:rPr>
            </w:pPr>
            <w:r>
              <w:rPr>
                <w:color w:val="auto"/>
                <w:spacing w:val="12"/>
                <w:highlight w:val="none"/>
              </w:rPr>
              <w:t>（一）未按规定及时审批施工组织设计、临时用电方案、专项施工安全技术</w:t>
            </w:r>
          </w:p>
          <w:p w14:paraId="61CA11B6">
            <w:pPr>
              <w:pStyle w:val="23"/>
              <w:spacing w:before="36" w:line="228" w:lineRule="auto"/>
              <w:ind w:left="221"/>
              <w:rPr>
                <w:color w:val="auto"/>
                <w:highlight w:val="none"/>
              </w:rPr>
            </w:pPr>
            <w:r>
              <w:rPr>
                <w:color w:val="auto"/>
                <w:spacing w:val="4"/>
                <w:highlight w:val="none"/>
              </w:rPr>
              <w:t>方案的。</w:t>
            </w:r>
          </w:p>
          <w:p w14:paraId="18BD187A">
            <w:pPr>
              <w:pStyle w:val="23"/>
              <w:spacing w:before="141" w:line="254" w:lineRule="auto"/>
              <w:ind w:left="221" w:right="205" w:firstLine="9"/>
              <w:rPr>
                <w:color w:val="auto"/>
                <w:highlight w:val="none"/>
              </w:rPr>
            </w:pPr>
            <w:r>
              <w:rPr>
                <w:color w:val="auto"/>
                <w:spacing w:val="12"/>
                <w:highlight w:val="none"/>
              </w:rPr>
              <w:t>（二）审批的施工组织设计、临时用电方案、专项施工安全技术方案存在严</w:t>
            </w:r>
            <w:r>
              <w:rPr>
                <w:color w:val="auto"/>
                <w:spacing w:val="5"/>
                <w:highlight w:val="none"/>
              </w:rPr>
              <w:t>重错漏的。</w:t>
            </w:r>
          </w:p>
          <w:p w14:paraId="6FD5A57C">
            <w:pPr>
              <w:pStyle w:val="23"/>
              <w:spacing w:before="140" w:line="228" w:lineRule="auto"/>
              <w:ind w:left="230"/>
              <w:rPr>
                <w:color w:val="auto"/>
                <w:highlight w:val="none"/>
              </w:rPr>
            </w:pPr>
            <w:r>
              <w:rPr>
                <w:color w:val="auto"/>
                <w:spacing w:val="7"/>
                <w:highlight w:val="none"/>
              </w:rPr>
              <w:t>（三）</w:t>
            </w:r>
            <w:r>
              <w:rPr>
                <w:color w:val="auto"/>
                <w:spacing w:val="-14"/>
                <w:highlight w:val="none"/>
              </w:rPr>
              <w:t xml:space="preserve"> </w:t>
            </w:r>
            <w:r>
              <w:rPr>
                <w:color w:val="auto"/>
                <w:spacing w:val="7"/>
                <w:highlight w:val="none"/>
              </w:rPr>
              <w:t>未按照上级文件要求贯彻落实实名制系统。</w:t>
            </w:r>
          </w:p>
        </w:tc>
      </w:tr>
      <w:tr w14:paraId="2C538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696" w:hRule="atLeast"/>
        </w:trPr>
        <w:tc>
          <w:tcPr>
            <w:tcW w:w="610" w:type="dxa"/>
            <w:vMerge w:val="continue"/>
            <w:vAlign w:val="top"/>
          </w:tcPr>
          <w:p w14:paraId="4BFFB479">
            <w:pPr>
              <w:rPr>
                <w:rFonts w:ascii="Arial"/>
                <w:color w:val="auto"/>
                <w:sz w:val="21"/>
                <w:highlight w:val="none"/>
              </w:rPr>
            </w:pPr>
          </w:p>
        </w:tc>
        <w:tc>
          <w:tcPr>
            <w:tcW w:w="845" w:type="dxa"/>
            <w:vAlign w:val="top"/>
          </w:tcPr>
          <w:p w14:paraId="08E5248B">
            <w:pPr>
              <w:spacing w:line="294" w:lineRule="auto"/>
              <w:rPr>
                <w:rFonts w:ascii="Arial"/>
                <w:color w:val="auto"/>
                <w:sz w:val="21"/>
                <w:highlight w:val="none"/>
              </w:rPr>
            </w:pPr>
          </w:p>
          <w:p w14:paraId="6A9959F5">
            <w:pPr>
              <w:spacing w:before="57" w:line="195" w:lineRule="auto"/>
              <w:ind w:left="38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8</w:t>
            </w:r>
          </w:p>
        </w:tc>
        <w:tc>
          <w:tcPr>
            <w:tcW w:w="7366" w:type="dxa"/>
            <w:vAlign w:val="top"/>
          </w:tcPr>
          <w:p w14:paraId="2E3F620A">
            <w:pPr>
              <w:pStyle w:val="23"/>
              <w:spacing w:before="120" w:line="261" w:lineRule="auto"/>
              <w:ind w:left="221" w:right="493" w:hanging="2"/>
              <w:rPr>
                <w:color w:val="auto"/>
                <w:highlight w:val="none"/>
              </w:rPr>
            </w:pPr>
            <w:r>
              <w:rPr>
                <w:color w:val="auto"/>
                <w:spacing w:val="8"/>
                <w:highlight w:val="none"/>
              </w:rPr>
              <w:t>在各级单位开展的</w:t>
            </w:r>
            <w:r>
              <w:rPr>
                <w:color w:val="auto"/>
                <w:spacing w:val="-34"/>
                <w:highlight w:val="none"/>
              </w:rPr>
              <w:t xml:space="preserve"> </w:t>
            </w:r>
            <w:r>
              <w:rPr>
                <w:rFonts w:ascii="Times New Roman" w:hAnsi="Times New Roman" w:eastAsia="Times New Roman" w:cs="Times New Roman"/>
                <w:color w:val="auto"/>
                <w:spacing w:val="8"/>
                <w:highlight w:val="none"/>
              </w:rPr>
              <w:t>“</w:t>
            </w:r>
            <w:r>
              <w:rPr>
                <w:color w:val="auto"/>
                <w:spacing w:val="8"/>
                <w:highlight w:val="none"/>
              </w:rPr>
              <w:t>平安工地</w:t>
            </w:r>
            <w:r>
              <w:rPr>
                <w:rFonts w:ascii="Times New Roman" w:hAnsi="Times New Roman" w:eastAsia="Times New Roman" w:cs="Times New Roman"/>
                <w:color w:val="auto"/>
                <w:spacing w:val="8"/>
                <w:highlight w:val="none"/>
              </w:rPr>
              <w:t>”</w:t>
            </w:r>
            <w:r>
              <w:rPr>
                <w:color w:val="auto"/>
                <w:spacing w:val="8"/>
                <w:highlight w:val="none"/>
              </w:rPr>
              <w:t>考核中，考核等级不合格的，每次罚款</w:t>
            </w:r>
            <w:r>
              <w:rPr>
                <w:color w:val="auto"/>
                <w:spacing w:val="-37"/>
                <w:highlight w:val="none"/>
              </w:rPr>
              <w:t xml:space="preserve"> </w:t>
            </w:r>
            <w:r>
              <w:rPr>
                <w:rFonts w:ascii="Times New Roman" w:hAnsi="Times New Roman" w:eastAsia="Times New Roman" w:cs="Times New Roman"/>
                <w:color w:val="auto"/>
                <w:spacing w:val="8"/>
                <w:highlight w:val="none"/>
              </w:rPr>
              <w:t xml:space="preserve">5 </w:t>
            </w:r>
            <w:r>
              <w:rPr>
                <w:color w:val="auto"/>
                <w:spacing w:val="8"/>
                <w:highlight w:val="none"/>
              </w:rPr>
              <w:t>万</w:t>
            </w:r>
            <w:r>
              <w:rPr>
                <w:color w:val="auto"/>
                <w:spacing w:val="-1"/>
                <w:highlight w:val="none"/>
              </w:rPr>
              <w:t>元。</w:t>
            </w:r>
          </w:p>
        </w:tc>
      </w:tr>
      <w:tr w14:paraId="4DE6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424" w:hRule="atLeast"/>
        </w:trPr>
        <w:tc>
          <w:tcPr>
            <w:tcW w:w="610" w:type="dxa"/>
            <w:vMerge w:val="continue"/>
            <w:vAlign w:val="top"/>
          </w:tcPr>
          <w:p w14:paraId="1AFE3989">
            <w:pPr>
              <w:rPr>
                <w:rFonts w:ascii="Arial"/>
                <w:color w:val="auto"/>
                <w:sz w:val="21"/>
                <w:highlight w:val="none"/>
              </w:rPr>
            </w:pPr>
          </w:p>
        </w:tc>
        <w:tc>
          <w:tcPr>
            <w:tcW w:w="845" w:type="dxa"/>
            <w:vAlign w:val="top"/>
          </w:tcPr>
          <w:p w14:paraId="472A912C">
            <w:pPr>
              <w:spacing w:before="219" w:line="195" w:lineRule="auto"/>
              <w:ind w:left="38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9</w:t>
            </w:r>
          </w:p>
        </w:tc>
        <w:tc>
          <w:tcPr>
            <w:tcW w:w="7366" w:type="dxa"/>
            <w:vAlign w:val="top"/>
          </w:tcPr>
          <w:p w14:paraId="77BFDD6A">
            <w:pPr>
              <w:pStyle w:val="23"/>
              <w:spacing w:before="122" w:line="228" w:lineRule="auto"/>
              <w:ind w:left="223"/>
              <w:rPr>
                <w:color w:val="auto"/>
                <w:highlight w:val="none"/>
              </w:rPr>
            </w:pPr>
            <w:r>
              <w:rPr>
                <w:color w:val="auto"/>
                <w:spacing w:val="10"/>
                <w:highlight w:val="none"/>
              </w:rPr>
              <w:t>未通过开工前安全生产条件核查而影响工程开工的，处罚</w:t>
            </w:r>
            <w:r>
              <w:rPr>
                <w:rFonts w:ascii="Times New Roman" w:hAnsi="Times New Roman" w:eastAsia="Times New Roman" w:cs="Times New Roman"/>
                <w:color w:val="auto"/>
                <w:spacing w:val="10"/>
                <w:highlight w:val="none"/>
              </w:rPr>
              <w:t xml:space="preserve">2 </w:t>
            </w:r>
            <w:r>
              <w:rPr>
                <w:color w:val="auto"/>
                <w:spacing w:val="10"/>
                <w:highlight w:val="none"/>
              </w:rPr>
              <w:t>万元。</w:t>
            </w:r>
          </w:p>
        </w:tc>
      </w:tr>
      <w:tr w14:paraId="4ED4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4" w:type="dxa"/>
          <w:trHeight w:val="1002" w:hRule="atLeast"/>
        </w:trPr>
        <w:tc>
          <w:tcPr>
            <w:tcW w:w="610" w:type="dxa"/>
            <w:vMerge w:val="continue"/>
            <w:vAlign w:val="top"/>
          </w:tcPr>
          <w:p w14:paraId="3E47C984">
            <w:pPr>
              <w:rPr>
                <w:rFonts w:ascii="Arial"/>
                <w:color w:val="auto"/>
                <w:sz w:val="21"/>
                <w:highlight w:val="none"/>
              </w:rPr>
            </w:pPr>
          </w:p>
        </w:tc>
        <w:tc>
          <w:tcPr>
            <w:tcW w:w="845" w:type="dxa"/>
            <w:vAlign w:val="top"/>
          </w:tcPr>
          <w:p w14:paraId="2462AEF1">
            <w:pPr>
              <w:spacing w:line="445" w:lineRule="auto"/>
              <w:rPr>
                <w:rFonts w:ascii="Arial"/>
                <w:color w:val="auto"/>
                <w:sz w:val="21"/>
                <w:highlight w:val="none"/>
              </w:rPr>
            </w:pPr>
          </w:p>
          <w:p w14:paraId="2C322356">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10</w:t>
            </w:r>
          </w:p>
        </w:tc>
        <w:tc>
          <w:tcPr>
            <w:tcW w:w="7366" w:type="dxa"/>
            <w:vAlign w:val="top"/>
          </w:tcPr>
          <w:p w14:paraId="43F2803F">
            <w:pPr>
              <w:pStyle w:val="23"/>
              <w:spacing w:before="124" w:line="267" w:lineRule="auto"/>
              <w:ind w:left="230" w:right="205" w:hanging="4"/>
              <w:rPr>
                <w:color w:val="auto"/>
                <w:highlight w:val="none"/>
              </w:rPr>
            </w:pPr>
            <w:r>
              <w:rPr>
                <w:color w:val="auto"/>
                <w:spacing w:val="12"/>
                <w:highlight w:val="none"/>
              </w:rPr>
              <w:t>总监办存在其他违反有关安全生产法律、法规、规章、规范、标准以及本项</w:t>
            </w:r>
            <w:r>
              <w:rPr>
                <w:color w:val="auto"/>
                <w:spacing w:val="10"/>
                <w:highlight w:val="none"/>
              </w:rPr>
              <w:t>目建设工程安全生产管理办法规定的，视情节轻重，罚款</w:t>
            </w:r>
            <w:r>
              <w:rPr>
                <w:color w:val="auto"/>
                <w:spacing w:val="-21"/>
                <w:highlight w:val="none"/>
              </w:rPr>
              <w:t xml:space="preserve"> </w:t>
            </w:r>
            <w:r>
              <w:rPr>
                <w:rFonts w:ascii="Times New Roman" w:hAnsi="Times New Roman" w:eastAsia="Times New Roman" w:cs="Times New Roman"/>
                <w:color w:val="auto"/>
                <w:spacing w:val="10"/>
                <w:highlight w:val="none"/>
              </w:rPr>
              <w:t xml:space="preserve">1 </w:t>
            </w:r>
            <w:r>
              <w:rPr>
                <w:color w:val="auto"/>
                <w:spacing w:val="10"/>
                <w:highlight w:val="none"/>
              </w:rPr>
              <w:t>千元</w:t>
            </w:r>
            <w:r>
              <w:rPr>
                <w:color w:val="auto"/>
                <w:spacing w:val="9"/>
                <w:highlight w:val="none"/>
              </w:rPr>
              <w:t>至</w:t>
            </w:r>
            <w:r>
              <w:rPr>
                <w:color w:val="auto"/>
                <w:spacing w:val="-18"/>
                <w:highlight w:val="none"/>
              </w:rPr>
              <w:t xml:space="preserve"> </w:t>
            </w:r>
            <w:r>
              <w:rPr>
                <w:rFonts w:ascii="Times New Roman" w:hAnsi="Times New Roman" w:eastAsia="Times New Roman" w:cs="Times New Roman"/>
                <w:color w:val="auto"/>
                <w:spacing w:val="9"/>
                <w:highlight w:val="none"/>
              </w:rPr>
              <w:t xml:space="preserve">1 </w:t>
            </w:r>
            <w:r>
              <w:rPr>
                <w:color w:val="auto"/>
                <w:spacing w:val="9"/>
                <w:highlight w:val="none"/>
              </w:rPr>
              <w:t>万元。</w:t>
            </w:r>
            <w:r>
              <w:rPr>
                <w:color w:val="auto"/>
                <w:spacing w:val="8"/>
                <w:highlight w:val="none"/>
              </w:rPr>
              <w:t>多次发生同类存在问题，可加倍处罚。</w:t>
            </w:r>
          </w:p>
        </w:tc>
      </w:tr>
    </w:tbl>
    <w:p w14:paraId="72C57A81">
      <w:pPr>
        <w:spacing w:line="305" w:lineRule="auto"/>
        <w:rPr>
          <w:rFonts w:ascii="Arial"/>
          <w:color w:val="auto"/>
          <w:sz w:val="21"/>
          <w:highlight w:val="none"/>
        </w:rPr>
      </w:pPr>
    </w:p>
    <w:p w14:paraId="6E3ED8C4">
      <w:pPr>
        <w:spacing w:before="78" w:line="221" w:lineRule="auto"/>
        <w:ind w:left="13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11.2</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委托人违约</w:t>
      </w:r>
    </w:p>
    <w:p w14:paraId="6F597240">
      <w:pPr>
        <w:spacing w:before="174" w:line="302" w:lineRule="auto"/>
        <w:ind w:left="4235" w:right="820" w:hanging="3657"/>
        <w:rPr>
          <w:rFonts w:ascii="宋体" w:hAnsi="宋体" w:eastAsia="宋体" w:cs="宋体"/>
          <w:color w:val="auto"/>
          <w:sz w:val="28"/>
          <w:szCs w:val="28"/>
          <w:highlight w:val="none"/>
        </w:rPr>
      </w:pPr>
      <w:r>
        <w:rPr>
          <w:rFonts w:ascii="宋体" w:hAnsi="宋体" w:eastAsia="宋体" w:cs="宋体"/>
          <w:color w:val="auto"/>
          <w:spacing w:val="-2"/>
          <w:sz w:val="22"/>
          <w:szCs w:val="22"/>
          <w:highlight w:val="none"/>
        </w:rPr>
        <w:t>11.2.2</w:t>
      </w:r>
      <w:r>
        <w:rPr>
          <w:rFonts w:ascii="宋体" w:hAnsi="宋体" w:eastAsia="宋体" w:cs="宋体"/>
          <w:color w:val="auto"/>
          <w:spacing w:val="-47"/>
          <w:sz w:val="22"/>
          <w:szCs w:val="22"/>
          <w:highlight w:val="none"/>
        </w:rPr>
        <w:t xml:space="preserve"> </w:t>
      </w:r>
      <w:r>
        <w:rPr>
          <w:rFonts w:ascii="宋体" w:hAnsi="宋体" w:eastAsia="宋体" w:cs="宋体"/>
          <w:color w:val="auto"/>
          <w:spacing w:val="-2"/>
          <w:sz w:val="22"/>
          <w:szCs w:val="22"/>
          <w:highlight w:val="none"/>
        </w:rPr>
        <w:t>委托人发生违约情况时，监理人有权向委托人课以违约金，</w:t>
      </w:r>
      <w:r>
        <w:rPr>
          <w:rFonts w:ascii="宋体" w:hAnsi="宋体" w:eastAsia="宋体" w:cs="宋体"/>
          <w:color w:val="auto"/>
          <w:spacing w:val="-3"/>
          <w:sz w:val="22"/>
          <w:szCs w:val="22"/>
          <w:highlight w:val="none"/>
        </w:rPr>
        <w:t>具体约定如下</w:t>
      </w:r>
      <w:r>
        <w:rPr>
          <w:rFonts w:hint="eastAsia" w:ascii="宋体" w:hAnsi="宋体" w:eastAsia="宋体" w:cs="宋体"/>
          <w:color w:val="auto"/>
          <w:spacing w:val="-3"/>
          <w:sz w:val="22"/>
          <w:szCs w:val="22"/>
          <w:highlight w:val="none"/>
          <w:lang w:eastAsia="zh-CN"/>
        </w:rPr>
        <w:t>：</w:t>
      </w:r>
      <w:r>
        <w:rPr>
          <w:rFonts w:ascii="宋体" w:hAnsi="宋体" w:eastAsia="宋体" w:cs="宋体"/>
          <w:b/>
          <w:bCs/>
          <w:color w:val="auto"/>
          <w:spacing w:val="-5"/>
          <w:sz w:val="28"/>
          <w:szCs w:val="28"/>
          <w:highlight w:val="none"/>
        </w:rPr>
        <w:t>违约一览表</w:t>
      </w: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6913"/>
      </w:tblGrid>
      <w:tr w14:paraId="0854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379" w:type="dxa"/>
            <w:vAlign w:val="top"/>
          </w:tcPr>
          <w:p w14:paraId="08D06E18">
            <w:pPr>
              <w:pStyle w:val="23"/>
              <w:spacing w:before="160" w:line="228" w:lineRule="auto"/>
              <w:ind w:left="983"/>
              <w:rPr>
                <w:color w:val="auto"/>
                <w:highlight w:val="none"/>
              </w:rPr>
            </w:pPr>
            <w:r>
              <w:rPr>
                <w:b/>
                <w:bCs/>
                <w:color w:val="auto"/>
                <w:spacing w:val="3"/>
                <w:highlight w:val="none"/>
              </w:rPr>
              <w:t>类别</w:t>
            </w:r>
          </w:p>
        </w:tc>
        <w:tc>
          <w:tcPr>
            <w:tcW w:w="6913" w:type="dxa"/>
            <w:vAlign w:val="top"/>
          </w:tcPr>
          <w:p w14:paraId="586AD700">
            <w:pPr>
              <w:pStyle w:val="23"/>
              <w:spacing w:before="143" w:line="265" w:lineRule="exact"/>
              <w:ind w:left="2987"/>
              <w:rPr>
                <w:color w:val="auto"/>
                <w:sz w:val="10"/>
                <w:szCs w:val="10"/>
                <w:highlight w:val="none"/>
              </w:rPr>
            </w:pPr>
            <w:r>
              <w:rPr>
                <w:b/>
                <w:bCs/>
                <w:color w:val="auto"/>
                <w:spacing w:val="6"/>
                <w:highlight w:val="none"/>
              </w:rPr>
              <w:t>违约项目</w:t>
            </w:r>
          </w:p>
        </w:tc>
      </w:tr>
      <w:tr w14:paraId="6664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9" w:type="dxa"/>
            <w:vAlign w:val="top"/>
          </w:tcPr>
          <w:p w14:paraId="3FEF215F">
            <w:pPr>
              <w:pStyle w:val="23"/>
              <w:spacing w:before="31" w:line="272" w:lineRule="auto"/>
              <w:ind w:left="671" w:right="138" w:hanging="526"/>
              <w:rPr>
                <w:color w:val="auto"/>
                <w:highlight w:val="none"/>
              </w:rPr>
            </w:pPr>
            <w:r>
              <w:rPr>
                <w:color w:val="auto"/>
                <w:spacing w:val="9"/>
                <w:highlight w:val="none"/>
              </w:rPr>
              <w:t>委托人未按合同约定支</w:t>
            </w:r>
            <w:r>
              <w:rPr>
                <w:color w:val="auto"/>
                <w:spacing w:val="8"/>
                <w:highlight w:val="none"/>
              </w:rPr>
              <w:t>付监理报酬</w:t>
            </w:r>
          </w:p>
        </w:tc>
        <w:tc>
          <w:tcPr>
            <w:tcW w:w="6913" w:type="dxa"/>
            <w:vAlign w:val="center"/>
          </w:tcPr>
          <w:p w14:paraId="7B269F97">
            <w:pPr>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w:t>
            </w:r>
          </w:p>
        </w:tc>
      </w:tr>
      <w:tr w14:paraId="06BD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379" w:type="dxa"/>
            <w:vAlign w:val="top"/>
          </w:tcPr>
          <w:p w14:paraId="691EF480">
            <w:pPr>
              <w:pStyle w:val="23"/>
              <w:spacing w:before="31" w:line="228" w:lineRule="auto"/>
              <w:ind w:left="145"/>
              <w:rPr>
                <w:color w:val="auto"/>
                <w:spacing w:val="9"/>
                <w:highlight w:val="none"/>
              </w:rPr>
            </w:pPr>
            <w:r>
              <w:rPr>
                <w:color w:val="auto"/>
                <w:spacing w:val="9"/>
                <w:highlight w:val="none"/>
              </w:rPr>
              <w:t>委托人原因造成监理</w:t>
            </w:r>
          </w:p>
          <w:p w14:paraId="114DCCCE">
            <w:pPr>
              <w:pStyle w:val="23"/>
              <w:spacing w:before="31" w:line="228" w:lineRule="auto"/>
              <w:ind w:left="145"/>
              <w:jc w:val="center"/>
              <w:rPr>
                <w:color w:val="auto"/>
                <w:highlight w:val="none"/>
              </w:rPr>
            </w:pPr>
            <w:r>
              <w:rPr>
                <w:color w:val="auto"/>
                <w:spacing w:val="9"/>
                <w:highlight w:val="none"/>
              </w:rPr>
              <w:t>停</w:t>
            </w:r>
            <w:r>
              <w:rPr>
                <w:color w:val="auto"/>
                <w:spacing w:val="4"/>
                <w:highlight w:val="none"/>
              </w:rPr>
              <w:t>止的</w:t>
            </w:r>
          </w:p>
        </w:tc>
        <w:tc>
          <w:tcPr>
            <w:tcW w:w="6913" w:type="dxa"/>
            <w:vAlign w:val="center"/>
          </w:tcPr>
          <w:p w14:paraId="4BA0B69A">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6416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379" w:type="dxa"/>
            <w:vAlign w:val="top"/>
          </w:tcPr>
          <w:p w14:paraId="02B8ACF2">
            <w:pPr>
              <w:pStyle w:val="23"/>
              <w:spacing w:before="32" w:line="271" w:lineRule="auto"/>
              <w:ind w:left="777" w:right="138" w:hanging="632"/>
              <w:rPr>
                <w:color w:val="auto"/>
                <w:highlight w:val="none"/>
              </w:rPr>
            </w:pPr>
            <w:r>
              <w:rPr>
                <w:color w:val="auto"/>
                <w:spacing w:val="9"/>
                <w:highlight w:val="none"/>
              </w:rPr>
              <w:t>委托人无法履行或停止</w:t>
            </w:r>
            <w:r>
              <w:rPr>
                <w:color w:val="auto"/>
                <w:spacing w:val="6"/>
                <w:highlight w:val="none"/>
              </w:rPr>
              <w:t>履行合同</w:t>
            </w:r>
          </w:p>
        </w:tc>
        <w:tc>
          <w:tcPr>
            <w:tcW w:w="6913" w:type="dxa"/>
            <w:vAlign w:val="center"/>
          </w:tcPr>
          <w:p w14:paraId="52B151F8">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72B0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379" w:type="dxa"/>
            <w:vAlign w:val="top"/>
          </w:tcPr>
          <w:p w14:paraId="2D1B3FE0">
            <w:pPr>
              <w:pStyle w:val="23"/>
              <w:spacing w:before="35" w:line="272" w:lineRule="auto"/>
              <w:ind w:left="688" w:right="138" w:hanging="543"/>
              <w:rPr>
                <w:color w:val="auto"/>
                <w:highlight w:val="none"/>
              </w:rPr>
            </w:pPr>
            <w:r>
              <w:rPr>
                <w:color w:val="auto"/>
                <w:spacing w:val="9"/>
                <w:highlight w:val="none"/>
              </w:rPr>
              <w:t>委托人不履行合同约定</w:t>
            </w:r>
            <w:r>
              <w:rPr>
                <w:color w:val="auto"/>
                <w:spacing w:val="4"/>
                <w:highlight w:val="none"/>
              </w:rPr>
              <w:t>的其他义务</w:t>
            </w:r>
          </w:p>
        </w:tc>
        <w:tc>
          <w:tcPr>
            <w:tcW w:w="6913" w:type="dxa"/>
            <w:vAlign w:val="center"/>
          </w:tcPr>
          <w:p w14:paraId="2E2F1BD5">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bl>
    <w:p w14:paraId="2F88B935">
      <w:pPr>
        <w:spacing w:line="258" w:lineRule="auto"/>
        <w:rPr>
          <w:rFonts w:ascii="Arial"/>
          <w:color w:val="auto"/>
          <w:sz w:val="21"/>
          <w:highlight w:val="none"/>
        </w:rPr>
      </w:pPr>
    </w:p>
    <w:p w14:paraId="78BFB4F6">
      <w:pPr>
        <w:spacing w:before="78" w:line="219" w:lineRule="auto"/>
        <w:ind w:left="138"/>
        <w:outlineLvl w:val="1"/>
        <w:rPr>
          <w:rFonts w:ascii="宋体" w:hAnsi="宋体" w:eastAsia="宋体" w:cs="宋体"/>
          <w:color w:val="auto"/>
          <w:sz w:val="24"/>
          <w:szCs w:val="24"/>
          <w:highlight w:val="none"/>
        </w:rPr>
      </w:pPr>
      <w:bookmarkStart w:id="695" w:name="_Toc10306"/>
      <w:bookmarkStart w:id="696" w:name="_Toc17325"/>
      <w:bookmarkStart w:id="697" w:name="_Toc27634"/>
      <w:bookmarkStart w:id="698" w:name="_Toc22633"/>
      <w:r>
        <w:rPr>
          <w:rFonts w:ascii="宋体" w:hAnsi="宋体" w:eastAsia="宋体" w:cs="宋体"/>
          <w:b/>
          <w:bCs/>
          <w:color w:val="auto"/>
          <w:spacing w:val="-7"/>
          <w:sz w:val="24"/>
          <w:szCs w:val="24"/>
          <w:highlight w:val="none"/>
        </w:rPr>
        <w:t>12.</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7"/>
          <w:sz w:val="24"/>
          <w:szCs w:val="24"/>
          <w:highlight w:val="none"/>
        </w:rPr>
        <w:t>争议的解决</w:t>
      </w:r>
      <w:bookmarkEnd w:id="695"/>
      <w:bookmarkEnd w:id="696"/>
      <w:bookmarkEnd w:id="697"/>
      <w:bookmarkEnd w:id="698"/>
    </w:p>
    <w:p w14:paraId="4260BF77">
      <w:pPr>
        <w:spacing w:before="48" w:line="220" w:lineRule="auto"/>
        <w:ind w:left="566"/>
        <w:rPr>
          <w:rFonts w:ascii="宋体" w:hAnsi="宋体" w:eastAsia="宋体" w:cs="宋体"/>
          <w:color w:val="auto"/>
          <w:spacing w:val="-1"/>
          <w:sz w:val="22"/>
          <w:szCs w:val="22"/>
          <w:highlight w:val="none"/>
        </w:rPr>
      </w:pPr>
    </w:p>
    <w:p w14:paraId="451B69CA">
      <w:pPr>
        <w:spacing w:before="48" w:line="220" w:lineRule="auto"/>
        <w:ind w:left="56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争议的最终解决方式：</w:t>
      </w:r>
      <w:r>
        <w:rPr>
          <w:rFonts w:ascii="宋体" w:hAnsi="宋体" w:eastAsia="宋体" w:cs="宋体"/>
          <w:color w:val="auto"/>
          <w:spacing w:val="-1"/>
          <w:sz w:val="22"/>
          <w:szCs w:val="22"/>
          <w:highlight w:val="none"/>
          <w:u w:val="single" w:color="auto"/>
        </w:rPr>
        <w:t xml:space="preserve">  诉讼  </w:t>
      </w:r>
    </w:p>
    <w:p w14:paraId="7E6D7637">
      <w:pPr>
        <w:spacing w:before="166" w:line="219" w:lineRule="auto"/>
        <w:ind w:left="5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如采用诉讼，诉讼机构名称：</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韶关市人民</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1"/>
          <w:sz w:val="22"/>
          <w:szCs w:val="22"/>
          <w:highlight w:val="none"/>
        </w:rPr>
        <w:t>法院。</w:t>
      </w:r>
    </w:p>
    <w:p w14:paraId="0F9683DA">
      <w:pPr>
        <w:spacing w:line="259" w:lineRule="auto"/>
        <w:rPr>
          <w:rFonts w:ascii="Arial"/>
          <w:color w:val="auto"/>
          <w:sz w:val="21"/>
          <w:highlight w:val="none"/>
        </w:rPr>
      </w:pPr>
    </w:p>
    <w:p w14:paraId="31B720C8">
      <w:pPr>
        <w:spacing w:before="78" w:line="220" w:lineRule="auto"/>
        <w:ind w:left="138"/>
        <w:outlineLvl w:val="1"/>
        <w:rPr>
          <w:rFonts w:ascii="宋体" w:hAnsi="宋体" w:eastAsia="宋体" w:cs="宋体"/>
          <w:color w:val="auto"/>
          <w:sz w:val="24"/>
          <w:szCs w:val="24"/>
          <w:highlight w:val="none"/>
        </w:rPr>
      </w:pPr>
      <w:bookmarkStart w:id="699" w:name="bookmark149"/>
      <w:bookmarkEnd w:id="699"/>
      <w:bookmarkStart w:id="700" w:name="_Toc17589"/>
      <w:bookmarkStart w:id="701" w:name="_Toc8829"/>
      <w:bookmarkStart w:id="702" w:name="_Toc23211"/>
      <w:bookmarkStart w:id="703" w:name="_Toc14259"/>
      <w:r>
        <w:rPr>
          <w:rFonts w:ascii="宋体" w:hAnsi="宋体" w:eastAsia="宋体" w:cs="宋体"/>
          <w:b/>
          <w:bCs/>
          <w:color w:val="auto"/>
          <w:spacing w:val="-8"/>
          <w:sz w:val="24"/>
          <w:szCs w:val="24"/>
          <w:highlight w:val="none"/>
        </w:rPr>
        <w:t>13.其他</w:t>
      </w:r>
      <w:bookmarkEnd w:id="700"/>
      <w:bookmarkEnd w:id="701"/>
      <w:bookmarkEnd w:id="702"/>
      <w:bookmarkEnd w:id="703"/>
    </w:p>
    <w:p w14:paraId="212CD913">
      <w:pPr>
        <w:keepNext w:val="0"/>
        <w:keepLines w:val="0"/>
        <w:pageBreakBefore w:val="0"/>
        <w:widowControl/>
        <w:kinsoku w:val="0"/>
        <w:wordWrap/>
        <w:overflowPunct/>
        <w:topLinePunct w:val="0"/>
        <w:autoSpaceDE w:val="0"/>
        <w:autoSpaceDN w:val="0"/>
        <w:bidi w:val="0"/>
        <w:adjustRightInd w:val="0"/>
        <w:snapToGrid w:val="0"/>
        <w:spacing w:line="362" w:lineRule="auto"/>
        <w:ind w:left="121" w:right="113" w:firstLine="497"/>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13.1</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本项目建设期间临时用地严禁占用基本农田，严格控制占用耕地、林地；如</w:t>
      </w:r>
      <w:r>
        <w:rPr>
          <w:rFonts w:ascii="宋体" w:hAnsi="宋体" w:eastAsia="宋体" w:cs="宋体"/>
          <w:color w:val="auto"/>
          <w:spacing w:val="5"/>
          <w:sz w:val="22"/>
          <w:szCs w:val="22"/>
          <w:highlight w:val="none"/>
        </w:rPr>
        <w:t>确需占用耕地、林地的，必须按规定到当地主管部门办理相关手续。预制场</w:t>
      </w:r>
      <w:r>
        <w:rPr>
          <w:rFonts w:ascii="宋体" w:hAnsi="宋体" w:eastAsia="宋体" w:cs="宋体"/>
          <w:color w:val="auto"/>
          <w:spacing w:val="4"/>
          <w:sz w:val="22"/>
          <w:szCs w:val="22"/>
          <w:highlight w:val="none"/>
        </w:rPr>
        <w:t>、搅拌场</w:t>
      </w:r>
      <w:r>
        <w:rPr>
          <w:rFonts w:ascii="宋体" w:hAnsi="宋体" w:eastAsia="宋体" w:cs="宋体"/>
          <w:color w:val="auto"/>
          <w:spacing w:val="5"/>
          <w:sz w:val="22"/>
          <w:szCs w:val="22"/>
          <w:highlight w:val="none"/>
        </w:rPr>
        <w:t>等容易造成永久性破坏的临时用地一般不得占用耕地；取土场应选址在</w:t>
      </w:r>
      <w:r>
        <w:rPr>
          <w:rFonts w:ascii="宋体" w:hAnsi="宋体" w:eastAsia="宋体" w:cs="宋体"/>
          <w:color w:val="auto"/>
          <w:spacing w:val="4"/>
          <w:sz w:val="22"/>
          <w:szCs w:val="22"/>
          <w:highlight w:val="none"/>
        </w:rPr>
        <w:t>荒山、荒坡等</w:t>
      </w:r>
      <w:r>
        <w:rPr>
          <w:rFonts w:ascii="宋体" w:hAnsi="宋体" w:eastAsia="宋体" w:cs="宋体"/>
          <w:color w:val="auto"/>
          <w:spacing w:val="5"/>
          <w:sz w:val="22"/>
          <w:szCs w:val="22"/>
          <w:highlight w:val="none"/>
        </w:rPr>
        <w:t>劣质地，合理设计控制取土深度，严禁在基本农田范围内取土；弃（土</w:t>
      </w:r>
      <w:r>
        <w:rPr>
          <w:rFonts w:ascii="宋体" w:hAnsi="宋体" w:eastAsia="宋体" w:cs="宋体"/>
          <w:color w:val="auto"/>
          <w:spacing w:val="4"/>
          <w:sz w:val="22"/>
          <w:szCs w:val="22"/>
          <w:highlight w:val="none"/>
        </w:rPr>
        <w:t>）渣场不得占</w:t>
      </w:r>
      <w:r>
        <w:rPr>
          <w:rFonts w:ascii="宋体" w:hAnsi="宋体" w:eastAsia="宋体" w:cs="宋体"/>
          <w:color w:val="auto"/>
          <w:spacing w:val="5"/>
          <w:sz w:val="22"/>
          <w:szCs w:val="22"/>
          <w:highlight w:val="none"/>
        </w:rPr>
        <w:t>用耕地，要充分考虑永久性征收与临时用地相结合，合理划定弃（土）</w:t>
      </w:r>
      <w:r>
        <w:rPr>
          <w:rFonts w:ascii="宋体" w:hAnsi="宋体" w:eastAsia="宋体" w:cs="宋体"/>
          <w:color w:val="auto"/>
          <w:spacing w:val="4"/>
          <w:sz w:val="22"/>
          <w:szCs w:val="22"/>
          <w:highlight w:val="none"/>
        </w:rPr>
        <w:t>渣场范围；租</w:t>
      </w:r>
      <w:r>
        <w:rPr>
          <w:rFonts w:ascii="宋体" w:hAnsi="宋体" w:eastAsia="宋体" w:cs="宋体"/>
          <w:color w:val="auto"/>
          <w:spacing w:val="-1"/>
          <w:sz w:val="22"/>
          <w:szCs w:val="22"/>
          <w:highlight w:val="none"/>
        </w:rPr>
        <w:t>用临时用地协议必须有复垦条款。</w:t>
      </w:r>
    </w:p>
    <w:p w14:paraId="67ED63ED">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98"/>
        <w:jc w:val="both"/>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13.2</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监理人应按照《广东省水利厅广东省交通运输厅关于进一步加强交通建设项</w:t>
      </w:r>
      <w:r>
        <w:rPr>
          <w:rFonts w:ascii="宋体" w:hAnsi="宋体" w:eastAsia="宋体" w:cs="宋体"/>
          <w:color w:val="auto"/>
          <w:sz w:val="22"/>
          <w:szCs w:val="22"/>
          <w:highlight w:val="none"/>
        </w:rPr>
        <w:t>目水土保持工作的通知》（粤水水保〔2020〕2</w:t>
      </w:r>
      <w:r>
        <w:rPr>
          <w:rFonts w:ascii="宋体" w:hAnsi="宋体" w:eastAsia="宋体" w:cs="宋体"/>
          <w:color w:val="auto"/>
          <w:spacing w:val="-45"/>
          <w:sz w:val="22"/>
          <w:szCs w:val="22"/>
          <w:highlight w:val="none"/>
        </w:rPr>
        <w:t xml:space="preserve"> </w:t>
      </w:r>
      <w:r>
        <w:rPr>
          <w:rFonts w:ascii="宋体" w:hAnsi="宋体" w:eastAsia="宋体" w:cs="宋体"/>
          <w:color w:val="auto"/>
          <w:sz w:val="22"/>
          <w:szCs w:val="22"/>
          <w:highlight w:val="none"/>
        </w:rPr>
        <w:t>号）的要</w:t>
      </w:r>
      <w:r>
        <w:rPr>
          <w:rFonts w:ascii="宋体" w:hAnsi="宋体" w:eastAsia="宋体" w:cs="宋体"/>
          <w:color w:val="auto"/>
          <w:spacing w:val="-1"/>
          <w:sz w:val="22"/>
          <w:szCs w:val="22"/>
          <w:highlight w:val="none"/>
        </w:rPr>
        <w:t>求开展水土保持监理工作，为</w:t>
      </w:r>
      <w:r>
        <w:rPr>
          <w:rFonts w:ascii="宋体" w:hAnsi="宋体" w:eastAsia="宋体" w:cs="宋体"/>
          <w:color w:val="auto"/>
          <w:spacing w:val="5"/>
          <w:sz w:val="22"/>
          <w:szCs w:val="22"/>
          <w:highlight w:val="none"/>
        </w:rPr>
        <w:t>在项目交工验收后及时完成水保验收工作，各监理人应负责协调、配合水土保</w:t>
      </w:r>
      <w:r>
        <w:rPr>
          <w:rFonts w:ascii="宋体" w:hAnsi="宋体" w:eastAsia="宋体" w:cs="宋体"/>
          <w:color w:val="auto"/>
          <w:spacing w:val="4"/>
          <w:sz w:val="22"/>
          <w:szCs w:val="22"/>
          <w:highlight w:val="none"/>
        </w:rPr>
        <w:t>持设施</w:t>
      </w:r>
      <w:r>
        <w:rPr>
          <w:rFonts w:ascii="宋体" w:hAnsi="宋体" w:eastAsia="宋体" w:cs="宋体"/>
          <w:color w:val="auto"/>
          <w:spacing w:val="5"/>
          <w:sz w:val="22"/>
          <w:szCs w:val="22"/>
          <w:highlight w:val="none"/>
        </w:rPr>
        <w:t>竣工验收技术报告编制的单位（含施工期水土流失监测、技术评估等工作）开</w:t>
      </w:r>
      <w:r>
        <w:rPr>
          <w:rFonts w:ascii="宋体" w:hAnsi="宋体" w:eastAsia="宋体" w:cs="宋体"/>
          <w:color w:val="auto"/>
          <w:spacing w:val="4"/>
          <w:sz w:val="22"/>
          <w:szCs w:val="22"/>
          <w:highlight w:val="none"/>
        </w:rPr>
        <w:t>展相关</w:t>
      </w:r>
      <w:r>
        <w:rPr>
          <w:rFonts w:ascii="宋体" w:hAnsi="宋体" w:eastAsia="宋体" w:cs="宋体"/>
          <w:color w:val="auto"/>
          <w:spacing w:val="5"/>
          <w:sz w:val="22"/>
          <w:szCs w:val="22"/>
          <w:highlight w:val="none"/>
        </w:rPr>
        <w:t>工作，并且按水土保持设施竣工验收技术报告编制单位提交的检测方案安排相</w:t>
      </w:r>
      <w:r>
        <w:rPr>
          <w:rFonts w:ascii="宋体" w:hAnsi="宋体" w:eastAsia="宋体" w:cs="宋体"/>
          <w:color w:val="auto"/>
          <w:spacing w:val="4"/>
          <w:sz w:val="22"/>
          <w:szCs w:val="22"/>
          <w:highlight w:val="none"/>
        </w:rPr>
        <w:t>关的水</w:t>
      </w:r>
      <w:r>
        <w:rPr>
          <w:rFonts w:ascii="宋体" w:hAnsi="宋体" w:eastAsia="宋体" w:cs="宋体"/>
          <w:color w:val="auto"/>
          <w:spacing w:val="-1"/>
          <w:sz w:val="22"/>
          <w:szCs w:val="22"/>
          <w:highlight w:val="none"/>
        </w:rPr>
        <w:t>土保持监理工作。水土保持监理具体工作为：</w:t>
      </w:r>
    </w:p>
    <w:p w14:paraId="32C040DB">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13.2.1</w:t>
      </w:r>
      <w:r>
        <w:rPr>
          <w:rFonts w:ascii="宋体" w:hAnsi="宋体" w:eastAsia="宋体" w:cs="宋体"/>
          <w:color w:val="auto"/>
          <w:spacing w:val="-41"/>
          <w:sz w:val="22"/>
          <w:szCs w:val="22"/>
          <w:highlight w:val="none"/>
        </w:rPr>
        <w:t xml:space="preserve"> </w:t>
      </w:r>
      <w:r>
        <w:rPr>
          <w:rFonts w:ascii="宋体" w:hAnsi="宋体" w:eastAsia="宋体" w:cs="宋体"/>
          <w:b/>
          <w:bCs/>
          <w:color w:val="auto"/>
          <w:spacing w:val="-4"/>
          <w:sz w:val="22"/>
          <w:szCs w:val="22"/>
          <w:highlight w:val="none"/>
        </w:rPr>
        <w:t>施工准备阶段的水土保持监理工作</w:t>
      </w:r>
    </w:p>
    <w:p w14:paraId="17BFC198">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(1)成立水保监理领导小组，明确职责分工。</w:t>
      </w:r>
    </w:p>
    <w:p w14:paraId="272C505E">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(2)熟悉和学习设计图纸和水土保持方案报告和相关文件、法律法规。</w:t>
      </w:r>
    </w:p>
    <w:p w14:paraId="7DD56B11">
      <w:pPr>
        <w:keepNext w:val="0"/>
        <w:keepLines w:val="0"/>
        <w:pageBreakBefore w:val="0"/>
        <w:widowControl/>
        <w:kinsoku w:val="0"/>
        <w:wordWrap/>
        <w:overflowPunct/>
        <w:topLinePunct w:val="0"/>
        <w:autoSpaceDE w:val="0"/>
        <w:autoSpaceDN w:val="0"/>
        <w:bidi w:val="0"/>
        <w:adjustRightInd w:val="0"/>
        <w:snapToGrid w:val="0"/>
        <w:spacing w:line="360" w:lineRule="auto"/>
        <w:ind w:left="13" w:right="2" w:firstLine="51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(3)编制水保监理计划和单位工程水保监</w:t>
      </w:r>
      <w:r>
        <w:rPr>
          <w:rFonts w:ascii="宋体" w:hAnsi="宋体" w:eastAsia="宋体" w:cs="宋体"/>
          <w:color w:val="auto"/>
          <w:sz w:val="22"/>
          <w:szCs w:val="22"/>
          <w:highlight w:val="none"/>
        </w:rPr>
        <w:t>理实施细则，明确工程水土保持监理的重</w:t>
      </w:r>
      <w:r>
        <w:rPr>
          <w:rFonts w:ascii="宋体" w:hAnsi="宋体" w:eastAsia="宋体" w:cs="宋体"/>
          <w:color w:val="auto"/>
          <w:spacing w:val="-2"/>
          <w:sz w:val="22"/>
          <w:szCs w:val="22"/>
          <w:highlight w:val="none"/>
        </w:rPr>
        <w:t>点，难点、具体要求及监理的方法步骤等。</w:t>
      </w:r>
    </w:p>
    <w:p w14:paraId="163D7652">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(4)督促施工单位建立水保管理体系。</w:t>
      </w:r>
    </w:p>
    <w:p w14:paraId="3E66C173">
      <w:pPr>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519"/>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(5)审查承包人编制的《施工组织设计》</w:t>
      </w:r>
      <w:r>
        <w:rPr>
          <w:rFonts w:ascii="宋体" w:hAnsi="宋体" w:eastAsia="宋体" w:cs="宋体"/>
          <w:color w:val="auto"/>
          <w:sz w:val="22"/>
          <w:szCs w:val="22"/>
          <w:highlight w:val="none"/>
        </w:rPr>
        <w:t>中边坡防护、取弃土场、临建设施、排水</w:t>
      </w:r>
      <w:r>
        <w:rPr>
          <w:rFonts w:ascii="宋体" w:hAnsi="宋体" w:eastAsia="宋体" w:cs="宋体"/>
          <w:color w:val="auto"/>
          <w:spacing w:val="-1"/>
          <w:sz w:val="22"/>
          <w:szCs w:val="22"/>
          <w:highlight w:val="none"/>
        </w:rPr>
        <w:t>工程、临时防护等分项工程技术方案和措施是否可行。</w:t>
      </w:r>
    </w:p>
    <w:p w14:paraId="51D48AAF">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13.2.2</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施工阶段的水土保持监理工作</w:t>
      </w:r>
    </w:p>
    <w:p w14:paraId="4B3CEDFD">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 审查开工报告中涉及水保工作内容的方案和措施是否可行。</w:t>
      </w:r>
    </w:p>
    <w:p w14:paraId="1BC53ED4">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(2)水保监理巡视和检查</w:t>
      </w:r>
    </w:p>
    <w:p w14:paraId="7411F8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监理工程师在巡视、旁站中，应随时检查施工单位制订的水保措施的落实情况，</w:t>
      </w:r>
      <w:r>
        <w:rPr>
          <w:rFonts w:ascii="宋体" w:hAnsi="宋体" w:eastAsia="宋体" w:cs="宋体"/>
          <w:color w:val="auto"/>
          <w:spacing w:val="4"/>
          <w:sz w:val="22"/>
          <w:szCs w:val="22"/>
          <w:highlight w:val="none"/>
        </w:rPr>
        <w:t>检查的主要内容有：a. 水保管理体系。b. 水保教育。c.临建设施和施工便道排水和</w:t>
      </w:r>
      <w:r>
        <w:rPr>
          <w:rFonts w:ascii="宋体" w:hAnsi="宋体" w:eastAsia="宋体" w:cs="宋体"/>
          <w:color w:val="auto"/>
          <w:spacing w:val="2"/>
          <w:sz w:val="22"/>
          <w:szCs w:val="22"/>
          <w:highlight w:val="none"/>
        </w:rPr>
        <w:t>防护是否符合要求。d. 边坡防护是否及时进行防护</w:t>
      </w:r>
      <w:r>
        <w:rPr>
          <w:rFonts w:ascii="宋体" w:hAnsi="宋体" w:eastAsia="宋体" w:cs="宋体"/>
          <w:color w:val="auto"/>
          <w:spacing w:val="1"/>
          <w:sz w:val="22"/>
          <w:szCs w:val="22"/>
          <w:highlight w:val="none"/>
        </w:rPr>
        <w:t>，检查绿化工程成活率，是否做到了边坡无雨水冲刷、水土流失现象。e. 排水工程施工质量（包括路基临时排水设施）</w:t>
      </w:r>
      <w:r>
        <w:rPr>
          <w:rFonts w:ascii="宋体" w:hAnsi="宋体" w:eastAsia="宋体" w:cs="宋体"/>
          <w:color w:val="auto"/>
          <w:spacing w:val="5"/>
          <w:sz w:val="22"/>
          <w:szCs w:val="22"/>
          <w:highlight w:val="none"/>
        </w:rPr>
        <w:t>和连通情况，是否将地面水及地下水排入相应的涵洞，从而保证水土不</w:t>
      </w:r>
      <w:r>
        <w:rPr>
          <w:rFonts w:ascii="宋体" w:hAnsi="宋体" w:eastAsia="宋体" w:cs="宋体"/>
          <w:color w:val="auto"/>
          <w:spacing w:val="4"/>
          <w:sz w:val="22"/>
          <w:szCs w:val="22"/>
          <w:highlight w:val="none"/>
        </w:rPr>
        <w:t>流失。f.取、</w:t>
      </w:r>
      <w:r>
        <w:rPr>
          <w:rFonts w:ascii="宋体" w:hAnsi="宋体" w:eastAsia="宋体" w:cs="宋体"/>
          <w:color w:val="auto"/>
          <w:spacing w:val="5"/>
          <w:sz w:val="22"/>
          <w:szCs w:val="22"/>
          <w:highlight w:val="none"/>
        </w:rPr>
        <w:t>弃土场排水和防护措施是否符合要求。g. 桥</w:t>
      </w:r>
      <w:r>
        <w:rPr>
          <w:rFonts w:ascii="宋体" w:hAnsi="宋体" w:eastAsia="宋体" w:cs="宋体"/>
          <w:color w:val="auto"/>
          <w:spacing w:val="4"/>
          <w:sz w:val="22"/>
          <w:szCs w:val="22"/>
          <w:highlight w:val="none"/>
        </w:rPr>
        <w:t>梁桩基泥浆处理是否符合要求。h. 涉江</w:t>
      </w:r>
      <w:r>
        <w:rPr>
          <w:rFonts w:ascii="宋体" w:hAnsi="宋体" w:eastAsia="宋体" w:cs="宋体"/>
          <w:color w:val="auto"/>
          <w:spacing w:val="2"/>
          <w:sz w:val="22"/>
          <w:szCs w:val="22"/>
          <w:highlight w:val="none"/>
        </w:rPr>
        <w:t>涉河工程和生态敏感区水土保持措施是否符合要求</w:t>
      </w:r>
      <w:r>
        <w:rPr>
          <w:rFonts w:ascii="宋体" w:hAnsi="宋体" w:eastAsia="宋体" w:cs="宋体"/>
          <w:color w:val="auto"/>
          <w:spacing w:val="1"/>
          <w:sz w:val="22"/>
          <w:szCs w:val="22"/>
          <w:highlight w:val="none"/>
        </w:rPr>
        <w:t>。i. 如发现施工中存在违反有关水</w:t>
      </w:r>
      <w:r>
        <w:rPr>
          <w:rFonts w:ascii="宋体" w:hAnsi="宋体" w:eastAsia="宋体" w:cs="宋体"/>
          <w:color w:val="auto"/>
          <w:sz w:val="22"/>
          <w:szCs w:val="22"/>
          <w:highlight w:val="none"/>
        </w:rPr>
        <w:t>保规定、未按合同要求落实水保措施的情况，监理工程师应</w:t>
      </w:r>
      <w:r>
        <w:rPr>
          <w:rFonts w:ascii="宋体" w:hAnsi="宋体" w:eastAsia="宋体" w:cs="宋体"/>
          <w:color w:val="auto"/>
          <w:spacing w:val="-1"/>
          <w:sz w:val="22"/>
          <w:szCs w:val="22"/>
          <w:highlight w:val="none"/>
        </w:rPr>
        <w:t>书面指令施工单位整改。</w:t>
      </w:r>
    </w:p>
    <w:p w14:paraId="20B18C94">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(3)协调水保监测</w:t>
      </w:r>
    </w:p>
    <w:p w14:paraId="3A846611">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77"/>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根据施工过程中的重点和施工进度，协调外部监督监测单位进行相关监测工作。定时收集外部监督监测单位的水保监测报告，根据监测报告判断水保</w:t>
      </w:r>
      <w:r>
        <w:rPr>
          <w:rFonts w:ascii="宋体" w:hAnsi="宋体" w:eastAsia="宋体" w:cs="宋体"/>
          <w:color w:val="auto"/>
          <w:spacing w:val="4"/>
          <w:sz w:val="22"/>
          <w:szCs w:val="22"/>
          <w:highlight w:val="none"/>
        </w:rPr>
        <w:t>措施执行效果并</w:t>
      </w:r>
      <w:r>
        <w:rPr>
          <w:rFonts w:ascii="宋体" w:hAnsi="宋体" w:eastAsia="宋体" w:cs="宋体"/>
          <w:color w:val="auto"/>
          <w:spacing w:val="-1"/>
          <w:sz w:val="22"/>
          <w:szCs w:val="22"/>
          <w:highlight w:val="none"/>
        </w:rPr>
        <w:t>指导后续各项水保措施修订和落实工作。</w:t>
      </w:r>
    </w:p>
    <w:p w14:paraId="430AD604">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 协助水保主管部门和建设单位处理突发水保事件。</w:t>
      </w:r>
    </w:p>
    <w:p w14:paraId="3364AB68">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(5) 建立、保管水保监理资料档案及影像资料。</w:t>
      </w:r>
    </w:p>
    <w:p w14:paraId="000D8E29">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13.2.3</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交、竣工阶段及缺陷责任期的水土保持监理工作</w:t>
      </w:r>
    </w:p>
    <w:p w14:paraId="3F213677">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 交工验收水保监理工作内容</w:t>
      </w:r>
    </w:p>
    <w:p w14:paraId="781A23DD">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 组织交工验收前的水保工作内容初验，审查施工单位水保遗留问题的处理方</w:t>
      </w:r>
      <w:r>
        <w:rPr>
          <w:rFonts w:ascii="宋体" w:hAnsi="宋体" w:eastAsia="宋体" w:cs="宋体"/>
          <w:color w:val="auto"/>
          <w:spacing w:val="-1"/>
          <w:sz w:val="22"/>
          <w:szCs w:val="22"/>
          <w:highlight w:val="none"/>
        </w:rPr>
        <w:t>案和实施计划，并督促落实。b. 整理水保监理资料，并归档。</w:t>
      </w:r>
    </w:p>
    <w:p w14:paraId="57D095BE">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 交(竣)工验收及缺陷责任期内水保监理的工作内容。</w:t>
      </w:r>
    </w:p>
    <w:p w14:paraId="70448E7D">
      <w:pPr>
        <w:keepNext w:val="0"/>
        <w:keepLines w:val="0"/>
        <w:pageBreakBefore w:val="0"/>
        <w:widowControl/>
        <w:kinsoku w:val="0"/>
        <w:wordWrap/>
        <w:overflowPunct/>
        <w:topLinePunct w:val="0"/>
        <w:autoSpaceDE w:val="0"/>
        <w:autoSpaceDN w:val="0"/>
        <w:bidi w:val="0"/>
        <w:adjustRightInd w:val="0"/>
        <w:snapToGrid w:val="0"/>
        <w:spacing w:line="360" w:lineRule="auto"/>
        <w:ind w:firstLine="481"/>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 定期检查现场水保缺陷问题，审查施工单位水保缺陷问题的处理方案和实施计</w:t>
      </w:r>
      <w:r>
        <w:rPr>
          <w:rFonts w:ascii="宋体" w:hAnsi="宋体" w:eastAsia="宋体" w:cs="宋体"/>
          <w:color w:val="auto"/>
          <w:spacing w:val="-2"/>
          <w:sz w:val="22"/>
          <w:szCs w:val="22"/>
          <w:highlight w:val="none"/>
        </w:rPr>
        <w:t>划，并督促落实。</w:t>
      </w:r>
    </w:p>
    <w:p w14:paraId="7DB5477C">
      <w:pPr>
        <w:keepNext w:val="0"/>
        <w:keepLines w:val="0"/>
        <w:pageBreakBefore w:val="0"/>
        <w:widowControl/>
        <w:kinsoku w:val="0"/>
        <w:wordWrap/>
        <w:overflowPunct/>
        <w:topLinePunct w:val="0"/>
        <w:autoSpaceDE w:val="0"/>
        <w:autoSpaceDN w:val="0"/>
        <w:bidi w:val="0"/>
        <w:adjustRightInd w:val="0"/>
        <w:snapToGrid w:val="0"/>
        <w:spacing w:line="360" w:lineRule="auto"/>
        <w:ind w:left="477"/>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b</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对项目水保修复工程的施工进行现场监理。</w:t>
      </w:r>
    </w:p>
    <w:p w14:paraId="2F6AEDC2">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3"/>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c</w:t>
      </w:r>
      <w:r>
        <w:rPr>
          <w:rFonts w:ascii="宋体" w:hAnsi="宋体" w:eastAsia="宋体" w:cs="宋体"/>
          <w:color w:val="auto"/>
          <w:spacing w:val="-28"/>
          <w:sz w:val="22"/>
          <w:szCs w:val="22"/>
          <w:highlight w:val="none"/>
        </w:rPr>
        <w:t xml:space="preserve"> </w:t>
      </w:r>
      <w:r>
        <w:rPr>
          <w:rFonts w:ascii="宋体" w:hAnsi="宋体" w:eastAsia="宋体" w:cs="宋体"/>
          <w:color w:val="auto"/>
          <w:spacing w:val="-1"/>
          <w:sz w:val="22"/>
          <w:szCs w:val="22"/>
          <w:highlight w:val="none"/>
        </w:rPr>
        <w:t>督促各施工单位按合同及有关规定完成水保竣工资料的整理、归档，编写水保工</w:t>
      </w:r>
      <w:r>
        <w:rPr>
          <w:rFonts w:ascii="宋体" w:hAnsi="宋体" w:eastAsia="宋体" w:cs="宋体"/>
          <w:color w:val="auto"/>
          <w:spacing w:val="-2"/>
          <w:sz w:val="22"/>
          <w:szCs w:val="22"/>
          <w:highlight w:val="none"/>
        </w:rPr>
        <w:t>作总结报告。</w:t>
      </w:r>
    </w:p>
    <w:p w14:paraId="16CCDF1C">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d</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整理和完善水保监理竣工资料，并编写水保监理工作总结报告。</w:t>
      </w:r>
    </w:p>
    <w:p w14:paraId="74BEF63D">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e</w:t>
      </w:r>
      <w:r>
        <w:rPr>
          <w:rFonts w:ascii="宋体" w:hAnsi="宋体" w:eastAsia="宋体" w:cs="宋体"/>
          <w:color w:val="auto"/>
          <w:spacing w:val="-47"/>
          <w:sz w:val="22"/>
          <w:szCs w:val="22"/>
          <w:highlight w:val="none"/>
        </w:rPr>
        <w:t xml:space="preserve"> </w:t>
      </w:r>
      <w:r>
        <w:rPr>
          <w:rFonts w:ascii="宋体" w:hAnsi="宋体" w:eastAsia="宋体" w:cs="宋体"/>
          <w:color w:val="auto"/>
          <w:spacing w:val="-3"/>
          <w:sz w:val="22"/>
          <w:szCs w:val="22"/>
          <w:highlight w:val="none"/>
        </w:rPr>
        <w:t>协助竣工水保验收。</w:t>
      </w:r>
    </w:p>
    <w:p w14:paraId="1B3FEE39">
      <w:pPr>
        <w:keepNext w:val="0"/>
        <w:keepLines w:val="0"/>
        <w:pageBreakBefore w:val="0"/>
        <w:widowControl/>
        <w:kinsoku w:val="0"/>
        <w:wordWrap/>
        <w:overflowPunct/>
        <w:topLinePunct w:val="0"/>
        <w:autoSpaceDE w:val="0"/>
        <w:autoSpaceDN w:val="0"/>
        <w:bidi w:val="0"/>
        <w:adjustRightInd w:val="0"/>
        <w:snapToGrid w:val="0"/>
        <w:spacing w:line="360" w:lineRule="auto"/>
        <w:ind w:firstLine="483"/>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f</w:t>
      </w:r>
      <w:r>
        <w:rPr>
          <w:rFonts w:ascii="宋体" w:hAnsi="宋体" w:eastAsia="宋体" w:cs="宋体"/>
          <w:color w:val="auto"/>
          <w:spacing w:val="-51"/>
          <w:sz w:val="22"/>
          <w:szCs w:val="22"/>
          <w:highlight w:val="none"/>
        </w:rPr>
        <w:t xml:space="preserve"> </w:t>
      </w:r>
      <w:r>
        <w:rPr>
          <w:rFonts w:ascii="宋体" w:hAnsi="宋体" w:eastAsia="宋体" w:cs="宋体"/>
          <w:color w:val="auto"/>
          <w:sz w:val="22"/>
          <w:szCs w:val="22"/>
          <w:highlight w:val="none"/>
        </w:rPr>
        <w:t>缺陷责任期内环水保监测、水保验收工作由委托人承</w:t>
      </w:r>
      <w:r>
        <w:rPr>
          <w:rFonts w:ascii="宋体" w:hAnsi="宋体" w:eastAsia="宋体" w:cs="宋体"/>
          <w:color w:val="auto"/>
          <w:spacing w:val="-1"/>
          <w:sz w:val="22"/>
          <w:szCs w:val="22"/>
          <w:highlight w:val="none"/>
        </w:rPr>
        <w:t>担，总监办协助委托人做好</w:t>
      </w:r>
      <w:r>
        <w:rPr>
          <w:rFonts w:ascii="宋体" w:hAnsi="宋体" w:eastAsia="宋体" w:cs="宋体"/>
          <w:color w:val="auto"/>
          <w:spacing w:val="-2"/>
          <w:sz w:val="22"/>
          <w:szCs w:val="22"/>
          <w:highlight w:val="none"/>
        </w:rPr>
        <w:t>相关工作。</w:t>
      </w:r>
    </w:p>
    <w:p w14:paraId="7C30793C">
      <w:pPr>
        <w:keepNext w:val="0"/>
        <w:keepLines w:val="0"/>
        <w:pageBreakBefore w:val="0"/>
        <w:widowControl/>
        <w:kinsoku w:val="0"/>
        <w:wordWrap/>
        <w:overflowPunct/>
        <w:topLinePunct w:val="0"/>
        <w:autoSpaceDE w:val="0"/>
        <w:autoSpaceDN w:val="0"/>
        <w:bidi w:val="0"/>
        <w:adjustRightInd w:val="0"/>
        <w:snapToGrid w:val="0"/>
        <w:spacing w:line="360" w:lineRule="auto"/>
        <w:ind w:firstLine="498"/>
        <w:jc w:val="both"/>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13.3</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为在项目交工验收后及时完成项目竣工环境保护验收工作，各监理人应负责</w:t>
      </w:r>
      <w:r>
        <w:rPr>
          <w:rFonts w:ascii="宋体" w:hAnsi="宋体" w:eastAsia="宋体" w:cs="宋体"/>
          <w:color w:val="auto"/>
          <w:spacing w:val="5"/>
          <w:sz w:val="22"/>
          <w:szCs w:val="22"/>
          <w:highlight w:val="none"/>
        </w:rPr>
        <w:t>协调、配合环境保护验收监测（调查）报告编制单位开展相关工作，并且按环</w:t>
      </w:r>
      <w:r>
        <w:rPr>
          <w:rFonts w:ascii="宋体" w:hAnsi="宋体" w:eastAsia="宋体" w:cs="宋体"/>
          <w:color w:val="auto"/>
          <w:spacing w:val="4"/>
          <w:sz w:val="22"/>
          <w:szCs w:val="22"/>
          <w:highlight w:val="none"/>
        </w:rPr>
        <w:t>境保护</w:t>
      </w:r>
      <w:r>
        <w:rPr>
          <w:rFonts w:ascii="宋体" w:hAnsi="宋体" w:eastAsia="宋体" w:cs="宋体"/>
          <w:color w:val="auto"/>
          <w:spacing w:val="5"/>
          <w:sz w:val="22"/>
          <w:szCs w:val="22"/>
          <w:highlight w:val="none"/>
        </w:rPr>
        <w:t>验收监测（调查）报告单位提交的保护方案安排相关的环境监理工作。环保监</w:t>
      </w:r>
      <w:r>
        <w:rPr>
          <w:rFonts w:ascii="宋体" w:hAnsi="宋体" w:eastAsia="宋体" w:cs="宋体"/>
          <w:color w:val="auto"/>
          <w:spacing w:val="4"/>
          <w:sz w:val="22"/>
          <w:szCs w:val="22"/>
          <w:highlight w:val="none"/>
        </w:rPr>
        <w:t>理具体</w:t>
      </w:r>
      <w:r>
        <w:rPr>
          <w:rFonts w:ascii="宋体" w:hAnsi="宋体" w:eastAsia="宋体" w:cs="宋体"/>
          <w:color w:val="auto"/>
          <w:spacing w:val="-3"/>
          <w:sz w:val="22"/>
          <w:szCs w:val="22"/>
          <w:highlight w:val="none"/>
        </w:rPr>
        <w:t>工作为：</w:t>
      </w:r>
    </w:p>
    <w:p w14:paraId="1D012927">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13.3.1</w:t>
      </w:r>
      <w:r>
        <w:rPr>
          <w:rFonts w:ascii="宋体" w:hAnsi="宋体" w:eastAsia="宋体" w:cs="宋体"/>
          <w:color w:val="auto"/>
          <w:spacing w:val="-38"/>
          <w:sz w:val="22"/>
          <w:szCs w:val="22"/>
          <w:highlight w:val="none"/>
        </w:rPr>
        <w:t xml:space="preserve"> </w:t>
      </w:r>
      <w:r>
        <w:rPr>
          <w:rFonts w:ascii="宋体" w:hAnsi="宋体" w:eastAsia="宋体" w:cs="宋体"/>
          <w:b/>
          <w:bCs/>
          <w:color w:val="auto"/>
          <w:spacing w:val="-4"/>
          <w:sz w:val="22"/>
          <w:szCs w:val="22"/>
          <w:highlight w:val="none"/>
        </w:rPr>
        <w:t>施工准备阶段的环境保护监理工作</w:t>
      </w:r>
    </w:p>
    <w:p w14:paraId="16EBBFC0">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(1)成立环保监理领导小组，明确职责分工。</w:t>
      </w:r>
    </w:p>
    <w:p w14:paraId="2378F456">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(2)熟悉环评报告和设计文件，掌握工程</w:t>
      </w:r>
      <w:r>
        <w:rPr>
          <w:rFonts w:ascii="宋体" w:hAnsi="宋体" w:eastAsia="宋体" w:cs="宋体"/>
          <w:color w:val="auto"/>
          <w:spacing w:val="-3"/>
          <w:sz w:val="22"/>
          <w:szCs w:val="22"/>
          <w:highlight w:val="none"/>
        </w:rPr>
        <w:t>整体情况。</w:t>
      </w:r>
    </w:p>
    <w:p w14:paraId="17C189B9">
      <w:pPr>
        <w:keepNext w:val="0"/>
        <w:keepLines w:val="0"/>
        <w:pageBreakBefore w:val="0"/>
        <w:widowControl/>
        <w:kinsoku w:val="0"/>
        <w:wordWrap/>
        <w:overflowPunct/>
        <w:topLinePunct w:val="0"/>
        <w:autoSpaceDE w:val="0"/>
        <w:autoSpaceDN w:val="0"/>
        <w:bidi w:val="0"/>
        <w:adjustRightInd w:val="0"/>
        <w:snapToGrid w:val="0"/>
        <w:spacing w:line="360" w:lineRule="auto"/>
        <w:ind w:left="13" w:firstLine="51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(3)对照设计文件、环境影响评价文件，</w:t>
      </w:r>
      <w:r>
        <w:rPr>
          <w:rFonts w:ascii="宋体" w:hAnsi="宋体" w:eastAsia="宋体" w:cs="宋体"/>
          <w:color w:val="auto"/>
          <w:sz w:val="22"/>
          <w:szCs w:val="22"/>
          <w:highlight w:val="none"/>
        </w:rPr>
        <w:t>调查和了解工程附近环境保护目标和敏感</w:t>
      </w:r>
      <w:r>
        <w:rPr>
          <w:rFonts w:ascii="宋体" w:hAnsi="宋体" w:eastAsia="宋体" w:cs="宋体"/>
          <w:color w:val="auto"/>
          <w:spacing w:val="-4"/>
          <w:sz w:val="22"/>
          <w:szCs w:val="22"/>
          <w:highlight w:val="none"/>
        </w:rPr>
        <w:t>点的分布情况。</w:t>
      </w:r>
    </w:p>
    <w:p w14:paraId="371AE850">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52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(4)初步审查承包人提交的临时工程设计</w:t>
      </w:r>
      <w:r>
        <w:rPr>
          <w:rFonts w:ascii="宋体" w:hAnsi="宋体" w:eastAsia="宋体" w:cs="宋体"/>
          <w:color w:val="auto"/>
          <w:sz w:val="22"/>
          <w:szCs w:val="22"/>
          <w:highlight w:val="none"/>
        </w:rPr>
        <w:t>文件中的环境保护措施和方案，提交委托</w:t>
      </w:r>
      <w:r>
        <w:rPr>
          <w:rFonts w:ascii="宋体" w:hAnsi="宋体" w:eastAsia="宋体" w:cs="宋体"/>
          <w:color w:val="auto"/>
          <w:spacing w:val="-2"/>
          <w:sz w:val="22"/>
          <w:szCs w:val="22"/>
          <w:highlight w:val="none"/>
        </w:rPr>
        <w:t>人组织审查。</w:t>
      </w:r>
    </w:p>
    <w:p w14:paraId="6A5D10EA">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(5)编制施工环境保护监理计划和各单位工程的环境保护监理实施细则。</w:t>
      </w:r>
    </w:p>
    <w:p w14:paraId="1D68ECB6">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(6)督促施工单位建立环境保护管理体系。</w:t>
      </w:r>
    </w:p>
    <w:p w14:paraId="10A8974C">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(7)审查承包人编制的《施工组织设计》中施工污染防治方案。</w:t>
      </w:r>
    </w:p>
    <w:p w14:paraId="25A1313A">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13.3.2</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施工阶段的环境保护监理工作</w:t>
      </w:r>
    </w:p>
    <w:p w14:paraId="653B4E33">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(1)环保监理巡视和检查</w:t>
      </w:r>
    </w:p>
    <w:p w14:paraId="33FD60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监理工程师在巡视、旁站中，应随时检查施工单位制订的环境保护措施的落实情</w:t>
      </w:r>
      <w:r>
        <w:rPr>
          <w:rFonts w:ascii="宋体" w:hAnsi="宋体" w:eastAsia="宋体" w:cs="宋体"/>
          <w:color w:val="auto"/>
          <w:spacing w:val="2"/>
          <w:sz w:val="22"/>
          <w:szCs w:val="22"/>
          <w:highlight w:val="none"/>
        </w:rPr>
        <w:t>况，检查的主要内容有：a. 施工环境保</w:t>
      </w:r>
      <w:r>
        <w:rPr>
          <w:rFonts w:ascii="宋体" w:hAnsi="宋体" w:eastAsia="宋体" w:cs="宋体"/>
          <w:color w:val="auto"/>
          <w:spacing w:val="1"/>
          <w:sz w:val="22"/>
          <w:szCs w:val="22"/>
          <w:highlight w:val="none"/>
        </w:rPr>
        <w:t>护体系；b. 环保教育；c. 施工场地的布设是</w:t>
      </w:r>
      <w:r>
        <w:rPr>
          <w:rFonts w:ascii="宋体" w:hAnsi="宋体" w:eastAsia="宋体" w:cs="宋体"/>
          <w:color w:val="auto"/>
          <w:spacing w:val="2"/>
          <w:sz w:val="22"/>
          <w:szCs w:val="22"/>
          <w:highlight w:val="none"/>
        </w:rPr>
        <w:t>否符合相关环保要求；d. 职业危害的防护措施是否健全；e</w:t>
      </w:r>
      <w:r>
        <w:rPr>
          <w:rFonts w:ascii="宋体" w:hAnsi="宋体" w:eastAsia="宋体" w:cs="宋体"/>
          <w:color w:val="auto"/>
          <w:spacing w:val="1"/>
          <w:sz w:val="22"/>
          <w:szCs w:val="22"/>
          <w:highlight w:val="none"/>
        </w:rPr>
        <w:t>. 施工现场(含临时便道、</w:t>
      </w:r>
      <w:r>
        <w:rPr>
          <w:rFonts w:ascii="宋体" w:hAnsi="宋体" w:eastAsia="宋体" w:cs="宋体"/>
          <w:color w:val="auto"/>
          <w:spacing w:val="2"/>
          <w:sz w:val="22"/>
          <w:szCs w:val="22"/>
          <w:highlight w:val="none"/>
        </w:rPr>
        <w:t>拌和站、预制场等)和料场等是否洒水防尘；</w:t>
      </w:r>
      <w:r>
        <w:rPr>
          <w:rFonts w:ascii="宋体" w:hAnsi="宋体" w:eastAsia="宋体" w:cs="宋体"/>
          <w:color w:val="auto"/>
          <w:spacing w:val="1"/>
          <w:sz w:val="22"/>
          <w:szCs w:val="22"/>
          <w:highlight w:val="none"/>
        </w:rPr>
        <w:t>f. 是否按有关要求采取降噪措施；g. 材</w:t>
      </w:r>
      <w:r>
        <w:rPr>
          <w:rFonts w:ascii="宋体" w:hAnsi="宋体" w:eastAsia="宋体" w:cs="宋体"/>
          <w:color w:val="auto"/>
          <w:spacing w:val="5"/>
          <w:sz w:val="22"/>
          <w:szCs w:val="22"/>
          <w:highlight w:val="none"/>
        </w:rPr>
        <w:t>料堆场设置环境的合理性及采取措施减少运输漏洒情况；h.施工</w:t>
      </w:r>
      <w:r>
        <w:rPr>
          <w:rFonts w:ascii="宋体" w:hAnsi="宋体" w:eastAsia="宋体" w:cs="宋体"/>
          <w:color w:val="auto"/>
          <w:spacing w:val="4"/>
          <w:sz w:val="22"/>
          <w:szCs w:val="22"/>
          <w:highlight w:val="none"/>
        </w:rPr>
        <w:t>废水、渣土、生活污</w:t>
      </w:r>
      <w:r>
        <w:rPr>
          <w:rFonts w:ascii="宋体" w:hAnsi="宋体" w:eastAsia="宋体" w:cs="宋体"/>
          <w:color w:val="auto"/>
          <w:spacing w:val="2"/>
          <w:sz w:val="22"/>
          <w:szCs w:val="22"/>
          <w:highlight w:val="none"/>
        </w:rPr>
        <w:t>水、垃圾的处置是否合理；i. 是否按照批准在</w:t>
      </w:r>
      <w:r>
        <w:rPr>
          <w:rFonts w:ascii="宋体" w:hAnsi="宋体" w:eastAsia="宋体" w:cs="宋体"/>
          <w:color w:val="auto"/>
          <w:spacing w:val="1"/>
          <w:sz w:val="22"/>
          <w:szCs w:val="22"/>
          <w:highlight w:val="none"/>
        </w:rPr>
        <w:t>拟定的取弃土场取弃土，取土结束后是</w:t>
      </w:r>
      <w:r>
        <w:rPr>
          <w:rFonts w:ascii="宋体" w:hAnsi="宋体" w:eastAsia="宋体" w:cs="宋体"/>
          <w:color w:val="auto"/>
          <w:spacing w:val="2"/>
          <w:sz w:val="22"/>
          <w:szCs w:val="22"/>
          <w:highlight w:val="none"/>
        </w:rPr>
        <w:t>否采取了有效的排水防护和植被恢复措施；j. 如发现施工中存在</w:t>
      </w:r>
      <w:r>
        <w:rPr>
          <w:rFonts w:ascii="宋体" w:hAnsi="宋体" w:eastAsia="宋体" w:cs="宋体"/>
          <w:color w:val="auto"/>
          <w:spacing w:val="1"/>
          <w:sz w:val="22"/>
          <w:szCs w:val="22"/>
          <w:highlight w:val="none"/>
        </w:rPr>
        <w:t>违反有关环保规定、</w:t>
      </w:r>
      <w:r>
        <w:rPr>
          <w:rFonts w:ascii="宋体" w:hAnsi="宋体" w:eastAsia="宋体" w:cs="宋体"/>
          <w:color w:val="auto"/>
          <w:spacing w:val="2"/>
          <w:sz w:val="22"/>
          <w:szCs w:val="22"/>
          <w:highlight w:val="none"/>
        </w:rPr>
        <w:t>未按合同要求落实环保措施的情况，监理工程师应书面指</w:t>
      </w:r>
      <w:r>
        <w:rPr>
          <w:rFonts w:ascii="宋体" w:hAnsi="宋体" w:eastAsia="宋体" w:cs="宋体"/>
          <w:color w:val="auto"/>
          <w:spacing w:val="1"/>
          <w:sz w:val="22"/>
          <w:szCs w:val="22"/>
          <w:highlight w:val="none"/>
        </w:rPr>
        <w:t>令施工单位整改；k. 施工中</w:t>
      </w:r>
      <w:r>
        <w:rPr>
          <w:rFonts w:ascii="宋体" w:hAnsi="宋体" w:eastAsia="宋体" w:cs="宋体"/>
          <w:color w:val="auto"/>
          <w:spacing w:val="-1"/>
          <w:sz w:val="22"/>
          <w:szCs w:val="22"/>
          <w:highlight w:val="none"/>
        </w:rPr>
        <w:t>发现文物时，监理工程师应要求施工单位依法保护现场，</w:t>
      </w:r>
      <w:r>
        <w:rPr>
          <w:rFonts w:ascii="宋体" w:hAnsi="宋体" w:eastAsia="宋体" w:cs="宋体"/>
          <w:color w:val="auto"/>
          <w:spacing w:val="-2"/>
          <w:sz w:val="22"/>
          <w:szCs w:val="22"/>
          <w:highlight w:val="none"/>
        </w:rPr>
        <w:t>并报告有关部门和建设单位</w:t>
      </w:r>
      <w:r>
        <w:rPr>
          <w:rFonts w:hint="eastAsia" w:ascii="宋体" w:hAnsi="宋体" w:eastAsia="宋体" w:cs="宋体"/>
          <w:color w:val="auto"/>
          <w:spacing w:val="2"/>
          <w:sz w:val="24"/>
          <w:szCs w:val="24"/>
          <w:highlight w:val="none"/>
          <w:lang w:eastAsia="zh-CN"/>
        </w:rPr>
        <w:t>;L.是否做好施工期间周边建（构）筑物的保护与监测，</w:t>
      </w:r>
      <w:r>
        <w:rPr>
          <w:rFonts w:hint="eastAsia" w:ascii="宋体" w:hAnsi="宋体" w:eastAsia="宋体" w:cs="宋体"/>
          <w:color w:val="auto"/>
          <w:spacing w:val="2"/>
          <w:sz w:val="24"/>
          <w:szCs w:val="24"/>
          <w:highlight w:val="none"/>
          <w:lang w:val="en-US" w:eastAsia="zh-CN"/>
        </w:rPr>
        <w:t>若因施工原因造成损坏，是否及时修复</w:t>
      </w:r>
      <w:r>
        <w:rPr>
          <w:rFonts w:ascii="宋体" w:hAnsi="宋体" w:eastAsia="宋体" w:cs="宋体"/>
          <w:color w:val="auto"/>
          <w:spacing w:val="-2"/>
          <w:sz w:val="22"/>
          <w:szCs w:val="22"/>
          <w:highlight w:val="none"/>
        </w:rPr>
        <w:t>。</w:t>
      </w:r>
    </w:p>
    <w:p w14:paraId="1FC2B12B">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 协调环保监测</w:t>
      </w:r>
    </w:p>
    <w:p w14:paraId="77DB31E1">
      <w:pPr>
        <w:keepNext w:val="0"/>
        <w:keepLines w:val="0"/>
        <w:pageBreakBefore w:val="0"/>
        <w:widowControl/>
        <w:kinsoku w:val="0"/>
        <w:wordWrap/>
        <w:overflowPunct/>
        <w:topLinePunct w:val="0"/>
        <w:autoSpaceDE w:val="0"/>
        <w:autoSpaceDN w:val="0"/>
        <w:bidi w:val="0"/>
        <w:adjustRightInd w:val="0"/>
        <w:snapToGrid w:val="0"/>
        <w:spacing w:line="360" w:lineRule="auto"/>
        <w:ind w:right="8" w:firstLine="48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根据施工过程中的重点和施工进度，协调外部监督监测单位进行空气质量、地表水水质、声环境质量等项目监测工作。定时收集外部监督监测单位的环境监</w:t>
      </w:r>
      <w:r>
        <w:rPr>
          <w:rFonts w:ascii="宋体" w:hAnsi="宋体" w:eastAsia="宋体" w:cs="宋体"/>
          <w:color w:val="auto"/>
          <w:spacing w:val="4"/>
          <w:sz w:val="22"/>
          <w:szCs w:val="22"/>
          <w:highlight w:val="none"/>
        </w:rPr>
        <w:t>测报告，</w:t>
      </w:r>
      <w:r>
        <w:rPr>
          <w:rFonts w:ascii="宋体" w:hAnsi="宋体" w:eastAsia="宋体" w:cs="宋体"/>
          <w:color w:val="auto"/>
          <w:sz w:val="22"/>
          <w:szCs w:val="22"/>
          <w:highlight w:val="none"/>
        </w:rPr>
        <w:t>根据监测报告判断环保措施执行效果并指导后续各项环</w:t>
      </w:r>
      <w:r>
        <w:rPr>
          <w:rFonts w:ascii="宋体" w:hAnsi="宋体" w:eastAsia="宋体" w:cs="宋体"/>
          <w:color w:val="auto"/>
          <w:spacing w:val="-1"/>
          <w:sz w:val="22"/>
          <w:szCs w:val="22"/>
          <w:highlight w:val="none"/>
        </w:rPr>
        <w:t>保措施修订和落实工作。</w:t>
      </w:r>
    </w:p>
    <w:p w14:paraId="341189F1">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 协助环保主管部门和建设单位处理突发环保事件。</w:t>
      </w:r>
    </w:p>
    <w:p w14:paraId="7B1C071C">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 建立、保管环境保护监理资料档案。</w:t>
      </w:r>
    </w:p>
    <w:p w14:paraId="09267E6E">
      <w:pPr>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13.3.3</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交、竣工阶段及缺陷责任期的环境保护监理工作</w:t>
      </w:r>
    </w:p>
    <w:p w14:paraId="4FB9F0F3">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 交工验收环境保护监理工作内容</w:t>
      </w:r>
    </w:p>
    <w:p w14:paraId="164F8BD2">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a. 组织交工验收前的环境保护工作内容初验；</w:t>
      </w:r>
    </w:p>
    <w:p w14:paraId="40C2DBB7">
      <w:pPr>
        <w:keepNext w:val="0"/>
        <w:keepLines w:val="0"/>
        <w:pageBreakBefore w:val="0"/>
        <w:widowControl/>
        <w:kinsoku w:val="0"/>
        <w:wordWrap/>
        <w:overflowPunct/>
        <w:topLinePunct w:val="0"/>
        <w:autoSpaceDE w:val="0"/>
        <w:autoSpaceDN w:val="0"/>
        <w:bidi w:val="0"/>
        <w:adjustRightInd w:val="0"/>
        <w:snapToGrid w:val="0"/>
        <w:spacing w:line="360" w:lineRule="auto"/>
        <w:ind w:left="477"/>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b. 整理环境监理资料，并归档；</w:t>
      </w:r>
    </w:p>
    <w:p w14:paraId="1DF4D3D0">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c.参加交工验收，协助委托人的交工验收工作。</w:t>
      </w:r>
    </w:p>
    <w:p w14:paraId="7733A811">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(2) 缺陷责任期内环境保护监理的工作内容。</w:t>
      </w:r>
    </w:p>
    <w:p w14:paraId="64ACABA5">
      <w:pPr>
        <w:keepNext w:val="0"/>
        <w:keepLines w:val="0"/>
        <w:pageBreakBefore w:val="0"/>
        <w:widowControl/>
        <w:kinsoku w:val="0"/>
        <w:wordWrap/>
        <w:overflowPunct/>
        <w:topLinePunct w:val="0"/>
        <w:autoSpaceDE w:val="0"/>
        <w:autoSpaceDN w:val="0"/>
        <w:bidi w:val="0"/>
        <w:adjustRightInd w:val="0"/>
        <w:snapToGrid w:val="0"/>
        <w:spacing w:line="360" w:lineRule="auto"/>
        <w:ind w:right="8" w:firstLine="481"/>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a.定期检查施工单位对交工环境保护验收提出的环境保护遗漏问题整改措施和计</w:t>
      </w:r>
      <w:r>
        <w:rPr>
          <w:rFonts w:ascii="宋体" w:hAnsi="宋体" w:eastAsia="宋体" w:cs="宋体"/>
          <w:color w:val="auto"/>
          <w:spacing w:val="-2"/>
          <w:sz w:val="22"/>
          <w:szCs w:val="22"/>
          <w:highlight w:val="none"/>
        </w:rPr>
        <w:t>划的实施情况。</w:t>
      </w:r>
    </w:p>
    <w:p w14:paraId="2B92D498">
      <w:pPr>
        <w:keepNext w:val="0"/>
        <w:keepLines w:val="0"/>
        <w:pageBreakBefore w:val="0"/>
        <w:widowControl/>
        <w:kinsoku w:val="0"/>
        <w:wordWrap/>
        <w:overflowPunct/>
        <w:topLinePunct w:val="0"/>
        <w:autoSpaceDE w:val="0"/>
        <w:autoSpaceDN w:val="0"/>
        <w:bidi w:val="0"/>
        <w:adjustRightInd w:val="0"/>
        <w:snapToGrid w:val="0"/>
        <w:spacing w:line="360" w:lineRule="auto"/>
        <w:ind w:left="4" w:right="8" w:firstLine="472"/>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b.对项目环境保护设施工程的施工进行现场监理，并对环境保护设施运行情况进</w:t>
      </w:r>
      <w:r>
        <w:rPr>
          <w:rFonts w:ascii="宋体" w:hAnsi="宋体" w:eastAsia="宋体" w:cs="宋体"/>
          <w:color w:val="auto"/>
          <w:spacing w:val="-1"/>
          <w:sz w:val="22"/>
          <w:szCs w:val="22"/>
          <w:highlight w:val="none"/>
        </w:rPr>
        <w:t>行检查，如不能达到环评报告书中的相关要求，及时督促其整改。</w:t>
      </w:r>
    </w:p>
    <w:p w14:paraId="37617196">
      <w:pPr>
        <w:keepNext w:val="0"/>
        <w:keepLines w:val="0"/>
        <w:pageBreakBefore w:val="0"/>
        <w:widowControl/>
        <w:kinsoku w:val="0"/>
        <w:wordWrap/>
        <w:overflowPunct/>
        <w:topLinePunct w:val="0"/>
        <w:autoSpaceDE w:val="0"/>
        <w:autoSpaceDN w:val="0"/>
        <w:bidi w:val="0"/>
        <w:adjustRightInd w:val="0"/>
        <w:snapToGrid w:val="0"/>
        <w:spacing w:line="360" w:lineRule="auto"/>
        <w:ind w:left="2" w:right="191" w:firstLine="482"/>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c.督促各施工单位按合同及有关规定完成施工环境保护竣工资料的整理、归档，</w:t>
      </w:r>
      <w:r>
        <w:rPr>
          <w:rFonts w:ascii="宋体" w:hAnsi="宋体" w:eastAsia="宋体" w:cs="宋体"/>
          <w:color w:val="auto"/>
          <w:spacing w:val="-1"/>
          <w:sz w:val="22"/>
          <w:szCs w:val="22"/>
          <w:highlight w:val="none"/>
        </w:rPr>
        <w:t>编写施工环境保护工作总结报告。</w:t>
      </w:r>
    </w:p>
    <w:p w14:paraId="56123C94">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d.整理和完善环境保护监理竣工资料，并编</w:t>
      </w:r>
      <w:r>
        <w:rPr>
          <w:rFonts w:ascii="宋体" w:hAnsi="宋体" w:eastAsia="宋体" w:cs="宋体"/>
          <w:color w:val="auto"/>
          <w:spacing w:val="-1"/>
          <w:sz w:val="22"/>
          <w:szCs w:val="22"/>
          <w:highlight w:val="none"/>
        </w:rPr>
        <w:t>写施工环境保护监理工作总结报告。</w:t>
      </w:r>
    </w:p>
    <w:p w14:paraId="56E8D761">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e.协助竣工环境保护验收。</w:t>
      </w:r>
    </w:p>
    <w:p w14:paraId="75B425C1">
      <w:pPr>
        <w:keepNext w:val="0"/>
        <w:keepLines w:val="0"/>
        <w:pageBreakBefore w:val="0"/>
        <w:widowControl/>
        <w:kinsoku w:val="0"/>
        <w:wordWrap/>
        <w:overflowPunct/>
        <w:topLinePunct w:val="0"/>
        <w:autoSpaceDE w:val="0"/>
        <w:autoSpaceDN w:val="0"/>
        <w:bidi w:val="0"/>
        <w:adjustRightInd w:val="0"/>
        <w:snapToGrid w:val="0"/>
        <w:spacing w:line="360" w:lineRule="auto"/>
        <w:ind w:right="133" w:firstLine="483"/>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f.缺陷责任期内环保监测、环境应急预案报备工作由委托人承担，总监办</w:t>
      </w:r>
      <w:r>
        <w:rPr>
          <w:rFonts w:ascii="宋体" w:hAnsi="宋体" w:eastAsia="宋体" w:cs="宋体"/>
          <w:color w:val="auto"/>
          <w:spacing w:val="4"/>
          <w:sz w:val="22"/>
          <w:szCs w:val="22"/>
          <w:highlight w:val="none"/>
        </w:rPr>
        <w:t>协助委</w:t>
      </w:r>
      <w:r>
        <w:rPr>
          <w:rFonts w:ascii="宋体" w:hAnsi="宋体" w:eastAsia="宋体" w:cs="宋体"/>
          <w:color w:val="auto"/>
          <w:spacing w:val="-2"/>
          <w:sz w:val="22"/>
          <w:szCs w:val="22"/>
          <w:highlight w:val="none"/>
        </w:rPr>
        <w:t>托人做好相关工作。</w:t>
      </w:r>
    </w:p>
    <w:p w14:paraId="008022BF">
      <w:pPr>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13.4关于竣工文件的补充条款：</w:t>
      </w:r>
    </w:p>
    <w:p w14:paraId="5E2F33D2">
      <w:pPr>
        <w:keepNext w:val="0"/>
        <w:keepLines w:val="0"/>
        <w:pageBreakBefore w:val="0"/>
        <w:widowControl/>
        <w:kinsoku w:val="0"/>
        <w:wordWrap/>
        <w:overflowPunct/>
        <w:topLinePunct w:val="0"/>
        <w:autoSpaceDE w:val="0"/>
        <w:autoSpaceDN w:val="0"/>
        <w:bidi w:val="0"/>
        <w:adjustRightInd w:val="0"/>
        <w:snapToGrid w:val="0"/>
        <w:spacing w:line="360" w:lineRule="auto"/>
        <w:ind w:left="3" w:right="133" w:firstLine="493"/>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（1）监理文件必须与工程施工同步形成、同步收集，并按照档案预组卷的标准同</w:t>
      </w:r>
      <w:r>
        <w:rPr>
          <w:rFonts w:ascii="宋体" w:hAnsi="宋体" w:eastAsia="宋体" w:cs="宋体"/>
          <w:color w:val="auto"/>
          <w:spacing w:val="-2"/>
          <w:sz w:val="22"/>
          <w:szCs w:val="22"/>
          <w:highlight w:val="none"/>
        </w:rPr>
        <w:t>步进行系统的整理。</w:t>
      </w:r>
    </w:p>
    <w:p w14:paraId="18154BFD">
      <w:pPr>
        <w:keepNext w:val="0"/>
        <w:keepLines w:val="0"/>
        <w:pageBreakBefore w:val="0"/>
        <w:widowControl/>
        <w:kinsoku w:val="0"/>
        <w:wordWrap/>
        <w:overflowPunct/>
        <w:topLinePunct w:val="0"/>
        <w:autoSpaceDE w:val="0"/>
        <w:autoSpaceDN w:val="0"/>
        <w:bidi w:val="0"/>
        <w:adjustRightInd w:val="0"/>
        <w:snapToGrid w:val="0"/>
        <w:spacing w:line="360" w:lineRule="auto"/>
        <w:ind w:right="133" w:firstLine="496"/>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（2）工程开工后，监理人应及时建立档案管理机构，明确分管领导、管理部门和</w:t>
      </w:r>
      <w:r>
        <w:rPr>
          <w:rFonts w:ascii="宋体" w:hAnsi="宋体" w:eastAsia="宋体" w:cs="宋体"/>
          <w:color w:val="auto"/>
          <w:spacing w:val="-1"/>
          <w:sz w:val="22"/>
          <w:szCs w:val="22"/>
          <w:highlight w:val="none"/>
        </w:rPr>
        <w:t>配备适应工作需要的档案管理人员，并保持相对稳定。</w:t>
      </w:r>
    </w:p>
    <w:p w14:paraId="68EF9EFD">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（3）监理人应监督、指导施工用表、施工原始文件的填写及管理性文件的上报。</w:t>
      </w:r>
    </w:p>
    <w:p w14:paraId="32ABE06E">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（3）档案的装具和设施设备应满足档案管理的要求，保证文件材料和档案的安全。</w:t>
      </w:r>
    </w:p>
    <w:p w14:paraId="02AB0B44">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（4）监理文件的形成应规范、清晰，数据真实、准确。</w:t>
      </w:r>
    </w:p>
    <w:p w14:paraId="1EF606B3">
      <w:pPr>
        <w:keepNext w:val="0"/>
        <w:keepLines w:val="0"/>
        <w:pageBreakBefore w:val="0"/>
        <w:widowControl/>
        <w:kinsoku w:val="0"/>
        <w:wordWrap/>
        <w:overflowPunct/>
        <w:topLinePunct w:val="0"/>
        <w:autoSpaceDE w:val="0"/>
        <w:autoSpaceDN w:val="0"/>
        <w:bidi w:val="0"/>
        <w:adjustRightInd w:val="0"/>
        <w:snapToGrid w:val="0"/>
        <w:spacing w:line="360" w:lineRule="auto"/>
        <w:ind w:left="1" w:right="133" w:firstLine="49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（5）监理文件应按照交通运输部关于公路建设项目档案的归档范围收集齐全、完</w:t>
      </w:r>
      <w:r>
        <w:rPr>
          <w:rFonts w:ascii="宋体" w:hAnsi="宋体" w:eastAsia="宋体" w:cs="宋体"/>
          <w:color w:val="auto"/>
          <w:spacing w:val="-6"/>
          <w:sz w:val="22"/>
          <w:szCs w:val="22"/>
          <w:highlight w:val="none"/>
        </w:rPr>
        <w:t>整。</w:t>
      </w:r>
    </w:p>
    <w:p w14:paraId="47B3D3DC">
      <w:pPr>
        <w:keepNext w:val="0"/>
        <w:keepLines w:val="0"/>
        <w:pageBreakBefore w:val="0"/>
        <w:widowControl/>
        <w:kinsoku w:val="0"/>
        <w:wordWrap/>
        <w:overflowPunct/>
        <w:topLinePunct w:val="0"/>
        <w:autoSpaceDE w:val="0"/>
        <w:autoSpaceDN w:val="0"/>
        <w:bidi w:val="0"/>
        <w:adjustRightInd w:val="0"/>
        <w:snapToGrid w:val="0"/>
        <w:spacing w:line="360" w:lineRule="auto"/>
        <w:ind w:left="1" w:right="133" w:firstLine="49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（6）标段交工或项目通车前，监理文件应按照预组卷（除未装订和打页码外，其</w:t>
      </w:r>
      <w:r>
        <w:rPr>
          <w:rFonts w:ascii="宋体" w:hAnsi="宋体" w:eastAsia="宋体" w:cs="宋体"/>
          <w:color w:val="auto"/>
          <w:spacing w:val="-1"/>
          <w:sz w:val="22"/>
          <w:szCs w:val="22"/>
          <w:highlight w:val="none"/>
        </w:rPr>
        <w:t>余同档案专项验收的标准一样）的标准完成。</w:t>
      </w:r>
    </w:p>
    <w:p w14:paraId="34F16892">
      <w:pPr>
        <w:keepNext w:val="0"/>
        <w:keepLines w:val="0"/>
        <w:pageBreakBefore w:val="0"/>
        <w:widowControl/>
        <w:kinsoku w:val="0"/>
        <w:wordWrap/>
        <w:overflowPunct/>
        <w:topLinePunct w:val="0"/>
        <w:autoSpaceDE w:val="0"/>
        <w:autoSpaceDN w:val="0"/>
        <w:bidi w:val="0"/>
        <w:adjustRightInd w:val="0"/>
        <w:snapToGrid w:val="0"/>
        <w:spacing w:line="360" w:lineRule="auto"/>
        <w:ind w:right="133" w:firstLine="497"/>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（7）项目交工或通车前，监理人应对各标段施工文件、对应中心试验室移交的试</w:t>
      </w:r>
      <w:r>
        <w:rPr>
          <w:rFonts w:ascii="宋体" w:hAnsi="宋体" w:eastAsia="宋体" w:cs="宋体"/>
          <w:color w:val="auto"/>
          <w:sz w:val="22"/>
          <w:szCs w:val="22"/>
          <w:highlight w:val="none"/>
        </w:rPr>
        <w:t>验检测资料的完整、准确、系统性进行检查，</w:t>
      </w:r>
      <w:r>
        <w:rPr>
          <w:rFonts w:ascii="宋体" w:hAnsi="宋体" w:eastAsia="宋体" w:cs="宋体"/>
          <w:color w:val="auto"/>
          <w:spacing w:val="-1"/>
          <w:sz w:val="22"/>
          <w:szCs w:val="22"/>
          <w:highlight w:val="none"/>
        </w:rPr>
        <w:t>并形成书面评价意见。</w:t>
      </w:r>
    </w:p>
    <w:p w14:paraId="27291D5E">
      <w:pPr>
        <w:keepNext w:val="0"/>
        <w:keepLines w:val="0"/>
        <w:pageBreakBefore w:val="0"/>
        <w:widowControl/>
        <w:kinsoku w:val="0"/>
        <w:wordWrap/>
        <w:overflowPunct/>
        <w:topLinePunct w:val="0"/>
        <w:autoSpaceDE w:val="0"/>
        <w:autoSpaceDN w:val="0"/>
        <w:bidi w:val="0"/>
        <w:adjustRightInd w:val="0"/>
        <w:snapToGrid w:val="0"/>
        <w:spacing w:line="360" w:lineRule="auto"/>
        <w:ind w:left="3" w:right="130" w:firstLine="481"/>
        <w:textAlignment w:val="baseline"/>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试验检测资料（验收试验等用于分部分项工程质量评</w:t>
      </w:r>
      <w:r>
        <w:rPr>
          <w:rFonts w:ascii="宋体" w:hAnsi="宋体" w:eastAsia="宋体" w:cs="宋体"/>
          <w:color w:val="auto"/>
          <w:spacing w:val="3"/>
          <w:sz w:val="22"/>
          <w:szCs w:val="22"/>
          <w:highlight w:val="none"/>
        </w:rPr>
        <w:t>定资料等）</w:t>
      </w:r>
      <w:r>
        <w:rPr>
          <w:rFonts w:ascii="宋体" w:hAnsi="宋体" w:eastAsia="宋体" w:cs="宋体"/>
          <w:color w:val="auto"/>
          <w:spacing w:val="-69"/>
          <w:sz w:val="22"/>
          <w:szCs w:val="22"/>
          <w:highlight w:val="none"/>
        </w:rPr>
        <w:t xml:space="preserve"> </w:t>
      </w:r>
      <w:r>
        <w:rPr>
          <w:rFonts w:ascii="宋体" w:hAnsi="宋体" w:eastAsia="宋体" w:cs="宋体"/>
          <w:color w:val="auto"/>
          <w:spacing w:val="3"/>
          <w:sz w:val="22"/>
          <w:szCs w:val="22"/>
          <w:highlight w:val="none"/>
        </w:rPr>
        <w:t>由中心试验室定</w:t>
      </w:r>
      <w:r>
        <w:rPr>
          <w:rFonts w:ascii="宋体" w:hAnsi="宋体" w:eastAsia="宋体" w:cs="宋体"/>
          <w:color w:val="auto"/>
          <w:spacing w:val="-1"/>
          <w:sz w:val="22"/>
          <w:szCs w:val="22"/>
          <w:highlight w:val="none"/>
        </w:rPr>
        <w:t>期向监理人提交，由监理人负责整理、归档。</w:t>
      </w:r>
    </w:p>
    <w:p w14:paraId="4D6F47D3">
      <w:pPr>
        <w:keepNext w:val="0"/>
        <w:keepLines w:val="0"/>
        <w:pageBreakBefore w:val="0"/>
        <w:widowControl/>
        <w:kinsoku w:val="0"/>
        <w:wordWrap/>
        <w:overflowPunct/>
        <w:topLinePunct w:val="0"/>
        <w:autoSpaceDE w:val="0"/>
        <w:autoSpaceDN w:val="0"/>
        <w:bidi w:val="0"/>
        <w:adjustRightInd w:val="0"/>
        <w:snapToGrid w:val="0"/>
        <w:spacing w:line="360" w:lineRule="auto"/>
        <w:ind w:right="133" w:firstLine="496"/>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（8）项目交工或通车6个月内，监理文件应按</w:t>
      </w:r>
      <w:r>
        <w:rPr>
          <w:rFonts w:ascii="宋体" w:hAnsi="宋体" w:eastAsia="宋体" w:cs="宋体"/>
          <w:color w:val="auto"/>
          <w:spacing w:val="4"/>
          <w:sz w:val="22"/>
          <w:szCs w:val="22"/>
          <w:highlight w:val="none"/>
        </w:rPr>
        <w:t>照国家科技档案的标准和交通运输</w:t>
      </w:r>
      <w:r>
        <w:rPr>
          <w:rFonts w:ascii="宋体" w:hAnsi="宋体" w:eastAsia="宋体" w:cs="宋体"/>
          <w:color w:val="auto"/>
          <w:spacing w:val="5"/>
          <w:sz w:val="22"/>
          <w:szCs w:val="22"/>
          <w:highlight w:val="none"/>
        </w:rPr>
        <w:t>部规定的归档范围，全部完成组卷和编目。经委托人单位组织检查验收后，</w:t>
      </w:r>
      <w:r>
        <w:rPr>
          <w:rFonts w:ascii="宋体" w:hAnsi="宋体" w:eastAsia="宋体" w:cs="宋体"/>
          <w:color w:val="auto"/>
          <w:spacing w:val="4"/>
          <w:sz w:val="22"/>
          <w:szCs w:val="22"/>
          <w:highlight w:val="none"/>
        </w:rPr>
        <w:t>移交给委</w:t>
      </w:r>
      <w:r>
        <w:rPr>
          <w:rFonts w:ascii="宋体" w:hAnsi="宋体" w:eastAsia="宋体" w:cs="宋体"/>
          <w:color w:val="auto"/>
          <w:spacing w:val="-4"/>
          <w:sz w:val="22"/>
          <w:szCs w:val="22"/>
          <w:highlight w:val="none"/>
        </w:rPr>
        <w:t>托人。</w:t>
      </w:r>
    </w:p>
    <w:p w14:paraId="650FB4D0">
      <w:pPr>
        <w:keepNext w:val="0"/>
        <w:keepLines w:val="0"/>
        <w:pageBreakBefore w:val="0"/>
        <w:widowControl/>
        <w:kinsoku w:val="0"/>
        <w:wordWrap/>
        <w:overflowPunct/>
        <w:topLinePunct w:val="0"/>
        <w:autoSpaceDE w:val="0"/>
        <w:autoSpaceDN w:val="0"/>
        <w:bidi w:val="0"/>
        <w:adjustRightInd w:val="0"/>
        <w:snapToGrid w:val="0"/>
        <w:spacing w:line="360" w:lineRule="auto"/>
        <w:ind w:left="46" w:right="133" w:firstLine="450"/>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（9）如监理人因竣工文件未按时完成或质量问题影响到本项目的交工验收以及项</w:t>
      </w:r>
      <w:r>
        <w:rPr>
          <w:rFonts w:ascii="宋体" w:hAnsi="宋体" w:eastAsia="宋体" w:cs="宋体"/>
          <w:color w:val="auto"/>
          <w:spacing w:val="-2"/>
          <w:sz w:val="22"/>
          <w:szCs w:val="22"/>
          <w:highlight w:val="none"/>
        </w:rPr>
        <w:t>目档案专项验收，委托人有权视情节轻重从监理费或履约保函中扣除相关的费用。</w:t>
      </w:r>
    </w:p>
    <w:p w14:paraId="0A4395A8">
      <w:pPr>
        <w:keepNext w:val="0"/>
        <w:keepLines w:val="0"/>
        <w:pageBreakBefore w:val="0"/>
        <w:widowControl/>
        <w:kinsoku w:val="0"/>
        <w:wordWrap/>
        <w:overflowPunct/>
        <w:topLinePunct w:val="0"/>
        <w:autoSpaceDE w:val="0"/>
        <w:autoSpaceDN w:val="0"/>
        <w:bidi w:val="0"/>
        <w:adjustRightInd w:val="0"/>
        <w:snapToGrid w:val="0"/>
        <w:spacing w:line="360" w:lineRule="auto"/>
        <w:ind w:right="133" w:firstLine="496"/>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（10）监理人应全面核查施工承包人动态汇总</w:t>
      </w:r>
      <w:r>
        <w:rPr>
          <w:rFonts w:ascii="宋体" w:hAnsi="宋体" w:eastAsia="宋体" w:cs="宋体"/>
          <w:color w:val="auto"/>
          <w:spacing w:val="4"/>
          <w:sz w:val="22"/>
          <w:szCs w:val="22"/>
          <w:highlight w:val="none"/>
        </w:rPr>
        <w:t>修编的图纸和竣工图，图纸成果质</w:t>
      </w:r>
      <w:r>
        <w:rPr>
          <w:rFonts w:ascii="宋体" w:hAnsi="宋体" w:eastAsia="宋体" w:cs="宋体"/>
          <w:color w:val="auto"/>
          <w:spacing w:val="-1"/>
          <w:sz w:val="22"/>
          <w:szCs w:val="22"/>
          <w:highlight w:val="none"/>
        </w:rPr>
        <w:t>量应符合主要施工合同的造价数据链文件编制要求和闭合。</w:t>
      </w:r>
    </w:p>
    <w:p w14:paraId="4653C9DE">
      <w:pPr>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13.5监理人驻地（含总监办、监理驻地</w:t>
      </w:r>
      <w:r>
        <w:rPr>
          <w:rFonts w:ascii="宋体" w:hAnsi="宋体" w:eastAsia="宋体" w:cs="宋体"/>
          <w:b/>
          <w:bCs/>
          <w:color w:val="auto"/>
          <w:spacing w:val="-4"/>
          <w:sz w:val="22"/>
          <w:szCs w:val="22"/>
          <w:highlight w:val="none"/>
        </w:rPr>
        <w:t>办）</w:t>
      </w:r>
    </w:p>
    <w:p w14:paraId="28E3FEAC">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96"/>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（1）监理人不得以任何形式接受施工单位租借的场所作为驻地，也不得与施工单</w:t>
      </w:r>
      <w:r>
        <w:rPr>
          <w:rFonts w:ascii="宋体" w:hAnsi="宋体" w:eastAsia="宋体" w:cs="宋体"/>
          <w:color w:val="auto"/>
          <w:spacing w:val="-3"/>
          <w:sz w:val="22"/>
          <w:szCs w:val="22"/>
          <w:highlight w:val="none"/>
        </w:rPr>
        <w:t>位共租。</w:t>
      </w:r>
    </w:p>
    <w:p w14:paraId="21735012">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92"/>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（2）有条件的情况下，委托人可为监理人选择驻地，以便三方协调沟通，驻地建</w:t>
      </w:r>
      <w:r>
        <w:rPr>
          <w:rFonts w:ascii="宋体" w:hAnsi="宋体" w:eastAsia="宋体" w:cs="宋体"/>
          <w:color w:val="auto"/>
          <w:spacing w:val="-1"/>
          <w:sz w:val="22"/>
          <w:szCs w:val="22"/>
          <w:highlight w:val="none"/>
        </w:rPr>
        <w:t>设装修、租金、水电及其他相关费用由各方按使用面积分担或协商确定。</w:t>
      </w:r>
    </w:p>
    <w:p w14:paraId="6E69FB75">
      <w:pPr>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13.6监理人与中心试验室试验检测服务工程质量监管职责</w:t>
      </w:r>
    </w:p>
    <w:p w14:paraId="15AE6AC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13.6.1</w:t>
      </w:r>
      <w:r>
        <w:rPr>
          <w:rFonts w:hint="eastAsia" w:ascii="宋体" w:hAnsi="宋体" w:eastAsia="宋体" w:cs="宋体"/>
          <w:color w:val="auto"/>
          <w:sz w:val="24"/>
          <w:szCs w:val="24"/>
          <w:highlight w:val="none"/>
          <w:lang w:eastAsia="zh-CN"/>
        </w:rPr>
        <w:t>监理单位服务工程质量监管职责如下：</w:t>
      </w:r>
    </w:p>
    <w:p w14:paraId="0AC98222">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A.中心试验室的试验检测工作范围</w:t>
      </w:r>
    </w:p>
    <w:p w14:paraId="669F768C">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a.承担按《公路工程施工监理规范》、《公路工程质量检验评定标准</w:t>
      </w:r>
      <w:r>
        <w:rPr>
          <w:rFonts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eastAsia="zh-CN"/>
        </w:rPr>
        <w:t>、《公路水运工程质量检测管理办法》(交通运输部令2023年第9号)及项目所在地的工地试验室管理办法</w:t>
      </w:r>
      <w:r>
        <w:rPr>
          <w:rFonts w:ascii="宋体" w:hAnsi="宋体" w:eastAsia="宋体" w:cs="宋体"/>
          <w:color w:val="auto"/>
          <w:spacing w:val="4"/>
          <w:sz w:val="22"/>
          <w:szCs w:val="22"/>
          <w:highlight w:val="none"/>
        </w:rPr>
        <w:t>规定的验</w:t>
      </w:r>
      <w:r>
        <w:rPr>
          <w:rFonts w:ascii="宋体" w:hAnsi="宋体" w:eastAsia="宋体" w:cs="宋体"/>
          <w:color w:val="auto"/>
          <w:spacing w:val="5"/>
          <w:sz w:val="22"/>
          <w:szCs w:val="22"/>
          <w:highlight w:val="none"/>
        </w:rPr>
        <w:t>证试验、室内试验、标准试验、抽样试验、验收试验等工作的取（采）样和</w:t>
      </w:r>
      <w:r>
        <w:rPr>
          <w:rFonts w:ascii="宋体" w:hAnsi="宋体" w:eastAsia="宋体" w:cs="宋体"/>
          <w:color w:val="auto"/>
          <w:spacing w:val="4"/>
          <w:sz w:val="22"/>
          <w:szCs w:val="22"/>
          <w:highlight w:val="none"/>
        </w:rPr>
        <w:t>试验并出</w:t>
      </w:r>
      <w:r>
        <w:rPr>
          <w:rFonts w:ascii="宋体" w:hAnsi="宋体" w:eastAsia="宋体" w:cs="宋体"/>
          <w:color w:val="auto"/>
          <w:spacing w:val="-1"/>
          <w:sz w:val="22"/>
          <w:szCs w:val="22"/>
          <w:highlight w:val="none"/>
        </w:rPr>
        <w:t>具试验报告，并对其真实性负责。</w:t>
      </w:r>
    </w:p>
    <w:p w14:paraId="1072083C">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76"/>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b．代表委托人对原材料、构配件、实体工程质量进行抽检，以及</w:t>
      </w:r>
      <w:r>
        <w:rPr>
          <w:rFonts w:ascii="宋体" w:hAnsi="宋体" w:eastAsia="宋体" w:cs="宋体"/>
          <w:color w:val="auto"/>
          <w:spacing w:val="1"/>
          <w:sz w:val="22"/>
          <w:szCs w:val="22"/>
          <w:highlight w:val="none"/>
        </w:rPr>
        <w:t>委托人组织的质</w:t>
      </w:r>
      <w:r>
        <w:rPr>
          <w:rFonts w:ascii="宋体" w:hAnsi="宋体" w:eastAsia="宋体" w:cs="宋体"/>
          <w:color w:val="auto"/>
          <w:spacing w:val="-1"/>
          <w:sz w:val="22"/>
          <w:szCs w:val="22"/>
          <w:highlight w:val="none"/>
        </w:rPr>
        <w:t>量大检查过程中需进行的试验检测工作。</w:t>
      </w:r>
    </w:p>
    <w:p w14:paraId="5E64BDA9">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c．承担原材料和混凝土、砂浆、压浆浆液等</w:t>
      </w:r>
      <w:r>
        <w:rPr>
          <w:rFonts w:ascii="宋体" w:hAnsi="宋体" w:eastAsia="宋体" w:cs="宋体"/>
          <w:color w:val="auto"/>
          <w:spacing w:val="-1"/>
          <w:sz w:val="22"/>
          <w:szCs w:val="22"/>
          <w:highlight w:val="none"/>
        </w:rPr>
        <w:t>现场试件的取样、送样及试验工作。</w:t>
      </w:r>
    </w:p>
    <w:p w14:paraId="5452BA3D">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83"/>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d.负责完成委托人组织的优质优价评比及质量检查时的混凝土回弹强度</w:t>
      </w:r>
      <w:r>
        <w:rPr>
          <w:rFonts w:ascii="宋体" w:hAnsi="宋体" w:eastAsia="宋体" w:cs="宋体"/>
          <w:color w:val="auto"/>
          <w:spacing w:val="4"/>
          <w:sz w:val="22"/>
          <w:szCs w:val="22"/>
          <w:highlight w:val="none"/>
        </w:rPr>
        <w:t>及钢筋保</w:t>
      </w:r>
      <w:r>
        <w:rPr>
          <w:rFonts w:ascii="宋体" w:hAnsi="宋体" w:eastAsia="宋体" w:cs="宋体"/>
          <w:color w:val="auto"/>
          <w:sz w:val="22"/>
          <w:szCs w:val="22"/>
          <w:highlight w:val="none"/>
        </w:rPr>
        <w:t>护层试验检测并及时出具试验检测报告，以作为质量</w:t>
      </w:r>
      <w:r>
        <w:rPr>
          <w:rFonts w:ascii="宋体" w:hAnsi="宋体" w:eastAsia="宋体" w:cs="宋体"/>
          <w:color w:val="auto"/>
          <w:spacing w:val="-1"/>
          <w:sz w:val="22"/>
          <w:szCs w:val="22"/>
          <w:highlight w:val="none"/>
        </w:rPr>
        <w:t>评比检查依据及质检资料。</w:t>
      </w:r>
    </w:p>
    <w:p w14:paraId="4ACBCC61">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83"/>
        <w:textAlignment w:val="baseline"/>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e．完成委托人及质量监督机构安排的其他试验检测任务。</w:t>
      </w:r>
    </w:p>
    <w:p w14:paraId="3248B472">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83"/>
        <w:textAlignment w:val="baseline"/>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f.审查和批准施工单位对外委托的检测单位，报委托人备案。施工单位有外委试验检测，中心试验室应派员参加取样、送样的见证工作。</w:t>
      </w:r>
    </w:p>
    <w:p w14:paraId="68D51D15">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83"/>
        <w:textAlignment w:val="baseline"/>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g.负责督促施工准备阶段施工单位工地试验室的建设和审查试验室认定材料，配合委托人组织做好施工单位工地试验室临时资质的考核工作；负责检查施工单位工地试验室的试验管理工作，不定期检查其试验室，核查试验室仪器设备完好情况、标定情况以及人员变更情况，并有权要求施工单位增加中心试验室试验检测服务单位员、更换不称职的中心试验室试验检测服务单位人员和配备足够的试验仪器、设备等，必要情况下向委托人汇报。</w:t>
      </w:r>
    </w:p>
    <w:p w14:paraId="7663765D">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h. 协助委托人完成交工各项试验检测工作。</w:t>
      </w:r>
    </w:p>
    <w:p w14:paraId="45F7375A">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B.</w:t>
      </w:r>
      <w:r>
        <w:rPr>
          <w:rFonts w:ascii="宋体" w:hAnsi="宋体" w:eastAsia="宋体" w:cs="宋体"/>
          <w:color w:val="auto"/>
          <w:spacing w:val="-2"/>
          <w:sz w:val="22"/>
          <w:szCs w:val="22"/>
          <w:highlight w:val="none"/>
        </w:rPr>
        <w:t xml:space="preserve"> </w:t>
      </w:r>
      <w:r>
        <w:rPr>
          <w:rFonts w:ascii="宋体" w:hAnsi="宋体" w:eastAsia="宋体" w:cs="宋体"/>
          <w:b/>
          <w:bCs/>
          <w:color w:val="auto"/>
          <w:spacing w:val="-2"/>
          <w:sz w:val="22"/>
          <w:szCs w:val="22"/>
          <w:highlight w:val="none"/>
        </w:rPr>
        <w:t>总监办监理工程师工作范围</w:t>
      </w:r>
    </w:p>
    <w:p w14:paraId="69F1D03F">
      <w:pPr>
        <w:keepNext w:val="0"/>
        <w:keepLines w:val="0"/>
        <w:pageBreakBefore w:val="0"/>
        <w:widowControl/>
        <w:kinsoku w:val="0"/>
        <w:wordWrap/>
        <w:overflowPunct/>
        <w:topLinePunct w:val="0"/>
        <w:autoSpaceDE w:val="0"/>
        <w:autoSpaceDN w:val="0"/>
        <w:bidi w:val="0"/>
        <w:adjustRightInd w:val="0"/>
        <w:snapToGrid w:val="0"/>
        <w:spacing w:line="360" w:lineRule="auto"/>
        <w:ind w:left="46" w:right="128" w:firstLine="440"/>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总监办进行中心试验室工作范围外以及为加强现场质量控制所进行的试验检测项</w:t>
      </w:r>
      <w:r>
        <w:rPr>
          <w:rFonts w:ascii="宋体" w:hAnsi="宋体" w:eastAsia="宋体" w:cs="宋体"/>
          <w:color w:val="auto"/>
          <w:spacing w:val="-7"/>
          <w:sz w:val="22"/>
          <w:szCs w:val="22"/>
          <w:highlight w:val="none"/>
        </w:rPr>
        <w:t>目，包括但不限于：</w:t>
      </w:r>
    </w:p>
    <w:p w14:paraId="6924D8CB">
      <w:pPr>
        <w:keepNext w:val="0"/>
        <w:keepLines w:val="0"/>
        <w:pageBreakBefore w:val="0"/>
        <w:widowControl/>
        <w:kinsoku w:val="0"/>
        <w:wordWrap/>
        <w:overflowPunct/>
        <w:topLinePunct w:val="0"/>
        <w:autoSpaceDE w:val="0"/>
        <w:autoSpaceDN w:val="0"/>
        <w:bidi w:val="0"/>
        <w:adjustRightInd w:val="0"/>
        <w:snapToGrid w:val="0"/>
        <w:spacing w:line="360" w:lineRule="auto"/>
        <w:ind w:left="2" w:right="125" w:firstLine="47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a.对基准点引出的工程控制桩进行复测，对施工放线的路线平面控制点、各种结</w:t>
      </w:r>
      <w:r>
        <w:rPr>
          <w:rFonts w:ascii="宋体" w:hAnsi="宋体" w:eastAsia="宋体" w:cs="宋体"/>
          <w:color w:val="auto"/>
          <w:sz w:val="22"/>
          <w:szCs w:val="22"/>
          <w:highlight w:val="none"/>
        </w:rPr>
        <w:t>构物定位的轴线控制桩位以及各高程控制点等重点桩位进行</w:t>
      </w:r>
      <w:r>
        <w:rPr>
          <w:rFonts w:ascii="宋体" w:hAnsi="宋体" w:eastAsia="宋体" w:cs="宋体"/>
          <w:color w:val="auto"/>
          <w:spacing w:val="-1"/>
          <w:sz w:val="22"/>
          <w:szCs w:val="22"/>
          <w:highlight w:val="none"/>
        </w:rPr>
        <w:t>不少于</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30%复测，经复测不符合规定时应要求其重新测设。</w:t>
      </w:r>
    </w:p>
    <w:p w14:paraId="10391A6E">
      <w:pPr>
        <w:keepNext w:val="0"/>
        <w:keepLines w:val="0"/>
        <w:pageBreakBefore w:val="0"/>
        <w:widowControl/>
        <w:kinsoku w:val="0"/>
        <w:wordWrap/>
        <w:overflowPunct/>
        <w:topLinePunct w:val="0"/>
        <w:autoSpaceDE w:val="0"/>
        <w:autoSpaceDN w:val="0"/>
        <w:bidi w:val="0"/>
        <w:adjustRightInd w:val="0"/>
        <w:snapToGrid w:val="0"/>
        <w:spacing w:line="360" w:lineRule="auto"/>
        <w:ind w:left="7" w:right="128" w:firstLine="469"/>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b.完成《公路工程质量检验评定标准》中规定的测量工作内容包括结构尺寸、标</w:t>
      </w:r>
      <w:r>
        <w:rPr>
          <w:rFonts w:ascii="宋体" w:hAnsi="宋体" w:eastAsia="宋体" w:cs="宋体"/>
          <w:color w:val="auto"/>
          <w:spacing w:val="-6"/>
          <w:sz w:val="22"/>
          <w:szCs w:val="22"/>
          <w:highlight w:val="none"/>
        </w:rPr>
        <w:t>高等；</w:t>
      </w:r>
    </w:p>
    <w:p w14:paraId="582DBDBC">
      <w:pPr>
        <w:keepNext w:val="0"/>
        <w:keepLines w:val="0"/>
        <w:pageBreakBefore w:val="0"/>
        <w:widowControl/>
        <w:kinsoku w:val="0"/>
        <w:wordWrap/>
        <w:overflowPunct/>
        <w:topLinePunct w:val="0"/>
        <w:autoSpaceDE w:val="0"/>
        <w:autoSpaceDN w:val="0"/>
        <w:bidi w:val="0"/>
        <w:adjustRightInd w:val="0"/>
        <w:snapToGrid w:val="0"/>
        <w:spacing w:line="360" w:lineRule="auto"/>
        <w:ind w:left="23" w:right="128" w:firstLine="462"/>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c．完成《公路工程施工监理规范》及《公路</w:t>
      </w:r>
      <w:r>
        <w:rPr>
          <w:rFonts w:ascii="宋体" w:hAnsi="宋体" w:eastAsia="宋体" w:cs="宋体"/>
          <w:color w:val="auto"/>
          <w:spacing w:val="1"/>
          <w:sz w:val="22"/>
          <w:szCs w:val="22"/>
          <w:highlight w:val="none"/>
        </w:rPr>
        <w:t>工程质量检验评定标准》中规定的除</w:t>
      </w:r>
      <w:r>
        <w:rPr>
          <w:rFonts w:ascii="宋体" w:hAnsi="宋体" w:eastAsia="宋体" w:cs="宋体"/>
          <w:color w:val="auto"/>
          <w:spacing w:val="-3"/>
          <w:sz w:val="22"/>
          <w:szCs w:val="22"/>
          <w:highlight w:val="none"/>
        </w:rPr>
        <w:t>中心试验室承担的其他检测内容。</w:t>
      </w:r>
    </w:p>
    <w:p w14:paraId="3771232B">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79"/>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d．负责《公路工程质量检验评定标准》要</w:t>
      </w:r>
      <w:r>
        <w:rPr>
          <w:rFonts w:ascii="宋体" w:hAnsi="宋体" w:eastAsia="宋体" w:cs="宋体"/>
          <w:color w:val="auto"/>
          <w:spacing w:val="-2"/>
          <w:sz w:val="22"/>
          <w:szCs w:val="22"/>
          <w:highlight w:val="none"/>
        </w:rPr>
        <w:t>求的评定指标以外但直接影响工程质量、</w:t>
      </w:r>
      <w:r>
        <w:rPr>
          <w:rFonts w:ascii="宋体" w:hAnsi="宋体" w:eastAsia="宋体" w:cs="宋体"/>
          <w:color w:val="auto"/>
          <w:spacing w:val="-1"/>
          <w:sz w:val="22"/>
          <w:szCs w:val="22"/>
          <w:highlight w:val="none"/>
        </w:rPr>
        <w:t>结构性能的其他部分质量指标检测任务；</w:t>
      </w:r>
    </w:p>
    <w:p w14:paraId="290D3869">
      <w:pPr>
        <w:keepNext w:val="0"/>
        <w:keepLines w:val="0"/>
        <w:pageBreakBefore w:val="0"/>
        <w:widowControl/>
        <w:kinsoku w:val="0"/>
        <w:wordWrap/>
        <w:overflowPunct/>
        <w:topLinePunct w:val="0"/>
        <w:autoSpaceDE w:val="0"/>
        <w:autoSpaceDN w:val="0"/>
        <w:bidi w:val="0"/>
        <w:adjustRightInd w:val="0"/>
        <w:snapToGrid w:val="0"/>
        <w:spacing w:line="360" w:lineRule="auto"/>
        <w:ind w:right="128" w:firstLine="485"/>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e．监理机构应安排监理人员对合同约定和现行《公路工程施工监理规范》附录</w:t>
      </w:r>
      <w:r>
        <w:rPr>
          <w:rFonts w:ascii="宋体" w:hAnsi="宋体" w:eastAsia="宋体" w:cs="宋体"/>
          <w:color w:val="auto"/>
          <w:spacing w:val="-53"/>
          <w:sz w:val="22"/>
          <w:szCs w:val="22"/>
          <w:highlight w:val="none"/>
        </w:rPr>
        <w:t xml:space="preserve"> </w:t>
      </w:r>
      <w:r>
        <w:rPr>
          <w:rFonts w:ascii="宋体" w:hAnsi="宋体" w:eastAsia="宋体" w:cs="宋体"/>
          <w:color w:val="auto"/>
          <w:spacing w:val="3"/>
          <w:sz w:val="22"/>
          <w:szCs w:val="22"/>
          <w:highlight w:val="none"/>
        </w:rPr>
        <w:t>A</w:t>
      </w:r>
      <w:r>
        <w:rPr>
          <w:rFonts w:ascii="宋体" w:hAnsi="宋体" w:eastAsia="宋体" w:cs="宋体"/>
          <w:color w:val="auto"/>
          <w:spacing w:val="5"/>
          <w:sz w:val="22"/>
          <w:szCs w:val="22"/>
          <w:highlight w:val="none"/>
        </w:rPr>
        <w:t>所列旁站项目的施工过程进行旁站，对主要工程的关键项目进行检测见证，</w:t>
      </w:r>
      <w:r>
        <w:rPr>
          <w:rFonts w:ascii="宋体" w:hAnsi="宋体" w:eastAsia="宋体" w:cs="宋体"/>
          <w:color w:val="auto"/>
          <w:spacing w:val="4"/>
          <w:sz w:val="22"/>
          <w:szCs w:val="22"/>
          <w:highlight w:val="none"/>
        </w:rPr>
        <w:t>并签写旁</w:t>
      </w:r>
      <w:r>
        <w:rPr>
          <w:rFonts w:ascii="宋体" w:hAnsi="宋体" w:eastAsia="宋体" w:cs="宋体"/>
          <w:color w:val="auto"/>
          <w:spacing w:val="-1"/>
          <w:sz w:val="22"/>
          <w:szCs w:val="22"/>
          <w:highlight w:val="none"/>
        </w:rPr>
        <w:t>站记录，签认检测见证结果。</w:t>
      </w:r>
    </w:p>
    <w:p w14:paraId="3BE79675">
      <w:pPr>
        <w:keepNext w:val="0"/>
        <w:keepLines w:val="0"/>
        <w:pageBreakBefore w:val="0"/>
        <w:widowControl/>
        <w:kinsoku w:val="0"/>
        <w:wordWrap/>
        <w:overflowPunct/>
        <w:topLinePunct w:val="0"/>
        <w:autoSpaceDE w:val="0"/>
        <w:autoSpaceDN w:val="0"/>
        <w:bidi w:val="0"/>
        <w:adjustRightInd w:val="0"/>
        <w:snapToGrid w:val="0"/>
        <w:spacing w:line="360" w:lineRule="auto"/>
        <w:ind w:left="3" w:right="128" w:firstLine="480"/>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f. 负责施工过程中混凝土质量（坍落度、</w:t>
      </w:r>
      <w:r>
        <w:rPr>
          <w:rFonts w:ascii="宋体" w:hAnsi="宋体" w:eastAsia="宋体" w:cs="宋体"/>
          <w:color w:val="auto"/>
          <w:spacing w:val="1"/>
          <w:sz w:val="22"/>
          <w:szCs w:val="22"/>
          <w:highlight w:val="none"/>
        </w:rPr>
        <w:t>扩展度等）及钢筋保护层厚度的质量检</w:t>
      </w:r>
      <w:r>
        <w:rPr>
          <w:rFonts w:ascii="宋体" w:hAnsi="宋体" w:eastAsia="宋体" w:cs="宋体"/>
          <w:color w:val="auto"/>
          <w:spacing w:val="-2"/>
          <w:sz w:val="22"/>
          <w:szCs w:val="22"/>
          <w:highlight w:val="none"/>
        </w:rPr>
        <w:t>查及验收评定。</w:t>
      </w:r>
    </w:p>
    <w:p w14:paraId="24B8DE2A">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C．试验检测结果争议的处理</w:t>
      </w:r>
    </w:p>
    <w:p w14:paraId="765F7530">
      <w:pPr>
        <w:keepNext w:val="0"/>
        <w:keepLines w:val="0"/>
        <w:pageBreakBefore w:val="0"/>
        <w:widowControl/>
        <w:kinsoku w:val="0"/>
        <w:wordWrap/>
        <w:overflowPunct/>
        <w:topLinePunct w:val="0"/>
        <w:autoSpaceDE w:val="0"/>
        <w:autoSpaceDN w:val="0"/>
        <w:bidi w:val="0"/>
        <w:adjustRightInd w:val="0"/>
        <w:snapToGrid w:val="0"/>
        <w:spacing w:line="360" w:lineRule="auto"/>
        <w:ind w:left="1" w:right="128" w:firstLine="494"/>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当委托人或监理对中心试验室检测工作质量存疑或存在争议</w:t>
      </w:r>
      <w:r>
        <w:rPr>
          <w:rFonts w:ascii="宋体" w:hAnsi="宋体" w:eastAsia="宋体" w:cs="宋体"/>
          <w:color w:val="auto"/>
          <w:spacing w:val="4"/>
          <w:sz w:val="22"/>
          <w:szCs w:val="22"/>
          <w:highlight w:val="none"/>
        </w:rPr>
        <w:t>时，委托人将组织各</w:t>
      </w:r>
      <w:r>
        <w:rPr>
          <w:rFonts w:ascii="宋体" w:hAnsi="宋体" w:eastAsia="宋体" w:cs="宋体"/>
          <w:color w:val="auto"/>
          <w:spacing w:val="-1"/>
          <w:sz w:val="22"/>
          <w:szCs w:val="22"/>
          <w:highlight w:val="none"/>
        </w:rPr>
        <w:t>方联合核查，必要时将提请质量监督单位进行仲裁。</w:t>
      </w:r>
    </w:p>
    <w:p w14:paraId="46AE5DB0">
      <w:pPr>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13.6.2. 总监办的工程质量监管职责（包含但不限于以下工作）</w:t>
      </w:r>
    </w:p>
    <w:p w14:paraId="1DEA48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(1)负责督促施工准备阶段施工单位工地试验室的建设和审查试验室认定材料，参</w:t>
      </w:r>
      <w:r>
        <w:rPr>
          <w:rFonts w:hint="eastAsia" w:ascii="宋体" w:hAnsi="宋体" w:eastAsia="宋体" w:cs="宋体"/>
          <w:color w:val="auto"/>
          <w:sz w:val="22"/>
          <w:szCs w:val="22"/>
          <w:highlight w:val="none"/>
          <w:lang w:eastAsia="zh-CN"/>
        </w:rPr>
        <w:t>与委托人组织的施工单位工地试验室临时资质的考核</w:t>
      </w:r>
    </w:p>
    <w:p w14:paraId="2DA3CC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(2)负责审查施工单位报审的原材料和混合料试验资料，对主要原材料取样委托中</w:t>
      </w:r>
      <w:r>
        <w:rPr>
          <w:rFonts w:hint="eastAsia" w:ascii="宋体" w:hAnsi="宋体" w:eastAsia="宋体" w:cs="宋体"/>
          <w:color w:val="auto"/>
          <w:sz w:val="22"/>
          <w:szCs w:val="22"/>
          <w:highlight w:val="none"/>
          <w:lang w:eastAsia="zh-CN"/>
        </w:rPr>
        <w:t>心试验室进行平行试验，对主要混合料的配合比和路基填料的击实试验经三方见证取样后委托中心试验室进行验证试验，并根据验证报告进行批复审批。</w:t>
      </w:r>
    </w:p>
    <w:p w14:paraId="24C885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(3)负责审批施工单位的试验检测工作计划，检查计划执行情况。</w:t>
      </w:r>
    </w:p>
    <w:p w14:paraId="6B2D8D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(4)审查和批准施工单位对外委托的检测单位，报委托人备案。</w:t>
      </w:r>
    </w:p>
    <w:p w14:paraId="328C8E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(5)监理人按要求设置试验检测工程师，负责施工单位试验检测监理工作，对施工单位试验检测工作指导、检查、管理，负责与中心试验室的协调工作。</w:t>
      </w:r>
    </w:p>
    <w:p w14:paraId="4B5BCA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(6) 监理人应在施工单位自检合格基础上按最新《公路工程施工监理规范》相关规定进行抽检，并按相关附录格式填写抽检记录，并负责施工单位试验检测的见证、旁站和相关资料的签认。</w:t>
      </w:r>
    </w:p>
    <w:p w14:paraId="2597E0F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(7)负责检查施工单位工地试验室的试验管理工作，不定期检查其试验室，核查试验室仪器设备完好情况、标定情况以及人员变更情况，并有权要求施工单位增加试验人员、更换不称职的试验人员和配备足够的试验仪器、设备等，必要情况下向委托人</w:t>
      </w:r>
      <w:r>
        <w:rPr>
          <w:rFonts w:hint="eastAsia" w:ascii="宋体" w:hAnsi="宋体" w:eastAsia="宋体" w:cs="宋体"/>
          <w:color w:val="auto"/>
          <w:sz w:val="22"/>
          <w:szCs w:val="22"/>
          <w:highlight w:val="none"/>
          <w:lang w:eastAsia="zh-CN"/>
        </w:rPr>
        <w:t>汇报。</w:t>
      </w:r>
    </w:p>
    <w:p w14:paraId="3BDDCA6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(8)施工单位有外委试验检测，监理人应派员参加送样见证工作。对施工单位外部采购和委托制作的主要工程构配件或设备，监理工程师应检查产品合格证明文件和施工单位自检报告，进场后对关键项目进行抽检验收合格后方可使用，对监理不能检测项目可委托中心试验室进行试验或到厂家监督检验。</w:t>
      </w:r>
    </w:p>
    <w:p w14:paraId="1B82B8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(9)负责施工单位现场各道工序质量控制，并有义务为中心试验室提供施工现场与</w:t>
      </w:r>
      <w:r>
        <w:rPr>
          <w:rFonts w:hint="eastAsia" w:ascii="宋体" w:hAnsi="宋体" w:eastAsia="宋体" w:cs="宋体"/>
          <w:color w:val="auto"/>
          <w:sz w:val="22"/>
          <w:szCs w:val="22"/>
          <w:highlight w:val="none"/>
          <w:lang w:eastAsia="zh-CN"/>
        </w:rPr>
        <w:t>试验检测相关的信息，同时监理人的试验检测工作须接受中心试验室的技术指导。</w:t>
      </w:r>
    </w:p>
    <w:p w14:paraId="4BC4F4A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(10)为了对现场施工质量进行有效控制，总监办有权根据现场施工质量的动态变化情况，通知中心试验室对现场施工质量进行必要的取样试验或必要的现场检测（此项工作不受检测单位检测频率的约束）。</w:t>
      </w:r>
    </w:p>
    <w:p w14:paraId="1FE9B2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(11)协助委托人调查处理施工单位的质量问题、事故，向中心试验室提供相关的</w:t>
      </w:r>
      <w:r>
        <w:rPr>
          <w:rFonts w:hint="eastAsia" w:ascii="宋体" w:hAnsi="宋体" w:eastAsia="宋体" w:cs="宋体"/>
          <w:color w:val="auto"/>
          <w:sz w:val="22"/>
          <w:szCs w:val="22"/>
          <w:highlight w:val="none"/>
          <w:lang w:eastAsia="zh-CN"/>
        </w:rPr>
        <w:t>信息，并向委托人报告有关情况。</w:t>
      </w:r>
    </w:p>
    <w:p w14:paraId="2979A2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（12）负责组织工程的中间交工验收检测和单位、分部工程质量评定工作。</w:t>
      </w:r>
    </w:p>
    <w:p w14:paraId="035550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（13）参加委托人组织的交工验收和上级行业质监主管部门组织的检查及竣工验</w:t>
      </w:r>
      <w:r>
        <w:rPr>
          <w:rFonts w:hint="eastAsia" w:ascii="宋体" w:hAnsi="宋体" w:eastAsia="宋体" w:cs="宋体"/>
          <w:color w:val="auto"/>
          <w:sz w:val="22"/>
          <w:szCs w:val="22"/>
          <w:highlight w:val="none"/>
          <w:lang w:eastAsia="zh-CN"/>
        </w:rPr>
        <w:t>收。</w:t>
      </w:r>
    </w:p>
    <w:p w14:paraId="518057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（14）根据合同文件，承担委托人授予的其他权力和义务。</w:t>
      </w:r>
    </w:p>
    <w:p w14:paraId="60AC736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13.6.3. 中心试验室的工程质量监管职责（包含但不限于以下工作）</w:t>
      </w:r>
    </w:p>
    <w:p w14:paraId="08F7BEC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按照合同、最新《公路水运工程试验检测管理办法》和《公路工程施工监理规范》有关规定，负责工程检测服务合同范围内的验证试验、工艺试验、标准试验、抽检试验、验收试验等工作的采样和试验并出具结论报告，并对其真实性负责。</w:t>
      </w:r>
    </w:p>
    <w:p w14:paraId="7154CA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（2）应及时、准确地为委托人或监理工程师提供试验报告、委托人认为有必要的试验检测分析意见，为监理工程师进行工程质量控制和评估提供依据。</w:t>
      </w:r>
    </w:p>
    <w:p w14:paraId="315BC92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（3）依据监理工程师的工作计划同步编写试验检测工作计划，并报送委托人，同时中心试验室应据此安排做好试验检测服务工作。</w:t>
      </w:r>
    </w:p>
    <w:p w14:paraId="0939B9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（4）根据总监办编制、审批的监理实施细则，参照编制相应的试验检测实施细则，并报送委托人。</w:t>
      </w:r>
    </w:p>
    <w:p w14:paraId="7B7A57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（5）参与委托人组织的施工单位工地试验室临时资质的考核和验收工作。</w:t>
      </w:r>
    </w:p>
    <w:p w14:paraId="6F9178B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（6）执行监理工程师试验、检测工作指令，以《试验检测业务联系单》的形式传递，《试验检测业务联系单》发件人及接收人须签字，相关信息力求详细，具有可操作性。</w:t>
      </w:r>
    </w:p>
    <w:p w14:paraId="65879F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（7）参加委托人、监理工程师主持召开的工地例会及相关质量专题分析会议，通报有关工程质量检测实施情况和试验检测结果。</w:t>
      </w:r>
    </w:p>
    <w:p w14:paraId="7964AC7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（8）协助委托人调查处理施工单位的质量问题、事故，并向监理工程师和委托人报告在检测中发现的问题。</w:t>
      </w:r>
    </w:p>
    <w:p w14:paraId="61F0C1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（9）参与监理工程师组织的工程质量评定工作，编制中心试验室试验检测工作总结报告。</w:t>
      </w:r>
    </w:p>
    <w:p w14:paraId="3B5C862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（10）参加监理工程师组织的中间交工验收、委托人组织的交工验收和上级行业质监主管部门组织的检查及竣工验收。</w:t>
      </w:r>
    </w:p>
    <w:p w14:paraId="752ED7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3"/>
        <w:jc w:val="both"/>
        <w:textAlignment w:val="baseline"/>
        <w:rPr>
          <w:rFonts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（11）根据合同文件规定，承担委托人授予的其他权力和义务。</w:t>
      </w:r>
    </w:p>
    <w:p w14:paraId="7585141C">
      <w:pPr>
        <w:spacing w:before="1" w:line="360" w:lineRule="auto"/>
        <w:ind w:left="4" w:firstLine="49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13.7</w:t>
      </w:r>
      <w:r>
        <w:rPr>
          <w:rFonts w:ascii="宋体" w:hAnsi="宋体" w:eastAsia="宋体" w:cs="宋体"/>
          <w:color w:val="auto"/>
          <w:spacing w:val="-31"/>
          <w:sz w:val="22"/>
          <w:szCs w:val="22"/>
          <w:highlight w:val="none"/>
        </w:rPr>
        <w:t xml:space="preserve"> </w:t>
      </w:r>
      <w:r>
        <w:rPr>
          <w:rFonts w:ascii="宋体" w:hAnsi="宋体" w:eastAsia="宋体" w:cs="宋体"/>
          <w:color w:val="auto"/>
          <w:spacing w:val="2"/>
          <w:sz w:val="22"/>
          <w:szCs w:val="22"/>
          <w:highlight w:val="none"/>
        </w:rPr>
        <w:t>监理人应根据本项目施工图纸及合同等相关要求，对承包人的线外工程及取</w:t>
      </w:r>
      <w:r>
        <w:rPr>
          <w:rFonts w:ascii="宋体" w:hAnsi="宋体" w:eastAsia="宋体" w:cs="宋体"/>
          <w:color w:val="auto"/>
          <w:spacing w:val="-2"/>
          <w:sz w:val="22"/>
          <w:szCs w:val="22"/>
          <w:highlight w:val="none"/>
        </w:rPr>
        <w:t>弃土场进行监理。</w:t>
      </w:r>
    </w:p>
    <w:p w14:paraId="3D3D1AC6">
      <w:pPr>
        <w:spacing w:before="183" w:line="360" w:lineRule="auto"/>
        <w:ind w:left="498"/>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13.8</w:t>
      </w:r>
      <w:r>
        <w:rPr>
          <w:rFonts w:ascii="宋体" w:hAnsi="宋体" w:eastAsia="宋体" w:cs="宋体"/>
          <w:color w:val="auto"/>
          <w:spacing w:val="-37"/>
          <w:sz w:val="22"/>
          <w:szCs w:val="22"/>
          <w:highlight w:val="none"/>
        </w:rPr>
        <w:t xml:space="preserve"> </w:t>
      </w:r>
      <w:r>
        <w:rPr>
          <w:rFonts w:ascii="宋体" w:hAnsi="宋体" w:eastAsia="宋体" w:cs="宋体"/>
          <w:b/>
          <w:bCs/>
          <w:color w:val="auto"/>
          <w:spacing w:val="-5"/>
          <w:sz w:val="22"/>
          <w:szCs w:val="22"/>
          <w:highlight w:val="none"/>
        </w:rPr>
        <w:t>关于过程结算的补充条款</w:t>
      </w:r>
    </w:p>
    <w:p w14:paraId="68DAC28C">
      <w:pPr>
        <w:spacing w:before="183" w:line="360" w:lineRule="auto"/>
        <w:ind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（1）按照《广东省交通运输厅关于印发广东省公路建设项目过程结算工作指导意</w:t>
      </w:r>
      <w:r>
        <w:rPr>
          <w:rFonts w:ascii="宋体" w:hAnsi="宋体" w:eastAsia="宋体" w:cs="宋体"/>
          <w:color w:val="auto"/>
          <w:spacing w:val="-2"/>
          <w:sz w:val="22"/>
          <w:szCs w:val="22"/>
          <w:highlight w:val="none"/>
        </w:rPr>
        <w:t>见的通知》</w:t>
      </w:r>
      <w:r>
        <w:rPr>
          <w:rFonts w:ascii="宋体" w:hAnsi="宋体" w:eastAsia="宋体" w:cs="宋体"/>
          <w:color w:val="auto"/>
          <w:spacing w:val="71"/>
          <w:sz w:val="22"/>
          <w:szCs w:val="22"/>
          <w:highlight w:val="none"/>
        </w:rPr>
        <w:t xml:space="preserve"> </w:t>
      </w:r>
      <w:r>
        <w:rPr>
          <w:rFonts w:ascii="宋体" w:hAnsi="宋体" w:eastAsia="宋体" w:cs="宋体"/>
          <w:color w:val="auto"/>
          <w:spacing w:val="-2"/>
          <w:sz w:val="22"/>
          <w:szCs w:val="22"/>
          <w:highlight w:val="none"/>
        </w:rPr>
        <w:t>(粤交基 〔2022〕488</w:t>
      </w:r>
      <w:r>
        <w:rPr>
          <w:rFonts w:ascii="宋体" w:hAnsi="宋体" w:eastAsia="宋体" w:cs="宋体"/>
          <w:color w:val="auto"/>
          <w:spacing w:val="-45"/>
          <w:sz w:val="22"/>
          <w:szCs w:val="22"/>
          <w:highlight w:val="none"/>
        </w:rPr>
        <w:t xml:space="preserve"> </w:t>
      </w:r>
      <w:r>
        <w:rPr>
          <w:rFonts w:ascii="宋体" w:hAnsi="宋体" w:eastAsia="宋体" w:cs="宋体"/>
          <w:color w:val="auto"/>
          <w:spacing w:val="-2"/>
          <w:sz w:val="22"/>
          <w:szCs w:val="22"/>
          <w:highlight w:val="none"/>
        </w:rPr>
        <w:t>号)的规定，委托人根据实际情况开展监理费用的过</w:t>
      </w:r>
      <w:r>
        <w:rPr>
          <w:rFonts w:ascii="宋体" w:hAnsi="宋体" w:eastAsia="宋体" w:cs="宋体"/>
          <w:color w:val="auto"/>
          <w:spacing w:val="-1"/>
          <w:sz w:val="22"/>
          <w:szCs w:val="22"/>
          <w:highlight w:val="none"/>
        </w:rPr>
        <w:t>程结算时，监理人应无条件配合。</w:t>
      </w:r>
    </w:p>
    <w:p w14:paraId="1C76BCCC">
      <w:pPr>
        <w:spacing w:before="184" w:line="360" w:lineRule="auto"/>
        <w:ind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（2）施工过程中，监理人应督促各施工单位按广东省《公路工程造价管理指南》</w:t>
      </w:r>
      <w:r>
        <w:rPr>
          <w:rFonts w:ascii="宋体" w:hAnsi="宋体" w:eastAsia="宋体" w:cs="宋体"/>
          <w:color w:val="auto"/>
          <w:spacing w:val="5"/>
          <w:sz w:val="22"/>
          <w:szCs w:val="22"/>
          <w:highlight w:val="none"/>
        </w:rPr>
        <w:t>及施工合同要求编制过程结算文件，并对其编制的过程结算、竣工图进行初审</w:t>
      </w:r>
      <w:r>
        <w:rPr>
          <w:rFonts w:ascii="宋体" w:hAnsi="宋体" w:eastAsia="宋体" w:cs="宋体"/>
          <w:color w:val="auto"/>
          <w:spacing w:val="4"/>
          <w:sz w:val="22"/>
          <w:szCs w:val="22"/>
          <w:highlight w:val="none"/>
        </w:rPr>
        <w:t>，构成</w:t>
      </w:r>
      <w:r>
        <w:rPr>
          <w:rFonts w:ascii="宋体" w:hAnsi="宋体" w:eastAsia="宋体" w:cs="宋体"/>
          <w:color w:val="auto"/>
          <w:spacing w:val="-1"/>
          <w:sz w:val="22"/>
          <w:szCs w:val="22"/>
          <w:highlight w:val="none"/>
        </w:rPr>
        <w:t>公路建设项目竣工档案资料的组成部分。</w:t>
      </w:r>
    </w:p>
    <w:p w14:paraId="50775A12">
      <w:pPr>
        <w:spacing w:before="184" w:line="360" w:lineRule="auto"/>
        <w:ind w:left="498"/>
        <w:rPr>
          <w:rFonts w:ascii="宋体" w:hAnsi="宋体" w:eastAsia="宋体" w:cs="宋体"/>
          <w:color w:val="auto"/>
          <w:sz w:val="22"/>
          <w:szCs w:val="22"/>
          <w:highlight w:val="none"/>
        </w:rPr>
      </w:pPr>
      <w:r>
        <w:rPr>
          <w:rFonts w:ascii="宋体" w:hAnsi="宋体" w:eastAsia="宋体" w:cs="宋体"/>
          <w:b/>
          <w:bCs/>
          <w:color w:val="auto"/>
          <w:spacing w:val="-7"/>
          <w:sz w:val="22"/>
          <w:szCs w:val="22"/>
          <w:highlight w:val="none"/>
        </w:rPr>
        <w:t>13.9</w:t>
      </w:r>
      <w:r>
        <w:rPr>
          <w:rFonts w:ascii="宋体" w:hAnsi="宋体" w:eastAsia="宋体" w:cs="宋体"/>
          <w:color w:val="auto"/>
          <w:spacing w:val="-46"/>
          <w:sz w:val="22"/>
          <w:szCs w:val="22"/>
          <w:highlight w:val="none"/>
        </w:rPr>
        <w:t xml:space="preserve"> </w:t>
      </w:r>
      <w:r>
        <w:rPr>
          <w:rFonts w:ascii="宋体" w:hAnsi="宋体" w:eastAsia="宋体" w:cs="宋体"/>
          <w:b/>
          <w:bCs/>
          <w:color w:val="auto"/>
          <w:spacing w:val="-7"/>
          <w:sz w:val="22"/>
          <w:szCs w:val="22"/>
          <w:highlight w:val="none"/>
        </w:rPr>
        <w:t>监理改革</w:t>
      </w:r>
    </w:p>
    <w:p w14:paraId="56928523">
      <w:pPr>
        <w:spacing w:before="178" w:line="360" w:lineRule="auto"/>
        <w:ind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 监理定位。监理单位是受建设单位委托的受托方，在项目管理中不作为独</w:t>
      </w:r>
      <w:r>
        <w:rPr>
          <w:rFonts w:ascii="宋体" w:hAnsi="宋体" w:eastAsia="宋体" w:cs="宋体"/>
          <w:color w:val="auto"/>
          <w:spacing w:val="5"/>
          <w:sz w:val="22"/>
          <w:szCs w:val="22"/>
          <w:highlight w:val="none"/>
        </w:rPr>
        <w:t>立的第三方，是建设单位的协助管理方，应承担监理主体责任，按合同约定</w:t>
      </w:r>
      <w:r>
        <w:rPr>
          <w:rFonts w:ascii="宋体" w:hAnsi="宋体" w:eastAsia="宋体" w:cs="宋体"/>
          <w:color w:val="auto"/>
          <w:spacing w:val="4"/>
          <w:sz w:val="22"/>
          <w:szCs w:val="22"/>
          <w:highlight w:val="none"/>
        </w:rPr>
        <w:t>提供监理</w:t>
      </w:r>
      <w:r>
        <w:rPr>
          <w:rFonts w:ascii="宋体" w:hAnsi="宋体" w:eastAsia="宋体" w:cs="宋体"/>
          <w:color w:val="auto"/>
          <w:spacing w:val="-1"/>
          <w:sz w:val="22"/>
          <w:szCs w:val="22"/>
          <w:highlight w:val="none"/>
        </w:rPr>
        <w:t>服务，支撑建设单位落实首要责任与施工单位落实施工主体责任。</w:t>
      </w:r>
    </w:p>
    <w:p w14:paraId="3E0AF52D">
      <w:pPr>
        <w:spacing w:before="183" w:line="360"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13.9.2</w:t>
      </w:r>
      <w:r>
        <w:rPr>
          <w:rFonts w:ascii="宋体" w:hAnsi="宋体" w:eastAsia="宋体" w:cs="宋体"/>
          <w:color w:val="auto"/>
          <w:spacing w:val="-49"/>
          <w:sz w:val="22"/>
          <w:szCs w:val="22"/>
          <w:highlight w:val="none"/>
        </w:rPr>
        <w:t xml:space="preserve"> </w:t>
      </w:r>
      <w:r>
        <w:rPr>
          <w:rFonts w:ascii="宋体" w:hAnsi="宋体" w:eastAsia="宋体" w:cs="宋体"/>
          <w:color w:val="auto"/>
          <w:spacing w:val="-4"/>
          <w:sz w:val="22"/>
          <w:szCs w:val="22"/>
          <w:highlight w:val="none"/>
        </w:rPr>
        <w:t>监理职责</w:t>
      </w:r>
    </w:p>
    <w:p w14:paraId="763D6E4A">
      <w:pPr>
        <w:spacing w:before="180" w:line="360" w:lineRule="auto"/>
        <w:ind w:left="1" w:firstLine="480"/>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监理机构受建设单位委托，按合同约定对公路工程施工质量、安全、环（水）保等实施监管，协助建设单位开展费用、进度、合同、信息管理和协调等工</w:t>
      </w:r>
      <w:r>
        <w:rPr>
          <w:rFonts w:ascii="宋体" w:hAnsi="宋体" w:eastAsia="宋体" w:cs="宋体"/>
          <w:color w:val="auto"/>
          <w:spacing w:val="4"/>
          <w:sz w:val="22"/>
          <w:szCs w:val="22"/>
          <w:highlight w:val="none"/>
        </w:rPr>
        <w:t>作。监理机</w:t>
      </w:r>
      <w:r>
        <w:rPr>
          <w:rFonts w:ascii="宋体" w:hAnsi="宋体" w:eastAsia="宋体" w:cs="宋体"/>
          <w:color w:val="auto"/>
          <w:spacing w:val="5"/>
          <w:sz w:val="22"/>
          <w:szCs w:val="22"/>
          <w:highlight w:val="none"/>
        </w:rPr>
        <w:t>构应定期评价施工单位的质量、安全、环（水）保管理体系运行情况，适</w:t>
      </w:r>
      <w:r>
        <w:rPr>
          <w:rFonts w:ascii="宋体" w:hAnsi="宋体" w:eastAsia="宋体" w:cs="宋体"/>
          <w:color w:val="auto"/>
          <w:spacing w:val="4"/>
          <w:sz w:val="22"/>
          <w:szCs w:val="22"/>
          <w:highlight w:val="none"/>
        </w:rPr>
        <w:t>时开展差异</w:t>
      </w:r>
      <w:r>
        <w:rPr>
          <w:rFonts w:ascii="宋体" w:hAnsi="宋体" w:eastAsia="宋体" w:cs="宋体"/>
          <w:color w:val="auto"/>
          <w:spacing w:val="5"/>
          <w:sz w:val="22"/>
          <w:szCs w:val="22"/>
          <w:highlight w:val="none"/>
        </w:rPr>
        <w:t>化管理等监理工作，与建设单位共同推进项目建设的管理工作。在施工过</w:t>
      </w:r>
      <w:r>
        <w:rPr>
          <w:rFonts w:ascii="宋体" w:hAnsi="宋体" w:eastAsia="宋体" w:cs="宋体"/>
          <w:color w:val="auto"/>
          <w:spacing w:val="4"/>
          <w:sz w:val="22"/>
          <w:szCs w:val="22"/>
          <w:highlight w:val="none"/>
        </w:rPr>
        <w:t>程中定期或</w:t>
      </w:r>
      <w:r>
        <w:rPr>
          <w:rFonts w:ascii="宋体" w:hAnsi="宋体" w:eastAsia="宋体" w:cs="宋体"/>
          <w:color w:val="auto"/>
          <w:spacing w:val="5"/>
          <w:sz w:val="22"/>
          <w:szCs w:val="22"/>
          <w:highlight w:val="none"/>
        </w:rPr>
        <w:t>不定期对施工单位的档案的及时性、完整性、准确性进行监督、检查。</w:t>
      </w:r>
    </w:p>
    <w:p w14:paraId="1D0F4BF9">
      <w:pPr>
        <w:spacing w:before="1" w:line="360"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13.9.3</w:t>
      </w:r>
      <w:r>
        <w:rPr>
          <w:rFonts w:ascii="宋体" w:hAnsi="宋体" w:eastAsia="宋体" w:cs="宋体"/>
          <w:color w:val="auto"/>
          <w:spacing w:val="-41"/>
          <w:sz w:val="22"/>
          <w:szCs w:val="22"/>
          <w:highlight w:val="none"/>
        </w:rPr>
        <w:t xml:space="preserve"> </w:t>
      </w:r>
      <w:r>
        <w:rPr>
          <w:rFonts w:ascii="宋体" w:hAnsi="宋体" w:eastAsia="宋体" w:cs="宋体"/>
          <w:color w:val="auto"/>
          <w:spacing w:val="-4"/>
          <w:sz w:val="22"/>
          <w:szCs w:val="22"/>
          <w:highlight w:val="none"/>
        </w:rPr>
        <w:t>分包管理职责</w:t>
      </w:r>
    </w:p>
    <w:p w14:paraId="3A1800B8">
      <w:pPr>
        <w:spacing w:before="180" w:line="360" w:lineRule="auto"/>
        <w:ind w:left="3" w:firstLine="47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监理人按照《广东省交通运输厅关于印发《广东省交通</w:t>
      </w:r>
      <w:r>
        <w:rPr>
          <w:rFonts w:ascii="宋体" w:hAnsi="宋体" w:eastAsia="宋体" w:cs="宋体"/>
          <w:color w:val="auto"/>
          <w:spacing w:val="1"/>
          <w:sz w:val="22"/>
          <w:szCs w:val="22"/>
          <w:highlight w:val="none"/>
        </w:rPr>
        <w:t>运输厅&lt;关于公路工程施工</w:t>
      </w:r>
      <w:r>
        <w:rPr>
          <w:rFonts w:ascii="宋体" w:hAnsi="宋体" w:eastAsia="宋体" w:cs="宋体"/>
          <w:color w:val="auto"/>
          <w:spacing w:val="2"/>
          <w:sz w:val="22"/>
          <w:szCs w:val="22"/>
          <w:highlight w:val="none"/>
        </w:rPr>
        <w:t>分包管理实施细则&gt;的通知》（粤交〔2025〕1</w:t>
      </w:r>
      <w:r>
        <w:rPr>
          <w:rFonts w:ascii="宋体" w:hAnsi="宋体" w:eastAsia="宋体" w:cs="宋体"/>
          <w:color w:val="auto"/>
          <w:spacing w:val="-24"/>
          <w:sz w:val="22"/>
          <w:szCs w:val="22"/>
          <w:highlight w:val="none"/>
        </w:rPr>
        <w:t xml:space="preserve"> </w:t>
      </w:r>
      <w:r>
        <w:rPr>
          <w:rFonts w:ascii="宋体" w:hAnsi="宋体" w:eastAsia="宋体" w:cs="宋体"/>
          <w:color w:val="auto"/>
          <w:spacing w:val="2"/>
          <w:sz w:val="22"/>
          <w:szCs w:val="22"/>
          <w:highlight w:val="none"/>
        </w:rPr>
        <w:t>号）文件的相关管理规定和合同约定，</w:t>
      </w:r>
      <w:r>
        <w:rPr>
          <w:rFonts w:ascii="宋体" w:hAnsi="宋体" w:eastAsia="宋体" w:cs="宋体"/>
          <w:color w:val="auto"/>
          <w:spacing w:val="5"/>
          <w:sz w:val="22"/>
          <w:szCs w:val="22"/>
          <w:highlight w:val="none"/>
        </w:rPr>
        <w:t>负责对所监理合同段的施工分包活动的监理管理，发现</w:t>
      </w:r>
      <w:r>
        <w:rPr>
          <w:rFonts w:ascii="宋体" w:hAnsi="宋体" w:eastAsia="宋体" w:cs="宋体"/>
          <w:color w:val="auto"/>
          <w:spacing w:val="4"/>
          <w:sz w:val="22"/>
          <w:szCs w:val="22"/>
          <w:highlight w:val="none"/>
        </w:rPr>
        <w:t>承包人转包或违法分包行为应</w:t>
      </w:r>
      <w:r>
        <w:rPr>
          <w:rFonts w:ascii="宋体" w:hAnsi="宋体" w:eastAsia="宋体" w:cs="宋体"/>
          <w:color w:val="auto"/>
          <w:spacing w:val="-1"/>
          <w:sz w:val="22"/>
          <w:szCs w:val="22"/>
          <w:highlight w:val="none"/>
        </w:rPr>
        <w:t>及时制止，并通知委托人。监理人在收到承包人提</w:t>
      </w:r>
      <w:r>
        <w:rPr>
          <w:rFonts w:ascii="宋体" w:hAnsi="宋体" w:eastAsia="宋体" w:cs="宋体"/>
          <w:color w:val="auto"/>
          <w:spacing w:val="-2"/>
          <w:sz w:val="22"/>
          <w:szCs w:val="22"/>
          <w:highlight w:val="none"/>
        </w:rPr>
        <w:t>交的分包合同申请后，5 日内对拟签</w:t>
      </w:r>
      <w:r>
        <w:rPr>
          <w:rFonts w:ascii="宋体" w:hAnsi="宋体" w:eastAsia="宋体" w:cs="宋体"/>
          <w:color w:val="auto"/>
          <w:spacing w:val="5"/>
          <w:sz w:val="22"/>
          <w:szCs w:val="22"/>
          <w:highlight w:val="none"/>
        </w:rPr>
        <w:t>订的分包合同内容进行审查，并提出审查意见；分包工程的施工方案需经承包</w:t>
      </w:r>
      <w:r>
        <w:rPr>
          <w:rFonts w:ascii="宋体" w:hAnsi="宋体" w:eastAsia="宋体" w:cs="宋体"/>
          <w:color w:val="auto"/>
          <w:spacing w:val="4"/>
          <w:sz w:val="22"/>
          <w:szCs w:val="22"/>
          <w:highlight w:val="none"/>
        </w:rPr>
        <w:t>人审查</w:t>
      </w:r>
      <w:r>
        <w:rPr>
          <w:rFonts w:ascii="宋体" w:hAnsi="宋体" w:eastAsia="宋体" w:cs="宋体"/>
          <w:color w:val="auto"/>
          <w:spacing w:val="5"/>
          <w:sz w:val="22"/>
          <w:szCs w:val="22"/>
          <w:highlight w:val="none"/>
        </w:rPr>
        <w:t>同意后，报总监办书面同意后方可实施，监理人应配合委托人对承包人（分包</w:t>
      </w:r>
      <w:r>
        <w:rPr>
          <w:rFonts w:ascii="宋体" w:hAnsi="宋体" w:eastAsia="宋体" w:cs="宋体"/>
          <w:color w:val="auto"/>
          <w:spacing w:val="4"/>
          <w:sz w:val="22"/>
          <w:szCs w:val="22"/>
          <w:highlight w:val="none"/>
        </w:rPr>
        <w:t>人）的</w:t>
      </w:r>
      <w:r>
        <w:rPr>
          <w:rFonts w:ascii="宋体" w:hAnsi="宋体" w:eastAsia="宋体" w:cs="宋体"/>
          <w:color w:val="auto"/>
          <w:spacing w:val="6"/>
          <w:sz w:val="22"/>
          <w:szCs w:val="22"/>
          <w:highlight w:val="none"/>
        </w:rPr>
        <w:t>劳务合作情况进行监督检查；监理机构需核查劳务合作企业提供的特种设备“</w:t>
      </w:r>
      <w:r>
        <w:rPr>
          <w:rFonts w:ascii="宋体" w:hAnsi="宋体" w:eastAsia="宋体" w:cs="宋体"/>
          <w:color w:val="auto"/>
          <w:spacing w:val="-82"/>
          <w:sz w:val="22"/>
          <w:szCs w:val="22"/>
          <w:highlight w:val="none"/>
        </w:rPr>
        <w:t xml:space="preserve"> </w:t>
      </w:r>
      <w:r>
        <w:rPr>
          <w:rFonts w:ascii="宋体" w:hAnsi="宋体" w:eastAsia="宋体" w:cs="宋体"/>
          <w:color w:val="auto"/>
          <w:spacing w:val="6"/>
          <w:sz w:val="22"/>
          <w:szCs w:val="22"/>
          <w:highlight w:val="none"/>
        </w:rPr>
        <w:t>四证</w:t>
      </w:r>
      <w:r>
        <w:rPr>
          <w:rFonts w:ascii="宋体" w:hAnsi="宋体" w:eastAsia="宋体" w:cs="宋体"/>
          <w:color w:val="auto"/>
          <w:spacing w:val="-83"/>
          <w:sz w:val="22"/>
          <w:szCs w:val="22"/>
          <w:highlight w:val="none"/>
        </w:rPr>
        <w:t xml:space="preserve"> </w:t>
      </w:r>
      <w:r>
        <w:rPr>
          <w:rFonts w:ascii="宋体" w:hAnsi="宋体" w:eastAsia="宋体" w:cs="宋体"/>
          <w:color w:val="auto"/>
          <w:spacing w:val="6"/>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（出厂合格证、检验合格证、检验报告、使用登记证及操作人员证书</w:t>
      </w:r>
      <w:r>
        <w:rPr>
          <w:rFonts w:ascii="宋体" w:hAnsi="宋体" w:eastAsia="宋体" w:cs="宋体"/>
          <w:color w:val="auto"/>
          <w:spacing w:val="21"/>
          <w:sz w:val="22"/>
          <w:szCs w:val="22"/>
          <w:highlight w:val="none"/>
        </w:rPr>
        <w:t>），</w:t>
      </w:r>
      <w:r>
        <w:rPr>
          <w:rFonts w:ascii="宋体" w:hAnsi="宋体" w:eastAsia="宋体" w:cs="宋体"/>
          <w:color w:val="auto"/>
          <w:spacing w:val="4"/>
          <w:sz w:val="22"/>
          <w:szCs w:val="22"/>
          <w:highlight w:val="none"/>
        </w:rPr>
        <w:t>通过后方可</w:t>
      </w:r>
      <w:r>
        <w:rPr>
          <w:rFonts w:ascii="宋体" w:hAnsi="宋体" w:eastAsia="宋体" w:cs="宋体"/>
          <w:color w:val="auto"/>
          <w:spacing w:val="-2"/>
          <w:sz w:val="22"/>
          <w:szCs w:val="22"/>
          <w:highlight w:val="none"/>
        </w:rPr>
        <w:t>允许使用"。</w:t>
      </w:r>
    </w:p>
    <w:p w14:paraId="7A3864E4">
      <w:pPr>
        <w:spacing w:line="360"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13.9.4</w:t>
      </w:r>
      <w:r>
        <w:rPr>
          <w:rFonts w:ascii="宋体" w:hAnsi="宋体" w:eastAsia="宋体" w:cs="宋体"/>
          <w:color w:val="auto"/>
          <w:spacing w:val="-41"/>
          <w:sz w:val="22"/>
          <w:szCs w:val="22"/>
          <w:highlight w:val="none"/>
        </w:rPr>
        <w:t xml:space="preserve"> </w:t>
      </w:r>
      <w:r>
        <w:rPr>
          <w:rFonts w:ascii="宋体" w:hAnsi="宋体" w:eastAsia="宋体" w:cs="宋体"/>
          <w:color w:val="auto"/>
          <w:spacing w:val="-4"/>
          <w:sz w:val="22"/>
          <w:szCs w:val="22"/>
          <w:highlight w:val="none"/>
        </w:rPr>
        <w:t>监理工作机制</w:t>
      </w:r>
    </w:p>
    <w:p w14:paraId="1F88FB37">
      <w:pPr>
        <w:spacing w:before="183" w:line="36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13.9.4.1</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rPr>
        <w:t>监理工作的重点</w:t>
      </w:r>
    </w:p>
    <w:p w14:paraId="6860D64C">
      <w:pPr>
        <w:spacing w:before="180" w:line="360" w:lineRule="auto"/>
        <w:ind w:left="4" w:right="115" w:firstLine="48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（1）监理工作以质量、安全、环保为重点，突出施工组织设计、隐蔽工程验收与</w:t>
      </w:r>
      <w:r>
        <w:rPr>
          <w:rFonts w:ascii="宋体" w:hAnsi="宋体" w:eastAsia="宋体" w:cs="宋体"/>
          <w:color w:val="auto"/>
          <w:spacing w:val="-1"/>
          <w:sz w:val="22"/>
          <w:szCs w:val="22"/>
          <w:highlight w:val="none"/>
        </w:rPr>
        <w:t>关键作业质量控制、工序验收，建立以巡视为主要手段的监理机制。</w:t>
      </w:r>
    </w:p>
    <w:p w14:paraId="2E76CE64">
      <w:pPr>
        <w:spacing w:before="181" w:line="360" w:lineRule="auto"/>
        <w:ind w:left="3" w:right="115" w:firstLine="48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（2）监理工作以监督施工单位质量、安全及环保等保证体系运行为核心，以巡视</w:t>
      </w:r>
      <w:r>
        <w:rPr>
          <w:rFonts w:ascii="宋体" w:hAnsi="宋体" w:eastAsia="宋体" w:cs="宋体"/>
          <w:color w:val="auto"/>
          <w:spacing w:val="-1"/>
          <w:sz w:val="22"/>
          <w:szCs w:val="22"/>
          <w:highlight w:val="none"/>
        </w:rPr>
        <w:t>为主的方式进行施工现场监理。</w:t>
      </w:r>
    </w:p>
    <w:p w14:paraId="2E36D164">
      <w:pPr>
        <w:spacing w:before="185" w:line="360" w:lineRule="auto"/>
        <w:ind w:right="115"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（3）做好施工方案编制审查与现场一致性核查，对施工方案实施闭环管理；构建</w:t>
      </w:r>
      <w:r>
        <w:rPr>
          <w:rFonts w:ascii="宋体" w:hAnsi="宋体" w:eastAsia="宋体" w:cs="宋体"/>
          <w:color w:val="auto"/>
          <w:spacing w:val="5"/>
          <w:sz w:val="22"/>
          <w:szCs w:val="22"/>
          <w:highlight w:val="none"/>
        </w:rPr>
        <w:t>并完善以关键环节控制为核心、以巡视为主要手段的监理工作标准体系；通过</w:t>
      </w:r>
      <w:r>
        <w:rPr>
          <w:rFonts w:ascii="宋体" w:hAnsi="宋体" w:eastAsia="宋体" w:cs="宋体"/>
          <w:color w:val="auto"/>
          <w:spacing w:val="4"/>
          <w:sz w:val="22"/>
          <w:szCs w:val="22"/>
          <w:highlight w:val="none"/>
        </w:rPr>
        <w:t>统计工</w:t>
      </w:r>
      <w:r>
        <w:rPr>
          <w:rFonts w:ascii="宋体" w:hAnsi="宋体" w:eastAsia="宋体" w:cs="宋体"/>
          <w:color w:val="auto"/>
          <w:spacing w:val="5"/>
          <w:sz w:val="22"/>
          <w:szCs w:val="22"/>
          <w:highlight w:val="none"/>
        </w:rPr>
        <w:t>序验收一次通过率等指标，核查施工单位质保体系的运行情况并针对性开展差</w:t>
      </w:r>
      <w:r>
        <w:rPr>
          <w:rFonts w:ascii="宋体" w:hAnsi="宋体" w:eastAsia="宋体" w:cs="宋体"/>
          <w:color w:val="auto"/>
          <w:spacing w:val="4"/>
          <w:sz w:val="22"/>
          <w:szCs w:val="22"/>
          <w:highlight w:val="none"/>
        </w:rPr>
        <w:t>异化监</w:t>
      </w:r>
      <w:r>
        <w:rPr>
          <w:rFonts w:ascii="宋体" w:hAnsi="宋体" w:eastAsia="宋体" w:cs="宋体"/>
          <w:color w:val="auto"/>
          <w:spacing w:val="-5"/>
          <w:sz w:val="22"/>
          <w:szCs w:val="22"/>
          <w:highlight w:val="none"/>
        </w:rPr>
        <w:t>理。</w:t>
      </w:r>
    </w:p>
    <w:p w14:paraId="489372F0">
      <w:pPr>
        <w:spacing w:before="167" w:line="360"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13.9.4.2</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监理工作的重点提高监理工作效率</w:t>
      </w:r>
    </w:p>
    <w:p w14:paraId="5FB859F4">
      <w:pPr>
        <w:spacing w:before="183" w:line="360" w:lineRule="auto"/>
        <w:ind w:left="1" w:right="115" w:firstLine="478"/>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优化工序验收项目，监理机构无需对施工单位自检资料签认，采用从分部工程开</w:t>
      </w:r>
      <w:r>
        <w:rPr>
          <w:rFonts w:ascii="宋体" w:hAnsi="宋体" w:eastAsia="宋体" w:cs="宋体"/>
          <w:color w:val="auto"/>
          <w:spacing w:val="-1"/>
          <w:sz w:val="22"/>
          <w:szCs w:val="22"/>
          <w:highlight w:val="none"/>
        </w:rPr>
        <w:t>始评定的方式评价工程质量。</w:t>
      </w:r>
    </w:p>
    <w:p w14:paraId="6AB59959">
      <w:pPr>
        <w:spacing w:before="1" w:line="360" w:lineRule="auto"/>
        <w:ind w:right="115" w:firstLine="48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建立监理与检测协同机制，优化总监办与中心试验室工作界面、沟通渠道与协同</w:t>
      </w:r>
      <w:r>
        <w:rPr>
          <w:rFonts w:ascii="宋体" w:hAnsi="宋体" w:eastAsia="宋体" w:cs="宋体"/>
          <w:color w:val="auto"/>
          <w:spacing w:val="-1"/>
          <w:sz w:val="22"/>
          <w:szCs w:val="22"/>
          <w:highlight w:val="none"/>
        </w:rPr>
        <w:t>机制，提升管控质量。</w:t>
      </w:r>
    </w:p>
    <w:p w14:paraId="7E91D928">
      <w:pPr>
        <w:spacing w:before="2" w:line="360" w:lineRule="auto"/>
        <w:ind w:right="115"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针对现场施工质量、安全管理重难点及不同阶段的管理需求，监理机构上级单位</w:t>
      </w:r>
      <w:r>
        <w:rPr>
          <w:rFonts w:ascii="宋体" w:hAnsi="宋体" w:eastAsia="宋体" w:cs="宋体"/>
          <w:color w:val="auto"/>
          <w:sz w:val="22"/>
          <w:szCs w:val="22"/>
          <w:highlight w:val="none"/>
        </w:rPr>
        <w:t>应加强技术指导，支持监理机构的工作，提高监理服务水平。"</w:t>
      </w:r>
    </w:p>
    <w:p w14:paraId="20E74B7B">
      <w:pPr>
        <w:spacing w:line="36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13.9.5 监理队伍建设</w:t>
      </w:r>
    </w:p>
    <w:p w14:paraId="2067C291">
      <w:pPr>
        <w:spacing w:before="179" w:line="360" w:lineRule="auto"/>
        <w:ind w:left="1" w:right="115"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监理机构应根据工程规模、项目特点、施工组织设计与施工现场的实际需要，按照合同约定、委托人批复意见及相关指令，分阶段确定所需监理人员数量</w:t>
      </w:r>
      <w:r>
        <w:rPr>
          <w:rFonts w:ascii="宋体" w:hAnsi="宋体" w:eastAsia="宋体" w:cs="宋体"/>
          <w:color w:val="auto"/>
          <w:spacing w:val="4"/>
          <w:sz w:val="22"/>
          <w:szCs w:val="22"/>
          <w:highlight w:val="none"/>
        </w:rPr>
        <w:t>，动态配置</w:t>
      </w:r>
      <w:r>
        <w:rPr>
          <w:rFonts w:ascii="宋体" w:hAnsi="宋体" w:eastAsia="宋体" w:cs="宋体"/>
          <w:color w:val="auto"/>
          <w:spacing w:val="-3"/>
          <w:sz w:val="22"/>
          <w:szCs w:val="22"/>
          <w:highlight w:val="none"/>
        </w:rPr>
        <w:t>监理人员。</w:t>
      </w:r>
    </w:p>
    <w:p w14:paraId="44FBC798">
      <w:pPr>
        <w:spacing w:before="1" w:line="360" w:lineRule="auto"/>
        <w:ind w:left="481"/>
        <w:rPr>
          <w:rFonts w:ascii="宋体" w:hAnsi="宋体" w:eastAsia="宋体" w:cs="宋体"/>
          <w:color w:val="auto"/>
          <w:sz w:val="22"/>
          <w:szCs w:val="22"/>
          <w:highlight w:val="none"/>
        </w:rPr>
      </w:pPr>
      <w:r>
        <w:rPr>
          <w:rFonts w:ascii="宋体" w:hAnsi="宋体" w:eastAsia="宋体" w:cs="宋体"/>
          <w:color w:val="auto"/>
          <w:sz w:val="22"/>
          <w:szCs w:val="22"/>
          <w:highlight w:val="none"/>
        </w:rPr>
        <w:t>监理机构应开展监理人员岗位培训、考核工作，人员素质应满足岗位工作需求。"</w:t>
      </w:r>
    </w:p>
    <w:p w14:paraId="43B8213F">
      <w:pPr>
        <w:spacing w:before="183" w:line="36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13.9.6 监理机构设置</w:t>
      </w:r>
    </w:p>
    <w:p w14:paraId="2BC210CD">
      <w:pPr>
        <w:spacing w:before="47" w:line="360" w:lineRule="auto"/>
        <w:ind w:firstLine="480"/>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监理机构受建设单位委托开展咨询服务时，宜设置咨询工作室，为项目提供决策服务。同时，应明确咨询服务内容及相应的费用标准。（该费用不包含在项</w:t>
      </w:r>
      <w:r>
        <w:rPr>
          <w:rFonts w:ascii="宋体" w:hAnsi="宋体" w:eastAsia="宋体" w:cs="宋体"/>
          <w:color w:val="auto"/>
          <w:spacing w:val="4"/>
          <w:sz w:val="22"/>
          <w:szCs w:val="22"/>
          <w:highlight w:val="none"/>
        </w:rPr>
        <w:t>目监理总</w:t>
      </w:r>
      <w:r>
        <w:rPr>
          <w:rFonts w:ascii="宋体" w:hAnsi="宋体" w:eastAsia="宋体" w:cs="宋体"/>
          <w:color w:val="auto"/>
          <w:spacing w:val="1"/>
          <w:sz w:val="22"/>
          <w:szCs w:val="22"/>
          <w:highlight w:val="none"/>
        </w:rPr>
        <w:t>费用中）"</w:t>
      </w:r>
    </w:p>
    <w:p w14:paraId="563317C6">
      <w:pPr>
        <w:spacing w:line="360"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13.9.7 监理数字化建设</w:t>
      </w:r>
    </w:p>
    <w:p w14:paraId="4B09C1D2">
      <w:pPr>
        <w:spacing w:before="183" w:line="360" w:lineRule="auto"/>
        <w:ind w:firstLine="48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监理机构应按照行业发展的需求，发展自身管理的数字化建设，开放数字化平台及相关数据接口，对接建设单位数字化管理系统，积极配合建设单位对项目管</w:t>
      </w:r>
      <w:r>
        <w:rPr>
          <w:rFonts w:ascii="宋体" w:hAnsi="宋体" w:eastAsia="宋体" w:cs="宋体"/>
          <w:color w:val="auto"/>
          <w:spacing w:val="4"/>
          <w:sz w:val="22"/>
          <w:szCs w:val="22"/>
          <w:highlight w:val="none"/>
        </w:rPr>
        <w:t>理数字</w:t>
      </w:r>
      <w:r>
        <w:rPr>
          <w:rFonts w:ascii="宋体" w:hAnsi="宋体" w:eastAsia="宋体" w:cs="宋体"/>
          <w:color w:val="auto"/>
          <w:spacing w:val="5"/>
          <w:sz w:val="22"/>
          <w:szCs w:val="22"/>
          <w:highlight w:val="none"/>
        </w:rPr>
        <w:t>化的统筹和整合，助力建设单位打通各参建单位不同系统之间的信息壁垒，形</w:t>
      </w:r>
      <w:r>
        <w:rPr>
          <w:rFonts w:ascii="宋体" w:hAnsi="宋体" w:eastAsia="宋体" w:cs="宋体"/>
          <w:color w:val="auto"/>
          <w:spacing w:val="4"/>
          <w:sz w:val="22"/>
          <w:szCs w:val="22"/>
          <w:highlight w:val="none"/>
        </w:rPr>
        <w:t>成适应</w:t>
      </w:r>
      <w:r>
        <w:rPr>
          <w:rFonts w:ascii="宋体" w:hAnsi="宋体" w:eastAsia="宋体" w:cs="宋体"/>
          <w:color w:val="auto"/>
          <w:spacing w:val="5"/>
          <w:sz w:val="22"/>
          <w:szCs w:val="22"/>
          <w:highlight w:val="none"/>
        </w:rPr>
        <w:t>于项目的综合性数字化管理平台。监理机构的管理应充分利用共享数据的一体</w:t>
      </w:r>
      <w:r>
        <w:rPr>
          <w:rFonts w:ascii="宋体" w:hAnsi="宋体" w:eastAsia="宋体" w:cs="宋体"/>
          <w:color w:val="auto"/>
          <w:spacing w:val="4"/>
          <w:sz w:val="22"/>
          <w:szCs w:val="22"/>
          <w:highlight w:val="none"/>
        </w:rPr>
        <w:t>化数字</w:t>
      </w:r>
      <w:r>
        <w:rPr>
          <w:rFonts w:ascii="宋体" w:hAnsi="宋体" w:eastAsia="宋体" w:cs="宋体"/>
          <w:color w:val="auto"/>
          <w:spacing w:val="5"/>
          <w:sz w:val="22"/>
          <w:szCs w:val="22"/>
          <w:highlight w:val="none"/>
        </w:rPr>
        <w:t>化技术和平台，评估保证体系的运行状况，分析管理的薄弱环节，利用数字化</w:t>
      </w:r>
      <w:r>
        <w:rPr>
          <w:rFonts w:ascii="宋体" w:hAnsi="宋体" w:eastAsia="宋体" w:cs="宋体"/>
          <w:color w:val="auto"/>
          <w:spacing w:val="4"/>
          <w:sz w:val="22"/>
          <w:szCs w:val="22"/>
          <w:highlight w:val="none"/>
        </w:rPr>
        <w:t>手段和</w:t>
      </w:r>
      <w:r>
        <w:rPr>
          <w:rFonts w:ascii="宋体" w:hAnsi="宋体" w:eastAsia="宋体" w:cs="宋体"/>
          <w:color w:val="auto"/>
          <w:sz w:val="22"/>
          <w:szCs w:val="22"/>
          <w:highlight w:val="none"/>
        </w:rPr>
        <w:t>数据为监理管理工作提供支撑。"</w:t>
      </w:r>
    </w:p>
    <w:p w14:paraId="644033F7">
      <w:pPr>
        <w:spacing w:line="360"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13.9.8 质量安全问题应对</w:t>
      </w:r>
    </w:p>
    <w:p w14:paraId="42FE3A20">
      <w:pPr>
        <w:spacing w:before="177" w:line="360"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监理机构在监理过程中发现施工存在质量问题或安全事故隐患的，应书面要求施工单位整改或停止施工，未整改或整改不合格的不得进行下一道工序施工，</w:t>
      </w:r>
      <w:r>
        <w:rPr>
          <w:rFonts w:ascii="宋体" w:hAnsi="宋体" w:eastAsia="宋体" w:cs="宋体"/>
          <w:color w:val="auto"/>
          <w:spacing w:val="4"/>
          <w:sz w:val="22"/>
          <w:szCs w:val="22"/>
          <w:highlight w:val="none"/>
        </w:rPr>
        <w:t>不得进行</w:t>
      </w:r>
      <w:r>
        <w:rPr>
          <w:rFonts w:ascii="宋体" w:hAnsi="宋体" w:eastAsia="宋体" w:cs="宋体"/>
          <w:color w:val="auto"/>
          <w:spacing w:val="5"/>
          <w:sz w:val="22"/>
          <w:szCs w:val="22"/>
          <w:highlight w:val="none"/>
        </w:rPr>
        <w:t>计量支付。施工单位拒不整改或不停止施工的，监理机构应及时向建设单位</w:t>
      </w:r>
      <w:r>
        <w:rPr>
          <w:rFonts w:ascii="宋体" w:hAnsi="宋体" w:eastAsia="宋体" w:cs="宋体"/>
          <w:color w:val="auto"/>
          <w:spacing w:val="4"/>
          <w:sz w:val="22"/>
          <w:szCs w:val="22"/>
          <w:highlight w:val="none"/>
        </w:rPr>
        <w:t>或监管部</w:t>
      </w:r>
      <w:r>
        <w:rPr>
          <w:rFonts w:ascii="宋体" w:hAnsi="宋体" w:eastAsia="宋体" w:cs="宋体"/>
          <w:color w:val="auto"/>
          <w:spacing w:val="1"/>
          <w:sz w:val="22"/>
          <w:szCs w:val="22"/>
          <w:highlight w:val="none"/>
        </w:rPr>
        <w:t>门报告。"</w:t>
      </w:r>
    </w:p>
    <w:p w14:paraId="673F3BC4">
      <w:pPr>
        <w:spacing w:before="1" w:line="360"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13.9.9</w:t>
      </w:r>
      <w:r>
        <w:rPr>
          <w:rFonts w:ascii="宋体" w:hAnsi="宋体" w:eastAsia="宋体" w:cs="宋体"/>
          <w:color w:val="auto"/>
          <w:spacing w:val="-49"/>
          <w:sz w:val="22"/>
          <w:szCs w:val="22"/>
          <w:highlight w:val="none"/>
        </w:rPr>
        <w:t xml:space="preserve"> </w:t>
      </w:r>
      <w:r>
        <w:rPr>
          <w:rFonts w:ascii="宋体" w:hAnsi="宋体" w:eastAsia="宋体" w:cs="宋体"/>
          <w:color w:val="auto"/>
          <w:spacing w:val="-4"/>
          <w:sz w:val="22"/>
          <w:szCs w:val="22"/>
          <w:highlight w:val="none"/>
        </w:rPr>
        <w:t>监理+N</w:t>
      </w:r>
    </w:p>
    <w:p w14:paraId="53E1ABC6">
      <w:pPr>
        <w:spacing w:before="169" w:line="360"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监理检测企业应根据公路建设市场和高质量发展的需要，整合优势资源，构建灵活的服务架构和经营模式，丰富监理及咨询服务的内涵，强化技术支持，面</w:t>
      </w:r>
      <w:r>
        <w:rPr>
          <w:rFonts w:ascii="宋体" w:hAnsi="宋体" w:eastAsia="宋体" w:cs="宋体"/>
          <w:color w:val="auto"/>
          <w:spacing w:val="4"/>
          <w:sz w:val="22"/>
          <w:szCs w:val="22"/>
          <w:highlight w:val="none"/>
        </w:rPr>
        <w:t>向公路建</w:t>
      </w:r>
      <w:r>
        <w:rPr>
          <w:rFonts w:ascii="宋体" w:hAnsi="宋体" w:eastAsia="宋体" w:cs="宋体"/>
          <w:color w:val="auto"/>
          <w:spacing w:val="5"/>
          <w:sz w:val="22"/>
          <w:szCs w:val="22"/>
          <w:highlight w:val="none"/>
        </w:rPr>
        <w:t>设全产业链，提供专业、高水平的咨询服务，形成包括代建、咨询、可行性</w:t>
      </w:r>
      <w:r>
        <w:rPr>
          <w:rFonts w:ascii="宋体" w:hAnsi="宋体" w:eastAsia="宋体" w:cs="宋体"/>
          <w:color w:val="auto"/>
          <w:spacing w:val="4"/>
          <w:sz w:val="22"/>
          <w:szCs w:val="22"/>
          <w:highlight w:val="none"/>
        </w:rPr>
        <w:t>研究、设</w:t>
      </w:r>
      <w:r>
        <w:rPr>
          <w:rFonts w:ascii="宋体" w:hAnsi="宋体" w:eastAsia="宋体" w:cs="宋体"/>
          <w:color w:val="auto"/>
          <w:spacing w:val="-1"/>
          <w:sz w:val="22"/>
          <w:szCs w:val="22"/>
          <w:highlight w:val="none"/>
        </w:rPr>
        <w:t>计和监理等在内的多元化发展方向，提升监理+N</w:t>
      </w:r>
      <w:r>
        <w:rPr>
          <w:rFonts w:ascii="宋体" w:hAnsi="宋体" w:eastAsia="宋体" w:cs="宋体"/>
          <w:color w:val="auto"/>
          <w:spacing w:val="-25"/>
          <w:sz w:val="22"/>
          <w:szCs w:val="22"/>
          <w:highlight w:val="none"/>
        </w:rPr>
        <w:t xml:space="preserve"> </w:t>
      </w:r>
      <w:r>
        <w:rPr>
          <w:rFonts w:ascii="宋体" w:hAnsi="宋体" w:eastAsia="宋体" w:cs="宋体"/>
          <w:color w:val="auto"/>
          <w:spacing w:val="-1"/>
          <w:sz w:val="22"/>
          <w:szCs w:val="22"/>
          <w:highlight w:val="none"/>
        </w:rPr>
        <w:t>的服务品质。"</w:t>
      </w:r>
    </w:p>
    <w:p w14:paraId="520A3774">
      <w:pPr>
        <w:spacing w:line="36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13.9.10 监理费用</w:t>
      </w:r>
    </w:p>
    <w:p w14:paraId="3CEC1E19">
      <w:pPr>
        <w:spacing w:before="183" w:line="360" w:lineRule="auto"/>
        <w:ind w:left="1" w:firstLine="490"/>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（1）项目采取“咨询+监理</w:t>
      </w:r>
      <w:r>
        <w:rPr>
          <w:rFonts w:ascii="宋体" w:hAnsi="宋体" w:eastAsia="宋体" w:cs="宋体"/>
          <w:color w:val="auto"/>
          <w:spacing w:val="-81"/>
          <w:sz w:val="22"/>
          <w:szCs w:val="22"/>
          <w:highlight w:val="none"/>
        </w:rPr>
        <w:t xml:space="preserve"> </w:t>
      </w:r>
      <w:r>
        <w:rPr>
          <w:rFonts w:ascii="宋体" w:hAnsi="宋体" w:eastAsia="宋体" w:cs="宋体"/>
          <w:color w:val="auto"/>
          <w:spacing w:val="4"/>
          <w:sz w:val="22"/>
          <w:szCs w:val="22"/>
          <w:highlight w:val="none"/>
        </w:rPr>
        <w:t>”模式时，咨询、监理</w:t>
      </w:r>
      <w:r>
        <w:rPr>
          <w:rFonts w:ascii="宋体" w:hAnsi="宋体" w:eastAsia="宋体" w:cs="宋体"/>
          <w:color w:val="auto"/>
          <w:spacing w:val="3"/>
          <w:sz w:val="22"/>
          <w:szCs w:val="22"/>
          <w:highlight w:val="none"/>
        </w:rPr>
        <w:t>取费应按相关标准分别计算，</w:t>
      </w:r>
      <w:r>
        <w:rPr>
          <w:rFonts w:ascii="宋体" w:hAnsi="宋体" w:eastAsia="宋体" w:cs="宋体"/>
          <w:color w:val="auto"/>
          <w:spacing w:val="1"/>
          <w:sz w:val="22"/>
          <w:szCs w:val="22"/>
          <w:highlight w:val="none"/>
        </w:rPr>
        <w:t>合计计入合同金额。</w:t>
      </w:r>
    </w:p>
    <w:p w14:paraId="537662F6">
      <w:pPr>
        <w:spacing w:before="183" w:line="360" w:lineRule="auto"/>
        <w:ind w:left="1" w:firstLine="49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（2）根据省厅监</w:t>
      </w:r>
      <w:r>
        <w:rPr>
          <w:rFonts w:ascii="宋体" w:hAnsi="宋体" w:eastAsia="宋体" w:cs="宋体"/>
          <w:color w:val="auto"/>
          <w:spacing w:val="5"/>
          <w:sz w:val="22"/>
          <w:szCs w:val="22"/>
          <w:highlight w:val="none"/>
        </w:rPr>
        <w:t>理改革的经验，为更好地推动监理行业高质量发展，发挥其应有的支撑作</w:t>
      </w:r>
      <w:r>
        <w:rPr>
          <w:rFonts w:ascii="宋体" w:hAnsi="宋体" w:eastAsia="宋体" w:cs="宋体"/>
          <w:color w:val="auto"/>
          <w:spacing w:val="4"/>
          <w:sz w:val="22"/>
          <w:szCs w:val="22"/>
          <w:highlight w:val="none"/>
        </w:rPr>
        <w:t>用，有条件</w:t>
      </w:r>
      <w:r>
        <w:rPr>
          <w:rFonts w:ascii="宋体" w:hAnsi="宋体" w:eastAsia="宋体" w:cs="宋体"/>
          <w:color w:val="auto"/>
          <w:spacing w:val="-1"/>
          <w:sz w:val="22"/>
          <w:szCs w:val="22"/>
          <w:highlight w:val="none"/>
        </w:rPr>
        <w:t>的委托人可根据实际情况探索监理费用“实物计量法</w:t>
      </w:r>
      <w:r>
        <w:rPr>
          <w:rFonts w:ascii="宋体" w:hAnsi="宋体" w:eastAsia="宋体" w:cs="宋体"/>
          <w:color w:val="auto"/>
          <w:spacing w:val="-89"/>
          <w:sz w:val="22"/>
          <w:szCs w:val="22"/>
          <w:highlight w:val="none"/>
        </w:rPr>
        <w:t xml:space="preserve"> </w:t>
      </w:r>
      <w:r>
        <w:rPr>
          <w:rFonts w:ascii="宋体" w:hAnsi="宋体" w:eastAsia="宋体" w:cs="宋体"/>
          <w:color w:val="auto"/>
          <w:spacing w:val="-1"/>
          <w:sz w:val="22"/>
          <w:szCs w:val="22"/>
          <w:highlight w:val="none"/>
        </w:rPr>
        <w:t>”。"</w:t>
      </w:r>
    </w:p>
    <w:p w14:paraId="4081ABA4">
      <w:pPr>
        <w:spacing w:before="180" w:line="36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13.9.11</w:t>
      </w:r>
      <w:r>
        <w:rPr>
          <w:rFonts w:ascii="宋体" w:hAnsi="宋体" w:eastAsia="宋体" w:cs="宋体"/>
          <w:color w:val="auto"/>
          <w:spacing w:val="-50"/>
          <w:sz w:val="22"/>
          <w:szCs w:val="22"/>
          <w:highlight w:val="none"/>
        </w:rPr>
        <w:t xml:space="preserve"> </w:t>
      </w:r>
      <w:r>
        <w:rPr>
          <w:rFonts w:ascii="宋体" w:hAnsi="宋体" w:eastAsia="宋体" w:cs="宋体"/>
          <w:color w:val="auto"/>
          <w:spacing w:val="-3"/>
          <w:sz w:val="22"/>
          <w:szCs w:val="22"/>
          <w:highlight w:val="none"/>
        </w:rPr>
        <w:t>监理验收机制</w:t>
      </w:r>
    </w:p>
    <w:p w14:paraId="65FC8387">
      <w:pPr>
        <w:spacing w:before="184" w:line="360" w:lineRule="auto"/>
        <w:ind w:left="3" w:firstLine="494"/>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13.9.11.1</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监理机构应建立分级验收机制，总监应参与超过一定规模的危险性较大</w:t>
      </w:r>
      <w:r>
        <w:rPr>
          <w:rFonts w:ascii="宋体" w:hAnsi="宋体" w:eastAsia="宋体" w:cs="宋体"/>
          <w:color w:val="auto"/>
          <w:spacing w:val="5"/>
          <w:sz w:val="22"/>
          <w:szCs w:val="22"/>
          <w:highlight w:val="none"/>
        </w:rPr>
        <w:t>分部分项工程的关键工序验收；副总监应参与危险性较大分部分项工</w:t>
      </w:r>
      <w:r>
        <w:rPr>
          <w:rFonts w:ascii="宋体" w:hAnsi="宋体" w:eastAsia="宋体" w:cs="宋体"/>
          <w:color w:val="auto"/>
          <w:spacing w:val="4"/>
          <w:sz w:val="22"/>
          <w:szCs w:val="22"/>
          <w:highlight w:val="none"/>
        </w:rPr>
        <w:t>程的关键工序验</w:t>
      </w:r>
      <w:r>
        <w:rPr>
          <w:rFonts w:ascii="宋体" w:hAnsi="宋体" w:eastAsia="宋体" w:cs="宋体"/>
          <w:color w:val="auto"/>
          <w:spacing w:val="5"/>
          <w:sz w:val="22"/>
          <w:szCs w:val="22"/>
          <w:highlight w:val="none"/>
        </w:rPr>
        <w:t>收。监理机构应编制《关键工序验收责任清单》，明确规定参与工序</w:t>
      </w:r>
      <w:r>
        <w:rPr>
          <w:rFonts w:ascii="宋体" w:hAnsi="宋体" w:eastAsia="宋体" w:cs="宋体"/>
          <w:color w:val="auto"/>
          <w:spacing w:val="4"/>
          <w:sz w:val="22"/>
          <w:szCs w:val="22"/>
          <w:highlight w:val="none"/>
        </w:rPr>
        <w:t>验收的各层级监</w:t>
      </w:r>
      <w:r>
        <w:rPr>
          <w:rFonts w:ascii="宋体" w:hAnsi="宋体" w:eastAsia="宋体" w:cs="宋体"/>
          <w:color w:val="auto"/>
          <w:spacing w:val="1"/>
          <w:sz w:val="22"/>
          <w:szCs w:val="22"/>
          <w:highlight w:val="none"/>
        </w:rPr>
        <w:t>理人员及职责范围，涵盖项目工程重难点。总监/副总监参与的验收应形成专项记录，</w:t>
      </w:r>
      <w:r>
        <w:rPr>
          <w:rFonts w:ascii="宋体" w:hAnsi="宋体" w:eastAsia="宋体" w:cs="宋体"/>
          <w:color w:val="auto"/>
          <w:sz w:val="22"/>
          <w:szCs w:val="22"/>
          <w:highlight w:val="none"/>
        </w:rPr>
        <w:t>作为质量责任追溯依据。"</w:t>
      </w:r>
    </w:p>
    <w:p w14:paraId="0FC4872D">
      <w:pPr>
        <w:spacing w:before="183" w:line="360" w:lineRule="auto"/>
        <w:ind w:left="2" w:right="109"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13.9.11.2</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监理机构应实行施工方案审批、检查、验收的闭环管理，同时检查施工</w:t>
      </w:r>
      <w:r>
        <w:rPr>
          <w:rFonts w:ascii="宋体" w:hAnsi="宋体" w:eastAsia="宋体" w:cs="宋体"/>
          <w:color w:val="auto"/>
          <w:spacing w:val="5"/>
          <w:sz w:val="22"/>
          <w:szCs w:val="22"/>
          <w:highlight w:val="none"/>
        </w:rPr>
        <w:t>单位从施工方案编制至实施完成的闭环管理情况，形成施工方案双闭环管</w:t>
      </w:r>
      <w:r>
        <w:rPr>
          <w:rFonts w:ascii="宋体" w:hAnsi="宋体" w:eastAsia="宋体" w:cs="宋体"/>
          <w:color w:val="auto"/>
          <w:spacing w:val="4"/>
          <w:sz w:val="22"/>
          <w:szCs w:val="22"/>
          <w:highlight w:val="none"/>
        </w:rPr>
        <w:t>理。当施工</w:t>
      </w:r>
      <w:r>
        <w:rPr>
          <w:rFonts w:ascii="宋体" w:hAnsi="宋体" w:eastAsia="宋体" w:cs="宋体"/>
          <w:color w:val="auto"/>
          <w:spacing w:val="-1"/>
          <w:sz w:val="22"/>
          <w:szCs w:val="22"/>
          <w:highlight w:val="none"/>
        </w:rPr>
        <w:t>方案实施条件发生变化时，应监督施工单位按编审程序动态修编。</w:t>
      </w:r>
    </w:p>
    <w:p w14:paraId="65BFE6CB">
      <w:pPr>
        <w:spacing w:before="182" w:line="360" w:lineRule="auto"/>
        <w:ind w:left="49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13.9.11.3</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监理机构应组织开展首件工程制</w:t>
      </w:r>
    </w:p>
    <w:p w14:paraId="55A20C31">
      <w:pPr>
        <w:spacing w:before="181" w:line="360" w:lineRule="auto"/>
        <w:ind w:right="109" w:firstLine="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（1）对首件工程施工工艺控制，安全、质量、环（水）保等措施落实和质量指标</w:t>
      </w:r>
      <w:r>
        <w:rPr>
          <w:rFonts w:ascii="宋体" w:hAnsi="宋体" w:eastAsia="宋体" w:cs="宋体"/>
          <w:color w:val="auto"/>
          <w:spacing w:val="-1"/>
          <w:sz w:val="22"/>
          <w:szCs w:val="22"/>
          <w:highlight w:val="none"/>
        </w:rPr>
        <w:t>进行综合评价，查找不足，并督促施工单位进行改进。</w:t>
      </w:r>
    </w:p>
    <w:p w14:paraId="78AFD023">
      <w:pPr>
        <w:spacing w:before="184" w:line="360" w:lineRule="auto"/>
        <w:ind w:left="6" w:firstLine="48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（2）监理机构应依据建设单位管理办法及行业规范，编制首件工程</w:t>
      </w:r>
      <w:r>
        <w:rPr>
          <w:rFonts w:ascii="宋体" w:hAnsi="宋体" w:eastAsia="宋体" w:cs="宋体"/>
          <w:color w:val="auto"/>
          <w:spacing w:val="-3"/>
          <w:sz w:val="22"/>
          <w:szCs w:val="22"/>
          <w:highlight w:val="none"/>
        </w:rPr>
        <w:t>管理实施细则，</w:t>
      </w:r>
      <w:r>
        <w:rPr>
          <w:rFonts w:ascii="宋体" w:hAnsi="宋体" w:eastAsia="宋体" w:cs="宋体"/>
          <w:color w:val="auto"/>
          <w:spacing w:val="5"/>
          <w:sz w:val="22"/>
          <w:szCs w:val="22"/>
          <w:highlight w:val="none"/>
        </w:rPr>
        <w:t>明确工作程序、验收评价标准及岗位权责。实施细则须涵盖方案</w:t>
      </w:r>
      <w:r>
        <w:rPr>
          <w:rFonts w:ascii="宋体" w:hAnsi="宋体" w:eastAsia="宋体" w:cs="宋体"/>
          <w:color w:val="auto"/>
          <w:spacing w:val="4"/>
          <w:sz w:val="22"/>
          <w:szCs w:val="22"/>
          <w:highlight w:val="none"/>
        </w:rPr>
        <w:t>预审、过程监控、成</w:t>
      </w:r>
      <w:r>
        <w:rPr>
          <w:rFonts w:ascii="宋体" w:hAnsi="宋体" w:eastAsia="宋体" w:cs="宋体"/>
          <w:color w:val="auto"/>
          <w:spacing w:val="-1"/>
          <w:sz w:val="22"/>
          <w:szCs w:val="22"/>
          <w:highlight w:val="none"/>
        </w:rPr>
        <w:t>果评定、档案归集等全流程管理要求。</w:t>
      </w:r>
    </w:p>
    <w:p w14:paraId="69420B91">
      <w:pPr>
        <w:spacing w:before="182" w:line="360" w:lineRule="auto"/>
        <w:ind w:left="2" w:right="109" w:firstLine="49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（3）对于涉及桥梁、隧道、高边坡等重大风险源的首件工程，总监或副总监应全</w:t>
      </w:r>
      <w:r>
        <w:rPr>
          <w:rFonts w:ascii="宋体" w:hAnsi="宋体" w:eastAsia="宋体" w:cs="宋体"/>
          <w:color w:val="auto"/>
          <w:sz w:val="22"/>
          <w:szCs w:val="22"/>
          <w:highlight w:val="none"/>
        </w:rPr>
        <w:t>过程参与方案评审、过程监督及验收评估，并在验收文件签署确认意见。"</w:t>
      </w:r>
    </w:p>
    <w:p w14:paraId="0316358C">
      <w:pPr>
        <w:spacing w:before="187" w:line="360" w:lineRule="auto"/>
        <w:ind w:left="2" w:right="109"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13.9.11.4</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在施工过程中，监理机构应对施工单位主体责任落实情况、施工合同执</w:t>
      </w:r>
      <w:r>
        <w:rPr>
          <w:rFonts w:ascii="宋体" w:hAnsi="宋体" w:eastAsia="宋体" w:cs="宋体"/>
          <w:color w:val="auto"/>
          <w:spacing w:val="5"/>
          <w:sz w:val="22"/>
          <w:szCs w:val="22"/>
          <w:highlight w:val="none"/>
        </w:rPr>
        <w:t>行情况和质量安全等保证体系运行情况进行监督检查，将管监分离制、三</w:t>
      </w:r>
      <w:r>
        <w:rPr>
          <w:rFonts w:ascii="宋体" w:hAnsi="宋体" w:eastAsia="宋体" w:cs="宋体"/>
          <w:color w:val="auto"/>
          <w:spacing w:val="4"/>
          <w:sz w:val="22"/>
          <w:szCs w:val="22"/>
          <w:highlight w:val="none"/>
        </w:rPr>
        <w:t>检制是否按</w:t>
      </w:r>
      <w:r>
        <w:rPr>
          <w:rFonts w:ascii="宋体" w:hAnsi="宋体" w:eastAsia="宋体" w:cs="宋体"/>
          <w:color w:val="auto"/>
          <w:spacing w:val="-1"/>
          <w:sz w:val="22"/>
          <w:szCs w:val="22"/>
          <w:highlight w:val="none"/>
        </w:rPr>
        <w:t>要求执行纳入保证体系运行检查内容。</w:t>
      </w:r>
    </w:p>
    <w:p w14:paraId="550A0092">
      <w:pPr>
        <w:spacing w:before="182" w:line="360" w:lineRule="auto"/>
        <w:ind w:left="1" w:right="109"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13.9.11.5</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监理机构宜制定差异化管理办法和工序验收一次性通过率管理办法，当</w:t>
      </w:r>
      <w:r>
        <w:rPr>
          <w:rFonts w:ascii="宋体" w:hAnsi="宋体" w:eastAsia="宋体" w:cs="宋体"/>
          <w:color w:val="auto"/>
          <w:spacing w:val="5"/>
          <w:sz w:val="22"/>
          <w:szCs w:val="22"/>
          <w:highlight w:val="none"/>
        </w:rPr>
        <w:t>出现工序报检一次性通过率较低、实体检测指标较大波动及安全、质量突出</w:t>
      </w:r>
      <w:r>
        <w:rPr>
          <w:rFonts w:ascii="宋体" w:hAnsi="宋体" w:eastAsia="宋体" w:cs="宋体"/>
          <w:color w:val="auto"/>
          <w:spacing w:val="4"/>
          <w:sz w:val="22"/>
          <w:szCs w:val="22"/>
          <w:highlight w:val="none"/>
        </w:rPr>
        <w:t>问题时，</w:t>
      </w:r>
      <w:r>
        <w:rPr>
          <w:rFonts w:ascii="宋体" w:hAnsi="宋体" w:eastAsia="宋体" w:cs="宋体"/>
          <w:color w:val="auto"/>
          <w:spacing w:val="-1"/>
          <w:sz w:val="22"/>
          <w:szCs w:val="22"/>
          <w:highlight w:val="none"/>
        </w:rPr>
        <w:t>应及时开展差异化管理。</w:t>
      </w:r>
    </w:p>
    <w:p w14:paraId="26F26033">
      <w:pPr>
        <w:spacing w:before="184" w:line="360" w:lineRule="auto"/>
        <w:ind w:right="109" w:firstLine="49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13.9.11.6</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监理工程师应采取以巡视为主的方式进行施工现场监理，应制定监理巡</w:t>
      </w:r>
      <w:r>
        <w:rPr>
          <w:rFonts w:ascii="宋体" w:hAnsi="宋体" w:eastAsia="宋体" w:cs="宋体"/>
          <w:color w:val="auto"/>
          <w:spacing w:val="-3"/>
          <w:sz w:val="22"/>
          <w:szCs w:val="22"/>
          <w:highlight w:val="none"/>
        </w:rPr>
        <w:t>视专项细则，按计划定期或不定期巡视施工现场，对施工的主要工程每天不少于</w:t>
      </w:r>
      <w:r>
        <w:rPr>
          <w:rFonts w:ascii="宋体" w:hAnsi="宋体" w:eastAsia="宋体" w:cs="宋体"/>
          <w:color w:val="auto"/>
          <w:spacing w:val="-20"/>
          <w:sz w:val="22"/>
          <w:szCs w:val="22"/>
          <w:highlight w:val="none"/>
        </w:rPr>
        <w:t xml:space="preserve"> </w:t>
      </w:r>
      <w:r>
        <w:rPr>
          <w:rFonts w:ascii="宋体" w:hAnsi="宋体" w:eastAsia="宋体" w:cs="宋体"/>
          <w:color w:val="auto"/>
          <w:spacing w:val="-3"/>
          <w:sz w:val="22"/>
          <w:szCs w:val="22"/>
          <w:highlight w:val="none"/>
        </w:rPr>
        <w:t>1</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rPr>
        <w:t>次，</w:t>
      </w:r>
      <w:r>
        <w:rPr>
          <w:rFonts w:ascii="宋体" w:hAnsi="宋体" w:eastAsia="宋体" w:cs="宋体"/>
          <w:color w:val="auto"/>
          <w:spacing w:val="-1"/>
          <w:sz w:val="22"/>
          <w:szCs w:val="22"/>
          <w:highlight w:val="none"/>
        </w:rPr>
        <w:t>并填写巡视记录（格式见附录</w:t>
      </w:r>
      <w:r>
        <w:rPr>
          <w:rFonts w:ascii="宋体" w:hAnsi="宋体" w:eastAsia="宋体" w:cs="宋体"/>
          <w:color w:val="auto"/>
          <w:spacing w:val="-40"/>
          <w:sz w:val="22"/>
          <w:szCs w:val="22"/>
          <w:highlight w:val="none"/>
        </w:rPr>
        <w:t xml:space="preserve"> </w:t>
      </w:r>
      <w:r>
        <w:rPr>
          <w:rFonts w:ascii="宋体" w:hAnsi="宋体" w:eastAsia="宋体" w:cs="宋体"/>
          <w:color w:val="auto"/>
          <w:spacing w:val="-1"/>
          <w:sz w:val="22"/>
          <w:szCs w:val="22"/>
          <w:highlight w:val="none"/>
        </w:rPr>
        <w:t>B.1）。巡视应包括下列主要内容：</w:t>
      </w:r>
    </w:p>
    <w:p w14:paraId="0B31E139">
      <w:pPr>
        <w:spacing w:before="183" w:line="360" w:lineRule="auto"/>
        <w:ind w:left="4" w:right="109" w:firstLine="48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（1）施工现场管理人员特别是质量、安全管理人员是否到位，特种作业人员是否</w:t>
      </w:r>
      <w:r>
        <w:rPr>
          <w:rFonts w:ascii="宋体" w:hAnsi="宋体" w:eastAsia="宋体" w:cs="宋体"/>
          <w:color w:val="auto"/>
          <w:spacing w:val="-3"/>
          <w:sz w:val="22"/>
          <w:szCs w:val="22"/>
          <w:highlight w:val="none"/>
        </w:rPr>
        <w:t>持证上岗；</w:t>
      </w:r>
    </w:p>
    <w:p w14:paraId="04C20A15">
      <w:pPr>
        <w:spacing w:before="183" w:line="360" w:lineRule="auto"/>
        <w:ind w:left="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（2）使用的原材料或混合料、构配件和主要施工机械设备是否与批准的一致；</w:t>
      </w:r>
    </w:p>
    <w:p w14:paraId="4B5DB56B">
      <w:pPr>
        <w:spacing w:before="184" w:line="360" w:lineRule="auto"/>
        <w:ind w:left="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（3）是否按技术标准、工程设计文件、批准的施工组织设计和方案施工；</w:t>
      </w:r>
    </w:p>
    <w:p w14:paraId="10AAC47D">
      <w:pPr>
        <w:spacing w:before="180" w:line="360" w:lineRule="auto"/>
        <w:ind w:right="109"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（4）质量、安全、环（水）保和施工标准化等措施是否落实，抽查施工自检和工</w:t>
      </w:r>
      <w:r>
        <w:rPr>
          <w:rFonts w:ascii="宋体" w:hAnsi="宋体" w:eastAsia="宋体" w:cs="宋体"/>
          <w:color w:val="auto"/>
          <w:spacing w:val="-1"/>
          <w:sz w:val="22"/>
          <w:szCs w:val="22"/>
          <w:highlight w:val="none"/>
        </w:rPr>
        <w:t>序交接是否符合规定。</w:t>
      </w:r>
    </w:p>
    <w:p w14:paraId="41E978D8">
      <w:pPr>
        <w:spacing w:before="184" w:line="360" w:lineRule="auto"/>
        <w:ind w:right="107" w:firstLine="498"/>
        <w:jc w:val="both"/>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13.9.11.7 监理机构应安排监理人员对附录</w:t>
      </w:r>
      <w:r>
        <w:rPr>
          <w:rFonts w:ascii="宋体" w:hAnsi="宋体" w:eastAsia="宋体" w:cs="宋体"/>
          <w:color w:val="auto"/>
          <w:spacing w:val="-58"/>
          <w:sz w:val="22"/>
          <w:szCs w:val="22"/>
          <w:highlight w:val="none"/>
        </w:rPr>
        <w:t xml:space="preserve"> </w:t>
      </w:r>
      <w:r>
        <w:rPr>
          <w:rFonts w:ascii="宋体" w:hAnsi="宋体" w:eastAsia="宋体" w:cs="宋体"/>
          <w:color w:val="auto"/>
          <w:spacing w:val="-2"/>
          <w:sz w:val="22"/>
          <w:szCs w:val="22"/>
          <w:highlight w:val="none"/>
        </w:rPr>
        <w:t>A</w:t>
      </w:r>
      <w:r>
        <w:rPr>
          <w:rFonts w:ascii="宋体" w:hAnsi="宋体" w:eastAsia="宋体" w:cs="宋体"/>
          <w:color w:val="auto"/>
          <w:spacing w:val="-50"/>
          <w:sz w:val="22"/>
          <w:szCs w:val="22"/>
          <w:highlight w:val="none"/>
        </w:rPr>
        <w:t xml:space="preserve"> </w:t>
      </w:r>
      <w:r>
        <w:rPr>
          <w:rFonts w:ascii="宋体" w:hAnsi="宋体" w:eastAsia="宋体" w:cs="宋体"/>
          <w:color w:val="auto"/>
          <w:spacing w:val="-2"/>
          <w:sz w:val="22"/>
          <w:szCs w:val="22"/>
          <w:highlight w:val="none"/>
        </w:rPr>
        <w:t>所列旁站项目的施工过程进</w:t>
      </w:r>
      <w:r>
        <w:rPr>
          <w:rFonts w:ascii="宋体" w:hAnsi="宋体" w:eastAsia="宋体" w:cs="宋体"/>
          <w:color w:val="auto"/>
          <w:spacing w:val="-3"/>
          <w:sz w:val="22"/>
          <w:szCs w:val="22"/>
          <w:highlight w:val="none"/>
        </w:rPr>
        <w:t>行旁站，</w:t>
      </w:r>
      <w:r>
        <w:rPr>
          <w:rFonts w:ascii="宋体" w:hAnsi="宋体" w:eastAsia="宋体" w:cs="宋体"/>
          <w:color w:val="auto"/>
          <w:sz w:val="22"/>
          <w:szCs w:val="22"/>
          <w:highlight w:val="none"/>
        </w:rPr>
        <w:t>对主要工程的关键项目进行检测见证，并填写旁站记录（格</w:t>
      </w:r>
      <w:r>
        <w:rPr>
          <w:rFonts w:ascii="宋体" w:hAnsi="宋体" w:eastAsia="宋体" w:cs="宋体"/>
          <w:color w:val="auto"/>
          <w:spacing w:val="-1"/>
          <w:sz w:val="22"/>
          <w:szCs w:val="22"/>
          <w:highlight w:val="none"/>
        </w:rPr>
        <w:t>式见附录</w:t>
      </w:r>
      <w:r>
        <w:rPr>
          <w:rFonts w:ascii="宋体" w:hAnsi="宋体" w:eastAsia="宋体" w:cs="宋体"/>
          <w:color w:val="auto"/>
          <w:spacing w:val="-53"/>
          <w:sz w:val="22"/>
          <w:szCs w:val="22"/>
          <w:highlight w:val="none"/>
        </w:rPr>
        <w:t xml:space="preserve"> </w:t>
      </w:r>
      <w:r>
        <w:rPr>
          <w:rFonts w:ascii="宋体" w:hAnsi="宋体" w:eastAsia="宋体" w:cs="宋体"/>
          <w:color w:val="auto"/>
          <w:spacing w:val="-1"/>
          <w:sz w:val="22"/>
          <w:szCs w:val="22"/>
          <w:highlight w:val="none"/>
        </w:rPr>
        <w:t>B.2</w:t>
      </w:r>
      <w:r>
        <w:rPr>
          <w:rFonts w:ascii="宋体" w:hAnsi="宋体" w:eastAsia="宋体" w:cs="宋体"/>
          <w:color w:val="auto"/>
          <w:spacing w:val="4"/>
          <w:sz w:val="22"/>
          <w:szCs w:val="22"/>
          <w:highlight w:val="none"/>
        </w:rPr>
        <w:t>），</w:t>
      </w:r>
      <w:r>
        <w:rPr>
          <w:rFonts w:ascii="宋体" w:hAnsi="宋体" w:eastAsia="宋体" w:cs="宋体"/>
          <w:color w:val="auto"/>
          <w:spacing w:val="-1"/>
          <w:sz w:val="22"/>
          <w:szCs w:val="22"/>
          <w:highlight w:val="none"/>
        </w:rPr>
        <w:t>签认检测</w:t>
      </w:r>
      <w:r>
        <w:rPr>
          <w:rFonts w:ascii="宋体" w:hAnsi="宋体" w:eastAsia="宋体" w:cs="宋体"/>
          <w:color w:val="auto"/>
          <w:spacing w:val="-2"/>
          <w:sz w:val="22"/>
          <w:szCs w:val="22"/>
          <w:highlight w:val="none"/>
        </w:rPr>
        <w:t>见证结果。</w:t>
      </w:r>
    </w:p>
    <w:p w14:paraId="4B4B3694">
      <w:pPr>
        <w:spacing w:before="47" w:line="360" w:lineRule="auto"/>
        <w:ind w:left="2" w:right="188"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13.9.11.8</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监理机构应建立分级验收机制，总监应参与超过一定规模的危险性较大</w:t>
      </w:r>
      <w:r>
        <w:rPr>
          <w:rFonts w:ascii="宋体" w:hAnsi="宋体" w:eastAsia="宋体" w:cs="宋体"/>
          <w:color w:val="auto"/>
          <w:spacing w:val="5"/>
          <w:sz w:val="22"/>
          <w:szCs w:val="22"/>
          <w:highlight w:val="none"/>
        </w:rPr>
        <w:t>分部分项工程的关键工序验收；副总监应参与危险性较大分部分项工程的</w:t>
      </w:r>
      <w:r>
        <w:rPr>
          <w:rFonts w:ascii="宋体" w:hAnsi="宋体" w:eastAsia="宋体" w:cs="宋体"/>
          <w:color w:val="auto"/>
          <w:spacing w:val="4"/>
          <w:sz w:val="22"/>
          <w:szCs w:val="22"/>
          <w:highlight w:val="none"/>
        </w:rPr>
        <w:t>关键工序验</w:t>
      </w:r>
      <w:r>
        <w:rPr>
          <w:rFonts w:ascii="宋体" w:hAnsi="宋体" w:eastAsia="宋体" w:cs="宋体"/>
          <w:color w:val="auto"/>
          <w:spacing w:val="5"/>
          <w:sz w:val="22"/>
          <w:szCs w:val="22"/>
          <w:highlight w:val="none"/>
        </w:rPr>
        <w:t>收。监理机构应编制《关键工序验收责任清单》，明确规定参与工序验收</w:t>
      </w:r>
      <w:r>
        <w:rPr>
          <w:rFonts w:ascii="宋体" w:hAnsi="宋体" w:eastAsia="宋体" w:cs="宋体"/>
          <w:color w:val="auto"/>
          <w:spacing w:val="4"/>
          <w:sz w:val="22"/>
          <w:szCs w:val="22"/>
          <w:highlight w:val="none"/>
        </w:rPr>
        <w:t>的各层级监</w:t>
      </w:r>
      <w:r>
        <w:rPr>
          <w:rFonts w:ascii="宋体" w:hAnsi="宋体" w:eastAsia="宋体" w:cs="宋体"/>
          <w:color w:val="auto"/>
          <w:spacing w:val="2"/>
          <w:sz w:val="22"/>
          <w:szCs w:val="22"/>
          <w:highlight w:val="none"/>
        </w:rPr>
        <w:t>理人员及职责范围，涵盖项目工程重难点。总监/</w:t>
      </w:r>
      <w:r>
        <w:rPr>
          <w:rFonts w:ascii="宋体" w:hAnsi="宋体" w:eastAsia="宋体" w:cs="宋体"/>
          <w:color w:val="auto"/>
          <w:spacing w:val="1"/>
          <w:sz w:val="22"/>
          <w:szCs w:val="22"/>
          <w:highlight w:val="none"/>
        </w:rPr>
        <w:t>副总监参与的验收应形成专项记录，</w:t>
      </w:r>
      <w:r>
        <w:rPr>
          <w:rFonts w:ascii="宋体" w:hAnsi="宋体" w:eastAsia="宋体" w:cs="宋体"/>
          <w:color w:val="auto"/>
          <w:spacing w:val="-1"/>
          <w:sz w:val="22"/>
          <w:szCs w:val="22"/>
          <w:highlight w:val="none"/>
        </w:rPr>
        <w:t>作为质量责任追溯依据。</w:t>
      </w:r>
    </w:p>
    <w:p w14:paraId="758CB47B">
      <w:pPr>
        <w:spacing w:before="179" w:line="360" w:lineRule="auto"/>
        <w:ind w:right="188" w:firstLine="498"/>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13.9.11.9 监理机构应督促施工单位严格执行《广东省公路工程施工标准化指</w:t>
      </w:r>
      <w:r>
        <w:rPr>
          <w:rFonts w:ascii="宋体" w:hAnsi="宋体" w:eastAsia="宋体" w:cs="宋体"/>
          <w:color w:val="auto"/>
          <w:spacing w:val="5"/>
          <w:sz w:val="22"/>
          <w:szCs w:val="22"/>
          <w:highlight w:val="none"/>
        </w:rPr>
        <w:t>南》、《广东省高速公路公路施工安全标准化指南》和施工过程中建设单位下</w:t>
      </w:r>
      <w:r>
        <w:rPr>
          <w:rFonts w:ascii="宋体" w:hAnsi="宋体" w:eastAsia="宋体" w:cs="宋体"/>
          <w:color w:val="auto"/>
          <w:spacing w:val="4"/>
          <w:sz w:val="22"/>
          <w:szCs w:val="22"/>
          <w:highlight w:val="none"/>
        </w:rPr>
        <w:t>发的工</w:t>
      </w:r>
      <w:r>
        <w:rPr>
          <w:rFonts w:ascii="宋体" w:hAnsi="宋体" w:eastAsia="宋体" w:cs="宋体"/>
          <w:color w:val="auto"/>
          <w:spacing w:val="5"/>
          <w:sz w:val="22"/>
          <w:szCs w:val="22"/>
          <w:highlight w:val="none"/>
        </w:rPr>
        <w:t>程管理手册（或创新工艺工法要求）、标准化和标杆管理、技术规范的各项规</w:t>
      </w:r>
      <w:r>
        <w:rPr>
          <w:rFonts w:ascii="宋体" w:hAnsi="宋体" w:eastAsia="宋体" w:cs="宋体"/>
          <w:color w:val="auto"/>
          <w:spacing w:val="4"/>
          <w:sz w:val="22"/>
          <w:szCs w:val="22"/>
          <w:highlight w:val="none"/>
        </w:rPr>
        <w:t>定，以</w:t>
      </w:r>
      <w:r>
        <w:rPr>
          <w:rFonts w:ascii="宋体" w:hAnsi="宋体" w:eastAsia="宋体" w:cs="宋体"/>
          <w:color w:val="auto"/>
          <w:sz w:val="22"/>
          <w:szCs w:val="22"/>
          <w:highlight w:val="none"/>
        </w:rPr>
        <w:t>及在建设过程中建设单位提出的工艺工法要求，以保证达到</w:t>
      </w:r>
      <w:r>
        <w:rPr>
          <w:rFonts w:ascii="宋体" w:hAnsi="宋体" w:eastAsia="宋体" w:cs="宋体"/>
          <w:color w:val="auto"/>
          <w:spacing w:val="-1"/>
          <w:sz w:val="22"/>
          <w:szCs w:val="22"/>
          <w:highlight w:val="none"/>
        </w:rPr>
        <w:t>合同规定的质量标准。</w:t>
      </w:r>
    </w:p>
    <w:p w14:paraId="0692CE81">
      <w:pPr>
        <w:spacing w:before="180" w:line="360" w:lineRule="auto"/>
        <w:ind w:firstLine="499"/>
        <w:jc w:val="both"/>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13.9.12</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监理人应协助发包人开展项目的成本调研及造价管理工作。包含现场调研、</w:t>
      </w:r>
      <w:r>
        <w:rPr>
          <w:rFonts w:ascii="宋体" w:hAnsi="宋体" w:eastAsia="宋体" w:cs="宋体"/>
          <w:color w:val="auto"/>
          <w:spacing w:val="5"/>
          <w:sz w:val="22"/>
          <w:szCs w:val="22"/>
          <w:highlight w:val="none"/>
        </w:rPr>
        <w:t>现场数据、施工日志、监理日志、收集，整理、按发包人要求整理上报，审核承</w:t>
      </w:r>
      <w:r>
        <w:rPr>
          <w:rFonts w:ascii="宋体" w:hAnsi="宋体" w:eastAsia="宋体" w:cs="宋体"/>
          <w:color w:val="auto"/>
          <w:spacing w:val="4"/>
          <w:sz w:val="22"/>
          <w:szCs w:val="22"/>
          <w:highlight w:val="none"/>
        </w:rPr>
        <w:t>包人</w:t>
      </w:r>
      <w:r>
        <w:rPr>
          <w:rFonts w:ascii="宋体" w:hAnsi="宋体" w:eastAsia="宋体" w:cs="宋体"/>
          <w:color w:val="auto"/>
          <w:spacing w:val="5"/>
          <w:sz w:val="22"/>
          <w:szCs w:val="22"/>
          <w:highlight w:val="none"/>
        </w:rPr>
        <w:t>报送的各种资料，按发包人要求协助发包人开展造价管理工作，经监理人审核的</w:t>
      </w:r>
      <w:r>
        <w:rPr>
          <w:rFonts w:ascii="宋体" w:hAnsi="宋体" w:eastAsia="宋体" w:cs="宋体"/>
          <w:color w:val="auto"/>
          <w:spacing w:val="4"/>
          <w:sz w:val="22"/>
          <w:szCs w:val="22"/>
          <w:highlight w:val="none"/>
        </w:rPr>
        <w:t>工程</w:t>
      </w:r>
      <w:r>
        <w:rPr>
          <w:rFonts w:ascii="宋体" w:hAnsi="宋体" w:eastAsia="宋体" w:cs="宋体"/>
          <w:color w:val="auto"/>
          <w:sz w:val="22"/>
          <w:szCs w:val="22"/>
          <w:highlight w:val="none"/>
        </w:rPr>
        <w:t>造价文件质量以《广东省公路工程造价标准化管理指南》（粤交基</w:t>
      </w:r>
      <w:r>
        <w:rPr>
          <w:rFonts w:ascii="宋体" w:hAnsi="宋体" w:eastAsia="宋体" w:cs="宋体"/>
          <w:color w:val="auto"/>
          <w:spacing w:val="-1"/>
          <w:sz w:val="22"/>
          <w:szCs w:val="22"/>
          <w:highlight w:val="none"/>
        </w:rPr>
        <w:t>〔2022〕483</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号）质</w:t>
      </w:r>
      <w:r>
        <w:rPr>
          <w:rFonts w:ascii="宋体" w:hAnsi="宋体" w:eastAsia="宋体" w:cs="宋体"/>
          <w:color w:val="auto"/>
          <w:sz w:val="22"/>
          <w:szCs w:val="22"/>
          <w:highlight w:val="none"/>
        </w:rPr>
        <w:t>量较好等级以上，造价文件质量挂钩优监优酬计</w:t>
      </w:r>
      <w:r>
        <w:rPr>
          <w:rFonts w:ascii="宋体" w:hAnsi="宋体" w:eastAsia="宋体" w:cs="宋体"/>
          <w:color w:val="auto"/>
          <w:spacing w:val="-1"/>
          <w:sz w:val="22"/>
          <w:szCs w:val="22"/>
          <w:highlight w:val="none"/>
        </w:rPr>
        <w:t>入监理服务费用中。</w:t>
      </w:r>
    </w:p>
    <w:p w14:paraId="50C689F1">
      <w:pPr>
        <w:spacing w:line="360" w:lineRule="auto"/>
        <w:rPr>
          <w:rFonts w:ascii="宋体" w:hAnsi="宋体" w:eastAsia="宋体" w:cs="宋体"/>
          <w:color w:val="auto"/>
          <w:sz w:val="22"/>
          <w:szCs w:val="22"/>
          <w:highlight w:val="none"/>
        </w:rPr>
        <w:sectPr>
          <w:footerReference r:id="rId33" w:type="default"/>
          <w:pgSz w:w="11906" w:h="16839"/>
          <w:pgMar w:top="1405" w:right="1229" w:bottom="1297" w:left="1423" w:header="0" w:footer="1065" w:gutter="0"/>
          <w:pgNumType w:fmt="decimal"/>
          <w:cols w:space="720" w:num="1"/>
        </w:sectPr>
      </w:pPr>
    </w:p>
    <w:p w14:paraId="7DE16D1D">
      <w:pPr>
        <w:spacing w:before="63" w:line="225" w:lineRule="auto"/>
        <w:ind w:left="2931"/>
        <w:outlineLvl w:val="0"/>
        <w:rPr>
          <w:rFonts w:ascii="宋体" w:hAnsi="宋体" w:eastAsia="宋体" w:cs="宋体"/>
          <w:b/>
          <w:bCs/>
          <w:color w:val="auto"/>
          <w:spacing w:val="6"/>
          <w:sz w:val="31"/>
          <w:szCs w:val="31"/>
          <w:highlight w:val="none"/>
        </w:rPr>
      </w:pPr>
      <w:bookmarkStart w:id="704" w:name="bookmark15"/>
      <w:bookmarkEnd w:id="704"/>
      <w:bookmarkStart w:id="705" w:name="_Toc20131"/>
    </w:p>
    <w:p w14:paraId="56FA8BC5">
      <w:pPr>
        <w:spacing w:before="63" w:line="225" w:lineRule="auto"/>
        <w:ind w:left="2931"/>
        <w:outlineLvl w:val="0"/>
        <w:rPr>
          <w:rFonts w:ascii="宋体" w:hAnsi="宋体" w:eastAsia="宋体" w:cs="宋体"/>
          <w:b/>
          <w:bCs/>
          <w:color w:val="auto"/>
          <w:spacing w:val="6"/>
          <w:sz w:val="31"/>
          <w:szCs w:val="31"/>
          <w:highlight w:val="none"/>
        </w:rPr>
      </w:pPr>
    </w:p>
    <w:p w14:paraId="124DFF7C">
      <w:pPr>
        <w:spacing w:before="63" w:line="225" w:lineRule="auto"/>
        <w:ind w:left="2931"/>
        <w:outlineLvl w:val="0"/>
        <w:rPr>
          <w:rFonts w:ascii="宋体" w:hAnsi="宋体" w:eastAsia="宋体" w:cs="宋体"/>
          <w:b/>
          <w:bCs/>
          <w:color w:val="auto"/>
          <w:spacing w:val="6"/>
          <w:sz w:val="31"/>
          <w:szCs w:val="31"/>
          <w:highlight w:val="none"/>
        </w:rPr>
      </w:pPr>
    </w:p>
    <w:p w14:paraId="3FA72322">
      <w:pPr>
        <w:spacing w:before="63" w:line="225" w:lineRule="auto"/>
        <w:ind w:left="2931"/>
        <w:outlineLvl w:val="0"/>
        <w:rPr>
          <w:rFonts w:ascii="宋体" w:hAnsi="宋体" w:eastAsia="宋体" w:cs="宋体"/>
          <w:b/>
          <w:bCs/>
          <w:color w:val="auto"/>
          <w:spacing w:val="6"/>
          <w:sz w:val="31"/>
          <w:szCs w:val="31"/>
          <w:highlight w:val="none"/>
        </w:rPr>
      </w:pPr>
    </w:p>
    <w:p w14:paraId="2262B0C1">
      <w:pPr>
        <w:spacing w:before="63" w:line="225" w:lineRule="auto"/>
        <w:ind w:left="2931"/>
        <w:outlineLvl w:val="0"/>
        <w:rPr>
          <w:rFonts w:ascii="宋体" w:hAnsi="宋体" w:eastAsia="宋体" w:cs="宋体"/>
          <w:b/>
          <w:bCs/>
          <w:color w:val="auto"/>
          <w:spacing w:val="6"/>
          <w:sz w:val="31"/>
          <w:szCs w:val="31"/>
          <w:highlight w:val="none"/>
        </w:rPr>
      </w:pPr>
    </w:p>
    <w:p w14:paraId="3ECC7327">
      <w:pPr>
        <w:spacing w:before="63" w:line="225" w:lineRule="auto"/>
        <w:ind w:left="2931"/>
        <w:outlineLvl w:val="0"/>
        <w:rPr>
          <w:rFonts w:ascii="宋体" w:hAnsi="宋体" w:eastAsia="宋体" w:cs="宋体"/>
          <w:b/>
          <w:bCs/>
          <w:color w:val="auto"/>
          <w:spacing w:val="6"/>
          <w:sz w:val="31"/>
          <w:szCs w:val="31"/>
          <w:highlight w:val="none"/>
        </w:rPr>
      </w:pPr>
    </w:p>
    <w:p w14:paraId="29B27A47">
      <w:pPr>
        <w:spacing w:before="63" w:line="225" w:lineRule="auto"/>
        <w:ind w:left="2931"/>
        <w:outlineLvl w:val="0"/>
        <w:rPr>
          <w:rFonts w:ascii="宋体" w:hAnsi="宋体" w:eastAsia="宋体" w:cs="宋体"/>
          <w:b/>
          <w:bCs/>
          <w:color w:val="auto"/>
          <w:spacing w:val="6"/>
          <w:sz w:val="31"/>
          <w:szCs w:val="31"/>
          <w:highlight w:val="none"/>
        </w:rPr>
      </w:pPr>
    </w:p>
    <w:p w14:paraId="5819AAA1">
      <w:pPr>
        <w:spacing w:before="63" w:line="225" w:lineRule="auto"/>
        <w:ind w:left="2931"/>
        <w:outlineLvl w:val="0"/>
        <w:rPr>
          <w:rFonts w:ascii="宋体" w:hAnsi="宋体" w:eastAsia="宋体" w:cs="宋体"/>
          <w:b/>
          <w:bCs/>
          <w:color w:val="auto"/>
          <w:spacing w:val="6"/>
          <w:sz w:val="31"/>
          <w:szCs w:val="31"/>
          <w:highlight w:val="none"/>
        </w:rPr>
      </w:pPr>
    </w:p>
    <w:p w14:paraId="702D1EB0">
      <w:pPr>
        <w:spacing w:before="63" w:line="225" w:lineRule="auto"/>
        <w:ind w:left="2931"/>
        <w:outlineLvl w:val="0"/>
        <w:rPr>
          <w:rFonts w:ascii="宋体" w:hAnsi="宋体" w:eastAsia="宋体" w:cs="宋体"/>
          <w:b/>
          <w:bCs/>
          <w:color w:val="auto"/>
          <w:spacing w:val="6"/>
          <w:sz w:val="31"/>
          <w:szCs w:val="31"/>
          <w:highlight w:val="none"/>
        </w:rPr>
      </w:pPr>
    </w:p>
    <w:p w14:paraId="4DF99866">
      <w:pPr>
        <w:spacing w:before="63" w:line="225" w:lineRule="auto"/>
        <w:ind w:left="2931"/>
        <w:outlineLvl w:val="0"/>
        <w:rPr>
          <w:rFonts w:ascii="宋体" w:hAnsi="宋体" w:eastAsia="宋体" w:cs="宋体"/>
          <w:b/>
          <w:bCs/>
          <w:color w:val="auto"/>
          <w:spacing w:val="6"/>
          <w:sz w:val="31"/>
          <w:szCs w:val="31"/>
          <w:highlight w:val="none"/>
        </w:rPr>
      </w:pPr>
    </w:p>
    <w:p w14:paraId="1E3AE18F">
      <w:pPr>
        <w:spacing w:before="63" w:line="225" w:lineRule="auto"/>
        <w:ind w:left="2931"/>
        <w:outlineLvl w:val="0"/>
        <w:rPr>
          <w:rFonts w:ascii="宋体" w:hAnsi="宋体" w:eastAsia="宋体" w:cs="宋体"/>
          <w:b/>
          <w:bCs/>
          <w:color w:val="auto"/>
          <w:spacing w:val="6"/>
          <w:sz w:val="31"/>
          <w:szCs w:val="31"/>
          <w:highlight w:val="none"/>
        </w:rPr>
      </w:pPr>
    </w:p>
    <w:p w14:paraId="47959E73">
      <w:pPr>
        <w:spacing w:before="63" w:line="225" w:lineRule="auto"/>
        <w:ind w:left="2931"/>
        <w:outlineLvl w:val="0"/>
        <w:rPr>
          <w:rFonts w:ascii="宋体" w:hAnsi="宋体" w:eastAsia="宋体" w:cs="宋体"/>
          <w:b/>
          <w:bCs/>
          <w:color w:val="auto"/>
          <w:spacing w:val="6"/>
          <w:sz w:val="31"/>
          <w:szCs w:val="31"/>
          <w:highlight w:val="none"/>
        </w:rPr>
      </w:pPr>
    </w:p>
    <w:p w14:paraId="113EAADF">
      <w:pPr>
        <w:spacing w:before="63" w:line="225" w:lineRule="auto"/>
        <w:ind w:left="2931"/>
        <w:outlineLvl w:val="0"/>
        <w:rPr>
          <w:rFonts w:ascii="宋体" w:hAnsi="宋体" w:eastAsia="宋体" w:cs="宋体"/>
          <w:b/>
          <w:bCs/>
          <w:color w:val="auto"/>
          <w:spacing w:val="6"/>
          <w:sz w:val="31"/>
          <w:szCs w:val="31"/>
          <w:highlight w:val="none"/>
        </w:rPr>
      </w:pPr>
      <w:bookmarkStart w:id="706" w:name="_Toc18490"/>
      <w:r>
        <w:rPr>
          <w:rFonts w:ascii="宋体" w:hAnsi="宋体" w:eastAsia="宋体" w:cs="宋体"/>
          <w:b/>
          <w:bCs/>
          <w:color w:val="auto"/>
          <w:spacing w:val="6"/>
          <w:sz w:val="31"/>
          <w:szCs w:val="31"/>
          <w:highlight w:val="none"/>
        </w:rPr>
        <w:t>第三节  合同附件格式</w:t>
      </w:r>
      <w:bookmarkEnd w:id="705"/>
      <w:bookmarkEnd w:id="706"/>
    </w:p>
    <w:p w14:paraId="04CD1ED7">
      <w:pPr>
        <w:spacing w:line="295" w:lineRule="auto"/>
        <w:rPr>
          <w:rFonts w:ascii="Arial"/>
          <w:color w:val="auto"/>
          <w:sz w:val="21"/>
          <w:highlight w:val="none"/>
        </w:rPr>
      </w:pPr>
    </w:p>
    <w:p w14:paraId="00897C04">
      <w:pPr>
        <w:pageBreakBefore/>
        <w:jc w:val="both"/>
        <w:outlineLvl w:val="3"/>
        <w:rPr>
          <w:rFonts w:hint="eastAsia" w:ascii="Times New Roman" w:hAnsi="Times New Roman" w:eastAsia="宋体" w:cs="宋体"/>
          <w:b/>
          <w:bCs/>
          <w:color w:val="auto"/>
          <w:kern w:val="21"/>
          <w:sz w:val="28"/>
          <w:szCs w:val="28"/>
          <w:highlight w:val="none"/>
          <w:lang w:eastAsia="zh-CN"/>
        </w:rPr>
      </w:pPr>
      <w:bookmarkStart w:id="707" w:name="_Toc503518033"/>
      <w:r>
        <w:rPr>
          <w:rFonts w:hint="eastAsia" w:ascii="Times New Roman" w:hAnsi="Times New Roman" w:eastAsia="宋体" w:cs="宋体"/>
          <w:color w:val="auto"/>
          <w:kern w:val="21"/>
          <w:highlight w:val="none"/>
          <w:lang w:eastAsia="zh-CN"/>
        </w:rPr>
        <w:t xml:space="preserve"> </w:t>
      </w:r>
      <w:r>
        <w:rPr>
          <w:rFonts w:hint="eastAsia" w:ascii="Times New Roman" w:hAnsi="Times New Roman" w:eastAsia="宋体" w:cs="宋体"/>
          <w:b/>
          <w:bCs/>
          <w:color w:val="auto"/>
          <w:kern w:val="21"/>
          <w:sz w:val="28"/>
          <w:szCs w:val="28"/>
          <w:highlight w:val="none"/>
          <w:lang w:eastAsia="zh-CN"/>
        </w:rPr>
        <w:t>附件一：合同协议书</w:t>
      </w:r>
    </w:p>
    <w:bookmarkEnd w:id="707"/>
    <w:p w14:paraId="2374FC2A">
      <w:pPr>
        <w:spacing w:before="120" w:beforeLines="50"/>
        <w:jc w:val="center"/>
        <w:rPr>
          <w:rFonts w:hint="eastAsia" w:ascii="Times New Roman" w:hAnsi="Times New Roman" w:eastAsia="宋体" w:cs="宋体"/>
          <w:b/>
          <w:bCs/>
          <w:color w:val="auto"/>
          <w:kern w:val="21"/>
          <w:sz w:val="28"/>
          <w:szCs w:val="28"/>
          <w:highlight w:val="none"/>
          <w:lang w:eastAsia="zh-CN"/>
        </w:rPr>
      </w:pPr>
      <w:r>
        <w:rPr>
          <w:rFonts w:hint="eastAsia" w:ascii="Times New Roman" w:hAnsi="Times New Roman" w:eastAsia="宋体" w:cs="宋体"/>
          <w:b/>
          <w:bCs/>
          <w:color w:val="auto"/>
          <w:kern w:val="21"/>
          <w:sz w:val="28"/>
          <w:szCs w:val="28"/>
          <w:highlight w:val="none"/>
          <w:lang w:eastAsia="zh-CN"/>
        </w:rPr>
        <w:t>合 同 协 议 书</w:t>
      </w:r>
    </w:p>
    <w:p w14:paraId="2FF6007F">
      <w:pPr>
        <w:spacing w:line="500" w:lineRule="exact"/>
        <w:ind w:firstLine="420" w:firstLineChars="200"/>
        <w:jc w:val="both"/>
        <w:rPr>
          <w:rFonts w:hint="eastAsia" w:ascii="Times New Roman" w:hAnsi="Times New Roman" w:eastAsia="宋体" w:cs="宋体"/>
          <w:color w:val="auto"/>
          <w:kern w:val="21"/>
          <w:highlight w:val="none"/>
          <w:lang w:eastAsia="zh-CN"/>
        </w:rPr>
      </w:pPr>
    </w:p>
    <w:p w14:paraId="1953D347">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（委托人名称，以下简称“委托人”）为实施</w:t>
      </w:r>
      <w:r>
        <w:rPr>
          <w:rFonts w:hint="eastAsia" w:ascii="Times New Roman" w:hAnsi="Times New Roman" w:eastAsia="宋体" w:cs="宋体"/>
          <w:color w:val="auto"/>
          <w:kern w:val="21"/>
          <w:highlight w:val="none"/>
          <w:u w:val="single"/>
          <w:lang w:eastAsia="zh-CN"/>
        </w:rPr>
        <w:t>　　（项目名称）　</w:t>
      </w:r>
      <w:r>
        <w:rPr>
          <w:rFonts w:hint="eastAsia" w:ascii="Times New Roman" w:hAnsi="Times New Roman" w:eastAsia="宋体" w:cs="宋体"/>
          <w:color w:val="auto"/>
          <w:kern w:val="21"/>
          <w:highlight w:val="none"/>
          <w:lang w:eastAsia="zh-CN"/>
        </w:rPr>
        <w:t>，已接受</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（监理人名称，以下简称“监理人”）对该项目施工监理的投标。委托人和监理人共同达成如下协议。</w:t>
      </w:r>
    </w:p>
    <w:p w14:paraId="013CADEB">
      <w:pPr>
        <w:numPr>
          <w:ilvl w:val="0"/>
          <w:numId w:val="2"/>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第</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标段由K</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至K</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，长约</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km，公路等级为</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，设计速度为</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p>
    <w:p w14:paraId="1F00DA68">
      <w:pPr>
        <w:spacing w:line="500" w:lineRule="exact"/>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路面，有</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立交</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处；特大桥</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座，计长</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m；大中桥</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座，计长</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m；隧道</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座，计长</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m以及其他构造物工程等。</w:t>
      </w:r>
    </w:p>
    <w:p w14:paraId="62380D49">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 下列文件应视为构成合同文件的组成部分：</w:t>
      </w:r>
    </w:p>
    <w:p w14:paraId="4437BC86">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（1）本合同协议书及各种合同附件；</w:t>
      </w:r>
    </w:p>
    <w:p w14:paraId="1DA6FFDD">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（2）中标通知书；</w:t>
      </w:r>
    </w:p>
    <w:p w14:paraId="6F6D1D2D">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（3）投标函；</w:t>
      </w:r>
    </w:p>
    <w:p w14:paraId="5763F5B5">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（4）项目专用合同条款；</w:t>
      </w:r>
    </w:p>
    <w:p w14:paraId="5FA3E7D4">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（5）公路工程专用合同条款；</w:t>
      </w:r>
    </w:p>
    <w:p w14:paraId="56FBFE1C">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（6）通用合同条款；</w:t>
      </w:r>
    </w:p>
    <w:p w14:paraId="0E218661">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（7）委托人要求；</w:t>
      </w:r>
    </w:p>
    <w:p w14:paraId="5479B561">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（8）监理服务费用清单；</w:t>
      </w:r>
    </w:p>
    <w:p w14:paraId="7FE04CD4">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（9）监理人有关人员、试验检测设备投入的承诺；</w:t>
      </w:r>
    </w:p>
    <w:p w14:paraId="1F0FDF9F">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（10）其他合同文件。</w:t>
      </w:r>
    </w:p>
    <w:p w14:paraId="2ADF9C62">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上述合同文件互相补充和解释。如果合同文件之间存在矛盾或不一致之处，以上述文件的排列顺序在先者为准。</w:t>
      </w:r>
    </w:p>
    <w:p w14:paraId="63451706">
      <w:pPr>
        <w:spacing w:line="500" w:lineRule="exact"/>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 签约合同价：人民币（大写）</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元（¥</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p>
    <w:p w14:paraId="684BD93C">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其中：施工阶段（包括施工准备阶段）</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元；</w:t>
      </w:r>
    </w:p>
    <w:p w14:paraId="186DBECF">
      <w:pPr>
        <w:spacing w:line="500" w:lineRule="exact"/>
        <w:ind w:firstLine="1050" w:firstLineChars="5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验收与缺陷责任期阶段</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_元；</w:t>
      </w:r>
    </w:p>
    <w:p w14:paraId="402A159F">
      <w:pPr>
        <w:numPr>
          <w:ilvl w:val="0"/>
          <w:numId w:val="3"/>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总监理工程师或驻地监理工程师：</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p>
    <w:p w14:paraId="4EE70E40">
      <w:pPr>
        <w:numPr>
          <w:ilvl w:val="0"/>
          <w:numId w:val="3"/>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监理工作质量符合的标准和要求：</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；安全目标：</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p>
    <w:p w14:paraId="19A11EEF">
      <w:pPr>
        <w:numPr>
          <w:ilvl w:val="0"/>
          <w:numId w:val="3"/>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监理人承诺按合同约定承担工程的施工监理。</w:t>
      </w:r>
    </w:p>
    <w:p w14:paraId="2F1D412F">
      <w:pPr>
        <w:numPr>
          <w:ilvl w:val="0"/>
          <w:numId w:val="3"/>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委托人承诺按合同约定的条件、时间和方式向监理人支付合同价款。</w:t>
      </w:r>
    </w:p>
    <w:p w14:paraId="28ACF286">
      <w:pPr>
        <w:numPr>
          <w:ilvl w:val="0"/>
          <w:numId w:val="3"/>
        </w:num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监理人计划开始监理日期：</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，实际日期按照合同条款中约定的开始监理日期为准。监理服务期限：</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个月，其中：施工阶段（含施工准备阶段）监理</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个月，交工验收与缺陷责任期阶段监理</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个月。</w:t>
      </w:r>
    </w:p>
    <w:p w14:paraId="23FFEB1D">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9. 本协议书在监理人提供履约保证金后，由双方法定代表人或其委托代理人签署并加盖单位章后生效。全部工程完工后经交工验收合格、缺陷责任期满签发缺陷责任终止证书后失效。</w:t>
      </w:r>
    </w:p>
    <w:p w14:paraId="37D56B30">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10. 本协议书正本二份、副本</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份，合同双方各执正本一份，副本</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份，当正本与副本的内容不一致时，以正本为准。</w:t>
      </w:r>
    </w:p>
    <w:p w14:paraId="4EDB10BF">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11. 合同未尽事宜，双方另行签订补充协议。补充协议是合同的组成部分。</w:t>
      </w:r>
    </w:p>
    <w:p w14:paraId="3525CA29">
      <w:pPr>
        <w:spacing w:line="500" w:lineRule="exact"/>
        <w:ind w:firstLine="420" w:firstLineChars="200"/>
        <w:jc w:val="both"/>
        <w:rPr>
          <w:rFonts w:hint="eastAsia" w:ascii="Times New Roman" w:hAnsi="Times New Roman" w:eastAsia="宋体" w:cs="宋体"/>
          <w:color w:val="auto"/>
          <w:kern w:val="21"/>
          <w:highlight w:val="none"/>
          <w:lang w:eastAsia="zh-CN"/>
        </w:rPr>
      </w:pPr>
    </w:p>
    <w:tbl>
      <w:tblPr>
        <w:tblStyle w:val="18"/>
        <w:tblW w:w="0" w:type="auto"/>
        <w:jc w:val="center"/>
        <w:tblLayout w:type="fixed"/>
        <w:tblCellMar>
          <w:top w:w="0" w:type="dxa"/>
          <w:left w:w="108" w:type="dxa"/>
          <w:bottom w:w="0" w:type="dxa"/>
          <w:right w:w="108" w:type="dxa"/>
        </w:tblCellMar>
      </w:tblPr>
      <w:tblGrid>
        <w:gridCol w:w="4504"/>
        <w:gridCol w:w="306"/>
        <w:gridCol w:w="4760"/>
      </w:tblGrid>
      <w:tr w14:paraId="0A83CA42">
        <w:tblPrEx>
          <w:tblCellMar>
            <w:top w:w="0" w:type="dxa"/>
            <w:left w:w="108" w:type="dxa"/>
            <w:bottom w:w="0" w:type="dxa"/>
            <w:right w:w="108" w:type="dxa"/>
          </w:tblCellMar>
        </w:tblPrEx>
        <w:trPr>
          <w:trHeight w:val="567" w:hRule="atLeast"/>
          <w:jc w:val="center"/>
        </w:trPr>
        <w:tc>
          <w:tcPr>
            <w:tcW w:w="4504" w:type="dxa"/>
            <w:noWrap w:val="0"/>
            <w:vAlign w:val="center"/>
          </w:tcPr>
          <w:p w14:paraId="1C77FFD3">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委托人：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（盖单位章）</w:t>
            </w:r>
          </w:p>
        </w:tc>
        <w:tc>
          <w:tcPr>
            <w:tcW w:w="306" w:type="dxa"/>
            <w:noWrap w:val="0"/>
            <w:vAlign w:val="center"/>
          </w:tcPr>
          <w:p w14:paraId="6C68B122">
            <w:pPr>
              <w:jc w:val="both"/>
              <w:rPr>
                <w:rFonts w:hint="eastAsia" w:ascii="Times New Roman" w:hAnsi="Times New Roman" w:eastAsia="宋体" w:cs="宋体"/>
                <w:color w:val="auto"/>
                <w:kern w:val="21"/>
                <w:sz w:val="21"/>
                <w:szCs w:val="21"/>
                <w:highlight w:val="none"/>
                <w:lang w:eastAsia="zh-CN"/>
              </w:rPr>
            </w:pPr>
          </w:p>
        </w:tc>
        <w:tc>
          <w:tcPr>
            <w:tcW w:w="4760" w:type="dxa"/>
            <w:noWrap w:val="0"/>
            <w:vAlign w:val="center"/>
          </w:tcPr>
          <w:p w14:paraId="6E8E14E4">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监理人：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（盖单位章）</w:t>
            </w:r>
          </w:p>
        </w:tc>
      </w:tr>
      <w:tr w14:paraId="06C363E5">
        <w:tblPrEx>
          <w:tblCellMar>
            <w:top w:w="0" w:type="dxa"/>
            <w:left w:w="108" w:type="dxa"/>
            <w:bottom w:w="0" w:type="dxa"/>
            <w:right w:w="108" w:type="dxa"/>
          </w:tblCellMar>
        </w:tblPrEx>
        <w:trPr>
          <w:trHeight w:val="567" w:hRule="atLeast"/>
          <w:jc w:val="center"/>
        </w:trPr>
        <w:tc>
          <w:tcPr>
            <w:tcW w:w="4504" w:type="dxa"/>
            <w:noWrap w:val="0"/>
            <w:vAlign w:val="center"/>
          </w:tcPr>
          <w:p w14:paraId="4AF8AC02">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法定代表人或其委托代理人：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（签字）</w:t>
            </w:r>
          </w:p>
        </w:tc>
        <w:tc>
          <w:tcPr>
            <w:tcW w:w="306" w:type="dxa"/>
            <w:noWrap w:val="0"/>
            <w:vAlign w:val="center"/>
          </w:tcPr>
          <w:p w14:paraId="05C08BD6">
            <w:pPr>
              <w:jc w:val="both"/>
              <w:rPr>
                <w:rFonts w:hint="eastAsia" w:ascii="Times New Roman" w:hAnsi="Times New Roman" w:eastAsia="宋体" w:cs="宋体"/>
                <w:color w:val="auto"/>
                <w:kern w:val="21"/>
                <w:sz w:val="21"/>
                <w:szCs w:val="21"/>
                <w:highlight w:val="none"/>
                <w:lang w:eastAsia="zh-CN"/>
              </w:rPr>
            </w:pPr>
          </w:p>
        </w:tc>
        <w:tc>
          <w:tcPr>
            <w:tcW w:w="4760" w:type="dxa"/>
            <w:noWrap w:val="0"/>
            <w:vAlign w:val="center"/>
          </w:tcPr>
          <w:p w14:paraId="33E906D3">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法定代表人或其委托代理人：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（签字）</w:t>
            </w:r>
          </w:p>
        </w:tc>
      </w:tr>
      <w:tr w14:paraId="4756228A">
        <w:tblPrEx>
          <w:tblCellMar>
            <w:top w:w="0" w:type="dxa"/>
            <w:left w:w="108" w:type="dxa"/>
            <w:bottom w:w="0" w:type="dxa"/>
            <w:right w:w="108" w:type="dxa"/>
          </w:tblCellMar>
        </w:tblPrEx>
        <w:trPr>
          <w:trHeight w:val="567" w:hRule="atLeast"/>
          <w:jc w:val="center"/>
        </w:trPr>
        <w:tc>
          <w:tcPr>
            <w:tcW w:w="4504" w:type="dxa"/>
            <w:noWrap w:val="0"/>
            <w:vAlign w:val="center"/>
          </w:tcPr>
          <w:p w14:paraId="6A9E4583">
            <w:pPr>
              <w:rPr>
                <w:rFonts w:hint="eastAsia" w:ascii="Times New Roman" w:hAnsi="Times New Roman" w:eastAsia="宋体" w:cs="宋体"/>
                <w:color w:val="auto"/>
                <w:kern w:val="21"/>
                <w:sz w:val="21"/>
                <w:szCs w:val="21"/>
                <w:highlight w:val="none"/>
              </w:rPr>
            </w:pPr>
            <w:r>
              <w:rPr>
                <w:rFonts w:hint="eastAsia" w:ascii="Times New Roman" w:hAnsi="Times New Roman" w:eastAsia="宋体" w:cs="宋体"/>
                <w:color w:val="auto"/>
                <w:kern w:val="21"/>
                <w:sz w:val="21"/>
                <w:szCs w:val="21"/>
                <w:highlight w:val="none"/>
                <w:lang w:eastAsia="zh-CN"/>
              </w:rPr>
              <w:t xml:space="preserve">                 </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年</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月</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 xml:space="preserve">日 </w:t>
            </w:r>
          </w:p>
        </w:tc>
        <w:tc>
          <w:tcPr>
            <w:tcW w:w="306" w:type="dxa"/>
            <w:noWrap w:val="0"/>
            <w:vAlign w:val="center"/>
          </w:tcPr>
          <w:p w14:paraId="7D75D50A">
            <w:pPr>
              <w:jc w:val="both"/>
              <w:rPr>
                <w:rFonts w:hint="eastAsia" w:ascii="Times New Roman" w:hAnsi="Times New Roman" w:eastAsia="宋体" w:cs="宋体"/>
                <w:color w:val="auto"/>
                <w:kern w:val="21"/>
                <w:sz w:val="21"/>
                <w:szCs w:val="21"/>
                <w:highlight w:val="none"/>
              </w:rPr>
            </w:pPr>
          </w:p>
        </w:tc>
        <w:tc>
          <w:tcPr>
            <w:tcW w:w="4760" w:type="dxa"/>
            <w:noWrap w:val="0"/>
            <w:vAlign w:val="center"/>
          </w:tcPr>
          <w:p w14:paraId="650C0218">
            <w:pPr>
              <w:rPr>
                <w:rFonts w:hint="eastAsia" w:ascii="Times New Roman" w:hAnsi="Times New Roman" w:eastAsia="宋体" w:cs="宋体"/>
                <w:color w:val="auto"/>
                <w:kern w:val="21"/>
                <w:sz w:val="21"/>
                <w:szCs w:val="21"/>
                <w:highlight w:val="none"/>
              </w:rPr>
            </w:pPr>
            <w:r>
              <w:rPr>
                <w:rFonts w:hint="eastAsia" w:ascii="Times New Roman" w:hAnsi="Times New Roman" w:eastAsia="宋体" w:cs="宋体"/>
                <w:color w:val="auto"/>
                <w:kern w:val="21"/>
                <w:sz w:val="21"/>
                <w:szCs w:val="21"/>
                <w:highlight w:val="none"/>
                <w:lang w:eastAsia="zh-CN"/>
              </w:rPr>
              <w:t xml:space="preserve">                 </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年</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月</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 xml:space="preserve">日 </w:t>
            </w:r>
          </w:p>
        </w:tc>
      </w:tr>
    </w:tbl>
    <w:p w14:paraId="18322E88">
      <w:pPr>
        <w:spacing w:line="480" w:lineRule="auto"/>
        <w:ind w:firstLine="420" w:firstLineChars="200"/>
        <w:jc w:val="both"/>
        <w:rPr>
          <w:rFonts w:hint="eastAsia" w:ascii="Times New Roman" w:hAnsi="Times New Roman" w:eastAsia="宋体" w:cs="宋体"/>
          <w:color w:val="auto"/>
          <w:kern w:val="21"/>
          <w:highlight w:val="none"/>
          <w:lang w:eastAsia="zh-CN"/>
        </w:rPr>
      </w:pPr>
    </w:p>
    <w:p w14:paraId="69C91306">
      <w:pPr>
        <w:spacing w:line="480" w:lineRule="auto"/>
        <w:ind w:firstLine="420" w:firstLineChars="200"/>
        <w:jc w:val="both"/>
        <w:rPr>
          <w:rFonts w:hint="eastAsia" w:ascii="Times New Roman" w:hAnsi="Times New Roman" w:eastAsia="宋体" w:cs="宋体"/>
          <w:color w:val="auto"/>
          <w:kern w:val="21"/>
          <w:highlight w:val="none"/>
          <w:lang w:eastAsia="zh-CN"/>
        </w:rPr>
      </w:pPr>
    </w:p>
    <w:p w14:paraId="6F8903EE">
      <w:pPr>
        <w:spacing w:line="428" w:lineRule="auto"/>
        <w:rPr>
          <w:rFonts w:ascii="Arial"/>
          <w:color w:val="auto"/>
          <w:sz w:val="21"/>
          <w:highlight w:val="none"/>
        </w:rPr>
      </w:pPr>
    </w:p>
    <w:p w14:paraId="47B45469">
      <w:pPr>
        <w:pageBreakBefore/>
        <w:jc w:val="both"/>
        <w:outlineLvl w:val="3"/>
        <w:rPr>
          <w:rFonts w:hint="eastAsia" w:ascii="Times New Roman" w:hAnsi="Times New Roman" w:eastAsia="宋体" w:cs="宋体"/>
          <w:b/>
          <w:bCs/>
          <w:color w:val="auto"/>
          <w:kern w:val="21"/>
          <w:sz w:val="28"/>
          <w:szCs w:val="28"/>
          <w:highlight w:val="none"/>
          <w:lang w:eastAsia="zh-CN"/>
        </w:rPr>
      </w:pPr>
      <w:bookmarkStart w:id="708" w:name="_Toc13519"/>
      <w:bookmarkStart w:id="709" w:name="_Toc20552"/>
      <w:bookmarkStart w:id="710" w:name="_Toc10109"/>
      <w:r>
        <w:rPr>
          <w:rFonts w:hint="eastAsia" w:ascii="Times New Roman" w:hAnsi="Times New Roman" w:eastAsia="宋体" w:cs="宋体"/>
          <w:b/>
          <w:bCs/>
          <w:color w:val="auto"/>
          <w:kern w:val="21"/>
          <w:sz w:val="28"/>
          <w:szCs w:val="28"/>
          <w:highlight w:val="none"/>
          <w:lang w:eastAsia="zh-CN"/>
        </w:rPr>
        <w:t>附件二：廉政合同</w:t>
      </w:r>
    </w:p>
    <w:p w14:paraId="67C0FD6F">
      <w:pPr>
        <w:spacing w:before="120" w:beforeLines="50"/>
        <w:jc w:val="center"/>
        <w:rPr>
          <w:rFonts w:hint="eastAsia" w:ascii="Times New Roman" w:hAnsi="Times New Roman" w:eastAsia="宋体" w:cs="宋体"/>
          <w:b/>
          <w:bCs/>
          <w:color w:val="auto"/>
          <w:kern w:val="21"/>
          <w:sz w:val="28"/>
          <w:szCs w:val="28"/>
          <w:highlight w:val="none"/>
          <w:lang w:eastAsia="zh-CN"/>
        </w:rPr>
      </w:pPr>
      <w:r>
        <w:rPr>
          <w:rFonts w:hint="eastAsia" w:ascii="Times New Roman" w:hAnsi="Times New Roman" w:eastAsia="宋体" w:cs="宋体"/>
          <w:b/>
          <w:bCs/>
          <w:color w:val="auto"/>
          <w:kern w:val="21"/>
          <w:sz w:val="28"/>
          <w:szCs w:val="28"/>
          <w:highlight w:val="none"/>
          <w:lang w:eastAsia="zh-CN"/>
        </w:rPr>
        <w:t>廉 政 合 同</w:t>
      </w:r>
    </w:p>
    <w:p w14:paraId="7721BD7E">
      <w:pPr>
        <w:spacing w:line="500" w:lineRule="exact"/>
        <w:ind w:firstLine="420" w:firstLineChars="200"/>
        <w:jc w:val="both"/>
        <w:rPr>
          <w:rFonts w:hint="eastAsia" w:ascii="Times New Roman" w:hAnsi="Times New Roman" w:eastAsia="宋体" w:cs="宋体"/>
          <w:color w:val="auto"/>
          <w:kern w:val="21"/>
          <w:highlight w:val="none"/>
          <w:lang w:eastAsia="zh-CN"/>
        </w:rPr>
      </w:pPr>
    </w:p>
    <w:p w14:paraId="3EA01DD8">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Times New Roman" w:hAnsi="Times New Roman" w:eastAsia="宋体" w:cs="宋体"/>
          <w:color w:val="auto"/>
          <w:kern w:val="21"/>
          <w:highlight w:val="none"/>
          <w:u w:val="single"/>
          <w:lang w:eastAsia="zh-CN"/>
        </w:rPr>
        <w:t>　　　　（项目名称）　　　</w:t>
      </w:r>
      <w:r>
        <w:rPr>
          <w:rFonts w:hint="eastAsia" w:ascii="Times New Roman" w:hAnsi="Times New Roman" w:eastAsia="宋体" w:cs="宋体"/>
          <w:color w:val="auto"/>
          <w:kern w:val="21"/>
          <w:highlight w:val="none"/>
          <w:lang w:eastAsia="zh-CN"/>
        </w:rPr>
        <w:t>的项目法人</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（项目法人名称，以下简称“委托人”）与该项目的施工监理单位</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（施工监理单位名称，以下简称“监理人”），特订立如下合同。</w:t>
      </w:r>
    </w:p>
    <w:p w14:paraId="0FF7DA77">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 委托人和监理人双方的权利和义务</w:t>
      </w:r>
    </w:p>
    <w:p w14:paraId="0CE0B828">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（1）严格遵守党的政策规定和国家有关法律法规及交通运输部的有关规定。</w:t>
      </w:r>
    </w:p>
    <w:p w14:paraId="7F41841E">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（2）严格执行</w:t>
      </w:r>
      <w:r>
        <w:rPr>
          <w:rFonts w:hint="eastAsia" w:ascii="Times New Roman" w:hAnsi="Times New Roman" w:eastAsia="宋体" w:cs="宋体"/>
          <w:color w:val="auto"/>
          <w:kern w:val="21"/>
          <w:highlight w:val="none"/>
          <w:u w:val="single"/>
          <w:lang w:eastAsia="zh-CN"/>
        </w:rPr>
        <w:t xml:space="preserve">   （项目名称）   </w:t>
      </w:r>
      <w:r>
        <w:rPr>
          <w:rFonts w:hint="eastAsia" w:ascii="Times New Roman" w:hAnsi="Times New Roman" w:eastAsia="宋体" w:cs="宋体"/>
          <w:color w:val="auto"/>
          <w:kern w:val="21"/>
          <w:highlight w:val="none"/>
          <w:lang w:eastAsia="zh-CN"/>
        </w:rPr>
        <w:t>标段施工监理合同文件，自觉按合同办事。</w:t>
      </w:r>
    </w:p>
    <w:p w14:paraId="44B9E0D7">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（3）双方的业务活动坚持公开、公正、诚信、透明的原则（法律认定的商业秘密和合同文件另有规定除外），不得损害国家和集体利益，不得违反工程建设管理规章制度。</w:t>
      </w:r>
    </w:p>
    <w:p w14:paraId="49DD3C37">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（4）建立健全廉政制度，开展廉政教育，设立廉政告示牌，公布举报电话，监督并认真查处违法违纪行为。</w:t>
      </w:r>
    </w:p>
    <w:p w14:paraId="0D423081">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（5）发现对方在业务活动中有违反廉政规定的行为，有及时提醒对方纠正的权利和义务。</w:t>
      </w:r>
    </w:p>
    <w:p w14:paraId="45870E41">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（6）发现对方严重违反本合同义务条款的行为，有向其上级有关部门举报、建议给予处理并要求告知处理结果的权利。</w:t>
      </w:r>
    </w:p>
    <w:p w14:paraId="20495FD1">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 委托人的义务</w:t>
      </w:r>
    </w:p>
    <w:p w14:paraId="3E3536F3">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（1）委托人及其工作人员不得索要或接受监理人的礼金、有价证券和贵重物品，不得让监理人报销任何应由委托人或委托人工作人员个人支付的费用等。</w:t>
      </w:r>
    </w:p>
    <w:p w14:paraId="5A975899">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（2）委托人工作人员不得参加监理人安排的超标准宴请和娱乐活动；不得接受监理人提供的通信工具、交通工具和高档办公用品等。</w:t>
      </w:r>
    </w:p>
    <w:p w14:paraId="6BF6BE9B">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（3）委托人及其工作人员不得要求或者接受监理人为其住房装修、婚丧嫁娶活动、配偶子女的工作安排以及出国出境、旅游等提供方便等。</w:t>
      </w:r>
    </w:p>
    <w:p w14:paraId="58F61E98">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（4）委托人工作人员及其配偶、子女不得从事与委托人工程有关的材料设备供应、工程分包、劳务等经济活动等。</w:t>
      </w:r>
    </w:p>
    <w:p w14:paraId="1F532990">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（5）委托人及其工作人员不得以任何理由向监理人推荐分包单位或推销材料，不得要求监理人购买合同规定外的材料和设备。</w:t>
      </w:r>
    </w:p>
    <w:p w14:paraId="49AFD236">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（6）委托人工作人员要秉公办事，不准营私舞弊，不准利用职权从事各种个人有偿中介活动和安排个人施工监理队伍。</w:t>
      </w:r>
    </w:p>
    <w:p w14:paraId="1C5E016E">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 监理人的义务</w:t>
      </w:r>
    </w:p>
    <w:p w14:paraId="23CBA5D0">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（1）监理人不得以任何理由向委托人及其工作人员行贿或馈赠礼金、有价证券、贵重礼品。</w:t>
      </w:r>
    </w:p>
    <w:p w14:paraId="244EDABA">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（2）监理人不得以任何名义为委托人及其工作人员报销应由委托人单位或个人支付的任何费用。</w:t>
      </w:r>
    </w:p>
    <w:p w14:paraId="3BA71AFA">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（3）监理人不得以任何理由安排委托人工作人员参加超标准宴请及娱乐活动。</w:t>
      </w:r>
    </w:p>
    <w:p w14:paraId="018E2ECE">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（4）监理人不得为委托人单位和个人购置或提供通信工具、交通工具和高档办公用品等。</w:t>
      </w:r>
    </w:p>
    <w:p w14:paraId="5ADF7B05">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 违约责任</w:t>
      </w:r>
    </w:p>
    <w:p w14:paraId="1774A9B9">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（1）委托人及其工作人员违反本合同第1、2条，按管理权限，依据有关规定给予党纪、政纪或组织处理；涉嫌犯罪的，移交司法机关追究刑事责任；给监理人单位造成经济损失的，应予以赔偿。</w:t>
      </w:r>
    </w:p>
    <w:p w14:paraId="5B86F11F">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监理人及其工作人员违反本合同第1、3条，按管理权限，依据有关规定给予党纪、政纪或组织处理；给委托人单位造成经济损失的，应予以赔偿；情节严重的，委托人建议交通运输主管部门给予监理人一至三年内不得进入其主管的公路建设市场的处罚。</w:t>
      </w:r>
    </w:p>
    <w:p w14:paraId="40FD8913">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5. 双方约定：本合同由双方或双方上级单位的纪检监察部门负责监督执行。由委托人或委托人上级单位的纪检监察部门约请监理人或监理人上级单位纪检监察部门对本合同执行情况进行检查，提出在本合同规定范围内的裁定意见。</w:t>
      </w:r>
    </w:p>
    <w:p w14:paraId="4C766028">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6. 本合同有效期为委托人和监理人签署之日起至该工程项目竣工验收后止。</w:t>
      </w:r>
    </w:p>
    <w:p w14:paraId="064C7409">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7. 本合同作为</w:t>
      </w:r>
      <w:r>
        <w:rPr>
          <w:rFonts w:hint="eastAsia" w:ascii="Times New Roman" w:hAnsi="Times New Roman" w:eastAsia="宋体" w:cs="宋体"/>
          <w:color w:val="auto"/>
          <w:kern w:val="21"/>
          <w:highlight w:val="none"/>
          <w:u w:val="single"/>
          <w:lang w:eastAsia="zh-CN"/>
        </w:rPr>
        <w:t xml:space="preserve">   （项目名称）   </w:t>
      </w:r>
      <w:r>
        <w:rPr>
          <w:rFonts w:hint="eastAsia" w:ascii="Times New Roman" w:hAnsi="Times New Roman" w:eastAsia="宋体" w:cs="宋体"/>
          <w:color w:val="auto"/>
          <w:kern w:val="21"/>
          <w:highlight w:val="none"/>
          <w:lang w:eastAsia="zh-CN"/>
        </w:rPr>
        <w:t>标段施工监理合同的附件，与工程施工监理合同具有同等的法律效力，经合同双方签署后立即生效。</w:t>
      </w:r>
    </w:p>
    <w:p w14:paraId="250CE664">
      <w:pPr>
        <w:spacing w:line="48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8. 本合同一式四份，由委托人和监理人各执一份，送交委托人和监理人的监督单位各一份。</w:t>
      </w:r>
    </w:p>
    <w:p w14:paraId="1A8CD8E9">
      <w:pPr>
        <w:spacing w:line="480" w:lineRule="exact"/>
        <w:ind w:firstLine="420" w:firstLineChars="200"/>
        <w:jc w:val="both"/>
        <w:rPr>
          <w:rFonts w:hint="eastAsia" w:ascii="Times New Roman" w:hAnsi="Times New Roman" w:eastAsia="宋体" w:cs="宋体"/>
          <w:color w:val="auto"/>
          <w:kern w:val="21"/>
          <w:highlight w:val="none"/>
          <w:lang w:eastAsia="zh-CN"/>
        </w:rPr>
      </w:pPr>
    </w:p>
    <w:tbl>
      <w:tblPr>
        <w:tblStyle w:val="18"/>
        <w:tblW w:w="0" w:type="auto"/>
        <w:jc w:val="center"/>
        <w:tblLayout w:type="fixed"/>
        <w:tblCellMar>
          <w:top w:w="0" w:type="dxa"/>
          <w:left w:w="108" w:type="dxa"/>
          <w:bottom w:w="0" w:type="dxa"/>
          <w:right w:w="108" w:type="dxa"/>
        </w:tblCellMar>
      </w:tblPr>
      <w:tblGrid>
        <w:gridCol w:w="4504"/>
        <w:gridCol w:w="306"/>
        <w:gridCol w:w="4760"/>
      </w:tblGrid>
      <w:tr w14:paraId="180E74EF">
        <w:tblPrEx>
          <w:tblCellMar>
            <w:top w:w="0" w:type="dxa"/>
            <w:left w:w="108" w:type="dxa"/>
            <w:bottom w:w="0" w:type="dxa"/>
            <w:right w:w="108" w:type="dxa"/>
          </w:tblCellMar>
        </w:tblPrEx>
        <w:trPr>
          <w:trHeight w:val="567" w:hRule="atLeast"/>
          <w:jc w:val="center"/>
        </w:trPr>
        <w:tc>
          <w:tcPr>
            <w:tcW w:w="4504" w:type="dxa"/>
            <w:noWrap w:val="0"/>
            <w:vAlign w:val="center"/>
          </w:tcPr>
          <w:p w14:paraId="063C0CC7">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委托人：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（盖单位章）</w:t>
            </w:r>
          </w:p>
        </w:tc>
        <w:tc>
          <w:tcPr>
            <w:tcW w:w="306" w:type="dxa"/>
            <w:noWrap w:val="0"/>
            <w:vAlign w:val="center"/>
          </w:tcPr>
          <w:p w14:paraId="100C3053">
            <w:pPr>
              <w:jc w:val="both"/>
              <w:rPr>
                <w:rFonts w:hint="eastAsia" w:ascii="Times New Roman" w:hAnsi="Times New Roman" w:eastAsia="宋体" w:cs="宋体"/>
                <w:color w:val="auto"/>
                <w:kern w:val="21"/>
                <w:sz w:val="21"/>
                <w:szCs w:val="21"/>
                <w:highlight w:val="none"/>
                <w:lang w:eastAsia="zh-CN"/>
              </w:rPr>
            </w:pPr>
          </w:p>
        </w:tc>
        <w:tc>
          <w:tcPr>
            <w:tcW w:w="4760" w:type="dxa"/>
            <w:noWrap w:val="0"/>
            <w:vAlign w:val="center"/>
          </w:tcPr>
          <w:p w14:paraId="091EC477">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监理人：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（盖单位章）</w:t>
            </w:r>
          </w:p>
        </w:tc>
      </w:tr>
      <w:tr w14:paraId="37FCFA5A">
        <w:tblPrEx>
          <w:tblCellMar>
            <w:top w:w="0" w:type="dxa"/>
            <w:left w:w="108" w:type="dxa"/>
            <w:bottom w:w="0" w:type="dxa"/>
            <w:right w:w="108" w:type="dxa"/>
          </w:tblCellMar>
        </w:tblPrEx>
        <w:trPr>
          <w:trHeight w:val="567" w:hRule="atLeast"/>
          <w:jc w:val="center"/>
        </w:trPr>
        <w:tc>
          <w:tcPr>
            <w:tcW w:w="4504" w:type="dxa"/>
            <w:noWrap w:val="0"/>
            <w:vAlign w:val="center"/>
          </w:tcPr>
          <w:p w14:paraId="6CF7BA04">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法定代表人或其委托代理人：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（签字）</w:t>
            </w:r>
          </w:p>
        </w:tc>
        <w:tc>
          <w:tcPr>
            <w:tcW w:w="306" w:type="dxa"/>
            <w:noWrap w:val="0"/>
            <w:vAlign w:val="center"/>
          </w:tcPr>
          <w:p w14:paraId="5548C2B2">
            <w:pPr>
              <w:jc w:val="both"/>
              <w:rPr>
                <w:rFonts w:hint="eastAsia" w:ascii="Times New Roman" w:hAnsi="Times New Roman" w:eastAsia="宋体" w:cs="宋体"/>
                <w:color w:val="auto"/>
                <w:kern w:val="21"/>
                <w:sz w:val="21"/>
                <w:szCs w:val="21"/>
                <w:highlight w:val="none"/>
                <w:lang w:eastAsia="zh-CN"/>
              </w:rPr>
            </w:pPr>
          </w:p>
        </w:tc>
        <w:tc>
          <w:tcPr>
            <w:tcW w:w="4760" w:type="dxa"/>
            <w:noWrap w:val="0"/>
            <w:vAlign w:val="center"/>
          </w:tcPr>
          <w:p w14:paraId="7C3B3815">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法定代表人或其委托代理人：</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（签字）</w:t>
            </w:r>
          </w:p>
        </w:tc>
      </w:tr>
      <w:tr w14:paraId="43138188">
        <w:tblPrEx>
          <w:tblCellMar>
            <w:top w:w="0" w:type="dxa"/>
            <w:left w:w="108" w:type="dxa"/>
            <w:bottom w:w="0" w:type="dxa"/>
            <w:right w:w="108" w:type="dxa"/>
          </w:tblCellMar>
        </w:tblPrEx>
        <w:trPr>
          <w:trHeight w:val="567" w:hRule="atLeast"/>
          <w:jc w:val="center"/>
        </w:trPr>
        <w:tc>
          <w:tcPr>
            <w:tcW w:w="4504" w:type="dxa"/>
            <w:noWrap w:val="0"/>
            <w:vAlign w:val="center"/>
          </w:tcPr>
          <w:p w14:paraId="4762C8C6">
            <w:pPr>
              <w:rPr>
                <w:rFonts w:hint="eastAsia" w:ascii="Times New Roman" w:hAnsi="Times New Roman" w:eastAsia="宋体" w:cs="宋体"/>
                <w:color w:val="auto"/>
                <w:kern w:val="21"/>
                <w:sz w:val="21"/>
                <w:szCs w:val="21"/>
                <w:highlight w:val="none"/>
              </w:rPr>
            </w:pPr>
            <w:r>
              <w:rPr>
                <w:rFonts w:hint="eastAsia" w:ascii="Times New Roman" w:hAnsi="Times New Roman" w:eastAsia="宋体" w:cs="宋体"/>
                <w:color w:val="auto"/>
                <w:kern w:val="21"/>
                <w:sz w:val="21"/>
                <w:szCs w:val="21"/>
                <w:highlight w:val="none"/>
                <w:lang w:eastAsia="zh-CN"/>
              </w:rPr>
              <w:t xml:space="preserve">                 </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年</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月</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 xml:space="preserve">日 </w:t>
            </w:r>
          </w:p>
        </w:tc>
        <w:tc>
          <w:tcPr>
            <w:tcW w:w="306" w:type="dxa"/>
            <w:noWrap w:val="0"/>
            <w:vAlign w:val="center"/>
          </w:tcPr>
          <w:p w14:paraId="681886E4">
            <w:pPr>
              <w:jc w:val="both"/>
              <w:rPr>
                <w:rFonts w:hint="eastAsia" w:ascii="Times New Roman" w:hAnsi="Times New Roman" w:eastAsia="宋体" w:cs="宋体"/>
                <w:color w:val="auto"/>
                <w:kern w:val="21"/>
                <w:sz w:val="21"/>
                <w:szCs w:val="21"/>
                <w:highlight w:val="none"/>
              </w:rPr>
            </w:pPr>
          </w:p>
        </w:tc>
        <w:tc>
          <w:tcPr>
            <w:tcW w:w="4760" w:type="dxa"/>
            <w:noWrap w:val="0"/>
            <w:vAlign w:val="center"/>
          </w:tcPr>
          <w:p w14:paraId="3227AC10">
            <w:pPr>
              <w:rPr>
                <w:rFonts w:hint="eastAsia" w:ascii="Times New Roman" w:hAnsi="Times New Roman" w:eastAsia="宋体" w:cs="宋体"/>
                <w:color w:val="auto"/>
                <w:kern w:val="21"/>
                <w:sz w:val="21"/>
                <w:szCs w:val="21"/>
                <w:highlight w:val="none"/>
              </w:rPr>
            </w:pPr>
            <w:r>
              <w:rPr>
                <w:rFonts w:hint="eastAsia" w:ascii="Times New Roman" w:hAnsi="Times New Roman" w:eastAsia="宋体" w:cs="宋体"/>
                <w:color w:val="auto"/>
                <w:kern w:val="21"/>
                <w:sz w:val="21"/>
                <w:szCs w:val="21"/>
                <w:highlight w:val="none"/>
                <w:lang w:eastAsia="zh-CN"/>
              </w:rPr>
              <w:t xml:space="preserve">                 </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年</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月</w:t>
            </w:r>
            <w:r>
              <w:rPr>
                <w:rFonts w:hint="eastAsia" w:ascii="Times New Roman" w:hAnsi="Times New Roman" w:eastAsia="宋体" w:cs="宋体"/>
                <w:color w:val="auto"/>
                <w:kern w:val="21"/>
                <w:sz w:val="21"/>
                <w:szCs w:val="21"/>
                <w:highlight w:val="none"/>
                <w:u w:val="single"/>
                <w:lang w:eastAsia="zh-CN"/>
              </w:rPr>
              <w:t xml:space="preserve">    </w:t>
            </w:r>
            <w:r>
              <w:rPr>
                <w:rFonts w:hint="eastAsia" w:ascii="Times New Roman" w:hAnsi="Times New Roman" w:eastAsia="宋体" w:cs="宋体"/>
                <w:color w:val="auto"/>
                <w:kern w:val="21"/>
                <w:sz w:val="21"/>
                <w:szCs w:val="21"/>
                <w:highlight w:val="none"/>
                <w:lang w:eastAsia="zh-CN"/>
              </w:rPr>
              <w:t xml:space="preserve">日 </w:t>
            </w:r>
          </w:p>
        </w:tc>
      </w:tr>
      <w:tr w14:paraId="5A6AAB64">
        <w:tblPrEx>
          <w:tblCellMar>
            <w:top w:w="0" w:type="dxa"/>
            <w:left w:w="108" w:type="dxa"/>
            <w:bottom w:w="0" w:type="dxa"/>
            <w:right w:w="108" w:type="dxa"/>
          </w:tblCellMar>
        </w:tblPrEx>
        <w:trPr>
          <w:trHeight w:val="567" w:hRule="atLeast"/>
          <w:jc w:val="center"/>
        </w:trPr>
        <w:tc>
          <w:tcPr>
            <w:tcW w:w="4504" w:type="dxa"/>
            <w:noWrap w:val="0"/>
            <w:vAlign w:val="center"/>
          </w:tcPr>
          <w:p w14:paraId="6A870709">
            <w:pPr>
              <w:rPr>
                <w:rFonts w:hint="eastAsia" w:ascii="Times New Roman" w:hAnsi="Times New Roman" w:eastAsia="宋体" w:cs="宋体"/>
                <w:color w:val="auto"/>
                <w:kern w:val="21"/>
                <w:sz w:val="21"/>
                <w:szCs w:val="21"/>
                <w:highlight w:val="none"/>
                <w:lang w:eastAsia="zh-CN"/>
              </w:rPr>
            </w:pPr>
          </w:p>
        </w:tc>
        <w:tc>
          <w:tcPr>
            <w:tcW w:w="306" w:type="dxa"/>
            <w:noWrap w:val="0"/>
            <w:vAlign w:val="center"/>
          </w:tcPr>
          <w:p w14:paraId="5EFE129D">
            <w:pPr>
              <w:jc w:val="both"/>
              <w:rPr>
                <w:rFonts w:hint="eastAsia" w:ascii="Times New Roman" w:hAnsi="Times New Roman" w:eastAsia="宋体" w:cs="宋体"/>
                <w:color w:val="auto"/>
                <w:kern w:val="21"/>
                <w:sz w:val="21"/>
                <w:szCs w:val="21"/>
                <w:highlight w:val="none"/>
              </w:rPr>
            </w:pPr>
          </w:p>
        </w:tc>
        <w:tc>
          <w:tcPr>
            <w:tcW w:w="4760" w:type="dxa"/>
            <w:noWrap w:val="0"/>
            <w:vAlign w:val="center"/>
          </w:tcPr>
          <w:p w14:paraId="73EA7C6B">
            <w:pPr>
              <w:rPr>
                <w:rFonts w:hint="eastAsia" w:ascii="Times New Roman" w:hAnsi="Times New Roman" w:eastAsia="宋体" w:cs="宋体"/>
                <w:color w:val="auto"/>
                <w:kern w:val="21"/>
                <w:sz w:val="21"/>
                <w:szCs w:val="21"/>
                <w:highlight w:val="none"/>
                <w:lang w:eastAsia="zh-CN"/>
              </w:rPr>
            </w:pPr>
          </w:p>
        </w:tc>
      </w:tr>
      <w:tr w14:paraId="1947FAD6">
        <w:tblPrEx>
          <w:tblCellMar>
            <w:top w:w="0" w:type="dxa"/>
            <w:left w:w="108" w:type="dxa"/>
            <w:bottom w:w="0" w:type="dxa"/>
            <w:right w:w="108" w:type="dxa"/>
          </w:tblCellMar>
        </w:tblPrEx>
        <w:trPr>
          <w:trHeight w:val="567" w:hRule="atLeast"/>
          <w:jc w:val="center"/>
        </w:trPr>
        <w:tc>
          <w:tcPr>
            <w:tcW w:w="4504" w:type="dxa"/>
            <w:noWrap w:val="0"/>
            <w:vAlign w:val="center"/>
          </w:tcPr>
          <w:p w14:paraId="2A7A300D">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委托人监督单位：</w:t>
            </w:r>
            <w:r>
              <w:rPr>
                <w:rFonts w:hint="eastAsia" w:ascii="Times New Roman" w:hAnsi="Times New Roman" w:eastAsia="宋体" w:cs="宋体"/>
                <w:color w:val="auto"/>
                <w:kern w:val="21"/>
                <w:sz w:val="21"/>
                <w:szCs w:val="21"/>
                <w:highlight w:val="none"/>
                <w:u w:val="single"/>
                <w:lang w:eastAsia="zh-CN"/>
              </w:rPr>
              <w:t xml:space="preserve">  （全称）（盖单位章）  </w:t>
            </w:r>
          </w:p>
        </w:tc>
        <w:tc>
          <w:tcPr>
            <w:tcW w:w="306" w:type="dxa"/>
            <w:noWrap w:val="0"/>
            <w:vAlign w:val="center"/>
          </w:tcPr>
          <w:p w14:paraId="465497B9">
            <w:pPr>
              <w:jc w:val="both"/>
              <w:rPr>
                <w:rFonts w:hint="eastAsia" w:ascii="Times New Roman" w:hAnsi="Times New Roman" w:eastAsia="宋体" w:cs="宋体"/>
                <w:color w:val="auto"/>
                <w:kern w:val="21"/>
                <w:sz w:val="21"/>
                <w:szCs w:val="21"/>
                <w:highlight w:val="none"/>
                <w:lang w:eastAsia="zh-CN"/>
              </w:rPr>
            </w:pPr>
          </w:p>
        </w:tc>
        <w:tc>
          <w:tcPr>
            <w:tcW w:w="4760" w:type="dxa"/>
            <w:noWrap w:val="0"/>
            <w:vAlign w:val="center"/>
          </w:tcPr>
          <w:p w14:paraId="56E8617D">
            <w:pPr>
              <w:jc w:val="both"/>
              <w:rPr>
                <w:rFonts w:hint="eastAsia" w:ascii="Times New Roman" w:hAnsi="Times New Roman" w:eastAsia="宋体" w:cs="宋体"/>
                <w:color w:val="auto"/>
                <w:kern w:val="21"/>
                <w:sz w:val="21"/>
                <w:szCs w:val="21"/>
                <w:highlight w:val="none"/>
                <w:lang w:eastAsia="zh-CN"/>
              </w:rPr>
            </w:pPr>
            <w:r>
              <w:rPr>
                <w:rFonts w:hint="eastAsia" w:ascii="Times New Roman" w:hAnsi="Times New Roman" w:eastAsia="宋体" w:cs="宋体"/>
                <w:color w:val="auto"/>
                <w:kern w:val="21"/>
                <w:sz w:val="21"/>
                <w:szCs w:val="21"/>
                <w:highlight w:val="none"/>
                <w:lang w:eastAsia="zh-CN"/>
              </w:rPr>
              <w:t>监理人监督单位：</w:t>
            </w:r>
            <w:r>
              <w:rPr>
                <w:rFonts w:hint="eastAsia" w:ascii="Times New Roman" w:hAnsi="Times New Roman" w:eastAsia="宋体" w:cs="宋体"/>
                <w:color w:val="auto"/>
                <w:kern w:val="21"/>
                <w:sz w:val="21"/>
                <w:szCs w:val="21"/>
                <w:highlight w:val="none"/>
                <w:u w:val="single"/>
                <w:lang w:eastAsia="zh-CN"/>
              </w:rPr>
              <w:t xml:space="preserve">  （全称）（盖单位章）  </w:t>
            </w:r>
          </w:p>
        </w:tc>
      </w:tr>
    </w:tbl>
    <w:p w14:paraId="1EE89E3D">
      <w:pPr>
        <w:spacing w:before="173" w:line="263" w:lineRule="exact"/>
        <w:ind w:left="134"/>
        <w:outlineLvl w:val="1"/>
        <w:rPr>
          <w:rFonts w:ascii="宋体" w:hAnsi="宋体" w:eastAsia="宋体" w:cs="宋体"/>
          <w:b/>
          <w:bCs/>
          <w:color w:val="auto"/>
          <w:spacing w:val="8"/>
          <w:sz w:val="20"/>
          <w:szCs w:val="20"/>
          <w:highlight w:val="none"/>
        </w:rPr>
      </w:pPr>
    </w:p>
    <w:p w14:paraId="0E008CAF">
      <w:pPr>
        <w:spacing w:before="173" w:line="263" w:lineRule="exact"/>
        <w:ind w:left="134"/>
        <w:outlineLvl w:val="1"/>
        <w:rPr>
          <w:rFonts w:ascii="宋体" w:hAnsi="宋体" w:eastAsia="宋体" w:cs="宋体"/>
          <w:b/>
          <w:bCs/>
          <w:color w:val="auto"/>
          <w:spacing w:val="8"/>
          <w:sz w:val="20"/>
          <w:szCs w:val="20"/>
          <w:highlight w:val="none"/>
        </w:rPr>
      </w:pPr>
    </w:p>
    <w:p w14:paraId="132416CD">
      <w:pPr>
        <w:spacing w:before="173" w:line="263" w:lineRule="exact"/>
        <w:ind w:left="134"/>
        <w:outlineLvl w:val="1"/>
        <w:rPr>
          <w:rFonts w:ascii="宋体" w:hAnsi="宋体" w:eastAsia="宋体" w:cs="宋体"/>
          <w:b/>
          <w:bCs/>
          <w:color w:val="auto"/>
          <w:spacing w:val="8"/>
          <w:sz w:val="20"/>
          <w:szCs w:val="20"/>
          <w:highlight w:val="none"/>
        </w:rPr>
      </w:pPr>
    </w:p>
    <w:p w14:paraId="5E29E918">
      <w:pPr>
        <w:spacing w:before="173" w:line="263" w:lineRule="exact"/>
        <w:ind w:left="134"/>
        <w:outlineLvl w:val="1"/>
        <w:rPr>
          <w:rFonts w:ascii="宋体" w:hAnsi="宋体" w:eastAsia="宋体" w:cs="宋体"/>
          <w:b/>
          <w:bCs/>
          <w:color w:val="auto"/>
          <w:spacing w:val="8"/>
          <w:sz w:val="20"/>
          <w:szCs w:val="20"/>
          <w:highlight w:val="none"/>
        </w:rPr>
      </w:pPr>
    </w:p>
    <w:p w14:paraId="4B8EF99D">
      <w:pPr>
        <w:spacing w:before="173" w:line="263" w:lineRule="exact"/>
        <w:ind w:left="134"/>
        <w:outlineLvl w:val="1"/>
        <w:rPr>
          <w:rFonts w:ascii="宋体" w:hAnsi="宋体" w:eastAsia="宋体" w:cs="宋体"/>
          <w:b/>
          <w:bCs/>
          <w:color w:val="auto"/>
          <w:spacing w:val="8"/>
          <w:sz w:val="20"/>
          <w:szCs w:val="20"/>
          <w:highlight w:val="none"/>
        </w:rPr>
      </w:pPr>
    </w:p>
    <w:p w14:paraId="2B2443FD">
      <w:pPr>
        <w:spacing w:before="173" w:line="263" w:lineRule="exact"/>
        <w:ind w:left="134"/>
        <w:outlineLvl w:val="1"/>
        <w:rPr>
          <w:rFonts w:ascii="宋体" w:hAnsi="宋体" w:eastAsia="宋体" w:cs="宋体"/>
          <w:b/>
          <w:bCs/>
          <w:color w:val="auto"/>
          <w:spacing w:val="8"/>
          <w:sz w:val="20"/>
          <w:szCs w:val="20"/>
          <w:highlight w:val="none"/>
        </w:rPr>
      </w:pPr>
      <w:bookmarkStart w:id="711" w:name="_Toc9733"/>
      <w:r>
        <w:rPr>
          <w:rFonts w:ascii="宋体" w:hAnsi="宋体" w:eastAsia="宋体" w:cs="宋体"/>
          <w:b/>
          <w:bCs/>
          <w:color w:val="auto"/>
          <w:spacing w:val="8"/>
          <w:sz w:val="20"/>
          <w:szCs w:val="20"/>
          <w:highlight w:val="none"/>
        </w:rPr>
        <w:drawing>
          <wp:anchor distT="0" distB="0" distL="0" distR="0" simplePos="0" relativeHeight="251672576" behindDoc="1" locked="0" layoutInCell="1" allowOverlap="1">
            <wp:simplePos x="0" y="0"/>
            <wp:positionH relativeFrom="column">
              <wp:posOffset>2207895</wp:posOffset>
            </wp:positionH>
            <wp:positionV relativeFrom="paragraph">
              <wp:posOffset>0</wp:posOffset>
            </wp:positionV>
            <wp:extent cx="66675" cy="304800"/>
            <wp:effectExtent l="0" t="0" r="0" b="0"/>
            <wp:wrapNone/>
            <wp:docPr id="8" name="IM 8">
              <a:hlinkClick xmlns:a="http://schemas.openxmlformats.org/drawingml/2006/main" r:id="rId76"/>
            </wp:docPr>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7"/>
                    <a:stretch>
                      <a:fillRect/>
                    </a:stretch>
                  </pic:blipFill>
                  <pic:spPr>
                    <a:xfrm>
                      <a:off x="0" y="0"/>
                      <a:ext cx="66675" cy="304800"/>
                    </a:xfrm>
                    <a:prstGeom prst="rect">
                      <a:avLst/>
                    </a:prstGeom>
                  </pic:spPr>
                </pic:pic>
              </a:graphicData>
            </a:graphic>
          </wp:anchor>
        </w:drawing>
      </w:r>
      <w:r>
        <w:rPr>
          <w:rFonts w:ascii="宋体" w:hAnsi="宋体" w:eastAsia="宋体" w:cs="宋体"/>
          <w:b/>
          <w:bCs/>
          <w:color w:val="auto"/>
          <w:spacing w:val="8"/>
          <w:sz w:val="20"/>
          <w:szCs w:val="20"/>
          <w:highlight w:val="none"/>
        </w:rPr>
        <w:t>附件三：其他主要监理人员最低要求</w:t>
      </w:r>
      <w:bookmarkEnd w:id="708"/>
      <w:bookmarkEnd w:id="709"/>
      <w:bookmarkEnd w:id="710"/>
      <w:bookmarkEnd w:id="711"/>
    </w:p>
    <w:tbl>
      <w:tblPr>
        <w:tblStyle w:val="22"/>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738"/>
        <w:gridCol w:w="7059"/>
      </w:tblGrid>
      <w:tr w14:paraId="16E0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vAlign w:val="top"/>
          </w:tcPr>
          <w:p w14:paraId="01B9E1CB">
            <w:pPr>
              <w:pStyle w:val="23"/>
              <w:spacing w:before="201" w:line="229" w:lineRule="auto"/>
              <w:ind w:left="689"/>
              <w:rPr>
                <w:color w:val="auto"/>
                <w:highlight w:val="none"/>
              </w:rPr>
            </w:pPr>
            <w:r>
              <w:rPr>
                <w:color w:val="auto"/>
                <w:spacing w:val="3"/>
                <w:highlight w:val="none"/>
              </w:rPr>
              <w:t>人员</w:t>
            </w:r>
          </w:p>
        </w:tc>
        <w:tc>
          <w:tcPr>
            <w:tcW w:w="738" w:type="dxa"/>
            <w:vAlign w:val="top"/>
          </w:tcPr>
          <w:p w14:paraId="5418AF00">
            <w:pPr>
              <w:pStyle w:val="23"/>
              <w:spacing w:before="201" w:line="228" w:lineRule="auto"/>
              <w:ind w:left="165"/>
              <w:rPr>
                <w:color w:val="auto"/>
                <w:highlight w:val="none"/>
              </w:rPr>
            </w:pPr>
            <w:r>
              <w:rPr>
                <w:color w:val="auto"/>
                <w:spacing w:val="3"/>
                <w:highlight w:val="none"/>
              </w:rPr>
              <w:t>数量</w:t>
            </w:r>
          </w:p>
        </w:tc>
        <w:tc>
          <w:tcPr>
            <w:tcW w:w="7059" w:type="dxa"/>
            <w:vAlign w:val="top"/>
          </w:tcPr>
          <w:p w14:paraId="34B28738">
            <w:pPr>
              <w:pStyle w:val="23"/>
              <w:spacing w:before="201" w:line="228" w:lineRule="auto"/>
              <w:ind w:left="3123"/>
              <w:rPr>
                <w:color w:val="auto"/>
                <w:highlight w:val="none"/>
              </w:rPr>
            </w:pPr>
            <w:r>
              <w:rPr>
                <w:color w:val="auto"/>
                <w:spacing w:val="5"/>
                <w:highlight w:val="none"/>
              </w:rPr>
              <w:t>资格要求</w:t>
            </w:r>
          </w:p>
        </w:tc>
      </w:tr>
      <w:tr w14:paraId="25D7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81" w:type="dxa"/>
            <w:vAlign w:val="top"/>
          </w:tcPr>
          <w:p w14:paraId="0CDAE873">
            <w:pPr>
              <w:spacing w:line="295" w:lineRule="auto"/>
              <w:rPr>
                <w:rFonts w:ascii="Arial"/>
                <w:color w:val="auto"/>
                <w:sz w:val="21"/>
                <w:highlight w:val="none"/>
              </w:rPr>
            </w:pPr>
          </w:p>
          <w:p w14:paraId="71011041">
            <w:pPr>
              <w:spacing w:line="295" w:lineRule="auto"/>
              <w:rPr>
                <w:rFonts w:ascii="Arial"/>
                <w:color w:val="auto"/>
                <w:sz w:val="21"/>
                <w:highlight w:val="none"/>
              </w:rPr>
            </w:pPr>
          </w:p>
          <w:p w14:paraId="60EB8D6F">
            <w:pPr>
              <w:pStyle w:val="23"/>
              <w:spacing w:before="65" w:line="228" w:lineRule="auto"/>
              <w:ind w:left="157" w:leftChars="0"/>
              <w:rPr>
                <w:rFonts w:ascii="宋体" w:hAnsi="宋体" w:eastAsia="宋体" w:cs="宋体"/>
                <w:snapToGrid w:val="0"/>
                <w:color w:val="auto"/>
                <w:kern w:val="0"/>
                <w:sz w:val="20"/>
                <w:szCs w:val="20"/>
                <w:highlight w:val="none"/>
                <w:lang w:val="en-US" w:eastAsia="en-US" w:bidi="ar-SA"/>
              </w:rPr>
            </w:pPr>
            <w:r>
              <w:rPr>
                <w:color w:val="auto"/>
                <w:spacing w:val="6"/>
                <w:highlight w:val="none"/>
              </w:rPr>
              <w:t>路基工程</w:t>
            </w:r>
          </w:p>
        </w:tc>
        <w:tc>
          <w:tcPr>
            <w:tcW w:w="738" w:type="dxa"/>
            <w:vAlign w:val="center"/>
          </w:tcPr>
          <w:p w14:paraId="1E7E23DF">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7B087F00">
            <w:pPr>
              <w:pStyle w:val="23"/>
              <w:spacing w:before="120" w:line="300" w:lineRule="auto"/>
              <w:ind w:left="111" w:leftChars="0" w:right="109" w:rightChars="0" w:firstLine="5" w:firstLineChars="0"/>
              <w:jc w:val="both"/>
              <w:rPr>
                <w:rFonts w:ascii="宋体" w:hAnsi="宋体" w:eastAsia="宋体" w:cs="宋体"/>
                <w:snapToGrid w:val="0"/>
                <w:color w:val="auto"/>
                <w:kern w:val="0"/>
                <w:sz w:val="20"/>
                <w:szCs w:val="20"/>
                <w:highlight w:val="none"/>
                <w:lang w:val="en-US" w:eastAsia="en-US" w:bidi="ar-SA"/>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52705</wp:posOffset>
                      </wp:positionH>
                      <wp:positionV relativeFrom="paragraph">
                        <wp:posOffset>751840</wp:posOffset>
                      </wp:positionV>
                      <wp:extent cx="160020" cy="1790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0020" cy="179070"/>
                              </a:xfrm>
                              <a:prstGeom prst="rect">
                                <a:avLst/>
                              </a:prstGeom>
                              <a:noFill/>
                              <a:ln>
                                <a:noFill/>
                              </a:ln>
                            </wps:spPr>
                            <wps:txbx>
                              <w:txbxContent>
                                <w:p w14:paraId="4CA4040E">
                                  <w:pPr>
                                    <w:tabs>
                                      <w:tab w:val="left" w:pos="231"/>
                                    </w:tabs>
                                    <w:spacing w:before="20"/>
                                    <w:ind w:left="20"/>
                                    <w:rPr>
                                      <w:rFonts w:ascii="Arial"/>
                                      <w:sz w:val="21"/>
                                    </w:rPr>
                                  </w:pPr>
                                  <w:r>
                                    <w:rPr>
                                      <w:rFonts w:ascii="Arial" w:hAnsi="Arial" w:eastAsia="Arial" w:cs="Arial"/>
                                      <w:sz w:val="21"/>
                                      <w:szCs w:val="21"/>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15pt;margin-top:59.2pt;height:14.1pt;width:12.6pt;z-index:251728896;mso-width-relative:page;mso-height-relative:page;" filled="f" stroked="f" coordsize="21600,21600" o:gfxdata="UEsDBAoAAAAAAIdO4kAAAAAAAAAAAAAAAAAEAAAAZHJzL1BLAwQUAAAACACHTuJA//rJn9cAAAAI&#10;AQAADwAAAGRycy9kb3ducmV2LnhtbE2PT0+EMBDF7yZ+h2ZMvLktshJEysYYPZkYWTx4LHQWyNIp&#10;0u4fv73jSY/z3sub3ys3ZzeJIy5h9KQhWSkQSJ23I/UaPpqXmxxEiIasmTyhhm8MsKkuL0pTWH+i&#10;Go/b2AsuoVAYDUOMcyFl6AZ0Jqz8jMTezi/ORD6XXtrFnLjcTfJWqUw6MxJ/GMyMTwN2++3BaXj8&#10;pPp5/Hpr3+tdPTbNvaLXbK/19VWiHkBEPMe/MPziMzpUzNT6A9kgJg15ykGWk3wNgv00vQPRsrDO&#10;MpBVKf8PqH4AUEsDBBQAAAAIAIdO4kDqJ6t/uQEAAHEDAAAOAAAAZHJzL2Uyb0RvYy54bWytU0uO&#10;EzEQ3SNxB8t70p1IMwOtdEZC0SAkBEjDHMBx22lL/qnKSXcuADdgxYY958o5KDvpDAybWbBxl6vK&#10;z++9ci9vR2fZXgGa4Fs+n9WcKS9DZ/y25Q9f7l695gyT8J2wwauWHxTy29XLF8shNmoR+mA7BYxA&#10;PDZDbHmfUmyqCmWvnMBZiMpTUQdwItEWtlUHYiB0Z6tFXV9XQ4AuQpAKkbLrU5GfEeE5gEFrI9U6&#10;yJ1TPp1QQVmRSBL2JiJfFbZaK5k+aY0qMdtyUprKSpdQvMlrtVqKZgsi9kaeKYjnUHiiyQnj6dIL&#10;1FokwXZg/oFyRkLAoNNMBledhBRHSMW8fuLNfS+iKlrIaowX0/H/wcqP+8/ATNfyK868cDTw4/dv&#10;xx+/jj+/sqtszxCxoa77SH1pfBtGejRTHimZVY8aXP6SHkZ1MvdwMVeNicl86LquF1SRVJrfvKlv&#10;ivnV4+EImN6p4FgOWg40u2Kp2H/ARESodWrJd/lwZ6wt87P+rwQ15kyVmZ8Y5iiNm/EsZxO6A6mx&#10;7z05mV/FFMAUbKZgF8Fse6JTNBdImkQhc341edR/7svFj3/K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mf1wAAAAgBAAAPAAAAAAAAAAEAIAAAACIAAABkcnMvZG93bnJldi54bWxQSwECFAAU&#10;AAAACACHTuJA6ierf7kBAABxAwAADgAAAAAAAAABACAAAAAmAQAAZHJzL2Uyb0RvYy54bWxQSwUG&#10;AAAAAAYABgBZAQAAUQUAAAAA&#10;">
                      <v:fill on="f" focussize="0,0"/>
                      <v:stroke on="f"/>
                      <v:imagedata o:title=""/>
                      <o:lock v:ext="edit" aspectratio="f"/>
                      <v:textbox inset="0mm,0mm,0mm,0mm">
                        <w:txbxContent>
                          <w:p w14:paraId="4CA4040E">
                            <w:pPr>
                              <w:tabs>
                                <w:tab w:val="left" w:pos="231"/>
                              </w:tabs>
                              <w:spacing w:before="20"/>
                              <w:ind w:left="20"/>
                              <w:rPr>
                                <w:rFonts w:ascii="Arial"/>
                                <w:sz w:val="21"/>
                              </w:rPr>
                            </w:pPr>
                            <w:r>
                              <w:rPr>
                                <w:rFonts w:ascii="Arial" w:hAnsi="Arial" w:eastAsia="Arial" w:cs="Arial"/>
                                <w:sz w:val="21"/>
                                <w:szCs w:val="21"/>
                                <w:u w:val="single" w:color="auto"/>
                              </w:rPr>
                              <w:tab/>
                            </w:r>
                          </w:p>
                        </w:txbxContent>
                      </v:textbox>
                    </v:shape>
                  </w:pict>
                </mc:Fallback>
              </mc:AlternateContent>
            </w: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rPr>
              <w:t>上技术职称；从事公路路基工程监理工作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78DB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000545FE">
            <w:pPr>
              <w:spacing w:line="302" w:lineRule="auto"/>
              <w:rPr>
                <w:rFonts w:ascii="Arial"/>
                <w:color w:val="auto"/>
                <w:sz w:val="21"/>
                <w:highlight w:val="none"/>
              </w:rPr>
            </w:pPr>
          </w:p>
          <w:p w14:paraId="3864237B">
            <w:pPr>
              <w:spacing w:line="302" w:lineRule="auto"/>
              <w:rPr>
                <w:rFonts w:ascii="Arial"/>
                <w:color w:val="auto"/>
                <w:sz w:val="21"/>
                <w:highlight w:val="none"/>
              </w:rPr>
            </w:pPr>
          </w:p>
          <w:p w14:paraId="05F836F7">
            <w:pPr>
              <w:pStyle w:val="23"/>
              <w:spacing w:before="65" w:line="228" w:lineRule="auto"/>
              <w:ind w:left="157" w:leftChars="0"/>
              <w:rPr>
                <w:rFonts w:ascii="宋体" w:hAnsi="宋体" w:eastAsia="宋体" w:cs="宋体"/>
                <w:snapToGrid w:val="0"/>
                <w:color w:val="auto"/>
                <w:kern w:val="0"/>
                <w:sz w:val="20"/>
                <w:szCs w:val="20"/>
                <w:highlight w:val="none"/>
                <w:lang w:val="en-US" w:eastAsia="en-US" w:bidi="ar-SA"/>
              </w:rPr>
            </w:pPr>
            <w:r>
              <w:rPr>
                <w:color w:val="auto"/>
                <w:spacing w:val="6"/>
                <w:highlight w:val="none"/>
              </w:rPr>
              <w:t>路面工程</w:t>
            </w:r>
          </w:p>
        </w:tc>
        <w:tc>
          <w:tcPr>
            <w:tcW w:w="738" w:type="dxa"/>
            <w:vAlign w:val="center"/>
          </w:tcPr>
          <w:p w14:paraId="78C0A2DF">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0611FB3C">
            <w:pPr>
              <w:pStyle w:val="23"/>
              <w:spacing w:before="135" w:line="300" w:lineRule="auto"/>
              <w:ind w:left="111" w:leftChars="0" w:right="109" w:rightChars="0" w:firstLine="5" w:firstLineChars="0"/>
              <w:jc w:val="both"/>
              <w:rPr>
                <w:rFonts w:ascii="宋体" w:hAnsi="宋体" w:eastAsia="宋体" w:cs="宋体"/>
                <w:snapToGrid w:val="0"/>
                <w:color w:val="auto"/>
                <w:kern w:val="0"/>
                <w:sz w:val="20"/>
                <w:szCs w:val="20"/>
                <w:highlight w:val="none"/>
                <w:lang w:val="en-US" w:eastAsia="en-US" w:bidi="ar-SA"/>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技术职称；从事公路路面工程监理工作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5984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1F398D07">
            <w:pPr>
              <w:spacing w:line="251" w:lineRule="auto"/>
              <w:rPr>
                <w:rFonts w:ascii="Arial"/>
                <w:color w:val="auto"/>
                <w:sz w:val="21"/>
                <w:highlight w:val="none"/>
              </w:rPr>
            </w:pPr>
          </w:p>
          <w:p w14:paraId="0BCCC8D9">
            <w:pPr>
              <w:pStyle w:val="23"/>
              <w:spacing w:before="65" w:line="221" w:lineRule="auto"/>
              <w:ind w:left="156"/>
              <w:rPr>
                <w:color w:val="auto"/>
                <w:highlight w:val="none"/>
              </w:rPr>
            </w:pPr>
            <w:r>
              <w:rPr>
                <w:color w:val="auto"/>
                <w:spacing w:val="7"/>
                <w:highlight w:val="none"/>
              </w:rPr>
              <w:t>合同管理</w:t>
            </w:r>
          </w:p>
          <w:p w14:paraId="1206EEB0">
            <w:pPr>
              <w:pStyle w:val="23"/>
              <w:spacing w:before="103" w:line="228" w:lineRule="auto"/>
              <w:ind w:left="520" w:leftChars="0"/>
              <w:rPr>
                <w:rFonts w:ascii="宋体" w:hAnsi="宋体" w:eastAsia="宋体" w:cs="宋体"/>
                <w:snapToGrid w:val="0"/>
                <w:color w:val="auto"/>
                <w:kern w:val="0"/>
                <w:sz w:val="10"/>
                <w:szCs w:val="10"/>
                <w:highlight w:val="none"/>
                <w:lang w:val="en-US" w:eastAsia="en-US" w:bidi="ar-SA"/>
              </w:rPr>
            </w:pPr>
          </w:p>
        </w:tc>
        <w:tc>
          <w:tcPr>
            <w:tcW w:w="738" w:type="dxa"/>
            <w:vAlign w:val="center"/>
          </w:tcPr>
          <w:p w14:paraId="237AD3D5">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5A04B55F">
            <w:pPr>
              <w:pStyle w:val="23"/>
              <w:spacing w:before="138" w:line="288" w:lineRule="auto"/>
              <w:ind w:left="111" w:leftChars="0" w:right="107" w:rightChars="0" w:firstLine="5" w:firstLineChars="0"/>
              <w:jc w:val="both"/>
              <w:rPr>
                <w:rFonts w:ascii="宋体" w:hAnsi="宋体" w:eastAsia="宋体" w:cs="宋体"/>
                <w:snapToGrid w:val="0"/>
                <w:color w:val="auto"/>
                <w:kern w:val="0"/>
                <w:sz w:val="20"/>
                <w:szCs w:val="20"/>
                <w:highlight w:val="none"/>
                <w:lang w:val="en-US" w:eastAsia="en-US" w:bidi="ar-SA"/>
              </w:rPr>
            </w:pPr>
            <w:r>
              <w:rPr>
                <w:color w:val="auto"/>
                <w:spacing w:val="12"/>
                <w:highlight w:val="none"/>
              </w:rPr>
              <w:t>具有</w:t>
            </w:r>
            <w:r>
              <w:rPr>
                <w:color w:val="auto"/>
                <w:spacing w:val="-80"/>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一</w:t>
            </w:r>
            <w:r>
              <w:rPr>
                <w:color w:val="auto"/>
                <w:spacing w:val="8"/>
                <w:highlight w:val="none"/>
                <w:u w:val="single" w:color="auto"/>
              </w:rPr>
              <w:t xml:space="preserve">  </w:t>
            </w:r>
            <w:r>
              <w:rPr>
                <w:color w:val="auto"/>
                <w:spacing w:val="-86"/>
                <w:highlight w:val="none"/>
              </w:rPr>
              <w:t xml:space="preserve"> </w:t>
            </w:r>
            <w:r>
              <w:rPr>
                <w:color w:val="auto"/>
                <w:spacing w:val="12"/>
                <w:highlight w:val="none"/>
              </w:rPr>
              <w:t>级造价工程师注册证（交通运输工程专业，类别为公路）或交通</w:t>
            </w:r>
            <w:r>
              <w:rPr>
                <w:color w:val="auto"/>
                <w:spacing w:val="17"/>
                <w:highlight w:val="none"/>
              </w:rPr>
              <w:t>运输主管部门颁发的</w:t>
            </w:r>
            <w:r>
              <w:rPr>
                <w:color w:val="auto"/>
                <w:spacing w:val="-76"/>
                <w:highlight w:val="none"/>
              </w:rPr>
              <w:t xml:space="preserve"> </w:t>
            </w:r>
            <w:r>
              <w:rPr>
                <w:color w:val="auto"/>
                <w:spacing w:val="15"/>
                <w:highlight w:val="none"/>
                <w:u w:val="single" w:color="auto"/>
              </w:rPr>
              <w:t xml:space="preserve">  </w:t>
            </w:r>
            <w:r>
              <w:rPr>
                <w:rFonts w:hint="eastAsia"/>
                <w:color w:val="auto"/>
                <w:spacing w:val="15"/>
                <w:highlight w:val="none"/>
                <w:u w:val="single" w:color="auto"/>
                <w:lang w:eastAsia="zh-CN"/>
              </w:rPr>
              <w:t>甲</w:t>
            </w:r>
            <w:r>
              <w:rPr>
                <w:color w:val="auto"/>
                <w:spacing w:val="15"/>
                <w:highlight w:val="none"/>
                <w:u w:val="single" w:color="auto"/>
              </w:rPr>
              <w:t xml:space="preserve"> </w:t>
            </w:r>
            <w:r>
              <w:rPr>
                <w:color w:val="auto"/>
                <w:spacing w:val="-88"/>
                <w:highlight w:val="none"/>
              </w:rPr>
              <w:t xml:space="preserve"> </w:t>
            </w:r>
            <w:r>
              <w:rPr>
                <w:color w:val="auto"/>
                <w:spacing w:val="17"/>
                <w:highlight w:val="none"/>
              </w:rPr>
              <w:t>级公路造价人员证书；</w:t>
            </w:r>
            <w:r>
              <w:rPr>
                <w:color w:val="auto"/>
                <w:spacing w:val="-55"/>
                <w:highlight w:val="none"/>
              </w:rPr>
              <w:t xml:space="preserve"> </w:t>
            </w:r>
            <w:r>
              <w:rPr>
                <w:color w:val="auto"/>
                <w:spacing w:val="17"/>
                <w:highlight w:val="none"/>
              </w:rPr>
              <w:t>具有</w:t>
            </w:r>
            <w:r>
              <w:rPr>
                <w:color w:val="auto"/>
                <w:spacing w:val="17"/>
                <w:highlight w:val="none"/>
                <w:u w:val="single" w:color="auto"/>
              </w:rPr>
              <w:t>中级及以上</w:t>
            </w:r>
            <w:r>
              <w:rPr>
                <w:color w:val="auto"/>
                <w:spacing w:val="17"/>
                <w:highlight w:val="none"/>
              </w:rPr>
              <w:t>技术职</w:t>
            </w:r>
            <w:r>
              <w:rPr>
                <w:color w:val="auto"/>
                <w:spacing w:val="5"/>
                <w:highlight w:val="none"/>
              </w:rPr>
              <w:t>称，至少</w:t>
            </w:r>
            <w:r>
              <w:rPr>
                <w:color w:val="auto"/>
                <w:spacing w:val="-27"/>
                <w:highlight w:val="none"/>
              </w:rPr>
              <w:t xml:space="preserve"> </w:t>
            </w:r>
            <w:r>
              <w:rPr>
                <w:color w:val="auto"/>
                <w:spacing w:val="5"/>
                <w:highlight w:val="none"/>
              </w:rPr>
              <w:t>5</w:t>
            </w:r>
            <w:r>
              <w:rPr>
                <w:color w:val="auto"/>
                <w:spacing w:val="-37"/>
                <w:highlight w:val="none"/>
              </w:rPr>
              <w:t xml:space="preserve"> </w:t>
            </w:r>
            <w:r>
              <w:rPr>
                <w:color w:val="auto"/>
                <w:spacing w:val="5"/>
                <w:highlight w:val="none"/>
              </w:rPr>
              <w:t>年工作经验。</w:t>
            </w:r>
          </w:p>
        </w:tc>
      </w:tr>
      <w:tr w14:paraId="4A22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190F9843">
            <w:pPr>
              <w:spacing w:line="304" w:lineRule="auto"/>
              <w:rPr>
                <w:rFonts w:ascii="Arial"/>
                <w:color w:val="auto"/>
                <w:sz w:val="21"/>
                <w:highlight w:val="none"/>
              </w:rPr>
            </w:pPr>
          </w:p>
          <w:p w14:paraId="5DE66617">
            <w:pPr>
              <w:spacing w:line="305" w:lineRule="auto"/>
              <w:rPr>
                <w:rFonts w:ascii="Arial"/>
                <w:color w:val="auto"/>
                <w:sz w:val="21"/>
                <w:highlight w:val="none"/>
              </w:rPr>
            </w:pPr>
          </w:p>
          <w:p w14:paraId="63241640">
            <w:pPr>
              <w:pStyle w:val="23"/>
              <w:spacing w:before="65" w:line="228" w:lineRule="auto"/>
              <w:ind w:left="156"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测量工程</w:t>
            </w:r>
          </w:p>
        </w:tc>
        <w:tc>
          <w:tcPr>
            <w:tcW w:w="738" w:type="dxa"/>
            <w:vAlign w:val="center"/>
          </w:tcPr>
          <w:p w14:paraId="3D43945B">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4FFBFE89">
            <w:pPr>
              <w:pStyle w:val="23"/>
              <w:spacing w:before="138" w:line="299" w:lineRule="auto"/>
              <w:ind w:left="111" w:leftChars="0" w:right="109" w:rightChars="0" w:firstLine="5" w:firstLineChars="0"/>
              <w:jc w:val="both"/>
              <w:rPr>
                <w:rFonts w:ascii="宋体" w:hAnsi="宋体" w:eastAsia="宋体" w:cs="宋体"/>
                <w:snapToGrid w:val="0"/>
                <w:color w:val="auto"/>
                <w:kern w:val="0"/>
                <w:sz w:val="20"/>
                <w:szCs w:val="20"/>
                <w:highlight w:val="none"/>
                <w:lang w:val="en-US" w:eastAsia="en-US" w:bidi="ar-SA"/>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或具有交通运输部核发的公路工程专业监理工程师资格证书；具有路桥或测量相关专业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技术职称；从事监理工作</w:t>
            </w:r>
            <w:r>
              <w:rPr>
                <w:color w:val="auto"/>
                <w:spacing w:val="-29"/>
                <w:highlight w:val="none"/>
              </w:rPr>
              <w:t xml:space="preserve"> </w:t>
            </w:r>
            <w:r>
              <w:rPr>
                <w:color w:val="auto"/>
                <w:spacing w:val="7"/>
                <w:highlight w:val="none"/>
              </w:rPr>
              <w:t>5</w:t>
            </w:r>
            <w:r>
              <w:rPr>
                <w:color w:val="auto"/>
                <w:spacing w:val="-37"/>
                <w:highlight w:val="none"/>
              </w:rPr>
              <w:t xml:space="preserve"> </w:t>
            </w:r>
            <w:r>
              <w:rPr>
                <w:color w:val="auto"/>
                <w:spacing w:val="7"/>
                <w:highlight w:val="none"/>
              </w:rPr>
              <w:t>年以上。</w:t>
            </w:r>
          </w:p>
        </w:tc>
      </w:tr>
      <w:tr w14:paraId="1E18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66BC4217">
            <w:pPr>
              <w:spacing w:line="256" w:lineRule="auto"/>
              <w:rPr>
                <w:rFonts w:ascii="Arial"/>
                <w:color w:val="auto"/>
                <w:sz w:val="21"/>
                <w:highlight w:val="none"/>
              </w:rPr>
            </w:pPr>
          </w:p>
          <w:p w14:paraId="3D4A6368">
            <w:pPr>
              <w:spacing w:line="256" w:lineRule="auto"/>
              <w:rPr>
                <w:rFonts w:ascii="Arial"/>
                <w:color w:val="auto"/>
                <w:sz w:val="21"/>
                <w:highlight w:val="none"/>
              </w:rPr>
            </w:pPr>
          </w:p>
          <w:p w14:paraId="6D1A605B">
            <w:pPr>
              <w:spacing w:line="257" w:lineRule="auto"/>
              <w:rPr>
                <w:rFonts w:ascii="Arial"/>
                <w:color w:val="auto"/>
                <w:sz w:val="21"/>
                <w:highlight w:val="none"/>
              </w:rPr>
            </w:pPr>
          </w:p>
          <w:p w14:paraId="34C2B599">
            <w:pPr>
              <w:pStyle w:val="23"/>
              <w:spacing w:before="65" w:line="228" w:lineRule="auto"/>
              <w:ind w:left="159" w:leftChars="0"/>
              <w:rPr>
                <w:rFonts w:ascii="宋体" w:hAnsi="宋体" w:eastAsia="宋体" w:cs="宋体"/>
                <w:snapToGrid w:val="0"/>
                <w:color w:val="auto"/>
                <w:kern w:val="0"/>
                <w:sz w:val="20"/>
                <w:szCs w:val="20"/>
                <w:highlight w:val="none"/>
                <w:lang w:val="en-US" w:eastAsia="en-US" w:bidi="ar-SA"/>
              </w:rPr>
            </w:pPr>
            <w:r>
              <w:rPr>
                <w:color w:val="auto"/>
                <w:spacing w:val="6"/>
                <w:highlight w:val="none"/>
              </w:rPr>
              <w:t>安全环保</w:t>
            </w:r>
          </w:p>
        </w:tc>
        <w:tc>
          <w:tcPr>
            <w:tcW w:w="738" w:type="dxa"/>
            <w:vAlign w:val="center"/>
          </w:tcPr>
          <w:p w14:paraId="0B51120F">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1C49CB95">
            <w:pPr>
              <w:pStyle w:val="23"/>
              <w:spacing w:before="120" w:line="309" w:lineRule="auto"/>
              <w:ind w:left="111" w:leftChars="0" w:right="107" w:rightChars="0" w:firstLine="5" w:firstLineChars="0"/>
              <w:jc w:val="both"/>
              <w:rPr>
                <w:rFonts w:ascii="宋体" w:hAnsi="宋体" w:eastAsia="宋体" w:cs="宋体"/>
                <w:snapToGrid w:val="0"/>
                <w:color w:val="auto"/>
                <w:kern w:val="0"/>
                <w:sz w:val="20"/>
                <w:szCs w:val="20"/>
                <w:highlight w:val="none"/>
                <w:lang w:val="en-US" w:eastAsia="en-US" w:bidi="ar-SA"/>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或具有交通运输部核发的公路工程专业监理工程师资格证书；相关专业</w:t>
            </w:r>
            <w:r>
              <w:rPr>
                <w:color w:val="auto"/>
                <w:spacing w:val="13"/>
                <w:highlight w:val="none"/>
                <w:u w:val="single" w:color="auto"/>
              </w:rPr>
              <w:t>中级及以上</w:t>
            </w:r>
            <w:r>
              <w:rPr>
                <w:color w:val="auto"/>
                <w:spacing w:val="13"/>
                <w:highlight w:val="none"/>
              </w:rPr>
              <w:t>技术职称或应急管理部（原国家安全生产监督管理总局）核发的中级及以上注册安全</w:t>
            </w:r>
            <w:r>
              <w:rPr>
                <w:color w:val="auto"/>
                <w:spacing w:val="7"/>
                <w:highlight w:val="none"/>
              </w:rPr>
              <w:t>工程师证书；从事监理工作</w:t>
            </w:r>
            <w:r>
              <w:rPr>
                <w:color w:val="auto"/>
                <w:spacing w:val="-31"/>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1130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0905A687">
            <w:pPr>
              <w:spacing w:line="317" w:lineRule="auto"/>
              <w:rPr>
                <w:rFonts w:ascii="Arial"/>
                <w:color w:val="auto"/>
                <w:sz w:val="21"/>
                <w:highlight w:val="none"/>
              </w:rPr>
            </w:pPr>
          </w:p>
          <w:p w14:paraId="685E5664">
            <w:pPr>
              <w:pStyle w:val="23"/>
              <w:spacing w:before="65" w:line="334" w:lineRule="auto"/>
              <w:ind w:right="153" w:rightChars="0"/>
              <w:jc w:val="center"/>
              <w:rPr>
                <w:rFonts w:ascii="宋体" w:hAnsi="宋体" w:eastAsia="宋体" w:cs="宋体"/>
                <w:snapToGrid w:val="0"/>
                <w:color w:val="auto"/>
                <w:kern w:val="0"/>
                <w:sz w:val="20"/>
                <w:szCs w:val="20"/>
                <w:highlight w:val="none"/>
                <w:lang w:val="en-US" w:eastAsia="en-US" w:bidi="ar-SA"/>
              </w:rPr>
            </w:pPr>
            <w:r>
              <w:rPr>
                <w:color w:val="auto"/>
                <w:spacing w:val="6"/>
                <w:highlight w:val="none"/>
              </w:rPr>
              <w:t>专业工</w:t>
            </w:r>
            <w:r>
              <w:rPr>
                <w:color w:val="auto"/>
                <w:spacing w:val="5"/>
                <w:highlight w:val="none"/>
              </w:rPr>
              <w:t>程师</w:t>
            </w:r>
          </w:p>
        </w:tc>
        <w:tc>
          <w:tcPr>
            <w:tcW w:w="738" w:type="dxa"/>
            <w:vAlign w:val="center"/>
          </w:tcPr>
          <w:p w14:paraId="045B6823">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38B71CF8">
            <w:pPr>
              <w:pStyle w:val="23"/>
              <w:spacing w:before="65" w:line="334" w:lineRule="auto"/>
              <w:ind w:left="111" w:leftChars="0" w:right="109" w:rightChars="0" w:firstLine="5" w:firstLineChars="0"/>
              <w:rPr>
                <w:rFonts w:ascii="宋体" w:hAnsi="宋体" w:eastAsia="宋体" w:cs="宋体"/>
                <w:snapToGrid w:val="0"/>
                <w:color w:val="auto"/>
                <w:kern w:val="0"/>
                <w:sz w:val="20"/>
                <w:szCs w:val="20"/>
                <w:highlight w:val="none"/>
                <w:lang w:val="en-US" w:eastAsia="en-US" w:bidi="ar-SA"/>
              </w:rPr>
            </w:pPr>
            <w:r>
              <w:rPr>
                <w:color w:val="auto"/>
                <w:spacing w:val="14"/>
                <w:highlight w:val="none"/>
              </w:rPr>
              <w:t>具有工程类注册执业资格或具有</w:t>
            </w:r>
            <w:r>
              <w:rPr>
                <w:color w:val="auto"/>
                <w:spacing w:val="14"/>
                <w:highlight w:val="none"/>
                <w:u w:val="single" w:color="auto"/>
              </w:rPr>
              <w:t>中级及以上</w:t>
            </w:r>
            <w:r>
              <w:rPr>
                <w:color w:val="auto"/>
                <w:spacing w:val="14"/>
                <w:highlight w:val="none"/>
              </w:rPr>
              <w:t>专业技术职称；</w:t>
            </w:r>
            <w:r>
              <w:rPr>
                <w:color w:val="auto"/>
                <w:spacing w:val="14"/>
                <w:highlight w:val="none"/>
                <w:u w:val="single" w:color="auto"/>
              </w:rPr>
              <w:t>3</w:t>
            </w:r>
            <w:r>
              <w:rPr>
                <w:color w:val="auto"/>
                <w:spacing w:val="-22"/>
                <w:highlight w:val="none"/>
                <w:u w:val="single" w:color="auto"/>
              </w:rPr>
              <w:t xml:space="preserve"> </w:t>
            </w:r>
            <w:r>
              <w:rPr>
                <w:color w:val="auto"/>
                <w:spacing w:val="14"/>
                <w:highlight w:val="none"/>
              </w:rPr>
              <w:t>年及以上工</w:t>
            </w:r>
            <w:r>
              <w:rPr>
                <w:color w:val="auto"/>
                <w:spacing w:val="9"/>
                <w:highlight w:val="none"/>
              </w:rPr>
              <w:t>程实践经验；经过监理业务培训并经建设单位考核合格的监理人员。</w:t>
            </w:r>
          </w:p>
        </w:tc>
      </w:tr>
      <w:tr w14:paraId="41BA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44A9333D">
            <w:pPr>
              <w:pStyle w:val="23"/>
              <w:spacing w:before="123" w:line="273" w:lineRule="auto"/>
              <w:ind w:left="589" w:leftChars="0" w:right="153" w:rightChars="0" w:hanging="427" w:firstLineChars="0"/>
              <w:rPr>
                <w:rFonts w:ascii="宋体" w:hAnsi="宋体" w:eastAsia="宋体" w:cs="宋体"/>
                <w:snapToGrid w:val="0"/>
                <w:color w:val="auto"/>
                <w:kern w:val="0"/>
                <w:sz w:val="20"/>
                <w:szCs w:val="20"/>
                <w:highlight w:val="none"/>
                <w:lang w:val="en-US" w:eastAsia="en-US" w:bidi="ar-SA"/>
              </w:rPr>
            </w:pPr>
            <w:r>
              <w:rPr>
                <w:color w:val="auto"/>
                <w:spacing w:val="8"/>
                <w:highlight w:val="none"/>
              </w:rPr>
              <w:t>档案及竣工资料</w:t>
            </w:r>
            <w:r>
              <w:rPr>
                <w:color w:val="auto"/>
                <w:spacing w:val="4"/>
                <w:highlight w:val="none"/>
              </w:rPr>
              <w:t>负责人</w:t>
            </w:r>
          </w:p>
        </w:tc>
        <w:tc>
          <w:tcPr>
            <w:tcW w:w="738" w:type="dxa"/>
            <w:vAlign w:val="center"/>
          </w:tcPr>
          <w:p w14:paraId="799DE665">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0BF5FD08">
            <w:pPr>
              <w:pStyle w:val="23"/>
              <w:spacing w:before="123" w:line="273" w:lineRule="auto"/>
              <w:ind w:left="111" w:leftChars="0" w:right="109" w:rightChars="0" w:firstLine="5" w:firstLineChars="0"/>
              <w:rPr>
                <w:rFonts w:ascii="宋体" w:hAnsi="宋体" w:eastAsia="宋体" w:cs="宋体"/>
                <w:snapToGrid w:val="0"/>
                <w:color w:val="auto"/>
                <w:kern w:val="0"/>
                <w:sz w:val="20"/>
                <w:szCs w:val="20"/>
                <w:highlight w:val="none"/>
                <w:lang w:val="en-US" w:eastAsia="en-US" w:bidi="ar-SA"/>
              </w:rPr>
            </w:pPr>
            <w:r>
              <w:rPr>
                <w:color w:val="auto"/>
                <w:spacing w:val="13"/>
                <w:highlight w:val="none"/>
              </w:rPr>
              <w:t>具有路桥或土建相关专业</w:t>
            </w:r>
            <w:r>
              <w:rPr>
                <w:color w:val="auto"/>
                <w:spacing w:val="13"/>
                <w:highlight w:val="none"/>
                <w:u w:val="single" w:color="auto"/>
              </w:rPr>
              <w:t>初级及以上</w:t>
            </w:r>
            <w:r>
              <w:rPr>
                <w:color w:val="auto"/>
                <w:spacing w:val="13"/>
                <w:highlight w:val="none"/>
              </w:rPr>
              <w:t>技术职称，至少具有一个高速公路工</w:t>
            </w:r>
            <w:r>
              <w:rPr>
                <w:color w:val="auto"/>
                <w:spacing w:val="9"/>
                <w:highlight w:val="none"/>
              </w:rPr>
              <w:t>程项目竣工档案全过程编制和管理工作经验,熟悉计算机办公软件操作。</w:t>
            </w:r>
          </w:p>
        </w:tc>
      </w:tr>
      <w:tr w14:paraId="6DD0D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1154E2FE">
            <w:pPr>
              <w:pStyle w:val="23"/>
              <w:spacing w:before="303" w:line="229" w:lineRule="auto"/>
              <w:ind w:left="477" w:leftChars="0"/>
              <w:rPr>
                <w:rFonts w:ascii="宋体" w:hAnsi="宋体" w:eastAsia="宋体" w:cs="宋体"/>
                <w:snapToGrid w:val="0"/>
                <w:color w:val="auto"/>
                <w:kern w:val="0"/>
                <w:sz w:val="20"/>
                <w:szCs w:val="20"/>
                <w:highlight w:val="none"/>
                <w:lang w:val="en-US" w:eastAsia="en-US" w:bidi="ar-SA"/>
              </w:rPr>
            </w:pPr>
            <w:r>
              <w:rPr>
                <w:color w:val="auto"/>
                <w:spacing w:val="-1"/>
                <w:highlight w:val="none"/>
              </w:rPr>
              <w:t>监</w:t>
            </w:r>
            <w:r>
              <w:rPr>
                <w:color w:val="auto"/>
                <w:spacing w:val="16"/>
                <w:highlight w:val="none"/>
              </w:rPr>
              <w:t xml:space="preserve"> </w:t>
            </w:r>
            <w:r>
              <w:rPr>
                <w:color w:val="auto"/>
                <w:spacing w:val="-1"/>
                <w:highlight w:val="none"/>
              </w:rPr>
              <w:t>理</w:t>
            </w:r>
            <w:r>
              <w:rPr>
                <w:color w:val="auto"/>
                <w:spacing w:val="24"/>
                <w:highlight w:val="none"/>
              </w:rPr>
              <w:t xml:space="preserve"> </w:t>
            </w:r>
            <w:r>
              <w:rPr>
                <w:color w:val="auto"/>
                <w:spacing w:val="-1"/>
                <w:highlight w:val="none"/>
              </w:rPr>
              <w:t>员</w:t>
            </w:r>
          </w:p>
        </w:tc>
        <w:tc>
          <w:tcPr>
            <w:tcW w:w="738" w:type="dxa"/>
            <w:vAlign w:val="center"/>
          </w:tcPr>
          <w:p w14:paraId="3C6304FF">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21"/>
                <w:highlight w:val="none"/>
                <w:lang w:val="en-US" w:eastAsia="zh-CN"/>
              </w:rPr>
              <w:t>1</w:t>
            </w:r>
          </w:p>
        </w:tc>
        <w:tc>
          <w:tcPr>
            <w:tcW w:w="7059" w:type="dxa"/>
            <w:vAlign w:val="top"/>
          </w:tcPr>
          <w:p w14:paraId="7A41AE14">
            <w:pPr>
              <w:pStyle w:val="23"/>
              <w:spacing w:before="123" w:line="275" w:lineRule="auto"/>
              <w:ind w:left="113" w:leftChars="0" w:right="109" w:rightChars="0" w:firstLine="3" w:firstLineChars="0"/>
              <w:rPr>
                <w:rFonts w:ascii="宋体" w:hAnsi="宋体" w:eastAsia="宋体" w:cs="宋体"/>
                <w:snapToGrid w:val="0"/>
                <w:color w:val="auto"/>
                <w:kern w:val="0"/>
                <w:sz w:val="20"/>
                <w:szCs w:val="20"/>
                <w:highlight w:val="none"/>
                <w:lang w:val="en-US" w:eastAsia="en-US" w:bidi="ar-SA"/>
              </w:rPr>
            </w:pPr>
            <w:r>
              <w:rPr>
                <w:color w:val="auto"/>
                <w:spacing w:val="13"/>
                <w:highlight w:val="none"/>
              </w:rPr>
              <w:t>具有监理人员培训证书，路桥相关专业</w:t>
            </w:r>
            <w:r>
              <w:rPr>
                <w:color w:val="auto"/>
                <w:spacing w:val="13"/>
                <w:highlight w:val="none"/>
                <w:u w:val="single" w:color="auto"/>
              </w:rPr>
              <w:t>初级及以上</w:t>
            </w:r>
            <w:r>
              <w:rPr>
                <w:color w:val="auto"/>
                <w:spacing w:val="13"/>
                <w:highlight w:val="none"/>
              </w:rPr>
              <w:t>技术职称，从事监理工</w:t>
            </w:r>
            <w:r>
              <w:rPr>
                <w:color w:val="auto"/>
                <w:spacing w:val="2"/>
                <w:highlight w:val="none"/>
              </w:rPr>
              <w:t>作</w:t>
            </w:r>
            <w:r>
              <w:rPr>
                <w:color w:val="auto"/>
                <w:spacing w:val="16"/>
                <w:highlight w:val="none"/>
              </w:rPr>
              <w:t xml:space="preserve"> </w:t>
            </w:r>
            <w:r>
              <w:rPr>
                <w:color w:val="auto"/>
                <w:spacing w:val="2"/>
                <w:highlight w:val="none"/>
                <w:u w:val="single" w:color="auto"/>
              </w:rPr>
              <w:t>2</w:t>
            </w:r>
            <w:r>
              <w:rPr>
                <w:color w:val="auto"/>
                <w:spacing w:val="-37"/>
                <w:highlight w:val="none"/>
                <w:u w:val="single" w:color="auto"/>
              </w:rPr>
              <w:t xml:space="preserve"> </w:t>
            </w:r>
            <w:r>
              <w:rPr>
                <w:color w:val="auto"/>
                <w:spacing w:val="2"/>
                <w:highlight w:val="none"/>
              </w:rPr>
              <w:t>年以上。</w:t>
            </w:r>
          </w:p>
        </w:tc>
      </w:tr>
      <w:tr w14:paraId="6F8A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vAlign w:val="top"/>
          </w:tcPr>
          <w:p w14:paraId="37CB732A">
            <w:pPr>
              <w:pStyle w:val="23"/>
              <w:spacing w:before="303" w:line="229" w:lineRule="auto"/>
              <w:ind w:left="477"/>
              <w:rPr>
                <w:color w:val="auto"/>
                <w:spacing w:val="-1"/>
                <w:highlight w:val="none"/>
              </w:rPr>
            </w:pPr>
          </w:p>
        </w:tc>
        <w:tc>
          <w:tcPr>
            <w:tcW w:w="738" w:type="dxa"/>
            <w:vAlign w:val="center"/>
          </w:tcPr>
          <w:p w14:paraId="06ABD9B4">
            <w:pPr>
              <w:jc w:val="center"/>
              <w:rPr>
                <w:rFonts w:hint="eastAsia" w:eastAsia="宋体"/>
                <w:color w:val="auto"/>
                <w:sz w:val="21"/>
                <w:highlight w:val="none"/>
                <w:lang w:val="en-US" w:eastAsia="zh-CN"/>
              </w:rPr>
            </w:pPr>
          </w:p>
        </w:tc>
        <w:tc>
          <w:tcPr>
            <w:tcW w:w="7059" w:type="dxa"/>
            <w:vAlign w:val="top"/>
          </w:tcPr>
          <w:p w14:paraId="7ACF6DD2">
            <w:pPr>
              <w:pStyle w:val="23"/>
              <w:spacing w:before="123" w:line="275" w:lineRule="auto"/>
              <w:ind w:left="113" w:right="109" w:firstLine="3"/>
              <w:rPr>
                <w:color w:val="auto"/>
                <w:spacing w:val="13"/>
                <w:highlight w:val="none"/>
              </w:rPr>
            </w:pPr>
          </w:p>
        </w:tc>
      </w:tr>
    </w:tbl>
    <w:p w14:paraId="0CFE0EAD">
      <w:pPr>
        <w:spacing w:line="241" w:lineRule="auto"/>
        <w:rPr>
          <w:rFonts w:ascii="Arial"/>
          <w:color w:val="auto"/>
          <w:sz w:val="21"/>
          <w:highlight w:val="none"/>
        </w:rPr>
      </w:pPr>
    </w:p>
    <w:p w14:paraId="5C3E59EE">
      <w:pPr>
        <w:spacing w:line="241" w:lineRule="auto"/>
        <w:rPr>
          <w:rFonts w:ascii="Arial"/>
          <w:color w:val="auto"/>
          <w:sz w:val="21"/>
          <w:highlight w:val="none"/>
        </w:rPr>
      </w:pPr>
    </w:p>
    <w:p w14:paraId="5DEA9256">
      <w:pPr>
        <w:pStyle w:val="2"/>
        <w:rPr>
          <w:rFonts w:ascii="Arial"/>
          <w:color w:val="auto"/>
          <w:sz w:val="21"/>
          <w:highlight w:val="none"/>
        </w:rPr>
      </w:pPr>
    </w:p>
    <w:p w14:paraId="3D7A3B6E">
      <w:pPr>
        <w:pStyle w:val="2"/>
        <w:rPr>
          <w:rFonts w:ascii="Arial"/>
          <w:color w:val="auto"/>
          <w:sz w:val="21"/>
          <w:highlight w:val="none"/>
        </w:rPr>
      </w:pPr>
    </w:p>
    <w:p w14:paraId="3FCDB9AA">
      <w:pPr>
        <w:pStyle w:val="2"/>
        <w:rPr>
          <w:rFonts w:ascii="Arial"/>
          <w:color w:val="auto"/>
          <w:sz w:val="21"/>
          <w:highlight w:val="none"/>
        </w:rPr>
      </w:pPr>
    </w:p>
    <w:p w14:paraId="68DB7EBA">
      <w:pPr>
        <w:pStyle w:val="2"/>
        <w:rPr>
          <w:rFonts w:ascii="Arial"/>
          <w:color w:val="auto"/>
          <w:sz w:val="21"/>
          <w:highlight w:val="none"/>
        </w:rPr>
      </w:pPr>
    </w:p>
    <w:p w14:paraId="0C949FF2">
      <w:pPr>
        <w:pStyle w:val="2"/>
        <w:rPr>
          <w:rFonts w:ascii="Arial"/>
          <w:color w:val="auto"/>
          <w:sz w:val="21"/>
          <w:highlight w:val="none"/>
        </w:rPr>
      </w:pPr>
    </w:p>
    <w:p w14:paraId="0684E54B">
      <w:pPr>
        <w:pStyle w:val="2"/>
        <w:rPr>
          <w:rFonts w:ascii="Arial"/>
          <w:color w:val="auto"/>
          <w:sz w:val="21"/>
          <w:highlight w:val="none"/>
        </w:rPr>
      </w:pPr>
    </w:p>
    <w:p w14:paraId="1DCAB5AA">
      <w:pPr>
        <w:pStyle w:val="2"/>
        <w:rPr>
          <w:rFonts w:ascii="Arial"/>
          <w:color w:val="auto"/>
          <w:sz w:val="21"/>
          <w:highlight w:val="none"/>
        </w:rPr>
      </w:pPr>
    </w:p>
    <w:p w14:paraId="3BD40D44">
      <w:pPr>
        <w:spacing w:before="173" w:line="263" w:lineRule="exact"/>
        <w:ind w:left="134"/>
        <w:outlineLvl w:val="1"/>
        <w:rPr>
          <w:rFonts w:ascii="宋体" w:hAnsi="宋体" w:eastAsia="宋体" w:cs="宋体"/>
          <w:b/>
          <w:bCs/>
          <w:color w:val="auto"/>
          <w:spacing w:val="8"/>
          <w:sz w:val="20"/>
          <w:szCs w:val="20"/>
          <w:highlight w:val="none"/>
        </w:rPr>
      </w:pPr>
      <w:bookmarkStart w:id="712" w:name="bookmark151"/>
      <w:bookmarkEnd w:id="712"/>
      <w:bookmarkStart w:id="713" w:name="_Toc21761"/>
      <w:bookmarkStart w:id="714" w:name="_Toc30101"/>
      <w:bookmarkStart w:id="715" w:name="_Toc9371"/>
    </w:p>
    <w:p w14:paraId="0751A68D">
      <w:pPr>
        <w:spacing w:before="173" w:line="263" w:lineRule="exact"/>
        <w:ind w:left="134"/>
        <w:outlineLvl w:val="1"/>
        <w:rPr>
          <w:rFonts w:ascii="宋体" w:hAnsi="宋体" w:eastAsia="宋体" w:cs="宋体"/>
          <w:color w:val="auto"/>
          <w:sz w:val="10"/>
          <w:szCs w:val="10"/>
          <w:highlight w:val="none"/>
        </w:rPr>
      </w:pPr>
      <w:bookmarkStart w:id="716" w:name="_Toc20173"/>
      <w:r>
        <w:rPr>
          <w:rFonts w:ascii="宋体" w:hAnsi="宋体" w:eastAsia="宋体" w:cs="宋体"/>
          <w:b/>
          <w:bCs/>
          <w:color w:val="auto"/>
          <w:spacing w:val="8"/>
          <w:sz w:val="20"/>
          <w:szCs w:val="20"/>
          <w:highlight w:val="none"/>
        </w:rPr>
        <w:t>附件四：主要试验检测设备最低要求</w:t>
      </w:r>
      <w:bookmarkEnd w:id="713"/>
      <w:bookmarkEnd w:id="714"/>
      <w:bookmarkEnd w:id="715"/>
      <w:bookmarkEnd w:id="716"/>
    </w:p>
    <w:p w14:paraId="717F071D">
      <w:pPr>
        <w:spacing w:line="29" w:lineRule="exact"/>
        <w:rPr>
          <w:color w:val="auto"/>
          <w:highlight w:val="none"/>
        </w:rPr>
      </w:pPr>
    </w:p>
    <w:tbl>
      <w:tblPr>
        <w:tblStyle w:val="22"/>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2977"/>
        <w:gridCol w:w="1501"/>
        <w:gridCol w:w="2385"/>
      </w:tblGrid>
      <w:tr w14:paraId="46C4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25" w:type="dxa"/>
            <w:vAlign w:val="center"/>
          </w:tcPr>
          <w:p w14:paraId="08E2E59F">
            <w:pPr>
              <w:pStyle w:val="23"/>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color w:val="auto"/>
                <w:highlight w:val="none"/>
              </w:rPr>
            </w:pPr>
            <w:r>
              <w:rPr>
                <w:color w:val="auto"/>
                <w:spacing w:val="6"/>
                <w:highlight w:val="none"/>
              </w:rPr>
              <w:t>设备名称</w:t>
            </w:r>
          </w:p>
        </w:tc>
        <w:tc>
          <w:tcPr>
            <w:tcW w:w="2977" w:type="dxa"/>
            <w:vAlign w:val="center"/>
          </w:tcPr>
          <w:p w14:paraId="0A5F51DD">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8"/>
                <w:highlight w:val="none"/>
              </w:rPr>
              <w:t>规格、功率及容量</w:t>
            </w:r>
          </w:p>
        </w:tc>
        <w:tc>
          <w:tcPr>
            <w:tcW w:w="1501" w:type="dxa"/>
            <w:vAlign w:val="center"/>
          </w:tcPr>
          <w:p w14:paraId="77107CC1">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3"/>
                <w:highlight w:val="none"/>
              </w:rPr>
              <w:t>单位</w:t>
            </w:r>
          </w:p>
        </w:tc>
        <w:tc>
          <w:tcPr>
            <w:tcW w:w="2385" w:type="dxa"/>
            <w:vAlign w:val="center"/>
          </w:tcPr>
          <w:p w14:paraId="7D7939A8">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7"/>
                <w:highlight w:val="none"/>
              </w:rPr>
              <w:t>最低数量要求</w:t>
            </w:r>
          </w:p>
        </w:tc>
      </w:tr>
      <w:tr w14:paraId="2842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5" w:type="dxa"/>
            <w:vAlign w:val="center"/>
          </w:tcPr>
          <w:p w14:paraId="1094EA08">
            <w:pPr>
              <w:jc w:val="center"/>
              <w:rPr>
                <w:rFonts w:hint="eastAsia" w:ascii="Arial" w:hAnsi="Arial" w:eastAsia="Arial" w:cs="Arial"/>
                <w:snapToGrid w:val="0"/>
                <w:color w:val="auto"/>
                <w:kern w:val="0"/>
                <w:sz w:val="21"/>
                <w:szCs w:val="21"/>
                <w:highlight w:val="none"/>
                <w:lang w:val="en-US" w:eastAsia="zh-CN" w:bidi="ar-SA"/>
              </w:rPr>
            </w:pPr>
            <w:r>
              <w:rPr>
                <w:color w:val="auto"/>
                <w:szCs w:val="21"/>
                <w:highlight w:val="none"/>
              </w:rPr>
              <w:t>烘箱（中型</w:t>
            </w:r>
            <w:r>
              <w:rPr>
                <w:rFonts w:hint="eastAsia"/>
                <w:color w:val="auto"/>
                <w:szCs w:val="21"/>
                <w:highlight w:val="none"/>
              </w:rPr>
              <w:t>）</w:t>
            </w:r>
          </w:p>
        </w:tc>
        <w:tc>
          <w:tcPr>
            <w:tcW w:w="2977" w:type="dxa"/>
            <w:vAlign w:val="center"/>
          </w:tcPr>
          <w:p w14:paraId="168B9E20">
            <w:pPr>
              <w:jc w:val="center"/>
              <w:rPr>
                <w:rFonts w:hint="default" w:ascii="Arial" w:hAnsi="Arial" w:eastAsia="Arial" w:cs="Arial"/>
                <w:snapToGrid w:val="0"/>
                <w:color w:val="auto"/>
                <w:kern w:val="0"/>
                <w:sz w:val="21"/>
                <w:szCs w:val="21"/>
                <w:highlight w:val="none"/>
                <w:lang w:val="en-US" w:eastAsia="zh-CN" w:bidi="ar-SA"/>
              </w:rPr>
            </w:pPr>
          </w:p>
        </w:tc>
        <w:tc>
          <w:tcPr>
            <w:tcW w:w="1501" w:type="dxa"/>
            <w:vAlign w:val="center"/>
          </w:tcPr>
          <w:p w14:paraId="46B14B1F">
            <w:pPr>
              <w:jc w:val="center"/>
              <w:rPr>
                <w:rFonts w:hint="default" w:ascii="Arial" w:hAnsi="Arial" w:eastAsia="Arial" w:cs="Arial"/>
                <w:snapToGrid w:val="0"/>
                <w:color w:val="auto"/>
                <w:kern w:val="0"/>
                <w:sz w:val="21"/>
                <w:szCs w:val="21"/>
                <w:highlight w:val="none"/>
                <w:lang w:val="en-US" w:eastAsia="zh-CN" w:bidi="ar-SA"/>
              </w:rPr>
            </w:pPr>
            <w:r>
              <w:rPr>
                <w:color w:val="auto"/>
                <w:sz w:val="19"/>
                <w:szCs w:val="19"/>
                <w:highlight w:val="none"/>
              </w:rPr>
              <w:t>台</w:t>
            </w:r>
          </w:p>
        </w:tc>
        <w:tc>
          <w:tcPr>
            <w:tcW w:w="2385" w:type="dxa"/>
            <w:vAlign w:val="center"/>
          </w:tcPr>
          <w:p w14:paraId="3A75E1A0">
            <w:pPr>
              <w:jc w:val="center"/>
              <w:rPr>
                <w:rFonts w:hint="eastAsia" w:ascii="Arial" w:hAnsi="Arial" w:eastAsia="Arial" w:cs="Arial"/>
                <w:snapToGrid w:val="0"/>
                <w:color w:val="auto"/>
                <w:kern w:val="0"/>
                <w:sz w:val="21"/>
                <w:szCs w:val="21"/>
                <w:highlight w:val="none"/>
                <w:lang w:val="en-US" w:eastAsia="zh-CN" w:bidi="ar-SA"/>
              </w:rPr>
            </w:pPr>
            <w:r>
              <w:rPr>
                <w:rFonts w:hint="eastAsia"/>
                <w:color w:val="auto"/>
                <w:szCs w:val="21"/>
                <w:highlight w:val="none"/>
              </w:rPr>
              <w:t>1</w:t>
            </w:r>
          </w:p>
        </w:tc>
      </w:tr>
      <w:tr w14:paraId="2D4B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0918144">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重型击实仪</w:t>
            </w:r>
          </w:p>
        </w:tc>
        <w:tc>
          <w:tcPr>
            <w:tcW w:w="2977" w:type="dxa"/>
            <w:vAlign w:val="center"/>
          </w:tcPr>
          <w:p w14:paraId="0FA8EDF3">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0926E09">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89EEF6F">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06B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E2A3CA8">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砂相对密度仪</w:t>
            </w:r>
          </w:p>
        </w:tc>
        <w:tc>
          <w:tcPr>
            <w:tcW w:w="2977" w:type="dxa"/>
            <w:vAlign w:val="center"/>
          </w:tcPr>
          <w:p w14:paraId="2214585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4442DEC">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28BF9ED">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744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135B0DE0">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膨胀量测定装置</w:t>
            </w:r>
          </w:p>
        </w:tc>
        <w:tc>
          <w:tcPr>
            <w:tcW w:w="2977" w:type="dxa"/>
            <w:vAlign w:val="center"/>
          </w:tcPr>
          <w:p w14:paraId="27B4B1F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3473F6D">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A31A868">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6F06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0FD13F7">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CBR 试验仪</w:t>
            </w:r>
          </w:p>
        </w:tc>
        <w:tc>
          <w:tcPr>
            <w:tcW w:w="2977" w:type="dxa"/>
            <w:vAlign w:val="center"/>
          </w:tcPr>
          <w:p w14:paraId="41F548C4">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7.5kN 30kN</w:t>
            </w:r>
          </w:p>
        </w:tc>
        <w:tc>
          <w:tcPr>
            <w:tcW w:w="1501" w:type="dxa"/>
            <w:vAlign w:val="center"/>
          </w:tcPr>
          <w:p w14:paraId="26D80C50">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226047B2">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4A6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4FA0FD96">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电子天平</w:t>
            </w:r>
          </w:p>
        </w:tc>
        <w:tc>
          <w:tcPr>
            <w:tcW w:w="2977" w:type="dxa"/>
            <w:vAlign w:val="center"/>
          </w:tcPr>
          <w:p w14:paraId="16D0FBD8">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30kg 1g 3kg 0.1g 200g</w:t>
            </w:r>
          </w:p>
        </w:tc>
        <w:tc>
          <w:tcPr>
            <w:tcW w:w="1501" w:type="dxa"/>
            <w:vAlign w:val="center"/>
          </w:tcPr>
          <w:p w14:paraId="71647EF6">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B96F5EF">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22F8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0FF2B642">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摇筛机</w:t>
            </w:r>
          </w:p>
        </w:tc>
        <w:tc>
          <w:tcPr>
            <w:tcW w:w="2977" w:type="dxa"/>
            <w:vAlign w:val="center"/>
          </w:tcPr>
          <w:p w14:paraId="14BA311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BC66FDA">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5DEB27A">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192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5D6BD2A">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脱模机</w:t>
            </w:r>
          </w:p>
        </w:tc>
        <w:tc>
          <w:tcPr>
            <w:tcW w:w="2977" w:type="dxa"/>
            <w:vAlign w:val="center"/>
          </w:tcPr>
          <w:p w14:paraId="3F63B827">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A415A46">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301C4A1">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814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E6E848F">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压力机</w:t>
            </w:r>
          </w:p>
        </w:tc>
        <w:tc>
          <w:tcPr>
            <w:tcW w:w="2977" w:type="dxa"/>
            <w:vAlign w:val="center"/>
          </w:tcPr>
          <w:p w14:paraId="622A52CF">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2000kN</w:t>
            </w:r>
          </w:p>
        </w:tc>
        <w:tc>
          <w:tcPr>
            <w:tcW w:w="1501" w:type="dxa"/>
            <w:vAlign w:val="center"/>
          </w:tcPr>
          <w:p w14:paraId="39344029">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457E4E7">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2CD4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DD03AF1">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砼坍落度仪</w:t>
            </w:r>
          </w:p>
        </w:tc>
        <w:tc>
          <w:tcPr>
            <w:tcW w:w="2977" w:type="dxa"/>
            <w:vAlign w:val="center"/>
          </w:tcPr>
          <w:p w14:paraId="4C85354E">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TLY-1</w:t>
            </w:r>
          </w:p>
        </w:tc>
        <w:tc>
          <w:tcPr>
            <w:tcW w:w="1501" w:type="dxa"/>
            <w:vAlign w:val="center"/>
          </w:tcPr>
          <w:p w14:paraId="28DB7774">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B4D730D">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4E1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204F75E">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砼拌和机</w:t>
            </w:r>
          </w:p>
        </w:tc>
        <w:tc>
          <w:tcPr>
            <w:tcW w:w="2977" w:type="dxa"/>
            <w:vAlign w:val="center"/>
          </w:tcPr>
          <w:p w14:paraId="76827FED">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60L</w:t>
            </w:r>
          </w:p>
        </w:tc>
        <w:tc>
          <w:tcPr>
            <w:tcW w:w="1501" w:type="dxa"/>
            <w:vAlign w:val="center"/>
          </w:tcPr>
          <w:p w14:paraId="76B20A1D">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B504C4A">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335A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84D2DE1">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砼振实台</w:t>
            </w:r>
          </w:p>
        </w:tc>
        <w:tc>
          <w:tcPr>
            <w:tcW w:w="2977" w:type="dxa"/>
            <w:vAlign w:val="center"/>
          </w:tcPr>
          <w:p w14:paraId="3922302F">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B0B28D0">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3DFEF503">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33B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B640A4C">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压力试验机</w:t>
            </w:r>
          </w:p>
        </w:tc>
        <w:tc>
          <w:tcPr>
            <w:tcW w:w="2977" w:type="dxa"/>
            <w:vAlign w:val="center"/>
          </w:tcPr>
          <w:p w14:paraId="69D3645D">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B46C4EC">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5ABC263">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598C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25" w:type="dxa"/>
            <w:vAlign w:val="center"/>
          </w:tcPr>
          <w:p w14:paraId="70C9DA75">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砼抗折机</w:t>
            </w:r>
          </w:p>
        </w:tc>
        <w:tc>
          <w:tcPr>
            <w:tcW w:w="2977" w:type="dxa"/>
            <w:vAlign w:val="center"/>
          </w:tcPr>
          <w:p w14:paraId="2A59C415">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3A8F86F">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9A799EB">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32FC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AB87AF9">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砼抗压试模</w:t>
            </w:r>
          </w:p>
        </w:tc>
        <w:tc>
          <w:tcPr>
            <w:tcW w:w="2977" w:type="dxa"/>
            <w:vAlign w:val="center"/>
          </w:tcPr>
          <w:p w14:paraId="42671E5B">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150*150*</w:t>
            </w:r>
            <w:r>
              <w:rPr>
                <w:rFonts w:hint="eastAsia"/>
                <w:color w:val="auto"/>
                <w:szCs w:val="21"/>
                <w:highlight w:val="none"/>
              </w:rPr>
              <w:t>1</w:t>
            </w:r>
            <w:r>
              <w:rPr>
                <w:color w:val="auto"/>
                <w:szCs w:val="21"/>
                <w:highlight w:val="none"/>
              </w:rPr>
              <w:t>50mm</w:t>
            </w:r>
          </w:p>
        </w:tc>
        <w:tc>
          <w:tcPr>
            <w:tcW w:w="1501" w:type="dxa"/>
            <w:vAlign w:val="center"/>
          </w:tcPr>
          <w:p w14:paraId="29FCBFCF">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组</w:t>
            </w:r>
          </w:p>
        </w:tc>
        <w:tc>
          <w:tcPr>
            <w:tcW w:w="2385" w:type="dxa"/>
            <w:vAlign w:val="center"/>
          </w:tcPr>
          <w:p w14:paraId="5D45D69D">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10</w:t>
            </w:r>
          </w:p>
        </w:tc>
      </w:tr>
      <w:tr w14:paraId="67AA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5DD4D148">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砼抗折试模</w:t>
            </w:r>
          </w:p>
        </w:tc>
        <w:tc>
          <w:tcPr>
            <w:tcW w:w="2977" w:type="dxa"/>
            <w:vAlign w:val="center"/>
          </w:tcPr>
          <w:p w14:paraId="73914E89">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150*150*550mm</w:t>
            </w:r>
          </w:p>
        </w:tc>
        <w:tc>
          <w:tcPr>
            <w:tcW w:w="1501" w:type="dxa"/>
            <w:vAlign w:val="center"/>
          </w:tcPr>
          <w:p w14:paraId="1556EEB3">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组</w:t>
            </w:r>
          </w:p>
        </w:tc>
        <w:tc>
          <w:tcPr>
            <w:tcW w:w="2385" w:type="dxa"/>
            <w:vAlign w:val="center"/>
          </w:tcPr>
          <w:p w14:paraId="2A031F5A">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Cs w:val="21"/>
                <w:highlight w:val="none"/>
                <w:lang w:val="en-US" w:eastAsia="zh-CN"/>
              </w:rPr>
              <w:t>5</w:t>
            </w:r>
          </w:p>
        </w:tc>
      </w:tr>
      <w:tr w14:paraId="5D1FC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554E4BE">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砼贯入阻力仪</w:t>
            </w:r>
          </w:p>
        </w:tc>
        <w:tc>
          <w:tcPr>
            <w:tcW w:w="2977" w:type="dxa"/>
            <w:vAlign w:val="center"/>
          </w:tcPr>
          <w:p w14:paraId="79FAFDAF">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9E3D828">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B5CDE68">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20CFB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FCE3020">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净浆稠度仪</w:t>
            </w:r>
          </w:p>
        </w:tc>
        <w:tc>
          <w:tcPr>
            <w:tcW w:w="2977" w:type="dxa"/>
            <w:vAlign w:val="center"/>
          </w:tcPr>
          <w:p w14:paraId="6512D917">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0B21B66">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BA485E7">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175AE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A93B809">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雷氏夹</w:t>
            </w:r>
          </w:p>
        </w:tc>
        <w:tc>
          <w:tcPr>
            <w:tcW w:w="2977" w:type="dxa"/>
            <w:vAlign w:val="center"/>
          </w:tcPr>
          <w:p w14:paraId="4B89CE65">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D8161F0">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A8A51D8">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2B92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B3AFBDC">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标准养护箱</w:t>
            </w:r>
          </w:p>
        </w:tc>
        <w:tc>
          <w:tcPr>
            <w:tcW w:w="2977" w:type="dxa"/>
            <w:vAlign w:val="center"/>
          </w:tcPr>
          <w:p w14:paraId="0D5E7DA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F46F22A">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BBC73E1">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5C85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3989319">
            <w:pPr>
              <w:jc w:val="center"/>
              <w:rPr>
                <w:rFonts w:ascii="Arial" w:hAnsi="Arial" w:eastAsia="Arial" w:cs="Arial"/>
                <w:snapToGrid w:val="0"/>
                <w:color w:val="auto"/>
                <w:kern w:val="0"/>
                <w:sz w:val="21"/>
                <w:szCs w:val="21"/>
                <w:highlight w:val="none"/>
                <w:lang w:val="en-US" w:eastAsia="en-US" w:bidi="ar-SA"/>
              </w:rPr>
            </w:pPr>
            <w:r>
              <w:rPr>
                <w:color w:val="auto"/>
                <w:highlight w:val="none"/>
              </w:rPr>
              <w:t>水泥稠度仪</w:t>
            </w:r>
          </w:p>
        </w:tc>
        <w:tc>
          <w:tcPr>
            <w:tcW w:w="2977" w:type="dxa"/>
            <w:vAlign w:val="center"/>
          </w:tcPr>
          <w:p w14:paraId="2A32BC58">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957432A">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CB17B33">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48E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DB540F7">
            <w:pPr>
              <w:jc w:val="center"/>
              <w:rPr>
                <w:rFonts w:ascii="Arial" w:hAnsi="Arial" w:eastAsia="Arial" w:cs="Arial"/>
                <w:snapToGrid w:val="0"/>
                <w:color w:val="auto"/>
                <w:kern w:val="0"/>
                <w:sz w:val="21"/>
                <w:szCs w:val="21"/>
                <w:highlight w:val="none"/>
                <w:lang w:val="en-US" w:eastAsia="en-US" w:bidi="ar-SA"/>
              </w:rPr>
            </w:pPr>
            <w:r>
              <w:rPr>
                <w:color w:val="auto"/>
                <w:highlight w:val="none"/>
              </w:rPr>
              <w:t>水泥净浆机</w:t>
            </w:r>
          </w:p>
        </w:tc>
        <w:tc>
          <w:tcPr>
            <w:tcW w:w="2977" w:type="dxa"/>
            <w:vAlign w:val="center"/>
          </w:tcPr>
          <w:p w14:paraId="34DCC42C">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7C4F0504">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1225351">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195A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3AF425E">
            <w:pPr>
              <w:jc w:val="center"/>
              <w:rPr>
                <w:rFonts w:ascii="Arial" w:hAnsi="Arial" w:eastAsia="Arial" w:cs="Arial"/>
                <w:snapToGrid w:val="0"/>
                <w:color w:val="auto"/>
                <w:kern w:val="0"/>
                <w:sz w:val="21"/>
                <w:szCs w:val="21"/>
                <w:highlight w:val="none"/>
                <w:lang w:val="en-US" w:eastAsia="en-US" w:bidi="ar-SA"/>
              </w:rPr>
            </w:pPr>
            <w:r>
              <w:rPr>
                <w:color w:val="auto"/>
                <w:highlight w:val="none"/>
              </w:rPr>
              <w:t>水泥沸煮箱</w:t>
            </w:r>
          </w:p>
        </w:tc>
        <w:tc>
          <w:tcPr>
            <w:tcW w:w="2977" w:type="dxa"/>
            <w:vAlign w:val="center"/>
          </w:tcPr>
          <w:p w14:paraId="4DCCD63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7BEA566C">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F8FE2F1">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075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7EAAB8C">
            <w:pPr>
              <w:jc w:val="center"/>
              <w:rPr>
                <w:rFonts w:ascii="Arial" w:hAnsi="Arial" w:eastAsia="Arial" w:cs="Arial"/>
                <w:snapToGrid w:val="0"/>
                <w:color w:val="auto"/>
                <w:kern w:val="0"/>
                <w:sz w:val="21"/>
                <w:szCs w:val="21"/>
                <w:highlight w:val="none"/>
                <w:lang w:val="en-US" w:eastAsia="en-US" w:bidi="ar-SA"/>
              </w:rPr>
            </w:pPr>
            <w:r>
              <w:rPr>
                <w:color w:val="auto"/>
                <w:highlight w:val="none"/>
              </w:rPr>
              <w:t>水泥电动抗折机</w:t>
            </w:r>
          </w:p>
        </w:tc>
        <w:tc>
          <w:tcPr>
            <w:tcW w:w="2977" w:type="dxa"/>
            <w:vAlign w:val="center"/>
          </w:tcPr>
          <w:p w14:paraId="35BE706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FFB973E">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893418E">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F39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425" w:type="dxa"/>
            <w:vAlign w:val="center"/>
          </w:tcPr>
          <w:p w14:paraId="3C75EE87">
            <w:pPr>
              <w:jc w:val="center"/>
              <w:rPr>
                <w:rFonts w:ascii="Arial" w:hAnsi="Arial" w:eastAsia="Arial" w:cs="Arial"/>
                <w:snapToGrid w:val="0"/>
                <w:color w:val="auto"/>
                <w:kern w:val="0"/>
                <w:sz w:val="21"/>
                <w:szCs w:val="21"/>
                <w:highlight w:val="none"/>
                <w:lang w:val="en-US" w:eastAsia="en-US" w:bidi="ar-SA"/>
              </w:rPr>
            </w:pPr>
            <w:r>
              <w:rPr>
                <w:color w:val="auto"/>
                <w:highlight w:val="none"/>
              </w:rPr>
              <w:t>水泥细度负压筛</w:t>
            </w:r>
          </w:p>
        </w:tc>
        <w:tc>
          <w:tcPr>
            <w:tcW w:w="2977" w:type="dxa"/>
            <w:vAlign w:val="center"/>
          </w:tcPr>
          <w:p w14:paraId="3E275172">
            <w:pPr>
              <w:jc w:val="center"/>
              <w:rPr>
                <w:color w:val="auto"/>
                <w:szCs w:val="21"/>
                <w:highlight w:val="none"/>
              </w:rPr>
            </w:pPr>
          </w:p>
          <w:p w14:paraId="01823B1C">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9145BBB">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6C933D6">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CD46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9590449">
            <w:pPr>
              <w:jc w:val="center"/>
              <w:rPr>
                <w:rFonts w:ascii="Arial" w:hAnsi="Arial" w:eastAsia="Arial" w:cs="Arial"/>
                <w:snapToGrid w:val="0"/>
                <w:color w:val="auto"/>
                <w:kern w:val="0"/>
                <w:sz w:val="21"/>
                <w:szCs w:val="21"/>
                <w:highlight w:val="none"/>
                <w:lang w:val="en-US" w:eastAsia="en-US" w:bidi="ar-SA"/>
              </w:rPr>
            </w:pPr>
            <w:r>
              <w:rPr>
                <w:color w:val="auto"/>
                <w:highlight w:val="none"/>
              </w:rPr>
              <w:t>水泥比表面积仪</w:t>
            </w:r>
          </w:p>
        </w:tc>
        <w:tc>
          <w:tcPr>
            <w:tcW w:w="2977" w:type="dxa"/>
            <w:vAlign w:val="center"/>
          </w:tcPr>
          <w:p w14:paraId="5AD1BD9E">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E41A5D4">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111A10B">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8C9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9DEBB8A">
            <w:pPr>
              <w:jc w:val="center"/>
              <w:rPr>
                <w:rFonts w:ascii="Arial" w:hAnsi="Arial" w:eastAsia="Arial" w:cs="Arial"/>
                <w:snapToGrid w:val="0"/>
                <w:color w:val="auto"/>
                <w:kern w:val="0"/>
                <w:sz w:val="21"/>
                <w:szCs w:val="21"/>
                <w:highlight w:val="none"/>
                <w:lang w:val="en-US" w:eastAsia="en-US" w:bidi="ar-SA"/>
              </w:rPr>
            </w:pPr>
            <w:r>
              <w:rPr>
                <w:color w:val="auto"/>
                <w:highlight w:val="none"/>
              </w:rPr>
              <w:t>水泥稠度仪</w:t>
            </w:r>
          </w:p>
        </w:tc>
        <w:tc>
          <w:tcPr>
            <w:tcW w:w="2977" w:type="dxa"/>
            <w:vAlign w:val="center"/>
          </w:tcPr>
          <w:p w14:paraId="3ACF20C3">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CA9E1F1">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30C3D22B">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D57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3C6CBC9">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砼含气量测定仪</w:t>
            </w:r>
          </w:p>
        </w:tc>
        <w:tc>
          <w:tcPr>
            <w:tcW w:w="2977" w:type="dxa"/>
            <w:vAlign w:val="center"/>
          </w:tcPr>
          <w:p w14:paraId="0DFDCE01">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5E9E81D">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7BD380B">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2244F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152F22EF">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水泥软练试模</w:t>
            </w:r>
          </w:p>
        </w:tc>
        <w:tc>
          <w:tcPr>
            <w:tcW w:w="2977" w:type="dxa"/>
            <w:vAlign w:val="center"/>
          </w:tcPr>
          <w:p w14:paraId="629A418A">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40*40*160mm</w:t>
            </w:r>
          </w:p>
        </w:tc>
        <w:tc>
          <w:tcPr>
            <w:tcW w:w="1501" w:type="dxa"/>
            <w:vAlign w:val="center"/>
          </w:tcPr>
          <w:p w14:paraId="6A5651EE">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组</w:t>
            </w:r>
          </w:p>
        </w:tc>
        <w:tc>
          <w:tcPr>
            <w:tcW w:w="2385" w:type="dxa"/>
            <w:vAlign w:val="center"/>
          </w:tcPr>
          <w:p w14:paraId="4B60A840">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F7BE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68BFC564">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水泥净浆搅拌机</w:t>
            </w:r>
          </w:p>
        </w:tc>
        <w:tc>
          <w:tcPr>
            <w:tcW w:w="2977" w:type="dxa"/>
            <w:vAlign w:val="center"/>
          </w:tcPr>
          <w:p w14:paraId="40F67B7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67E538C">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A4ED316">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C7A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597A86EB">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水泥胶浆搅拌机</w:t>
            </w:r>
          </w:p>
        </w:tc>
        <w:tc>
          <w:tcPr>
            <w:tcW w:w="2977" w:type="dxa"/>
            <w:vAlign w:val="center"/>
          </w:tcPr>
          <w:p w14:paraId="5F07A44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CA25CF6">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2CD8BE3E">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772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592C5CCF">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水泥胶砂振实台</w:t>
            </w:r>
          </w:p>
        </w:tc>
        <w:tc>
          <w:tcPr>
            <w:tcW w:w="2977" w:type="dxa"/>
            <w:vAlign w:val="center"/>
          </w:tcPr>
          <w:p w14:paraId="3F34C261">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1DBFD5D">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2875E2C">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C81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7F34A7B5">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水泥沸煮箱</w:t>
            </w:r>
          </w:p>
        </w:tc>
        <w:tc>
          <w:tcPr>
            <w:tcW w:w="2977" w:type="dxa"/>
            <w:vAlign w:val="center"/>
          </w:tcPr>
          <w:p w14:paraId="6B15074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33A0860">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9F597B5">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A1D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62464972">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砂浆稠度仪</w:t>
            </w:r>
          </w:p>
        </w:tc>
        <w:tc>
          <w:tcPr>
            <w:tcW w:w="2977" w:type="dxa"/>
            <w:vAlign w:val="center"/>
          </w:tcPr>
          <w:p w14:paraId="0761297E">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3498376">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334CBEAA">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1154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6FA58EEF">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水泥抗压夹具</w:t>
            </w:r>
          </w:p>
        </w:tc>
        <w:tc>
          <w:tcPr>
            <w:tcW w:w="2977" w:type="dxa"/>
            <w:vAlign w:val="center"/>
          </w:tcPr>
          <w:p w14:paraId="1C3CC935">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DE5C17F">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9CAA71E">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E11E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F27819E">
            <w:pPr>
              <w:jc w:val="center"/>
              <w:rPr>
                <w:rFonts w:hint="eastAsia" w:ascii="Arial" w:hAnsi="Arial" w:eastAsia="Arial" w:cs="Arial"/>
                <w:snapToGrid w:val="0"/>
                <w:color w:val="auto"/>
                <w:kern w:val="0"/>
                <w:sz w:val="21"/>
                <w:szCs w:val="21"/>
                <w:highlight w:val="none"/>
                <w:lang w:val="en-US" w:eastAsia="en-US" w:bidi="ar-SA"/>
              </w:rPr>
            </w:pPr>
            <w:r>
              <w:rPr>
                <w:color w:val="auto"/>
                <w:szCs w:val="21"/>
                <w:highlight w:val="none"/>
              </w:rPr>
              <w:t>砼回弹仪</w:t>
            </w:r>
          </w:p>
        </w:tc>
        <w:tc>
          <w:tcPr>
            <w:tcW w:w="2977" w:type="dxa"/>
            <w:vAlign w:val="center"/>
          </w:tcPr>
          <w:p w14:paraId="52DF0239">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FD70DA8">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05F3D20">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F44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24506461">
            <w:pPr>
              <w:jc w:val="center"/>
              <w:rPr>
                <w:rFonts w:hint="eastAsia" w:ascii="Arial" w:hAnsi="Arial" w:eastAsia="Arial" w:cs="Arial"/>
                <w:snapToGrid w:val="0"/>
                <w:color w:val="auto"/>
                <w:kern w:val="0"/>
                <w:sz w:val="21"/>
                <w:szCs w:val="21"/>
                <w:highlight w:val="none"/>
                <w:lang w:val="en-US" w:eastAsia="en-US" w:bidi="ar-SA"/>
              </w:rPr>
            </w:pPr>
            <w:r>
              <w:rPr>
                <w:color w:val="auto"/>
                <w:szCs w:val="21"/>
                <w:highlight w:val="none"/>
              </w:rPr>
              <w:t>电子称</w:t>
            </w:r>
          </w:p>
        </w:tc>
        <w:tc>
          <w:tcPr>
            <w:tcW w:w="2977" w:type="dxa"/>
            <w:vAlign w:val="center"/>
          </w:tcPr>
          <w:p w14:paraId="43FF894D">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100kg5g</w:t>
            </w:r>
          </w:p>
        </w:tc>
        <w:tc>
          <w:tcPr>
            <w:tcW w:w="1501" w:type="dxa"/>
            <w:vAlign w:val="center"/>
          </w:tcPr>
          <w:p w14:paraId="3B22C1BD">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8F8B6CD">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E7C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74F90F03">
            <w:pPr>
              <w:jc w:val="center"/>
              <w:rPr>
                <w:rFonts w:hint="eastAsia" w:ascii="Arial" w:hAnsi="Arial" w:eastAsia="Arial" w:cs="Arial"/>
                <w:snapToGrid w:val="0"/>
                <w:color w:val="auto"/>
                <w:kern w:val="0"/>
                <w:sz w:val="21"/>
                <w:szCs w:val="21"/>
                <w:highlight w:val="none"/>
                <w:lang w:val="en-US" w:eastAsia="en-US" w:bidi="ar-SA"/>
              </w:rPr>
            </w:pPr>
            <w:r>
              <w:rPr>
                <w:color w:val="auto"/>
                <w:szCs w:val="21"/>
                <w:highlight w:val="none"/>
              </w:rPr>
              <w:t>石子筛</w:t>
            </w:r>
          </w:p>
        </w:tc>
        <w:tc>
          <w:tcPr>
            <w:tcW w:w="2977" w:type="dxa"/>
            <w:vAlign w:val="center"/>
          </w:tcPr>
          <w:p w14:paraId="7C30707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4F3EE98">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78D18A0">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56F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2120E3FF">
            <w:pPr>
              <w:jc w:val="center"/>
              <w:rPr>
                <w:rFonts w:hint="eastAsia" w:ascii="Arial" w:hAnsi="Arial" w:eastAsia="Arial" w:cs="Arial"/>
                <w:snapToGrid w:val="0"/>
                <w:color w:val="auto"/>
                <w:kern w:val="0"/>
                <w:sz w:val="21"/>
                <w:szCs w:val="21"/>
                <w:highlight w:val="none"/>
                <w:lang w:val="en-US" w:eastAsia="en-US" w:bidi="ar-SA"/>
              </w:rPr>
            </w:pPr>
            <w:r>
              <w:rPr>
                <w:color w:val="auto"/>
                <w:szCs w:val="21"/>
                <w:highlight w:val="none"/>
              </w:rPr>
              <w:t>砂筛</w:t>
            </w:r>
          </w:p>
        </w:tc>
        <w:tc>
          <w:tcPr>
            <w:tcW w:w="2977" w:type="dxa"/>
            <w:vAlign w:val="center"/>
          </w:tcPr>
          <w:p w14:paraId="657ADA7F">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902864A">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279BA0DA">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4B1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F115364">
            <w:pPr>
              <w:jc w:val="center"/>
              <w:rPr>
                <w:rFonts w:hint="eastAsia" w:ascii="Arial" w:hAnsi="Arial" w:eastAsia="Arial" w:cs="Arial"/>
                <w:snapToGrid w:val="0"/>
                <w:color w:val="auto"/>
                <w:kern w:val="0"/>
                <w:sz w:val="21"/>
                <w:szCs w:val="21"/>
                <w:highlight w:val="none"/>
                <w:lang w:val="en-US" w:eastAsia="en-US" w:bidi="ar-SA"/>
              </w:rPr>
            </w:pPr>
            <w:r>
              <w:rPr>
                <w:color w:val="auto"/>
                <w:szCs w:val="21"/>
                <w:highlight w:val="none"/>
              </w:rPr>
              <w:t>砂浆试模</w:t>
            </w:r>
          </w:p>
        </w:tc>
        <w:tc>
          <w:tcPr>
            <w:tcW w:w="2977" w:type="dxa"/>
            <w:vAlign w:val="center"/>
          </w:tcPr>
          <w:p w14:paraId="573141D2">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70.7*70.7*70.7mm</w:t>
            </w:r>
          </w:p>
        </w:tc>
        <w:tc>
          <w:tcPr>
            <w:tcW w:w="1501" w:type="dxa"/>
            <w:vAlign w:val="center"/>
          </w:tcPr>
          <w:p w14:paraId="15099D60">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组</w:t>
            </w:r>
          </w:p>
        </w:tc>
        <w:tc>
          <w:tcPr>
            <w:tcW w:w="2385" w:type="dxa"/>
            <w:vAlign w:val="center"/>
          </w:tcPr>
          <w:p w14:paraId="6EB9C96D">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10</w:t>
            </w:r>
          </w:p>
        </w:tc>
      </w:tr>
      <w:tr w14:paraId="4D9C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0BD15E98">
            <w:pPr>
              <w:pStyle w:val="23"/>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color w:val="auto"/>
                <w:highlight w:val="none"/>
              </w:rPr>
            </w:pPr>
            <w:r>
              <w:rPr>
                <w:color w:val="auto"/>
                <w:spacing w:val="6"/>
                <w:highlight w:val="none"/>
              </w:rPr>
              <w:t>设备名称</w:t>
            </w:r>
          </w:p>
        </w:tc>
        <w:tc>
          <w:tcPr>
            <w:tcW w:w="2977" w:type="dxa"/>
            <w:vAlign w:val="center"/>
          </w:tcPr>
          <w:p w14:paraId="2525B98D">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8"/>
                <w:highlight w:val="none"/>
              </w:rPr>
              <w:t>规格、功率及容量</w:t>
            </w:r>
          </w:p>
        </w:tc>
        <w:tc>
          <w:tcPr>
            <w:tcW w:w="1501" w:type="dxa"/>
            <w:vAlign w:val="center"/>
          </w:tcPr>
          <w:p w14:paraId="24C36EE1">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3"/>
                <w:highlight w:val="none"/>
              </w:rPr>
              <w:t>单位</w:t>
            </w:r>
          </w:p>
        </w:tc>
        <w:tc>
          <w:tcPr>
            <w:tcW w:w="2385" w:type="dxa"/>
            <w:vAlign w:val="center"/>
          </w:tcPr>
          <w:p w14:paraId="46495A63">
            <w:pPr>
              <w:pStyle w:val="23"/>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color w:val="auto"/>
                <w:highlight w:val="none"/>
              </w:rPr>
            </w:pPr>
            <w:r>
              <w:rPr>
                <w:color w:val="auto"/>
                <w:spacing w:val="7"/>
                <w:highlight w:val="none"/>
              </w:rPr>
              <w:t>最低数量要求</w:t>
            </w:r>
          </w:p>
        </w:tc>
      </w:tr>
      <w:tr w14:paraId="0776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5" w:type="dxa"/>
            <w:vAlign w:val="center"/>
          </w:tcPr>
          <w:p w14:paraId="587AA81B">
            <w:pPr>
              <w:jc w:val="center"/>
              <w:rPr>
                <w:rFonts w:hint="eastAsia" w:ascii="Arial" w:hAnsi="Arial" w:eastAsia="Arial" w:cs="Arial"/>
                <w:snapToGrid w:val="0"/>
                <w:color w:val="auto"/>
                <w:kern w:val="0"/>
                <w:sz w:val="21"/>
                <w:szCs w:val="21"/>
                <w:highlight w:val="none"/>
                <w:lang w:val="en-US" w:eastAsia="zh-CN" w:bidi="ar-SA"/>
              </w:rPr>
            </w:pPr>
            <w:r>
              <w:rPr>
                <w:color w:val="auto"/>
                <w:szCs w:val="21"/>
                <w:highlight w:val="none"/>
              </w:rPr>
              <w:t>压碎指标值测定仪</w:t>
            </w:r>
          </w:p>
        </w:tc>
        <w:tc>
          <w:tcPr>
            <w:tcW w:w="2977" w:type="dxa"/>
            <w:vAlign w:val="center"/>
          </w:tcPr>
          <w:p w14:paraId="6F1126BB">
            <w:pPr>
              <w:jc w:val="center"/>
              <w:rPr>
                <w:rFonts w:hint="default" w:ascii="Arial" w:hAnsi="Arial" w:eastAsia="Arial" w:cs="Arial"/>
                <w:snapToGrid w:val="0"/>
                <w:color w:val="auto"/>
                <w:kern w:val="0"/>
                <w:sz w:val="21"/>
                <w:szCs w:val="21"/>
                <w:highlight w:val="none"/>
                <w:lang w:val="en-US" w:eastAsia="zh-CN" w:bidi="ar-SA"/>
              </w:rPr>
            </w:pPr>
          </w:p>
        </w:tc>
        <w:tc>
          <w:tcPr>
            <w:tcW w:w="1501" w:type="dxa"/>
            <w:vAlign w:val="center"/>
          </w:tcPr>
          <w:p w14:paraId="12D16A62">
            <w:pPr>
              <w:jc w:val="center"/>
              <w:rPr>
                <w:rFonts w:hint="default" w:ascii="Arial" w:hAnsi="Arial" w:eastAsia="Arial" w:cs="Arial"/>
                <w:snapToGrid w:val="0"/>
                <w:color w:val="auto"/>
                <w:kern w:val="0"/>
                <w:sz w:val="21"/>
                <w:szCs w:val="21"/>
                <w:highlight w:val="none"/>
                <w:lang w:val="en-US" w:eastAsia="zh-CN" w:bidi="ar-SA"/>
              </w:rPr>
            </w:pPr>
            <w:r>
              <w:rPr>
                <w:color w:val="auto"/>
                <w:sz w:val="19"/>
                <w:szCs w:val="19"/>
                <w:highlight w:val="none"/>
              </w:rPr>
              <w:t>台</w:t>
            </w:r>
          </w:p>
        </w:tc>
        <w:tc>
          <w:tcPr>
            <w:tcW w:w="2385" w:type="dxa"/>
            <w:vAlign w:val="center"/>
          </w:tcPr>
          <w:p w14:paraId="70493B40">
            <w:pPr>
              <w:jc w:val="center"/>
              <w:rPr>
                <w:rFonts w:hint="eastAsia" w:ascii="Arial" w:hAnsi="Arial" w:eastAsia="Arial" w:cs="Arial"/>
                <w:snapToGrid w:val="0"/>
                <w:color w:val="auto"/>
                <w:kern w:val="0"/>
                <w:sz w:val="21"/>
                <w:szCs w:val="21"/>
                <w:highlight w:val="none"/>
                <w:lang w:val="en-US" w:eastAsia="zh-CN" w:bidi="ar-SA"/>
              </w:rPr>
            </w:pPr>
            <w:r>
              <w:rPr>
                <w:rFonts w:hint="eastAsia"/>
                <w:color w:val="auto"/>
                <w:szCs w:val="21"/>
                <w:highlight w:val="none"/>
              </w:rPr>
              <w:t>1</w:t>
            </w:r>
          </w:p>
        </w:tc>
      </w:tr>
      <w:tr w14:paraId="15D3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4872A7D">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振筛机</w:t>
            </w:r>
          </w:p>
        </w:tc>
        <w:tc>
          <w:tcPr>
            <w:tcW w:w="2977" w:type="dxa"/>
            <w:vAlign w:val="center"/>
          </w:tcPr>
          <w:p w14:paraId="7312477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947A4CB">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2142DA3A">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A03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EF69CA5">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砂石标准筛</w:t>
            </w:r>
          </w:p>
        </w:tc>
        <w:tc>
          <w:tcPr>
            <w:tcW w:w="2977" w:type="dxa"/>
            <w:vAlign w:val="center"/>
          </w:tcPr>
          <w:p w14:paraId="57AB4EB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E3C8D7C">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套</w:t>
            </w:r>
          </w:p>
        </w:tc>
        <w:tc>
          <w:tcPr>
            <w:tcW w:w="2385" w:type="dxa"/>
            <w:vAlign w:val="center"/>
          </w:tcPr>
          <w:p w14:paraId="071C6616">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17D3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783CE97A">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石料磨耗机</w:t>
            </w:r>
          </w:p>
        </w:tc>
        <w:tc>
          <w:tcPr>
            <w:tcW w:w="2977" w:type="dxa"/>
            <w:vAlign w:val="center"/>
          </w:tcPr>
          <w:p w14:paraId="3F9216F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F3C2CE4">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96D1B3E">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F3F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E18DE34">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针片状规准仪</w:t>
            </w:r>
          </w:p>
        </w:tc>
        <w:tc>
          <w:tcPr>
            <w:tcW w:w="2977" w:type="dxa"/>
            <w:vAlign w:val="center"/>
          </w:tcPr>
          <w:p w14:paraId="27A8612E">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776FAC22">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11BCEB3">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1CDE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360C9DEB">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游标卡尺</w:t>
            </w:r>
          </w:p>
        </w:tc>
        <w:tc>
          <w:tcPr>
            <w:tcW w:w="2977" w:type="dxa"/>
            <w:vAlign w:val="center"/>
          </w:tcPr>
          <w:p w14:paraId="227380F9">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300</w:t>
            </w:r>
            <w:r>
              <w:rPr>
                <w:color w:val="auto"/>
                <w:szCs w:val="21"/>
                <w:highlight w:val="none"/>
              </w:rPr>
              <w:t>mm</w:t>
            </w:r>
          </w:p>
        </w:tc>
        <w:tc>
          <w:tcPr>
            <w:tcW w:w="1501" w:type="dxa"/>
            <w:vAlign w:val="center"/>
          </w:tcPr>
          <w:p w14:paraId="0BEC02C5">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把</w:t>
            </w:r>
          </w:p>
        </w:tc>
        <w:tc>
          <w:tcPr>
            <w:tcW w:w="2385" w:type="dxa"/>
            <w:vAlign w:val="center"/>
          </w:tcPr>
          <w:p w14:paraId="35F91437">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A19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018A4438">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容积升</w:t>
            </w:r>
          </w:p>
        </w:tc>
        <w:tc>
          <w:tcPr>
            <w:tcW w:w="2977" w:type="dxa"/>
            <w:vAlign w:val="center"/>
          </w:tcPr>
          <w:p w14:paraId="5F6932FE">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5586BA8">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套</w:t>
            </w:r>
          </w:p>
        </w:tc>
        <w:tc>
          <w:tcPr>
            <w:tcW w:w="2385" w:type="dxa"/>
            <w:vAlign w:val="center"/>
          </w:tcPr>
          <w:p w14:paraId="5E2AF46D">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7C7E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6DE90EE">
            <w:pPr>
              <w:jc w:val="center"/>
              <w:rPr>
                <w:rFonts w:ascii="Arial" w:hAnsi="Arial" w:eastAsia="Arial" w:cs="Arial"/>
                <w:snapToGrid w:val="0"/>
                <w:color w:val="auto"/>
                <w:kern w:val="0"/>
                <w:sz w:val="21"/>
                <w:szCs w:val="21"/>
                <w:highlight w:val="none"/>
                <w:lang w:val="en-US" w:eastAsia="en-US" w:bidi="ar-SA"/>
              </w:rPr>
            </w:pPr>
            <w:r>
              <w:rPr>
                <w:color w:val="auto"/>
                <w:szCs w:val="21"/>
                <w:highlight w:val="none"/>
              </w:rPr>
              <w:t>石子压实仪</w:t>
            </w:r>
          </w:p>
        </w:tc>
        <w:tc>
          <w:tcPr>
            <w:tcW w:w="2977" w:type="dxa"/>
            <w:vAlign w:val="center"/>
          </w:tcPr>
          <w:p w14:paraId="5067AD5A">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98D3E9A">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台</w:t>
            </w:r>
          </w:p>
        </w:tc>
        <w:tc>
          <w:tcPr>
            <w:tcW w:w="2385" w:type="dxa"/>
            <w:vAlign w:val="center"/>
          </w:tcPr>
          <w:p w14:paraId="4822529D">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3CFF5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1742F49">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lang w:eastAsia="zh-CN"/>
              </w:rPr>
              <w:t>沥青混合料马歇尔试验</w:t>
            </w:r>
          </w:p>
        </w:tc>
        <w:tc>
          <w:tcPr>
            <w:tcW w:w="2977" w:type="dxa"/>
            <w:vAlign w:val="center"/>
          </w:tcPr>
          <w:p w14:paraId="6F74C243">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彩显、附打字机</w:t>
            </w:r>
          </w:p>
        </w:tc>
        <w:tc>
          <w:tcPr>
            <w:tcW w:w="1501" w:type="dxa"/>
            <w:vAlign w:val="center"/>
          </w:tcPr>
          <w:p w14:paraId="40104DF5">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79F9030">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857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4879B82">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沥青混合料搅拌机</w:t>
            </w:r>
          </w:p>
        </w:tc>
        <w:tc>
          <w:tcPr>
            <w:tcW w:w="2977" w:type="dxa"/>
            <w:vAlign w:val="center"/>
          </w:tcPr>
          <w:p w14:paraId="6CB13BFD">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5D27872">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6C32380">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05CA9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1EEDC07">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沥青抽提仪</w:t>
            </w:r>
          </w:p>
        </w:tc>
        <w:tc>
          <w:tcPr>
            <w:tcW w:w="2977" w:type="dxa"/>
            <w:vAlign w:val="center"/>
          </w:tcPr>
          <w:p w14:paraId="55778F7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375B760">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393E0C22">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3EA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E291485">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 xml:space="preserve">恒温水浴 </w:t>
            </w:r>
          </w:p>
        </w:tc>
        <w:tc>
          <w:tcPr>
            <w:tcW w:w="2977" w:type="dxa"/>
            <w:vAlign w:val="center"/>
          </w:tcPr>
          <w:p w14:paraId="7F1A58E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73D3DB6">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CDF7D8A">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00B33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7FAE360">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马歇尔击实仪</w:t>
            </w:r>
          </w:p>
        </w:tc>
        <w:tc>
          <w:tcPr>
            <w:tcW w:w="2977" w:type="dxa"/>
            <w:vAlign w:val="center"/>
          </w:tcPr>
          <w:p w14:paraId="40E4F21C">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4579AB4">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AA28495">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39E32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97C5BC0">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沥青薄膜旋转烘箱</w:t>
            </w:r>
          </w:p>
        </w:tc>
        <w:tc>
          <w:tcPr>
            <w:tcW w:w="2977" w:type="dxa"/>
            <w:vAlign w:val="center"/>
          </w:tcPr>
          <w:p w14:paraId="6DDFC21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4E13C15">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506E18F6">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7E16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C20D6F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 xml:space="preserve">沥青针入度仪      </w:t>
            </w:r>
          </w:p>
        </w:tc>
        <w:tc>
          <w:tcPr>
            <w:tcW w:w="2977" w:type="dxa"/>
            <w:vAlign w:val="center"/>
          </w:tcPr>
          <w:p w14:paraId="2F831F5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15C5960">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5BFF1BD">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56EC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538F47A">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沥青延度仪</w:t>
            </w:r>
          </w:p>
        </w:tc>
        <w:tc>
          <w:tcPr>
            <w:tcW w:w="2977" w:type="dxa"/>
            <w:vAlign w:val="center"/>
          </w:tcPr>
          <w:p w14:paraId="2CB808B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09B71A5">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268A946">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16747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F33B621">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沥青软化点仪</w:t>
            </w:r>
          </w:p>
        </w:tc>
        <w:tc>
          <w:tcPr>
            <w:tcW w:w="2977" w:type="dxa"/>
            <w:vAlign w:val="center"/>
          </w:tcPr>
          <w:p w14:paraId="384084FD">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798290F7">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1F78B46">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2E69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5B3224FC">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沥青燃点仪</w:t>
            </w:r>
          </w:p>
        </w:tc>
        <w:tc>
          <w:tcPr>
            <w:tcW w:w="2977" w:type="dxa"/>
            <w:vAlign w:val="center"/>
          </w:tcPr>
          <w:p w14:paraId="62CF0059">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41BFF1D">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69B31452">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02D9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556B6420">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沥青粘度仪</w:t>
            </w:r>
          </w:p>
        </w:tc>
        <w:tc>
          <w:tcPr>
            <w:tcW w:w="2977" w:type="dxa"/>
            <w:vAlign w:val="center"/>
          </w:tcPr>
          <w:p w14:paraId="2ADA3EA7">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F933652">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3CF8CB3">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68D5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04D60F0">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沥青闪点仪</w:t>
            </w:r>
          </w:p>
        </w:tc>
        <w:tc>
          <w:tcPr>
            <w:tcW w:w="2977" w:type="dxa"/>
            <w:vAlign w:val="center"/>
          </w:tcPr>
          <w:p w14:paraId="4EE868E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1BEEE4D">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A3E0FC2">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7CD67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75A502B">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沥青脆点仪</w:t>
            </w:r>
          </w:p>
        </w:tc>
        <w:tc>
          <w:tcPr>
            <w:tcW w:w="2977" w:type="dxa"/>
            <w:vAlign w:val="center"/>
          </w:tcPr>
          <w:p w14:paraId="40899C87">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1F17A8E">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F292D46">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7337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A41512E">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车辙仪</w:t>
            </w:r>
          </w:p>
        </w:tc>
        <w:tc>
          <w:tcPr>
            <w:tcW w:w="2977" w:type="dxa"/>
            <w:vAlign w:val="center"/>
          </w:tcPr>
          <w:p w14:paraId="1AFA151D">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48603EB">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42F7387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4769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6F1CA1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燃烧炉</w:t>
            </w:r>
          </w:p>
        </w:tc>
        <w:tc>
          <w:tcPr>
            <w:tcW w:w="2977" w:type="dxa"/>
            <w:vAlign w:val="center"/>
          </w:tcPr>
          <w:p w14:paraId="62ABB4E8">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4FAF93A4">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olor w:val="auto"/>
                <w:sz w:val="19"/>
                <w:szCs w:val="19"/>
                <w:highlight w:val="none"/>
                <w:lang w:eastAsia="zh-CN"/>
              </w:rPr>
              <w:t>个</w:t>
            </w:r>
          </w:p>
        </w:tc>
        <w:tc>
          <w:tcPr>
            <w:tcW w:w="2385" w:type="dxa"/>
            <w:vAlign w:val="center"/>
          </w:tcPr>
          <w:p w14:paraId="6F71C7F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3D7D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067B2B1">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沥青最大理论密度仪</w:t>
            </w:r>
          </w:p>
        </w:tc>
        <w:tc>
          <w:tcPr>
            <w:tcW w:w="2977" w:type="dxa"/>
            <w:vAlign w:val="center"/>
          </w:tcPr>
          <w:p w14:paraId="085B90C7">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094ECE3">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39F23AB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401D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763FAD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浸水天平</w:t>
            </w:r>
          </w:p>
        </w:tc>
        <w:tc>
          <w:tcPr>
            <w:tcW w:w="2977" w:type="dxa"/>
            <w:vAlign w:val="center"/>
          </w:tcPr>
          <w:p w14:paraId="1C28F77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5BBCE41">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0200D91">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38B3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B5DE557">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路面渗水试验仪</w:t>
            </w:r>
          </w:p>
        </w:tc>
        <w:tc>
          <w:tcPr>
            <w:tcW w:w="2977" w:type="dxa"/>
            <w:vAlign w:val="center"/>
          </w:tcPr>
          <w:p w14:paraId="77C72323">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7275B1DD">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EC487D9">
            <w:pPr>
              <w:jc w:val="center"/>
              <w:rPr>
                <w:rFonts w:ascii="Arial" w:hAnsi="Arial" w:eastAsia="Arial" w:cs="Arial"/>
                <w:snapToGrid w:val="0"/>
                <w:color w:val="auto"/>
                <w:kern w:val="0"/>
                <w:sz w:val="21"/>
                <w:szCs w:val="21"/>
                <w:highlight w:val="none"/>
                <w:lang w:val="en-US" w:eastAsia="en-US" w:bidi="ar-SA"/>
              </w:rPr>
            </w:pPr>
            <w:r>
              <w:rPr>
                <w:rFonts w:hint="eastAsia"/>
                <w:color w:val="auto"/>
                <w:highlight w:val="none"/>
              </w:rPr>
              <w:t>1</w:t>
            </w:r>
          </w:p>
        </w:tc>
      </w:tr>
      <w:tr w14:paraId="13542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17202CB4">
            <w:pPr>
              <w:jc w:val="center"/>
              <w:rPr>
                <w:rFonts w:ascii="Arial" w:hAnsi="Arial" w:eastAsia="Arial" w:cs="Arial"/>
                <w:snapToGrid w:val="0"/>
                <w:color w:val="auto"/>
                <w:kern w:val="0"/>
                <w:sz w:val="21"/>
                <w:szCs w:val="21"/>
                <w:highlight w:val="none"/>
                <w:lang w:val="en-US" w:eastAsia="en-US" w:bidi="ar-SA"/>
              </w:rPr>
            </w:pPr>
            <w:r>
              <w:rPr>
                <w:color w:val="auto"/>
                <w:highlight w:val="none"/>
              </w:rPr>
              <w:t>万能材料试验机</w:t>
            </w:r>
          </w:p>
        </w:tc>
        <w:tc>
          <w:tcPr>
            <w:tcW w:w="2977" w:type="dxa"/>
            <w:vAlign w:val="center"/>
          </w:tcPr>
          <w:p w14:paraId="4C2EF1D2">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6DC8B7B">
            <w:pPr>
              <w:jc w:val="center"/>
              <w:rPr>
                <w:rFonts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B9437FA">
            <w:pPr>
              <w:jc w:val="center"/>
              <w:rPr>
                <w:rFonts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017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28C031AA">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冷弯冲头</w:t>
            </w:r>
          </w:p>
        </w:tc>
        <w:tc>
          <w:tcPr>
            <w:tcW w:w="2977" w:type="dxa"/>
            <w:vAlign w:val="center"/>
          </w:tcPr>
          <w:p w14:paraId="3EB3ABE3">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700798A">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26555D5">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E062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6B772354">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钢筋打点机</w:t>
            </w:r>
          </w:p>
        </w:tc>
        <w:tc>
          <w:tcPr>
            <w:tcW w:w="2977" w:type="dxa"/>
            <w:vAlign w:val="center"/>
          </w:tcPr>
          <w:p w14:paraId="6EFEA548">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4C15F54">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CC63727">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3D1B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0C1B796E">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逆反射系数测量仪</w:t>
            </w:r>
          </w:p>
        </w:tc>
        <w:tc>
          <w:tcPr>
            <w:tcW w:w="2977" w:type="dxa"/>
            <w:vAlign w:val="center"/>
          </w:tcPr>
          <w:p w14:paraId="539AEFF6">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E094F27">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81E8B7F">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529D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4E666668">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色彩色差仪</w:t>
            </w:r>
          </w:p>
        </w:tc>
        <w:tc>
          <w:tcPr>
            <w:tcW w:w="2977" w:type="dxa"/>
            <w:vAlign w:val="center"/>
          </w:tcPr>
          <w:p w14:paraId="3C7FECD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9E63BAE">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70519EF">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49F2B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089FF0C">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镀层涂层测厚仪</w:t>
            </w:r>
          </w:p>
        </w:tc>
        <w:tc>
          <w:tcPr>
            <w:tcW w:w="2977" w:type="dxa"/>
            <w:vAlign w:val="center"/>
          </w:tcPr>
          <w:p w14:paraId="672B60FE">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0C5E312">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0EF241A0">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7F63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5F66FC7E">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护栏板涂厚仪</w:t>
            </w:r>
          </w:p>
        </w:tc>
        <w:tc>
          <w:tcPr>
            <w:tcW w:w="2977" w:type="dxa"/>
            <w:vAlign w:val="center"/>
          </w:tcPr>
          <w:p w14:paraId="5FAF8CF5">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2BF2E6FA">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11BC7B67">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1652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230E4312">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反光膜附着性测定器</w:t>
            </w:r>
          </w:p>
        </w:tc>
        <w:tc>
          <w:tcPr>
            <w:tcW w:w="2977" w:type="dxa"/>
            <w:vAlign w:val="center"/>
          </w:tcPr>
          <w:p w14:paraId="3490ADE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D18E85C">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74447563">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563D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407AFFAE">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亮度计</w:t>
            </w:r>
          </w:p>
        </w:tc>
        <w:tc>
          <w:tcPr>
            <w:tcW w:w="2977" w:type="dxa"/>
            <w:vAlign w:val="center"/>
          </w:tcPr>
          <w:p w14:paraId="04EC77AF">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0F2C68B6">
            <w:pPr>
              <w:jc w:val="center"/>
              <w:rPr>
                <w:rFonts w:hint="eastAsia" w:ascii="Arial" w:hAnsi="Arial" w:eastAsia="Arial" w:cs="Arial"/>
                <w:snapToGrid w:val="0"/>
                <w:color w:val="auto"/>
                <w:kern w:val="0"/>
                <w:sz w:val="21"/>
                <w:szCs w:val="21"/>
                <w:highlight w:val="none"/>
                <w:lang w:val="en-US" w:eastAsia="en-US" w:bidi="ar-SA"/>
              </w:rPr>
            </w:pPr>
            <w:r>
              <w:rPr>
                <w:color w:val="auto"/>
                <w:sz w:val="19"/>
                <w:szCs w:val="19"/>
                <w:highlight w:val="none"/>
              </w:rPr>
              <w:t>台</w:t>
            </w:r>
          </w:p>
        </w:tc>
        <w:tc>
          <w:tcPr>
            <w:tcW w:w="2385" w:type="dxa"/>
            <w:vAlign w:val="center"/>
          </w:tcPr>
          <w:p w14:paraId="2B5E5C0C">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380CE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798A158A">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回弹仪</w:t>
            </w:r>
          </w:p>
        </w:tc>
        <w:tc>
          <w:tcPr>
            <w:tcW w:w="2977" w:type="dxa"/>
            <w:vAlign w:val="center"/>
          </w:tcPr>
          <w:p w14:paraId="6FAA5F3B">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66A9309E">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台</w:t>
            </w:r>
          </w:p>
        </w:tc>
        <w:tc>
          <w:tcPr>
            <w:tcW w:w="2385" w:type="dxa"/>
            <w:vAlign w:val="center"/>
          </w:tcPr>
          <w:p w14:paraId="358D409B">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6E10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54AD3ADA">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灌砂筒</w:t>
            </w:r>
          </w:p>
        </w:tc>
        <w:tc>
          <w:tcPr>
            <w:tcW w:w="2977" w:type="dxa"/>
            <w:vAlign w:val="center"/>
          </w:tcPr>
          <w:p w14:paraId="336F7820">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569F334B">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套</w:t>
            </w:r>
          </w:p>
        </w:tc>
        <w:tc>
          <w:tcPr>
            <w:tcW w:w="2385" w:type="dxa"/>
            <w:vAlign w:val="center"/>
          </w:tcPr>
          <w:p w14:paraId="30BE3371">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BE6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407749CD">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弯沉仪</w:t>
            </w:r>
          </w:p>
        </w:tc>
        <w:tc>
          <w:tcPr>
            <w:tcW w:w="2977" w:type="dxa"/>
            <w:vAlign w:val="center"/>
          </w:tcPr>
          <w:p w14:paraId="569C839A">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3994217C">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套</w:t>
            </w:r>
          </w:p>
        </w:tc>
        <w:tc>
          <w:tcPr>
            <w:tcW w:w="2385" w:type="dxa"/>
            <w:vAlign w:val="center"/>
          </w:tcPr>
          <w:p w14:paraId="7A123E23">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r w14:paraId="6B0E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125C880C">
            <w:pPr>
              <w:jc w:val="center"/>
              <w:rPr>
                <w:rFonts w:hint="eastAsia" w:ascii="Arial" w:hAnsi="Arial" w:eastAsia="Arial" w:cs="Arial"/>
                <w:snapToGrid w:val="0"/>
                <w:color w:val="auto"/>
                <w:kern w:val="0"/>
                <w:sz w:val="21"/>
                <w:szCs w:val="21"/>
                <w:highlight w:val="none"/>
                <w:lang w:val="en-US" w:eastAsia="en-US" w:bidi="ar-SA"/>
              </w:rPr>
            </w:pPr>
            <w:r>
              <w:rPr>
                <w:color w:val="auto"/>
                <w:highlight w:val="none"/>
              </w:rPr>
              <w:t>弯沉车</w:t>
            </w:r>
          </w:p>
        </w:tc>
        <w:tc>
          <w:tcPr>
            <w:tcW w:w="2977" w:type="dxa"/>
            <w:vAlign w:val="center"/>
          </w:tcPr>
          <w:p w14:paraId="681945DA">
            <w:pPr>
              <w:jc w:val="center"/>
              <w:rPr>
                <w:rFonts w:ascii="Arial" w:hAnsi="Arial" w:eastAsia="Arial" w:cs="Arial"/>
                <w:snapToGrid w:val="0"/>
                <w:color w:val="auto"/>
                <w:kern w:val="0"/>
                <w:sz w:val="21"/>
                <w:szCs w:val="21"/>
                <w:highlight w:val="none"/>
                <w:lang w:val="en-US" w:eastAsia="en-US" w:bidi="ar-SA"/>
              </w:rPr>
            </w:pPr>
          </w:p>
        </w:tc>
        <w:tc>
          <w:tcPr>
            <w:tcW w:w="1501" w:type="dxa"/>
            <w:vAlign w:val="center"/>
          </w:tcPr>
          <w:p w14:paraId="12BF21B4">
            <w:pPr>
              <w:jc w:val="center"/>
              <w:rPr>
                <w:rFonts w:hint="eastAsia" w:ascii="Arial" w:hAnsi="Arial" w:eastAsia="宋体" w:cs="Arial"/>
                <w:snapToGrid w:val="0"/>
                <w:color w:val="auto"/>
                <w:kern w:val="0"/>
                <w:sz w:val="21"/>
                <w:szCs w:val="21"/>
                <w:highlight w:val="none"/>
                <w:lang w:val="en-US" w:eastAsia="zh-CN" w:bidi="ar-SA"/>
              </w:rPr>
            </w:pPr>
            <w:r>
              <w:rPr>
                <w:rFonts w:hint="eastAsia" w:eastAsia="宋体" w:cs="Arial"/>
                <w:snapToGrid w:val="0"/>
                <w:color w:val="auto"/>
                <w:kern w:val="0"/>
                <w:sz w:val="21"/>
                <w:szCs w:val="21"/>
                <w:highlight w:val="none"/>
                <w:lang w:val="en-US" w:eastAsia="zh-CN" w:bidi="ar-SA"/>
              </w:rPr>
              <w:t>台</w:t>
            </w:r>
          </w:p>
        </w:tc>
        <w:tc>
          <w:tcPr>
            <w:tcW w:w="2385" w:type="dxa"/>
            <w:vAlign w:val="center"/>
          </w:tcPr>
          <w:p w14:paraId="173B2773">
            <w:pPr>
              <w:jc w:val="center"/>
              <w:rPr>
                <w:rFonts w:hint="eastAsia" w:ascii="Arial" w:hAnsi="Arial" w:eastAsia="Arial" w:cs="Arial"/>
                <w:snapToGrid w:val="0"/>
                <w:color w:val="auto"/>
                <w:kern w:val="0"/>
                <w:sz w:val="21"/>
                <w:szCs w:val="21"/>
                <w:highlight w:val="none"/>
                <w:lang w:val="en-US" w:eastAsia="en-US" w:bidi="ar-SA"/>
              </w:rPr>
            </w:pPr>
            <w:r>
              <w:rPr>
                <w:rFonts w:hint="eastAsia"/>
                <w:color w:val="auto"/>
                <w:szCs w:val="21"/>
                <w:highlight w:val="none"/>
              </w:rPr>
              <w:t>1</w:t>
            </w:r>
          </w:p>
        </w:tc>
      </w:tr>
    </w:tbl>
    <w:p w14:paraId="3A11561A">
      <w:pPr>
        <w:spacing w:line="246" w:lineRule="auto"/>
        <w:rPr>
          <w:rFonts w:ascii="Arial"/>
          <w:color w:val="auto"/>
          <w:sz w:val="21"/>
          <w:highlight w:val="none"/>
        </w:rPr>
      </w:pPr>
    </w:p>
    <w:p w14:paraId="61CBB1DA">
      <w:pPr>
        <w:spacing w:line="246" w:lineRule="auto"/>
        <w:rPr>
          <w:rFonts w:ascii="Arial"/>
          <w:color w:val="auto"/>
          <w:sz w:val="21"/>
          <w:highlight w:val="none"/>
        </w:rPr>
      </w:pPr>
    </w:p>
    <w:p w14:paraId="6BEDB5C5">
      <w:pPr>
        <w:spacing w:line="246" w:lineRule="auto"/>
        <w:rPr>
          <w:rFonts w:ascii="Arial"/>
          <w:color w:val="auto"/>
          <w:sz w:val="21"/>
          <w:highlight w:val="none"/>
        </w:rPr>
      </w:pPr>
    </w:p>
    <w:p w14:paraId="0939D004">
      <w:pPr>
        <w:spacing w:line="246" w:lineRule="auto"/>
        <w:rPr>
          <w:rFonts w:ascii="Arial"/>
          <w:color w:val="auto"/>
          <w:sz w:val="21"/>
          <w:highlight w:val="none"/>
        </w:rPr>
      </w:pPr>
    </w:p>
    <w:p w14:paraId="5CC5A78B">
      <w:pPr>
        <w:spacing w:line="246" w:lineRule="auto"/>
        <w:rPr>
          <w:rFonts w:ascii="Arial"/>
          <w:color w:val="auto"/>
          <w:sz w:val="21"/>
          <w:highlight w:val="none"/>
        </w:rPr>
      </w:pPr>
    </w:p>
    <w:p w14:paraId="75242347">
      <w:pPr>
        <w:spacing w:line="247" w:lineRule="auto"/>
        <w:rPr>
          <w:rFonts w:ascii="Arial"/>
          <w:color w:val="auto"/>
          <w:sz w:val="21"/>
          <w:highlight w:val="none"/>
        </w:rPr>
      </w:pPr>
    </w:p>
    <w:p w14:paraId="43A0634B">
      <w:pPr>
        <w:spacing w:before="190" w:line="227" w:lineRule="auto"/>
        <w:jc w:val="left"/>
        <w:outlineLvl w:val="1"/>
        <w:rPr>
          <w:rFonts w:ascii="宋体" w:hAnsi="宋体" w:eastAsia="宋体" w:cs="宋体"/>
          <w:b/>
          <w:bCs/>
          <w:color w:val="auto"/>
          <w:spacing w:val="7"/>
          <w:sz w:val="20"/>
          <w:szCs w:val="20"/>
          <w:highlight w:val="none"/>
        </w:rPr>
      </w:pPr>
      <w:bookmarkStart w:id="717" w:name="bookmark152"/>
      <w:bookmarkEnd w:id="717"/>
      <w:bookmarkStart w:id="718" w:name="_Toc15222"/>
      <w:bookmarkStart w:id="719" w:name="_Toc3774"/>
      <w:bookmarkStart w:id="720" w:name="_Toc16489"/>
      <w:bookmarkStart w:id="721" w:name="_Toc6115"/>
      <w:r>
        <w:rPr>
          <w:rFonts w:ascii="宋体" w:hAnsi="宋体" w:eastAsia="宋体" w:cs="宋体"/>
          <w:b/>
          <w:bCs/>
          <w:color w:val="auto"/>
          <w:spacing w:val="7"/>
          <w:sz w:val="20"/>
          <w:szCs w:val="20"/>
          <w:highlight w:val="none"/>
        </w:rPr>
        <w:t>附件五：主要生活办公设施最低要求</w:t>
      </w:r>
      <w:bookmarkEnd w:id="718"/>
      <w:bookmarkEnd w:id="719"/>
      <w:bookmarkEnd w:id="720"/>
      <w:bookmarkEnd w:id="721"/>
    </w:p>
    <w:p w14:paraId="0A16C590">
      <w:pPr>
        <w:spacing w:line="29" w:lineRule="exact"/>
        <w:rPr>
          <w:color w:val="auto"/>
          <w:highlight w:val="none"/>
        </w:rPr>
      </w:pPr>
    </w:p>
    <w:tbl>
      <w:tblPr>
        <w:tblStyle w:val="22"/>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4896"/>
        <w:gridCol w:w="1050"/>
        <w:gridCol w:w="2164"/>
      </w:tblGrid>
      <w:tr w14:paraId="0EB5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80" w:type="dxa"/>
            <w:vAlign w:val="top"/>
          </w:tcPr>
          <w:p w14:paraId="55C9F51D">
            <w:pPr>
              <w:pStyle w:val="23"/>
              <w:spacing w:before="163" w:line="217" w:lineRule="auto"/>
              <w:ind w:left="384"/>
              <w:rPr>
                <w:color w:val="auto"/>
                <w:highlight w:val="none"/>
              </w:rPr>
            </w:pPr>
            <w:r>
              <w:rPr>
                <w:b/>
                <w:bCs/>
                <w:color w:val="auto"/>
                <w:spacing w:val="4"/>
                <w:highlight w:val="none"/>
              </w:rPr>
              <w:t>序号</w:t>
            </w:r>
          </w:p>
        </w:tc>
        <w:tc>
          <w:tcPr>
            <w:tcW w:w="4896" w:type="dxa"/>
            <w:vAlign w:val="top"/>
          </w:tcPr>
          <w:p w14:paraId="70D98F0F">
            <w:pPr>
              <w:pStyle w:val="23"/>
              <w:spacing w:before="163" w:line="217" w:lineRule="auto"/>
              <w:ind w:left="1718"/>
              <w:rPr>
                <w:color w:val="auto"/>
                <w:highlight w:val="none"/>
              </w:rPr>
            </w:pPr>
            <w:r>
              <w:rPr>
                <w:b/>
                <w:bCs/>
                <w:color w:val="auto"/>
                <w:spacing w:val="6"/>
                <w:highlight w:val="none"/>
              </w:rPr>
              <w:t>设备与设施名称</w:t>
            </w:r>
          </w:p>
        </w:tc>
        <w:tc>
          <w:tcPr>
            <w:tcW w:w="1050" w:type="dxa"/>
            <w:vAlign w:val="top"/>
          </w:tcPr>
          <w:p w14:paraId="38BE4A1F">
            <w:pPr>
              <w:pStyle w:val="23"/>
              <w:spacing w:before="163" w:line="217" w:lineRule="auto"/>
              <w:ind w:left="322"/>
              <w:rPr>
                <w:color w:val="auto"/>
                <w:highlight w:val="none"/>
              </w:rPr>
            </w:pPr>
            <w:r>
              <w:rPr>
                <w:b/>
                <w:bCs/>
                <w:color w:val="auto"/>
                <w:spacing w:val="3"/>
                <w:highlight w:val="none"/>
              </w:rPr>
              <w:t>单位</w:t>
            </w:r>
          </w:p>
        </w:tc>
        <w:tc>
          <w:tcPr>
            <w:tcW w:w="2164" w:type="dxa"/>
            <w:vAlign w:val="top"/>
          </w:tcPr>
          <w:p w14:paraId="4B696A8F">
            <w:pPr>
              <w:pStyle w:val="23"/>
              <w:spacing w:before="163" w:line="217" w:lineRule="auto"/>
              <w:ind w:left="667"/>
              <w:rPr>
                <w:color w:val="auto"/>
                <w:highlight w:val="none"/>
              </w:rPr>
            </w:pPr>
            <w:r>
              <w:rPr>
                <w:b/>
                <w:bCs/>
                <w:color w:val="auto"/>
                <w:spacing w:val="6"/>
                <w:highlight w:val="none"/>
              </w:rPr>
              <w:t>数量要求</w:t>
            </w:r>
          </w:p>
        </w:tc>
      </w:tr>
      <w:tr w14:paraId="718A6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90" w:type="dxa"/>
            <w:gridSpan w:val="4"/>
            <w:vAlign w:val="top"/>
          </w:tcPr>
          <w:p w14:paraId="2448535F">
            <w:pPr>
              <w:pStyle w:val="23"/>
              <w:spacing w:before="160" w:line="216" w:lineRule="auto"/>
              <w:ind w:left="4024"/>
              <w:rPr>
                <w:color w:val="auto"/>
                <w:highlight w:val="none"/>
              </w:rPr>
            </w:pPr>
            <w:r>
              <w:rPr>
                <w:color w:val="auto"/>
                <w:spacing w:val="7"/>
                <w:highlight w:val="none"/>
              </w:rPr>
              <w:t>一、办公设备</w:t>
            </w:r>
          </w:p>
        </w:tc>
      </w:tr>
      <w:tr w14:paraId="3EB43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5A2A191E">
            <w:pPr>
              <w:pStyle w:val="23"/>
              <w:spacing w:before="161" w:line="215" w:lineRule="auto"/>
              <w:ind w:left="559"/>
              <w:rPr>
                <w:color w:val="auto"/>
                <w:highlight w:val="none"/>
              </w:rPr>
            </w:pPr>
            <w:r>
              <w:rPr>
                <w:color w:val="auto"/>
                <w:highlight w:val="none"/>
              </w:rPr>
              <w:t>1</w:t>
            </w:r>
          </w:p>
        </w:tc>
        <w:tc>
          <w:tcPr>
            <w:tcW w:w="4896" w:type="dxa"/>
            <w:vAlign w:val="top"/>
          </w:tcPr>
          <w:p w14:paraId="1CF99CA5">
            <w:pPr>
              <w:pStyle w:val="23"/>
              <w:spacing w:before="161" w:line="215" w:lineRule="auto"/>
              <w:ind w:left="1943"/>
              <w:rPr>
                <w:color w:val="auto"/>
                <w:highlight w:val="none"/>
              </w:rPr>
            </w:pPr>
            <w:r>
              <w:rPr>
                <w:color w:val="auto"/>
                <w:spacing w:val="4"/>
                <w:highlight w:val="none"/>
              </w:rPr>
              <w:t>台式计算机</w:t>
            </w:r>
          </w:p>
        </w:tc>
        <w:tc>
          <w:tcPr>
            <w:tcW w:w="1050" w:type="dxa"/>
            <w:vAlign w:val="top"/>
          </w:tcPr>
          <w:p w14:paraId="060D13B6">
            <w:pPr>
              <w:pStyle w:val="23"/>
              <w:spacing w:before="161" w:line="215" w:lineRule="auto"/>
              <w:ind w:left="443"/>
              <w:rPr>
                <w:color w:val="auto"/>
                <w:highlight w:val="none"/>
              </w:rPr>
            </w:pPr>
            <w:r>
              <w:rPr>
                <w:color w:val="auto"/>
                <w:highlight w:val="none"/>
              </w:rPr>
              <w:t>台</w:t>
            </w:r>
          </w:p>
        </w:tc>
        <w:tc>
          <w:tcPr>
            <w:tcW w:w="2164" w:type="dxa"/>
            <w:vAlign w:val="center"/>
          </w:tcPr>
          <w:p w14:paraId="356E36AE">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2</w:t>
            </w:r>
          </w:p>
        </w:tc>
      </w:tr>
      <w:tr w14:paraId="717C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6BE8EBFC">
            <w:pPr>
              <w:pStyle w:val="23"/>
              <w:spacing w:before="162" w:line="214" w:lineRule="auto"/>
              <w:ind w:left="546"/>
              <w:rPr>
                <w:color w:val="auto"/>
                <w:highlight w:val="none"/>
              </w:rPr>
            </w:pPr>
            <w:r>
              <w:rPr>
                <w:color w:val="auto"/>
                <w:highlight w:val="none"/>
              </w:rPr>
              <w:t>2</w:t>
            </w:r>
          </w:p>
        </w:tc>
        <w:tc>
          <w:tcPr>
            <w:tcW w:w="4896" w:type="dxa"/>
            <w:vAlign w:val="top"/>
          </w:tcPr>
          <w:p w14:paraId="020C7E69">
            <w:pPr>
              <w:pStyle w:val="23"/>
              <w:spacing w:before="162" w:line="214" w:lineRule="auto"/>
              <w:ind w:left="1930"/>
              <w:rPr>
                <w:color w:val="auto"/>
                <w:highlight w:val="none"/>
              </w:rPr>
            </w:pPr>
            <w:r>
              <w:rPr>
                <w:color w:val="auto"/>
                <w:spacing w:val="7"/>
                <w:highlight w:val="none"/>
              </w:rPr>
              <w:t>笔记本电脑</w:t>
            </w:r>
          </w:p>
        </w:tc>
        <w:tc>
          <w:tcPr>
            <w:tcW w:w="1050" w:type="dxa"/>
            <w:vAlign w:val="top"/>
          </w:tcPr>
          <w:p w14:paraId="423D2DF1">
            <w:pPr>
              <w:pStyle w:val="23"/>
              <w:spacing w:before="162" w:line="214" w:lineRule="auto"/>
              <w:ind w:left="443"/>
              <w:rPr>
                <w:color w:val="auto"/>
                <w:highlight w:val="none"/>
              </w:rPr>
            </w:pPr>
            <w:r>
              <w:rPr>
                <w:color w:val="auto"/>
                <w:highlight w:val="none"/>
              </w:rPr>
              <w:t>台</w:t>
            </w:r>
          </w:p>
        </w:tc>
        <w:tc>
          <w:tcPr>
            <w:tcW w:w="2164" w:type="dxa"/>
            <w:vAlign w:val="center"/>
          </w:tcPr>
          <w:p w14:paraId="421917D6">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r>
      <w:tr w14:paraId="28C0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3E5914AF">
            <w:pPr>
              <w:pStyle w:val="23"/>
              <w:spacing w:before="164" w:line="212" w:lineRule="auto"/>
              <w:ind w:left="547"/>
              <w:rPr>
                <w:color w:val="auto"/>
                <w:highlight w:val="none"/>
              </w:rPr>
            </w:pPr>
            <w:r>
              <w:rPr>
                <w:color w:val="auto"/>
                <w:highlight w:val="none"/>
              </w:rPr>
              <w:t>3</w:t>
            </w:r>
          </w:p>
        </w:tc>
        <w:tc>
          <w:tcPr>
            <w:tcW w:w="4896" w:type="dxa"/>
            <w:vAlign w:val="top"/>
          </w:tcPr>
          <w:p w14:paraId="402396AF">
            <w:pPr>
              <w:pStyle w:val="23"/>
              <w:spacing w:before="164" w:line="212" w:lineRule="auto"/>
              <w:ind w:left="1742"/>
              <w:rPr>
                <w:color w:val="auto"/>
                <w:highlight w:val="none"/>
              </w:rPr>
            </w:pPr>
            <w:r>
              <w:rPr>
                <w:color w:val="auto"/>
                <w:spacing w:val="3"/>
                <w:highlight w:val="none"/>
              </w:rPr>
              <w:t>电话机（有线）</w:t>
            </w:r>
          </w:p>
        </w:tc>
        <w:tc>
          <w:tcPr>
            <w:tcW w:w="1050" w:type="dxa"/>
            <w:vAlign w:val="top"/>
          </w:tcPr>
          <w:p w14:paraId="25ED5C26">
            <w:pPr>
              <w:pStyle w:val="23"/>
              <w:spacing w:before="164" w:line="212" w:lineRule="auto"/>
              <w:ind w:left="443"/>
              <w:rPr>
                <w:color w:val="auto"/>
                <w:highlight w:val="none"/>
              </w:rPr>
            </w:pPr>
            <w:r>
              <w:rPr>
                <w:color w:val="auto"/>
                <w:highlight w:val="none"/>
              </w:rPr>
              <w:t>台</w:t>
            </w:r>
          </w:p>
        </w:tc>
        <w:tc>
          <w:tcPr>
            <w:tcW w:w="2164" w:type="dxa"/>
            <w:vAlign w:val="center"/>
          </w:tcPr>
          <w:p w14:paraId="3DD520FA">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346D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2E6B6150">
            <w:pPr>
              <w:pStyle w:val="23"/>
              <w:spacing w:before="165" w:line="212" w:lineRule="auto"/>
              <w:ind w:left="542"/>
              <w:rPr>
                <w:color w:val="auto"/>
                <w:highlight w:val="none"/>
              </w:rPr>
            </w:pPr>
            <w:r>
              <w:rPr>
                <w:color w:val="auto"/>
                <w:highlight w:val="none"/>
              </w:rPr>
              <w:t>4</w:t>
            </w:r>
          </w:p>
        </w:tc>
        <w:tc>
          <w:tcPr>
            <w:tcW w:w="4896" w:type="dxa"/>
            <w:vAlign w:val="top"/>
          </w:tcPr>
          <w:p w14:paraId="0FB5919A">
            <w:pPr>
              <w:pStyle w:val="23"/>
              <w:spacing w:before="165" w:line="212" w:lineRule="auto"/>
              <w:ind w:left="2136"/>
              <w:rPr>
                <w:color w:val="auto"/>
                <w:highlight w:val="none"/>
              </w:rPr>
            </w:pPr>
            <w:r>
              <w:rPr>
                <w:color w:val="auto"/>
                <w:spacing w:val="7"/>
                <w:highlight w:val="none"/>
              </w:rPr>
              <w:t>传真机</w:t>
            </w:r>
          </w:p>
        </w:tc>
        <w:tc>
          <w:tcPr>
            <w:tcW w:w="1050" w:type="dxa"/>
            <w:vAlign w:val="top"/>
          </w:tcPr>
          <w:p w14:paraId="1D17F877">
            <w:pPr>
              <w:pStyle w:val="23"/>
              <w:spacing w:before="165" w:line="212" w:lineRule="auto"/>
              <w:ind w:left="443"/>
              <w:rPr>
                <w:color w:val="auto"/>
                <w:highlight w:val="none"/>
              </w:rPr>
            </w:pPr>
            <w:r>
              <w:rPr>
                <w:color w:val="auto"/>
                <w:highlight w:val="none"/>
              </w:rPr>
              <w:t>台</w:t>
            </w:r>
          </w:p>
        </w:tc>
        <w:tc>
          <w:tcPr>
            <w:tcW w:w="2164" w:type="dxa"/>
            <w:vAlign w:val="center"/>
          </w:tcPr>
          <w:p w14:paraId="7FF2DFAD">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35C3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26B5D71D">
            <w:pPr>
              <w:pStyle w:val="23"/>
              <w:spacing w:before="163" w:line="214" w:lineRule="auto"/>
              <w:ind w:left="547"/>
              <w:rPr>
                <w:color w:val="auto"/>
                <w:highlight w:val="none"/>
              </w:rPr>
            </w:pPr>
            <w:r>
              <w:rPr>
                <w:color w:val="auto"/>
                <w:highlight w:val="none"/>
              </w:rPr>
              <w:t>5</w:t>
            </w:r>
          </w:p>
        </w:tc>
        <w:tc>
          <w:tcPr>
            <w:tcW w:w="4896" w:type="dxa"/>
            <w:vAlign w:val="top"/>
          </w:tcPr>
          <w:p w14:paraId="3224506F">
            <w:pPr>
              <w:pStyle w:val="23"/>
              <w:spacing w:before="163" w:line="214" w:lineRule="auto"/>
              <w:ind w:left="1925"/>
              <w:rPr>
                <w:color w:val="auto"/>
                <w:highlight w:val="none"/>
              </w:rPr>
            </w:pPr>
            <w:r>
              <w:rPr>
                <w:color w:val="auto"/>
                <w:spacing w:val="8"/>
                <w:highlight w:val="none"/>
              </w:rPr>
              <w:t>激光打印机</w:t>
            </w:r>
          </w:p>
        </w:tc>
        <w:tc>
          <w:tcPr>
            <w:tcW w:w="1050" w:type="dxa"/>
            <w:vAlign w:val="top"/>
          </w:tcPr>
          <w:p w14:paraId="1EB69B91">
            <w:pPr>
              <w:pStyle w:val="23"/>
              <w:spacing w:before="163" w:line="214" w:lineRule="auto"/>
              <w:ind w:left="443"/>
              <w:rPr>
                <w:color w:val="auto"/>
                <w:highlight w:val="none"/>
              </w:rPr>
            </w:pPr>
            <w:r>
              <w:rPr>
                <w:color w:val="auto"/>
                <w:highlight w:val="none"/>
              </w:rPr>
              <w:t>台</w:t>
            </w:r>
          </w:p>
        </w:tc>
        <w:tc>
          <w:tcPr>
            <w:tcW w:w="2164" w:type="dxa"/>
            <w:vAlign w:val="center"/>
          </w:tcPr>
          <w:p w14:paraId="363EE618">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5A17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6435A069">
            <w:pPr>
              <w:pStyle w:val="23"/>
              <w:spacing w:before="164" w:line="213" w:lineRule="auto"/>
              <w:ind w:left="545"/>
              <w:rPr>
                <w:color w:val="auto"/>
                <w:highlight w:val="none"/>
              </w:rPr>
            </w:pPr>
            <w:r>
              <w:rPr>
                <w:color w:val="auto"/>
                <w:highlight w:val="none"/>
              </w:rPr>
              <w:t>6</w:t>
            </w:r>
          </w:p>
        </w:tc>
        <w:tc>
          <w:tcPr>
            <w:tcW w:w="4896" w:type="dxa"/>
            <w:vAlign w:val="top"/>
          </w:tcPr>
          <w:p w14:paraId="5DDB515C">
            <w:pPr>
              <w:pStyle w:val="23"/>
              <w:spacing w:before="164" w:line="213" w:lineRule="auto"/>
              <w:ind w:left="1272"/>
              <w:rPr>
                <w:color w:val="auto"/>
                <w:highlight w:val="none"/>
              </w:rPr>
            </w:pPr>
            <w:r>
              <w:rPr>
                <w:color w:val="auto"/>
                <w:spacing w:val="7"/>
                <w:highlight w:val="none"/>
              </w:rPr>
              <w:t>彩色扫描仪（可扫描</w:t>
            </w:r>
            <w:r>
              <w:rPr>
                <w:color w:val="auto"/>
                <w:spacing w:val="-43"/>
                <w:highlight w:val="none"/>
              </w:rPr>
              <w:t xml:space="preserve"> </w:t>
            </w:r>
            <w:r>
              <w:rPr>
                <w:color w:val="auto"/>
                <w:spacing w:val="7"/>
                <w:highlight w:val="none"/>
              </w:rPr>
              <w:t>A3）</w:t>
            </w:r>
          </w:p>
        </w:tc>
        <w:tc>
          <w:tcPr>
            <w:tcW w:w="1050" w:type="dxa"/>
            <w:vAlign w:val="top"/>
          </w:tcPr>
          <w:p w14:paraId="43A4EA03">
            <w:pPr>
              <w:pStyle w:val="23"/>
              <w:spacing w:before="164" w:line="213" w:lineRule="auto"/>
              <w:ind w:left="443"/>
              <w:rPr>
                <w:color w:val="auto"/>
                <w:highlight w:val="none"/>
              </w:rPr>
            </w:pPr>
            <w:r>
              <w:rPr>
                <w:color w:val="auto"/>
                <w:highlight w:val="none"/>
              </w:rPr>
              <w:t>台</w:t>
            </w:r>
          </w:p>
        </w:tc>
        <w:tc>
          <w:tcPr>
            <w:tcW w:w="2164" w:type="dxa"/>
            <w:vAlign w:val="center"/>
          </w:tcPr>
          <w:p w14:paraId="24D2A693">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72045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527A07FF">
            <w:pPr>
              <w:pStyle w:val="23"/>
              <w:spacing w:before="164" w:line="213" w:lineRule="auto"/>
              <w:ind w:left="548"/>
              <w:rPr>
                <w:color w:val="auto"/>
                <w:highlight w:val="none"/>
              </w:rPr>
            </w:pPr>
            <w:r>
              <w:rPr>
                <w:color w:val="auto"/>
                <w:highlight w:val="none"/>
              </w:rPr>
              <w:t>7</w:t>
            </w:r>
          </w:p>
        </w:tc>
        <w:tc>
          <w:tcPr>
            <w:tcW w:w="4896" w:type="dxa"/>
            <w:vAlign w:val="top"/>
          </w:tcPr>
          <w:p w14:paraId="32A66A91">
            <w:pPr>
              <w:pStyle w:val="23"/>
              <w:spacing w:before="164" w:line="213" w:lineRule="auto"/>
              <w:ind w:left="1928"/>
              <w:rPr>
                <w:color w:val="auto"/>
                <w:highlight w:val="none"/>
              </w:rPr>
            </w:pPr>
            <w:r>
              <w:rPr>
                <w:color w:val="auto"/>
                <w:spacing w:val="7"/>
                <w:highlight w:val="none"/>
              </w:rPr>
              <w:t>数码摄像机</w:t>
            </w:r>
          </w:p>
        </w:tc>
        <w:tc>
          <w:tcPr>
            <w:tcW w:w="1050" w:type="dxa"/>
            <w:vAlign w:val="top"/>
          </w:tcPr>
          <w:p w14:paraId="12EA7B8A">
            <w:pPr>
              <w:pStyle w:val="23"/>
              <w:spacing w:before="164" w:line="213" w:lineRule="auto"/>
              <w:ind w:left="443"/>
              <w:rPr>
                <w:color w:val="auto"/>
                <w:highlight w:val="none"/>
              </w:rPr>
            </w:pPr>
            <w:r>
              <w:rPr>
                <w:color w:val="auto"/>
                <w:highlight w:val="none"/>
              </w:rPr>
              <w:t>台</w:t>
            </w:r>
          </w:p>
        </w:tc>
        <w:tc>
          <w:tcPr>
            <w:tcW w:w="2164" w:type="dxa"/>
            <w:vAlign w:val="center"/>
          </w:tcPr>
          <w:p w14:paraId="1721C27C">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49BB5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6811E65B">
            <w:pPr>
              <w:pStyle w:val="23"/>
              <w:spacing w:before="164" w:line="213" w:lineRule="auto"/>
              <w:ind w:left="544"/>
              <w:rPr>
                <w:color w:val="auto"/>
                <w:highlight w:val="none"/>
              </w:rPr>
            </w:pPr>
            <w:r>
              <w:rPr>
                <w:color w:val="auto"/>
                <w:highlight w:val="none"/>
              </w:rPr>
              <w:t>8</w:t>
            </w:r>
          </w:p>
        </w:tc>
        <w:tc>
          <w:tcPr>
            <w:tcW w:w="4896" w:type="dxa"/>
            <w:vAlign w:val="top"/>
          </w:tcPr>
          <w:p w14:paraId="58CDB880">
            <w:pPr>
              <w:pStyle w:val="23"/>
              <w:spacing w:before="164" w:line="213" w:lineRule="auto"/>
              <w:ind w:left="1064"/>
              <w:rPr>
                <w:color w:val="auto"/>
                <w:highlight w:val="none"/>
              </w:rPr>
            </w:pPr>
            <w:r>
              <w:rPr>
                <w:color w:val="auto"/>
                <w:spacing w:val="6"/>
                <w:highlight w:val="none"/>
              </w:rPr>
              <w:t>数码相机（1200</w:t>
            </w:r>
            <w:r>
              <w:rPr>
                <w:color w:val="auto"/>
                <w:spacing w:val="-31"/>
                <w:highlight w:val="none"/>
              </w:rPr>
              <w:t xml:space="preserve"> </w:t>
            </w:r>
            <w:r>
              <w:rPr>
                <w:color w:val="auto"/>
                <w:spacing w:val="6"/>
                <w:highlight w:val="none"/>
              </w:rPr>
              <w:t>万像素以上）</w:t>
            </w:r>
          </w:p>
        </w:tc>
        <w:tc>
          <w:tcPr>
            <w:tcW w:w="1050" w:type="dxa"/>
            <w:vAlign w:val="top"/>
          </w:tcPr>
          <w:p w14:paraId="02EA5461">
            <w:pPr>
              <w:pStyle w:val="23"/>
              <w:spacing w:before="164" w:line="213" w:lineRule="auto"/>
              <w:ind w:left="443"/>
              <w:rPr>
                <w:color w:val="auto"/>
                <w:highlight w:val="none"/>
              </w:rPr>
            </w:pPr>
            <w:r>
              <w:rPr>
                <w:color w:val="auto"/>
                <w:highlight w:val="none"/>
              </w:rPr>
              <w:t>台</w:t>
            </w:r>
          </w:p>
        </w:tc>
        <w:tc>
          <w:tcPr>
            <w:tcW w:w="2164" w:type="dxa"/>
            <w:vAlign w:val="center"/>
          </w:tcPr>
          <w:p w14:paraId="550C515B">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2947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7D1EAA94">
            <w:pPr>
              <w:pStyle w:val="23"/>
              <w:spacing w:before="165" w:line="212" w:lineRule="auto"/>
              <w:ind w:left="544"/>
              <w:rPr>
                <w:color w:val="auto"/>
                <w:highlight w:val="none"/>
              </w:rPr>
            </w:pPr>
            <w:r>
              <w:rPr>
                <w:color w:val="auto"/>
                <w:highlight w:val="none"/>
              </w:rPr>
              <w:t>9</w:t>
            </w:r>
          </w:p>
        </w:tc>
        <w:tc>
          <w:tcPr>
            <w:tcW w:w="4896" w:type="dxa"/>
            <w:vAlign w:val="top"/>
          </w:tcPr>
          <w:p w14:paraId="3D65287B">
            <w:pPr>
              <w:pStyle w:val="23"/>
              <w:spacing w:before="165" w:line="212" w:lineRule="auto"/>
              <w:ind w:left="1488"/>
              <w:rPr>
                <w:color w:val="auto"/>
                <w:highlight w:val="none"/>
              </w:rPr>
            </w:pPr>
            <w:r>
              <w:rPr>
                <w:color w:val="auto"/>
                <w:spacing w:val="11"/>
                <w:highlight w:val="none"/>
              </w:rPr>
              <w:t>复印机（可复印A3）</w:t>
            </w:r>
          </w:p>
        </w:tc>
        <w:tc>
          <w:tcPr>
            <w:tcW w:w="1050" w:type="dxa"/>
            <w:vAlign w:val="top"/>
          </w:tcPr>
          <w:p w14:paraId="058C6775">
            <w:pPr>
              <w:pStyle w:val="23"/>
              <w:spacing w:before="165" w:line="212" w:lineRule="auto"/>
              <w:ind w:left="443"/>
              <w:rPr>
                <w:color w:val="auto"/>
                <w:highlight w:val="none"/>
              </w:rPr>
            </w:pPr>
            <w:r>
              <w:rPr>
                <w:color w:val="auto"/>
                <w:highlight w:val="none"/>
              </w:rPr>
              <w:t>台</w:t>
            </w:r>
          </w:p>
        </w:tc>
        <w:tc>
          <w:tcPr>
            <w:tcW w:w="2164" w:type="dxa"/>
            <w:vAlign w:val="center"/>
          </w:tcPr>
          <w:p w14:paraId="0988A799">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2391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90" w:type="dxa"/>
            <w:gridSpan w:val="4"/>
            <w:vAlign w:val="top"/>
          </w:tcPr>
          <w:p w14:paraId="2BB778BD">
            <w:pPr>
              <w:pStyle w:val="23"/>
              <w:spacing w:before="165" w:line="212" w:lineRule="auto"/>
              <w:ind w:left="4024"/>
              <w:rPr>
                <w:color w:val="auto"/>
                <w:highlight w:val="none"/>
              </w:rPr>
            </w:pPr>
            <w:r>
              <w:rPr>
                <w:color w:val="auto"/>
                <w:spacing w:val="7"/>
                <w:highlight w:val="none"/>
              </w:rPr>
              <w:t>二、交通设施</w:t>
            </w:r>
          </w:p>
        </w:tc>
      </w:tr>
      <w:tr w14:paraId="7384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62428DC9">
            <w:pPr>
              <w:pStyle w:val="23"/>
              <w:spacing w:before="163" w:line="214" w:lineRule="auto"/>
              <w:ind w:left="559"/>
              <w:rPr>
                <w:color w:val="auto"/>
                <w:highlight w:val="none"/>
              </w:rPr>
            </w:pPr>
            <w:r>
              <w:rPr>
                <w:color w:val="auto"/>
                <w:highlight w:val="none"/>
              </w:rPr>
              <w:t>1</w:t>
            </w:r>
          </w:p>
        </w:tc>
        <w:tc>
          <w:tcPr>
            <w:tcW w:w="4896" w:type="dxa"/>
            <w:vAlign w:val="top"/>
          </w:tcPr>
          <w:p w14:paraId="0D3C9AAE">
            <w:pPr>
              <w:pStyle w:val="23"/>
              <w:spacing w:before="163" w:line="214" w:lineRule="auto"/>
              <w:ind w:left="370"/>
              <w:rPr>
                <w:color w:val="auto"/>
                <w:highlight w:val="none"/>
              </w:rPr>
            </w:pPr>
            <w:r>
              <w:rPr>
                <w:color w:val="auto"/>
                <w:spacing w:val="4"/>
                <w:highlight w:val="none"/>
              </w:rPr>
              <w:t>交通车辆（4驱越野车（行驶里程＜15万</w:t>
            </w:r>
            <w:r>
              <w:rPr>
                <w:color w:val="auto"/>
                <w:highlight w:val="none"/>
              </w:rPr>
              <w:t>km</w:t>
            </w:r>
            <w:r>
              <w:rPr>
                <w:color w:val="auto"/>
                <w:spacing w:val="1"/>
                <w:highlight w:val="none"/>
              </w:rPr>
              <w:t>））</w:t>
            </w:r>
          </w:p>
        </w:tc>
        <w:tc>
          <w:tcPr>
            <w:tcW w:w="1050" w:type="dxa"/>
            <w:vAlign w:val="top"/>
          </w:tcPr>
          <w:p w14:paraId="60635B3E">
            <w:pPr>
              <w:pStyle w:val="23"/>
              <w:spacing w:before="163" w:line="214" w:lineRule="auto"/>
              <w:ind w:left="425"/>
              <w:rPr>
                <w:color w:val="auto"/>
                <w:highlight w:val="none"/>
              </w:rPr>
            </w:pPr>
            <w:r>
              <w:rPr>
                <w:color w:val="auto"/>
                <w:spacing w:val="1"/>
                <w:highlight w:val="none"/>
              </w:rPr>
              <w:t>辆</w:t>
            </w:r>
          </w:p>
        </w:tc>
        <w:tc>
          <w:tcPr>
            <w:tcW w:w="2164" w:type="dxa"/>
            <w:vAlign w:val="center"/>
          </w:tcPr>
          <w:p w14:paraId="2290A9CE">
            <w:pPr>
              <w:jc w:val="center"/>
              <w:rPr>
                <w:rFonts w:hint="eastAsia" w:ascii="Arial" w:eastAsia="宋体"/>
                <w:color w:val="auto"/>
                <w:sz w:val="21"/>
                <w:highlight w:val="none"/>
                <w:lang w:val="en-US" w:eastAsia="zh-CN"/>
              </w:rPr>
            </w:pPr>
            <w:r>
              <w:rPr>
                <w:rFonts w:hint="eastAsia" w:ascii="宋体" w:hAnsi="宋体" w:eastAsia="宋体" w:cs="宋体"/>
                <w:color w:val="auto"/>
                <w:sz w:val="24"/>
                <w:szCs w:val="24"/>
                <w:highlight w:val="none"/>
              </w:rPr>
              <w:t>1</w:t>
            </w:r>
          </w:p>
        </w:tc>
      </w:tr>
      <w:tr w14:paraId="4325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4B4CB28C">
            <w:pPr>
              <w:pStyle w:val="23"/>
              <w:spacing w:before="164" w:line="213" w:lineRule="auto"/>
              <w:ind w:left="546"/>
              <w:rPr>
                <w:color w:val="auto"/>
                <w:highlight w:val="none"/>
              </w:rPr>
            </w:pPr>
            <w:r>
              <w:rPr>
                <w:color w:val="auto"/>
                <w:highlight w:val="none"/>
              </w:rPr>
              <w:t>2</w:t>
            </w:r>
          </w:p>
        </w:tc>
        <w:tc>
          <w:tcPr>
            <w:tcW w:w="4896" w:type="dxa"/>
            <w:vAlign w:val="top"/>
          </w:tcPr>
          <w:p w14:paraId="1466B3B1">
            <w:pPr>
              <w:pStyle w:val="23"/>
              <w:spacing w:before="164" w:line="213" w:lineRule="auto"/>
              <w:ind w:left="1926"/>
              <w:rPr>
                <w:color w:val="auto"/>
                <w:highlight w:val="none"/>
              </w:rPr>
            </w:pPr>
            <w:r>
              <w:rPr>
                <w:color w:val="auto"/>
                <w:spacing w:val="8"/>
                <w:highlight w:val="none"/>
              </w:rPr>
              <w:t>双排人货车</w:t>
            </w:r>
          </w:p>
        </w:tc>
        <w:tc>
          <w:tcPr>
            <w:tcW w:w="1050" w:type="dxa"/>
            <w:vAlign w:val="top"/>
          </w:tcPr>
          <w:p w14:paraId="124093A7">
            <w:pPr>
              <w:pStyle w:val="23"/>
              <w:spacing w:before="164" w:line="213" w:lineRule="auto"/>
              <w:ind w:left="425"/>
              <w:rPr>
                <w:color w:val="auto"/>
                <w:highlight w:val="none"/>
              </w:rPr>
            </w:pPr>
            <w:r>
              <w:rPr>
                <w:color w:val="auto"/>
                <w:spacing w:val="1"/>
                <w:highlight w:val="none"/>
              </w:rPr>
              <w:t>辆</w:t>
            </w:r>
          </w:p>
        </w:tc>
        <w:tc>
          <w:tcPr>
            <w:tcW w:w="2164" w:type="dxa"/>
            <w:vAlign w:val="center"/>
          </w:tcPr>
          <w:p w14:paraId="34A4ACBE">
            <w:pPr>
              <w:jc w:val="center"/>
              <w:rPr>
                <w:rFonts w:hint="eastAsia" w:ascii="Arial" w:eastAsia="宋体"/>
                <w:color w:val="auto"/>
                <w:sz w:val="21"/>
                <w:highlight w:val="none"/>
                <w:lang w:val="en-US" w:eastAsia="zh-CN"/>
              </w:rPr>
            </w:pPr>
            <w:r>
              <w:rPr>
                <w:rFonts w:hint="eastAsia" w:ascii="宋体" w:hAnsi="宋体" w:eastAsia="宋体" w:cs="宋体"/>
                <w:color w:val="auto"/>
                <w:sz w:val="24"/>
                <w:szCs w:val="24"/>
                <w:highlight w:val="none"/>
              </w:rPr>
              <w:t>1</w:t>
            </w:r>
          </w:p>
        </w:tc>
      </w:tr>
      <w:tr w14:paraId="1230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90" w:type="dxa"/>
            <w:gridSpan w:val="4"/>
            <w:vAlign w:val="top"/>
          </w:tcPr>
          <w:p w14:paraId="505B5612">
            <w:pPr>
              <w:pStyle w:val="23"/>
              <w:spacing w:before="164" w:line="213" w:lineRule="auto"/>
              <w:ind w:left="3706"/>
              <w:rPr>
                <w:color w:val="auto"/>
                <w:highlight w:val="none"/>
              </w:rPr>
            </w:pPr>
            <w:r>
              <w:rPr>
                <w:color w:val="auto"/>
                <w:spacing w:val="8"/>
                <w:highlight w:val="none"/>
              </w:rPr>
              <w:t>三、办公、生活设施</w:t>
            </w:r>
          </w:p>
        </w:tc>
      </w:tr>
      <w:tr w14:paraId="45DD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3EF7129A">
            <w:pPr>
              <w:pStyle w:val="23"/>
              <w:spacing w:before="164" w:line="213" w:lineRule="auto"/>
              <w:ind w:left="559"/>
              <w:rPr>
                <w:color w:val="auto"/>
                <w:highlight w:val="none"/>
              </w:rPr>
            </w:pPr>
            <w:r>
              <w:rPr>
                <w:color w:val="auto"/>
                <w:highlight w:val="none"/>
              </w:rPr>
              <w:t>1</w:t>
            </w:r>
          </w:p>
        </w:tc>
        <w:tc>
          <w:tcPr>
            <w:tcW w:w="4896" w:type="dxa"/>
            <w:vAlign w:val="top"/>
          </w:tcPr>
          <w:p w14:paraId="4AEAC19F">
            <w:pPr>
              <w:pStyle w:val="23"/>
              <w:spacing w:before="164" w:line="213" w:lineRule="auto"/>
              <w:ind w:left="2137"/>
              <w:rPr>
                <w:color w:val="auto"/>
                <w:highlight w:val="none"/>
              </w:rPr>
            </w:pPr>
            <w:r>
              <w:rPr>
                <w:color w:val="auto"/>
                <w:spacing w:val="7"/>
                <w:highlight w:val="none"/>
              </w:rPr>
              <w:t>会议室</w:t>
            </w:r>
          </w:p>
        </w:tc>
        <w:tc>
          <w:tcPr>
            <w:tcW w:w="1050" w:type="dxa"/>
            <w:vAlign w:val="top"/>
          </w:tcPr>
          <w:p w14:paraId="62FF4A5E">
            <w:pPr>
              <w:pStyle w:val="23"/>
              <w:spacing w:before="148" w:line="228"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76AD8536">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≥50</w:t>
            </w:r>
          </w:p>
        </w:tc>
      </w:tr>
      <w:tr w14:paraId="47539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10748095">
            <w:pPr>
              <w:pStyle w:val="23"/>
              <w:spacing w:before="165" w:line="212" w:lineRule="auto"/>
              <w:ind w:left="546"/>
              <w:rPr>
                <w:color w:val="auto"/>
                <w:highlight w:val="none"/>
              </w:rPr>
            </w:pPr>
            <w:r>
              <w:rPr>
                <w:color w:val="auto"/>
                <w:highlight w:val="none"/>
              </w:rPr>
              <w:t>2</w:t>
            </w:r>
          </w:p>
        </w:tc>
        <w:tc>
          <w:tcPr>
            <w:tcW w:w="4896" w:type="dxa"/>
            <w:vAlign w:val="top"/>
          </w:tcPr>
          <w:p w14:paraId="210839CB">
            <w:pPr>
              <w:pStyle w:val="23"/>
              <w:spacing w:before="165" w:line="212" w:lineRule="auto"/>
              <w:ind w:left="1929"/>
              <w:rPr>
                <w:color w:val="auto"/>
                <w:highlight w:val="none"/>
              </w:rPr>
            </w:pPr>
            <w:r>
              <w:rPr>
                <w:color w:val="auto"/>
                <w:spacing w:val="7"/>
                <w:highlight w:val="none"/>
              </w:rPr>
              <w:t>综合办公室</w:t>
            </w:r>
          </w:p>
        </w:tc>
        <w:tc>
          <w:tcPr>
            <w:tcW w:w="1050" w:type="dxa"/>
            <w:vAlign w:val="top"/>
          </w:tcPr>
          <w:p w14:paraId="09F3F721">
            <w:pPr>
              <w:pStyle w:val="23"/>
              <w:spacing w:before="148" w:line="228"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7A30960D">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≥6</w:t>
            </w:r>
          </w:p>
        </w:tc>
      </w:tr>
      <w:tr w14:paraId="1E1EB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80" w:type="dxa"/>
            <w:vAlign w:val="top"/>
          </w:tcPr>
          <w:p w14:paraId="4AA7F9BC">
            <w:pPr>
              <w:pStyle w:val="23"/>
              <w:spacing w:before="165" w:line="216" w:lineRule="auto"/>
              <w:ind w:left="547"/>
              <w:rPr>
                <w:color w:val="auto"/>
                <w:highlight w:val="none"/>
              </w:rPr>
            </w:pPr>
            <w:r>
              <w:rPr>
                <w:color w:val="auto"/>
                <w:highlight w:val="none"/>
              </w:rPr>
              <w:t>3</w:t>
            </w:r>
          </w:p>
        </w:tc>
        <w:tc>
          <w:tcPr>
            <w:tcW w:w="4896" w:type="dxa"/>
            <w:vAlign w:val="top"/>
          </w:tcPr>
          <w:p w14:paraId="36119A6A">
            <w:pPr>
              <w:pStyle w:val="23"/>
              <w:spacing w:before="165" w:line="216" w:lineRule="auto"/>
              <w:ind w:left="2138"/>
              <w:rPr>
                <w:color w:val="auto"/>
                <w:highlight w:val="none"/>
              </w:rPr>
            </w:pPr>
            <w:r>
              <w:rPr>
                <w:color w:val="auto"/>
                <w:spacing w:val="6"/>
                <w:highlight w:val="none"/>
              </w:rPr>
              <w:t>档案室</w:t>
            </w:r>
          </w:p>
        </w:tc>
        <w:tc>
          <w:tcPr>
            <w:tcW w:w="1050" w:type="dxa"/>
            <w:vAlign w:val="top"/>
          </w:tcPr>
          <w:p w14:paraId="3B6B23E0">
            <w:pPr>
              <w:pStyle w:val="23"/>
              <w:spacing w:before="148" w:line="231"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29CF382F">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≥20</w:t>
            </w:r>
          </w:p>
        </w:tc>
      </w:tr>
    </w:tbl>
    <w:p w14:paraId="50C2AFE6">
      <w:pPr>
        <w:spacing w:before="31" w:line="232" w:lineRule="auto"/>
        <w:ind w:left="118"/>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632A0FD8">
      <w:pPr>
        <w:spacing w:before="19" w:line="227" w:lineRule="auto"/>
        <w:ind w:left="55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1、本表数量为最低要求，办公生活用房应执行省交通运输厅对高速公路标准化管理的规定。</w:t>
      </w:r>
    </w:p>
    <w:p w14:paraId="57FDDAC2">
      <w:pPr>
        <w:spacing w:before="27" w:line="227" w:lineRule="auto"/>
        <w:ind w:left="5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2、监理驻地需与网络连接，充分考虑可视化管理的手段，网络流量达</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10M</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以上。</w:t>
      </w:r>
    </w:p>
    <w:p w14:paraId="15114442">
      <w:pPr>
        <w:spacing w:line="253" w:lineRule="auto"/>
        <w:rPr>
          <w:rFonts w:ascii="Arial"/>
          <w:color w:val="auto"/>
          <w:sz w:val="21"/>
          <w:highlight w:val="none"/>
        </w:rPr>
      </w:pPr>
    </w:p>
    <w:p w14:paraId="11E88841">
      <w:pPr>
        <w:spacing w:line="254" w:lineRule="auto"/>
        <w:rPr>
          <w:rFonts w:ascii="Arial"/>
          <w:color w:val="auto"/>
          <w:sz w:val="21"/>
          <w:highlight w:val="none"/>
        </w:rPr>
      </w:pPr>
    </w:p>
    <w:p w14:paraId="04F40CEA">
      <w:pPr>
        <w:spacing w:line="254" w:lineRule="auto"/>
        <w:rPr>
          <w:rFonts w:ascii="Arial"/>
          <w:color w:val="auto"/>
          <w:sz w:val="21"/>
          <w:highlight w:val="none"/>
        </w:rPr>
      </w:pPr>
    </w:p>
    <w:p w14:paraId="47681BC7">
      <w:pPr>
        <w:spacing w:line="254" w:lineRule="auto"/>
        <w:rPr>
          <w:rFonts w:ascii="Arial"/>
          <w:color w:val="auto"/>
          <w:sz w:val="21"/>
          <w:highlight w:val="none"/>
        </w:rPr>
      </w:pPr>
    </w:p>
    <w:p w14:paraId="2C1A1EA6">
      <w:pPr>
        <w:spacing w:line="254" w:lineRule="auto"/>
        <w:rPr>
          <w:rFonts w:ascii="Arial"/>
          <w:color w:val="auto"/>
          <w:sz w:val="21"/>
          <w:highlight w:val="none"/>
        </w:rPr>
      </w:pPr>
    </w:p>
    <w:p w14:paraId="69A3D7AD">
      <w:pPr>
        <w:spacing w:line="254" w:lineRule="auto"/>
        <w:rPr>
          <w:rFonts w:ascii="Arial"/>
          <w:color w:val="auto"/>
          <w:sz w:val="21"/>
          <w:highlight w:val="none"/>
        </w:rPr>
      </w:pPr>
    </w:p>
    <w:p w14:paraId="6556EA48">
      <w:pPr>
        <w:spacing w:line="254" w:lineRule="auto"/>
        <w:rPr>
          <w:rFonts w:ascii="Arial"/>
          <w:color w:val="auto"/>
          <w:sz w:val="21"/>
          <w:highlight w:val="none"/>
        </w:rPr>
      </w:pPr>
    </w:p>
    <w:p w14:paraId="35D852AD">
      <w:pPr>
        <w:spacing w:line="254" w:lineRule="auto"/>
        <w:rPr>
          <w:rFonts w:ascii="Arial"/>
          <w:color w:val="auto"/>
          <w:sz w:val="21"/>
          <w:highlight w:val="none"/>
        </w:rPr>
      </w:pPr>
    </w:p>
    <w:p w14:paraId="0609BD8E">
      <w:pPr>
        <w:spacing w:line="254" w:lineRule="auto"/>
        <w:rPr>
          <w:rFonts w:ascii="Arial"/>
          <w:color w:val="auto"/>
          <w:sz w:val="21"/>
          <w:highlight w:val="none"/>
        </w:rPr>
      </w:pPr>
    </w:p>
    <w:p w14:paraId="4FCB7077">
      <w:pPr>
        <w:spacing w:line="254" w:lineRule="auto"/>
        <w:rPr>
          <w:rFonts w:ascii="Arial"/>
          <w:color w:val="auto"/>
          <w:sz w:val="21"/>
          <w:highlight w:val="none"/>
        </w:rPr>
      </w:pPr>
    </w:p>
    <w:p w14:paraId="2FE0BE2F">
      <w:pPr>
        <w:spacing w:line="254" w:lineRule="auto"/>
        <w:rPr>
          <w:rFonts w:ascii="Arial"/>
          <w:color w:val="auto"/>
          <w:sz w:val="21"/>
          <w:highlight w:val="none"/>
        </w:rPr>
      </w:pPr>
    </w:p>
    <w:p w14:paraId="529BD55C">
      <w:pPr>
        <w:spacing w:line="254" w:lineRule="auto"/>
        <w:rPr>
          <w:rFonts w:ascii="Arial"/>
          <w:color w:val="auto"/>
          <w:sz w:val="21"/>
          <w:highlight w:val="none"/>
        </w:rPr>
      </w:pPr>
    </w:p>
    <w:p w14:paraId="209B5605">
      <w:pPr>
        <w:spacing w:line="254" w:lineRule="auto"/>
        <w:rPr>
          <w:rFonts w:ascii="Arial"/>
          <w:color w:val="auto"/>
          <w:sz w:val="21"/>
          <w:highlight w:val="none"/>
        </w:rPr>
      </w:pPr>
    </w:p>
    <w:p w14:paraId="640286B4">
      <w:pPr>
        <w:spacing w:line="254" w:lineRule="auto"/>
        <w:rPr>
          <w:rFonts w:ascii="Arial"/>
          <w:color w:val="auto"/>
          <w:sz w:val="21"/>
          <w:highlight w:val="none"/>
        </w:rPr>
      </w:pPr>
    </w:p>
    <w:p w14:paraId="6C886DD6">
      <w:pPr>
        <w:spacing w:line="254" w:lineRule="auto"/>
        <w:rPr>
          <w:rFonts w:ascii="Arial"/>
          <w:color w:val="auto"/>
          <w:sz w:val="21"/>
          <w:highlight w:val="none"/>
        </w:rPr>
      </w:pPr>
    </w:p>
    <w:p w14:paraId="1F77885D">
      <w:pPr>
        <w:spacing w:line="254" w:lineRule="auto"/>
        <w:rPr>
          <w:rFonts w:ascii="Arial"/>
          <w:color w:val="auto"/>
          <w:sz w:val="21"/>
          <w:highlight w:val="none"/>
        </w:rPr>
      </w:pPr>
    </w:p>
    <w:p w14:paraId="20DF8D1D">
      <w:pPr>
        <w:spacing w:line="235" w:lineRule="auto"/>
        <w:rPr>
          <w:rFonts w:ascii="宋体" w:hAnsi="宋体" w:eastAsia="宋体" w:cs="宋体"/>
          <w:color w:val="auto"/>
          <w:sz w:val="18"/>
          <w:szCs w:val="18"/>
          <w:highlight w:val="none"/>
        </w:rPr>
        <w:sectPr>
          <w:headerReference r:id="rId34" w:type="default"/>
          <w:footerReference r:id="rId35" w:type="default"/>
          <w:pgSz w:w="11906" w:h="16839"/>
          <w:pgMar w:top="1202" w:right="1305" w:bottom="1297" w:left="1305" w:header="0" w:footer="1067" w:gutter="0"/>
          <w:pgNumType w:fmt="decimal"/>
          <w:cols w:space="720" w:num="1"/>
        </w:sectPr>
      </w:pPr>
    </w:p>
    <w:p w14:paraId="7DB2865E">
      <w:pPr>
        <w:pageBreakBefore/>
        <w:spacing w:after="120" w:afterLines="50"/>
        <w:jc w:val="both"/>
        <w:outlineLvl w:val="3"/>
        <w:rPr>
          <w:rFonts w:hint="eastAsia" w:ascii="Times New Roman" w:hAnsi="Times New Roman" w:eastAsia="宋体" w:cs="宋体"/>
          <w:b/>
          <w:bCs/>
          <w:color w:val="auto"/>
          <w:kern w:val="21"/>
          <w:sz w:val="28"/>
          <w:szCs w:val="28"/>
          <w:highlight w:val="none"/>
          <w:lang w:eastAsia="zh-CN"/>
        </w:rPr>
      </w:pPr>
      <w:bookmarkStart w:id="722" w:name="bookmark15"/>
      <w:bookmarkEnd w:id="722"/>
      <w:bookmarkStart w:id="723" w:name="_Toc16576"/>
      <w:bookmarkStart w:id="724" w:name="_Toc28212"/>
      <w:bookmarkStart w:id="725" w:name="_Toc19243"/>
      <w:r>
        <w:rPr>
          <w:rFonts w:hint="eastAsia" w:ascii="Times New Roman" w:hAnsi="Times New Roman" w:eastAsia="宋体" w:cs="宋体"/>
          <w:b/>
          <w:bCs/>
          <w:color w:val="auto"/>
          <w:kern w:val="21"/>
          <w:sz w:val="28"/>
          <w:szCs w:val="28"/>
          <w:highlight w:val="none"/>
          <w:lang w:eastAsia="zh-CN"/>
        </w:rPr>
        <w:t>附件六：履约保证金</w:t>
      </w:r>
    </w:p>
    <w:p w14:paraId="0E338B07">
      <w:pPr>
        <w:spacing w:before="120" w:beforeLines="50"/>
        <w:jc w:val="center"/>
        <w:rPr>
          <w:rFonts w:hint="eastAsia" w:ascii="Times New Roman" w:hAnsi="Times New Roman" w:eastAsia="宋体" w:cs="宋体"/>
          <w:b/>
          <w:bCs/>
          <w:color w:val="auto"/>
          <w:kern w:val="21"/>
          <w:sz w:val="28"/>
          <w:szCs w:val="28"/>
          <w:highlight w:val="none"/>
        </w:rPr>
      </w:pPr>
      <w:r>
        <w:rPr>
          <w:rFonts w:hint="eastAsia" w:ascii="Times New Roman" w:hAnsi="Times New Roman" w:eastAsia="宋体" w:cs="宋体"/>
          <w:b/>
          <w:bCs/>
          <w:color w:val="auto"/>
          <w:kern w:val="21"/>
          <w:sz w:val="28"/>
          <w:szCs w:val="28"/>
          <w:highlight w:val="none"/>
          <w:lang w:eastAsia="zh-CN"/>
        </w:rPr>
        <w:t>履 约 保 证 金</w:t>
      </w:r>
    </w:p>
    <w:p w14:paraId="077FDF75">
      <w:pPr>
        <w:spacing w:line="500" w:lineRule="exact"/>
        <w:ind w:firstLine="420" w:firstLineChars="200"/>
        <w:jc w:val="both"/>
        <w:rPr>
          <w:rFonts w:hint="eastAsia" w:ascii="Times New Roman" w:hAnsi="Times New Roman" w:eastAsia="宋体" w:cs="宋体"/>
          <w:color w:val="auto"/>
          <w:kern w:val="21"/>
          <w:highlight w:val="none"/>
          <w:lang w:eastAsia="zh-CN"/>
        </w:rPr>
      </w:pPr>
    </w:p>
    <w:p w14:paraId="04218F75">
      <w:pPr>
        <w:spacing w:line="500" w:lineRule="exact"/>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（委托人名称）：</w:t>
      </w:r>
    </w:p>
    <w:p w14:paraId="6B865825">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鉴于</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（委托人名称，以下简称“委托人”）接受</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（监理人名称）（以下称“监理人”）于</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年</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月</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日参加</w:t>
      </w:r>
      <w:r>
        <w:rPr>
          <w:rFonts w:hint="eastAsia" w:ascii="Times New Roman" w:hAnsi="Times New Roman" w:eastAsia="宋体" w:cs="宋体"/>
          <w:color w:val="auto"/>
          <w:kern w:val="21"/>
          <w:highlight w:val="none"/>
          <w:u w:val="single"/>
          <w:lang w:eastAsia="zh-CN"/>
        </w:rPr>
        <w:t>　　　（项目名称）　　施工监理</w:t>
      </w:r>
      <w:r>
        <w:rPr>
          <w:rFonts w:hint="eastAsia" w:ascii="Times New Roman" w:hAnsi="Times New Roman" w:eastAsia="宋体" w:cs="宋体"/>
          <w:color w:val="auto"/>
          <w:kern w:val="21"/>
          <w:highlight w:val="none"/>
          <w:lang w:eastAsia="zh-CN"/>
        </w:rPr>
        <w:t>的投标。我方愿意无条件地、不可撤销地就监理人履行与你方订立的合同，向你方提供担保。</w:t>
      </w:r>
    </w:p>
    <w:p w14:paraId="678D239E">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1. 担保金额人民币（大写）</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元（¥</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w:t>
      </w:r>
    </w:p>
    <w:p w14:paraId="6CA0A22A">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2. 担保有效期自委托人与监理人签订的合同生效之日起至委托人签发交工验收证书且监理人按照合同约定提交缺陷责任期保函之日止。</w:t>
      </w:r>
      <w:r>
        <w:rPr>
          <w:rFonts w:hint="eastAsia" w:ascii="Times New Roman" w:hAnsi="Times New Roman" w:eastAsia="宋体" w:cs="宋体"/>
          <w:color w:val="auto"/>
          <w:kern w:val="21"/>
          <w:highlight w:val="none"/>
          <w:vertAlign w:val="superscript"/>
          <w:lang w:eastAsia="zh-CN"/>
        </w:rPr>
        <w:footnoteReference w:id="1"/>
      </w:r>
    </w:p>
    <w:p w14:paraId="0E1A81F1">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3. 在本担保有效期内，因监理人违反合同约定的义务给你方造成经济损失时，我方在收到你方以书面形式提出的在担保金额内的赔偿要求后，在7天内无条件支付，无须你方出具证明或陈述理由。</w:t>
      </w:r>
    </w:p>
    <w:p w14:paraId="1C9843EB">
      <w:pPr>
        <w:spacing w:line="500" w:lineRule="exact"/>
        <w:ind w:firstLine="420" w:firstLineChars="2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4. 委托人和监理人按合同条款变更合同时，我方承担本担保规定的义务不变。</w:t>
      </w:r>
    </w:p>
    <w:p w14:paraId="40C85638">
      <w:pPr>
        <w:spacing w:line="500" w:lineRule="exact"/>
        <w:ind w:firstLine="420" w:firstLineChars="200"/>
        <w:jc w:val="both"/>
        <w:rPr>
          <w:rFonts w:hint="eastAsia" w:ascii="Times New Roman" w:hAnsi="Times New Roman" w:eastAsia="宋体" w:cs="宋体"/>
          <w:color w:val="auto"/>
          <w:kern w:val="21"/>
          <w:highlight w:val="none"/>
          <w:lang w:eastAsia="zh-CN"/>
        </w:rPr>
      </w:pPr>
    </w:p>
    <w:p w14:paraId="5B12E9BA">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担 保 人：</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（盖单位章）</w:t>
      </w:r>
    </w:p>
    <w:p w14:paraId="314BDDEF">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法定代表人或其委托代理人：</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（签字）</w:t>
      </w:r>
    </w:p>
    <w:p w14:paraId="24B44F65">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地    址：</w:t>
      </w:r>
      <w:r>
        <w:rPr>
          <w:rFonts w:hint="eastAsia" w:ascii="Times New Roman" w:hAnsi="Times New Roman" w:eastAsia="宋体" w:cs="宋体"/>
          <w:color w:val="auto"/>
          <w:kern w:val="21"/>
          <w:highlight w:val="none"/>
          <w:u w:val="single"/>
          <w:lang w:eastAsia="zh-CN"/>
        </w:rPr>
        <w:t xml:space="preserve">                                 </w:t>
      </w:r>
    </w:p>
    <w:p w14:paraId="335FA6F9">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邮政编码：</w:t>
      </w:r>
      <w:r>
        <w:rPr>
          <w:rFonts w:hint="eastAsia" w:ascii="Times New Roman" w:hAnsi="Times New Roman" w:eastAsia="宋体" w:cs="宋体"/>
          <w:color w:val="auto"/>
          <w:kern w:val="21"/>
          <w:highlight w:val="none"/>
          <w:u w:val="single"/>
          <w:lang w:eastAsia="zh-CN"/>
        </w:rPr>
        <w:t xml:space="preserve">                                 </w:t>
      </w:r>
    </w:p>
    <w:p w14:paraId="33A38739">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电    话：</w:t>
      </w:r>
      <w:r>
        <w:rPr>
          <w:rFonts w:hint="eastAsia" w:ascii="Times New Roman" w:hAnsi="Times New Roman" w:eastAsia="宋体" w:cs="宋体"/>
          <w:color w:val="auto"/>
          <w:kern w:val="21"/>
          <w:highlight w:val="none"/>
          <w:u w:val="single"/>
          <w:lang w:eastAsia="zh-CN"/>
        </w:rPr>
        <w:t xml:space="preserve">                                 </w:t>
      </w:r>
    </w:p>
    <w:p w14:paraId="62A050A2">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传    真：</w:t>
      </w:r>
      <w:r>
        <w:rPr>
          <w:rFonts w:hint="eastAsia" w:ascii="Times New Roman" w:hAnsi="Times New Roman" w:eastAsia="宋体" w:cs="宋体"/>
          <w:color w:val="auto"/>
          <w:kern w:val="21"/>
          <w:highlight w:val="none"/>
          <w:u w:val="single"/>
          <w:lang w:eastAsia="zh-CN"/>
        </w:rPr>
        <w:t xml:space="preserve">                                 </w:t>
      </w:r>
    </w:p>
    <w:p w14:paraId="57F187BD">
      <w:pPr>
        <w:spacing w:line="500" w:lineRule="exact"/>
        <w:ind w:left="3780" w:leftChars="1800"/>
        <w:jc w:val="both"/>
        <w:rPr>
          <w:rFonts w:hint="eastAsia" w:ascii="Times New Roman" w:hAnsi="Times New Roman" w:eastAsia="宋体" w:cs="宋体"/>
          <w:color w:val="auto"/>
          <w:kern w:val="21"/>
          <w:highlight w:val="none"/>
          <w:lang w:eastAsia="zh-CN"/>
        </w:rPr>
      </w:pPr>
      <w:r>
        <w:rPr>
          <w:rFonts w:hint="eastAsia" w:ascii="Times New Roman" w:hAnsi="Times New Roman" w:eastAsia="宋体" w:cs="宋体"/>
          <w:color w:val="auto"/>
          <w:kern w:val="21"/>
          <w:highlight w:val="none"/>
          <w:lang w:eastAsia="zh-CN"/>
        </w:rPr>
        <w:t xml:space="preserve">            </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年</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月</w:t>
      </w:r>
      <w:r>
        <w:rPr>
          <w:rFonts w:hint="eastAsia" w:ascii="Times New Roman" w:hAnsi="Times New Roman" w:eastAsia="宋体" w:cs="宋体"/>
          <w:color w:val="auto"/>
          <w:kern w:val="21"/>
          <w:highlight w:val="none"/>
          <w:u w:val="single"/>
          <w:lang w:eastAsia="zh-CN"/>
        </w:rPr>
        <w:t xml:space="preserve">      </w:t>
      </w:r>
      <w:r>
        <w:rPr>
          <w:rFonts w:hint="eastAsia" w:ascii="Times New Roman" w:hAnsi="Times New Roman" w:eastAsia="宋体" w:cs="宋体"/>
          <w:color w:val="auto"/>
          <w:kern w:val="21"/>
          <w:highlight w:val="none"/>
          <w:lang w:eastAsia="zh-CN"/>
        </w:rPr>
        <w:t>日</w:t>
      </w:r>
    </w:p>
    <w:p w14:paraId="05679011">
      <w:pPr>
        <w:spacing w:line="500" w:lineRule="exact"/>
        <w:rPr>
          <w:rFonts w:hint="eastAsia" w:ascii="Times New Roman" w:hAnsi="Times New Roman" w:eastAsia="宋体" w:cs="宋体"/>
          <w:color w:val="auto"/>
          <w:kern w:val="21"/>
          <w:sz w:val="24"/>
          <w:highlight w:val="none"/>
          <w:lang w:eastAsia="zh-CN"/>
        </w:rPr>
      </w:pPr>
    </w:p>
    <w:p w14:paraId="15E3E43A">
      <w:pPr>
        <w:pStyle w:val="2"/>
        <w:rPr>
          <w:rFonts w:hint="eastAsia" w:ascii="Times New Roman" w:hAnsi="Times New Roman" w:eastAsia="宋体" w:cs="宋体"/>
          <w:color w:val="auto"/>
          <w:kern w:val="21"/>
          <w:sz w:val="24"/>
          <w:highlight w:val="none"/>
          <w:lang w:eastAsia="zh-CN"/>
        </w:rPr>
      </w:pPr>
    </w:p>
    <w:p w14:paraId="4D74EE29">
      <w:pPr>
        <w:pStyle w:val="2"/>
        <w:rPr>
          <w:rFonts w:hint="eastAsia" w:ascii="Times New Roman" w:hAnsi="Times New Roman" w:eastAsia="宋体" w:cs="宋体"/>
          <w:color w:val="auto"/>
          <w:kern w:val="21"/>
          <w:sz w:val="24"/>
          <w:highlight w:val="none"/>
          <w:lang w:eastAsia="zh-CN"/>
        </w:rPr>
      </w:pPr>
    </w:p>
    <w:p w14:paraId="48E158B6">
      <w:pPr>
        <w:spacing w:before="190" w:line="227" w:lineRule="auto"/>
        <w:jc w:val="left"/>
        <w:outlineLvl w:val="1"/>
        <w:rPr>
          <w:rFonts w:ascii="宋体" w:hAnsi="宋体" w:eastAsia="宋体" w:cs="宋体"/>
          <w:b/>
          <w:bCs/>
          <w:color w:val="auto"/>
          <w:spacing w:val="7"/>
          <w:sz w:val="20"/>
          <w:szCs w:val="20"/>
          <w:highlight w:val="none"/>
        </w:rPr>
      </w:pPr>
      <w:bookmarkStart w:id="726" w:name="_Toc20591"/>
      <w:r>
        <w:rPr>
          <w:rFonts w:ascii="宋体" w:hAnsi="宋体" w:eastAsia="宋体" w:cs="宋体"/>
          <w:b/>
          <w:bCs/>
          <w:color w:val="auto"/>
          <w:spacing w:val="7"/>
          <w:sz w:val="20"/>
          <w:szCs w:val="20"/>
          <w:highlight w:val="none"/>
        </w:rPr>
        <w:t>附件七： 安全生产合同</w:t>
      </w:r>
      <w:bookmarkEnd w:id="723"/>
      <w:bookmarkEnd w:id="724"/>
      <w:bookmarkEnd w:id="725"/>
      <w:bookmarkEnd w:id="726"/>
    </w:p>
    <w:p w14:paraId="13CF1ECD">
      <w:pPr>
        <w:spacing w:line="388" w:lineRule="auto"/>
        <w:rPr>
          <w:rFonts w:ascii="Arial"/>
          <w:color w:val="auto"/>
          <w:sz w:val="21"/>
          <w:highlight w:val="none"/>
        </w:rPr>
      </w:pPr>
    </w:p>
    <w:p w14:paraId="60C13E78">
      <w:pPr>
        <w:spacing w:before="101" w:line="225" w:lineRule="auto"/>
        <w:ind w:left="3583"/>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安全生产合同</w:t>
      </w:r>
    </w:p>
    <w:p w14:paraId="3796A17C">
      <w:pPr>
        <w:spacing w:line="412" w:lineRule="auto"/>
        <w:rPr>
          <w:rFonts w:ascii="Arial"/>
          <w:color w:val="auto"/>
          <w:sz w:val="21"/>
          <w:highlight w:val="none"/>
        </w:rPr>
      </w:pPr>
    </w:p>
    <w:p w14:paraId="4312CB91">
      <w:pPr>
        <w:spacing w:before="78" w:line="359" w:lineRule="auto"/>
        <w:ind w:left="1"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根据《中华人民共和国安全生产法》、国务院《建设工程安全生产管理条例》、交通运输部《公路水运工程安全生产监督管理办法》《公路水运工程施</w:t>
      </w:r>
      <w:r>
        <w:rPr>
          <w:rFonts w:ascii="宋体" w:hAnsi="宋体" w:eastAsia="宋体" w:cs="宋体"/>
          <w:color w:val="auto"/>
          <w:spacing w:val="4"/>
          <w:sz w:val="24"/>
          <w:szCs w:val="24"/>
          <w:highlight w:val="none"/>
        </w:rPr>
        <w:t>工安全标准化指南》以及《公路工程施工监理规范》等有关规定，为切实做好</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u w:val="single" w:color="auto"/>
        </w:rPr>
        <w:t xml:space="preserve">          工程</w:t>
      </w:r>
      <w:r>
        <w:rPr>
          <w:rFonts w:ascii="宋体" w:hAnsi="宋体" w:eastAsia="宋体" w:cs="宋体"/>
          <w:color w:val="auto"/>
          <w:spacing w:val="4"/>
          <w:sz w:val="24"/>
          <w:szCs w:val="24"/>
          <w:highlight w:val="none"/>
        </w:rPr>
        <w:t>安全</w:t>
      </w:r>
      <w:r>
        <w:rPr>
          <w:rFonts w:ascii="宋体" w:hAnsi="宋体" w:eastAsia="宋体" w:cs="宋体"/>
          <w:color w:val="auto"/>
          <w:spacing w:val="-2"/>
          <w:sz w:val="24"/>
          <w:szCs w:val="24"/>
          <w:highlight w:val="none"/>
        </w:rPr>
        <w:t>生产管理工作，明确项目参建各方的安全生产责任，促进实现工程项目安全管理目标，</w:t>
      </w:r>
      <w:r>
        <w:rPr>
          <w:rFonts w:ascii="宋体" w:hAnsi="宋体" w:eastAsia="宋体" w:cs="宋体"/>
          <w:color w:val="auto"/>
          <w:spacing w:val="3"/>
          <w:sz w:val="24"/>
          <w:szCs w:val="24"/>
          <w:highlight w:val="none"/>
        </w:rPr>
        <w:t>建设单位全称（以下简称“委托人</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”）与监理单位全称（以下</w:t>
      </w:r>
      <w:r>
        <w:rPr>
          <w:rFonts w:ascii="宋体" w:hAnsi="宋体" w:eastAsia="宋体" w:cs="宋体"/>
          <w:color w:val="auto"/>
          <w:spacing w:val="2"/>
          <w:sz w:val="24"/>
          <w:szCs w:val="24"/>
          <w:highlight w:val="none"/>
        </w:rPr>
        <w:t>简称“监理人</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”）签订</w:t>
      </w:r>
      <w:r>
        <w:rPr>
          <w:rFonts w:ascii="宋体" w:hAnsi="宋体" w:eastAsia="宋体" w:cs="宋体"/>
          <w:color w:val="auto"/>
          <w:spacing w:val="-2"/>
          <w:sz w:val="24"/>
          <w:szCs w:val="24"/>
          <w:highlight w:val="none"/>
        </w:rPr>
        <w:t>如下安全生产合同：</w:t>
      </w:r>
    </w:p>
    <w:p w14:paraId="45F8F116">
      <w:pPr>
        <w:spacing w:before="1" w:line="220"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一、委托人职责</w:t>
      </w:r>
    </w:p>
    <w:p w14:paraId="095E385F">
      <w:pPr>
        <w:spacing w:before="180"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1.按照法律法规及合同文件约定督促、检查监理人落实安全生产责任。</w:t>
      </w:r>
    </w:p>
    <w:p w14:paraId="06D23BB0">
      <w:pPr>
        <w:spacing w:before="180" w:line="290" w:lineRule="auto"/>
        <w:ind w:left="4"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2.按照有关规定对监理人的安全生产条件、安全生产信用情况、安全生产管</w:t>
      </w:r>
      <w:r>
        <w:rPr>
          <w:rFonts w:ascii="宋体" w:hAnsi="宋体" w:eastAsia="宋体" w:cs="宋体"/>
          <w:color w:val="auto"/>
          <w:spacing w:val="4"/>
          <w:sz w:val="24"/>
          <w:szCs w:val="24"/>
          <w:highlight w:val="none"/>
        </w:rPr>
        <w:t>理体</w:t>
      </w:r>
      <w:r>
        <w:rPr>
          <w:rFonts w:ascii="宋体" w:hAnsi="宋体" w:eastAsia="宋体" w:cs="宋体"/>
          <w:color w:val="auto"/>
          <w:spacing w:val="-1"/>
          <w:sz w:val="24"/>
          <w:szCs w:val="24"/>
          <w:highlight w:val="none"/>
        </w:rPr>
        <w:t>系及保障措施等提出明确要求并检查实施情况。</w:t>
      </w:r>
    </w:p>
    <w:p w14:paraId="359ECB00">
      <w:pPr>
        <w:spacing w:before="180" w:line="221"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二、监理人职责</w:t>
      </w:r>
    </w:p>
    <w:p w14:paraId="5E260F81">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1.严格遵守安全生产有关法律法规，落实合同中有关安全生产的要求。</w:t>
      </w:r>
    </w:p>
    <w:p w14:paraId="49F6EEAE">
      <w:pPr>
        <w:spacing w:before="181"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2.具备相应的安全生产条件及安全生产资质，</w:t>
      </w:r>
      <w:r>
        <w:rPr>
          <w:rFonts w:ascii="宋体" w:hAnsi="宋体" w:eastAsia="宋体" w:cs="宋体"/>
          <w:color w:val="auto"/>
          <w:spacing w:val="-1"/>
          <w:sz w:val="24"/>
          <w:szCs w:val="24"/>
          <w:highlight w:val="none"/>
        </w:rPr>
        <w:t>对工程安全生产承担监理责任。</w:t>
      </w:r>
    </w:p>
    <w:p w14:paraId="6861655E">
      <w:pPr>
        <w:spacing w:before="184" w:line="289" w:lineRule="auto"/>
        <w:ind w:left="1" w:right="10"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3.建立健全安全生产制度、责任、组织机构等内部管理体系，配齐安全管理人员，</w:t>
      </w:r>
      <w:r>
        <w:rPr>
          <w:rFonts w:ascii="宋体" w:hAnsi="宋体" w:eastAsia="宋体" w:cs="宋体"/>
          <w:color w:val="auto"/>
          <w:sz w:val="24"/>
          <w:szCs w:val="24"/>
          <w:highlight w:val="none"/>
        </w:rPr>
        <w:t>落实安全生产培训教育，依法参加各类安全保险</w:t>
      </w:r>
      <w:r>
        <w:rPr>
          <w:rFonts w:ascii="宋体" w:hAnsi="宋体" w:eastAsia="宋体" w:cs="宋体"/>
          <w:color w:val="auto"/>
          <w:spacing w:val="-1"/>
          <w:sz w:val="24"/>
          <w:szCs w:val="24"/>
          <w:highlight w:val="none"/>
        </w:rPr>
        <w:t>，落实本单位安全管理责任。</w:t>
      </w:r>
    </w:p>
    <w:p w14:paraId="0C49858D">
      <w:pPr>
        <w:spacing w:before="180" w:line="289" w:lineRule="auto"/>
        <w:ind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4.对施工单位的施工安全提出明确要求并督促落实，检查施工单位安全生产管理</w:t>
      </w:r>
      <w:r>
        <w:rPr>
          <w:rFonts w:ascii="宋体" w:hAnsi="宋体" w:eastAsia="宋体" w:cs="宋体"/>
          <w:color w:val="auto"/>
          <w:sz w:val="24"/>
          <w:szCs w:val="24"/>
          <w:highlight w:val="none"/>
        </w:rPr>
        <w:t>体系建立及落实情况，检查有关人员资格及设备设</w:t>
      </w:r>
      <w:r>
        <w:rPr>
          <w:rFonts w:ascii="宋体" w:hAnsi="宋体" w:eastAsia="宋体" w:cs="宋体"/>
          <w:color w:val="auto"/>
          <w:spacing w:val="-1"/>
          <w:sz w:val="24"/>
          <w:szCs w:val="24"/>
          <w:highlight w:val="none"/>
        </w:rPr>
        <w:t>施相关安全手续等情况。</w:t>
      </w:r>
    </w:p>
    <w:p w14:paraId="250A93C4">
      <w:pPr>
        <w:spacing w:before="183" w:line="288" w:lineRule="auto"/>
        <w:ind w:left="2"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5.核查施工单位安全生产条件，审查施工组织设计安全技术措施、应急</w:t>
      </w:r>
      <w:r>
        <w:rPr>
          <w:rFonts w:ascii="宋体" w:hAnsi="宋体" w:eastAsia="宋体" w:cs="宋体"/>
          <w:color w:val="auto"/>
          <w:spacing w:val="4"/>
          <w:sz w:val="24"/>
          <w:szCs w:val="24"/>
          <w:highlight w:val="none"/>
        </w:rPr>
        <w:t>预案及施</w:t>
      </w:r>
      <w:r>
        <w:rPr>
          <w:rFonts w:ascii="宋体" w:hAnsi="宋体" w:eastAsia="宋体" w:cs="宋体"/>
          <w:color w:val="auto"/>
          <w:spacing w:val="-1"/>
          <w:sz w:val="24"/>
          <w:szCs w:val="24"/>
          <w:highlight w:val="none"/>
        </w:rPr>
        <w:t>工安全风险评估报告等，检查危险性较大工程专项施工方案实施情况。</w:t>
      </w:r>
    </w:p>
    <w:p w14:paraId="0A8553FB">
      <w:pPr>
        <w:spacing w:before="185" w:line="289" w:lineRule="auto"/>
        <w:ind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6.按有关规定对施工单位开展各类安全生产检查，发现生产安全事故隐患按有关</w:t>
      </w:r>
      <w:r>
        <w:rPr>
          <w:rFonts w:ascii="宋体" w:hAnsi="宋体" w:eastAsia="宋体" w:cs="宋体"/>
          <w:color w:val="auto"/>
          <w:spacing w:val="-2"/>
          <w:sz w:val="24"/>
          <w:szCs w:val="24"/>
          <w:highlight w:val="none"/>
        </w:rPr>
        <w:t>要求及时处理和报告。</w:t>
      </w:r>
    </w:p>
    <w:p w14:paraId="770CF01E">
      <w:pPr>
        <w:spacing w:before="183"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7.建立安全监理内业台账档案。</w:t>
      </w:r>
    </w:p>
    <w:p w14:paraId="3A8EBB5D">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8.落实安全生产法律法规、政策等规定的其他职责。</w:t>
      </w:r>
    </w:p>
    <w:p w14:paraId="51CBB3BB">
      <w:pPr>
        <w:spacing w:before="181" w:line="219" w:lineRule="auto"/>
        <w:ind w:left="48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三、违约责任</w:t>
      </w:r>
    </w:p>
    <w:p w14:paraId="757F10D1">
      <w:pPr>
        <w:spacing w:before="182"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如因一方违约造成安全事故，将依法追究法律责任。</w:t>
      </w:r>
    </w:p>
    <w:p w14:paraId="5EA68449">
      <w:pPr>
        <w:spacing w:before="181" w:line="219" w:lineRule="auto"/>
        <w:ind w:left="507"/>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四、本合同正本一式两份，甲、乙双方各执一份；副本一式八份，甲、乙</w:t>
      </w:r>
      <w:r>
        <w:rPr>
          <w:rFonts w:ascii="宋体" w:hAnsi="宋体" w:eastAsia="宋体" w:cs="宋体"/>
          <w:b/>
          <w:bCs/>
          <w:color w:val="auto"/>
          <w:spacing w:val="-2"/>
          <w:sz w:val="24"/>
          <w:szCs w:val="24"/>
          <w:highlight w:val="none"/>
        </w:rPr>
        <w:t>双方各</w:t>
      </w:r>
    </w:p>
    <w:p w14:paraId="5C639B1C">
      <w:pPr>
        <w:spacing w:line="219" w:lineRule="auto"/>
        <w:rPr>
          <w:rFonts w:ascii="宋体" w:hAnsi="宋体" w:eastAsia="宋体" w:cs="宋体"/>
          <w:color w:val="auto"/>
          <w:sz w:val="24"/>
          <w:szCs w:val="24"/>
          <w:highlight w:val="none"/>
        </w:rPr>
        <w:sectPr>
          <w:footerReference r:id="rId36" w:type="default"/>
          <w:pgSz w:w="11906" w:h="16839"/>
          <w:pgMar w:top="1431" w:right="1418" w:bottom="1297" w:left="1425" w:header="0" w:footer="1066" w:gutter="0"/>
          <w:pgNumType w:fmt="decimal"/>
          <w:cols w:space="720" w:num="1"/>
        </w:sectPr>
      </w:pPr>
    </w:p>
    <w:p w14:paraId="23B4E800">
      <w:pPr>
        <w:spacing w:before="48" w:line="360" w:lineRule="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执四份。合同由双方法定代表人或其授权的</w:t>
      </w:r>
      <w:r>
        <w:rPr>
          <w:rFonts w:ascii="宋体" w:hAnsi="宋体" w:eastAsia="宋体" w:cs="宋体"/>
          <w:b/>
          <w:bCs/>
          <w:color w:val="auto"/>
          <w:spacing w:val="-1"/>
          <w:sz w:val="24"/>
          <w:szCs w:val="24"/>
          <w:highlight w:val="none"/>
        </w:rPr>
        <w:t>代理人签署并加盖公章后生效，全部工程</w:t>
      </w:r>
      <w:r>
        <w:rPr>
          <w:rFonts w:ascii="宋体" w:hAnsi="宋体" w:eastAsia="宋体" w:cs="宋体"/>
          <w:b/>
          <w:bCs/>
          <w:color w:val="auto"/>
          <w:spacing w:val="-4"/>
          <w:sz w:val="24"/>
          <w:szCs w:val="24"/>
          <w:highlight w:val="none"/>
        </w:rPr>
        <w:t>竣工验收后失效。</w:t>
      </w:r>
    </w:p>
    <w:p w14:paraId="5D460630">
      <w:pPr>
        <w:spacing w:before="19"/>
        <w:rPr>
          <w:color w:val="auto"/>
          <w:highlight w:val="none"/>
        </w:rPr>
      </w:pPr>
    </w:p>
    <w:p w14:paraId="4A9A12F5">
      <w:pPr>
        <w:spacing w:before="19"/>
        <w:rPr>
          <w:color w:val="auto"/>
          <w:highlight w:val="none"/>
        </w:rPr>
      </w:pPr>
    </w:p>
    <w:p w14:paraId="2541903B">
      <w:pPr>
        <w:spacing w:before="19"/>
        <w:rPr>
          <w:color w:val="auto"/>
          <w:highlight w:val="none"/>
        </w:rPr>
      </w:pPr>
    </w:p>
    <w:p w14:paraId="1C1FDB03">
      <w:pPr>
        <w:spacing w:before="18"/>
        <w:rPr>
          <w:color w:val="auto"/>
          <w:highlight w:val="none"/>
        </w:rPr>
      </w:pPr>
    </w:p>
    <w:p w14:paraId="73567CAE">
      <w:pPr>
        <w:rPr>
          <w:color w:val="auto"/>
          <w:highlight w:val="none"/>
        </w:rPr>
        <w:sectPr>
          <w:footerReference r:id="rId37" w:type="default"/>
          <w:pgSz w:w="11906" w:h="16839"/>
          <w:pgMar w:top="1405" w:right="1523" w:bottom="1297" w:left="1424" w:header="0" w:footer="1067" w:gutter="0"/>
          <w:pgNumType w:fmt="decimal"/>
          <w:cols w:equalWidth="0" w:num="1">
            <w:col w:w="8958"/>
          </w:cols>
        </w:sectPr>
      </w:pPr>
    </w:p>
    <w:p w14:paraId="0E897777">
      <w:pPr>
        <w:spacing w:before="47" w:line="219" w:lineRule="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委托人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4"/>
          <w:sz w:val="24"/>
          <w:szCs w:val="24"/>
          <w:highlight w:val="none"/>
        </w:rPr>
        <w:t>盖章）</w:t>
      </w:r>
    </w:p>
    <w:p w14:paraId="51C21621">
      <w:pPr>
        <w:spacing w:line="415" w:lineRule="auto"/>
        <w:rPr>
          <w:rFonts w:ascii="Arial"/>
          <w:color w:val="auto"/>
          <w:sz w:val="21"/>
          <w:highlight w:val="none"/>
        </w:rPr>
      </w:pPr>
    </w:p>
    <w:p w14:paraId="79488C9F">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法定代表人或</w:t>
      </w:r>
    </w:p>
    <w:p w14:paraId="5C340C05">
      <w:pPr>
        <w:spacing w:line="414" w:lineRule="auto"/>
        <w:rPr>
          <w:rFonts w:ascii="Arial"/>
          <w:color w:val="auto"/>
          <w:sz w:val="21"/>
          <w:highlight w:val="none"/>
        </w:rPr>
      </w:pPr>
    </w:p>
    <w:p w14:paraId="206FCFDA">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其授权的代理人</w:t>
      </w:r>
      <w:r>
        <w:rPr>
          <w:rFonts w:ascii="宋体" w:hAnsi="宋体" w:eastAsia="宋体" w:cs="宋体"/>
          <w:color w:val="auto"/>
          <w:spacing w:val="-16"/>
          <w:sz w:val="24"/>
          <w:szCs w:val="24"/>
          <w:highlight w:val="none"/>
        </w:rPr>
        <w:t>：</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签名）</w:t>
      </w:r>
      <w:r>
        <w:rPr>
          <w:rFonts w:ascii="宋体" w:hAnsi="宋体" w:eastAsia="宋体" w:cs="宋体"/>
          <w:color w:val="auto"/>
          <w:sz w:val="24"/>
          <w:szCs w:val="24"/>
          <w:highlight w:val="none"/>
          <w:u w:val="single" w:color="auto"/>
        </w:rPr>
        <w:t xml:space="preserve">   </w:t>
      </w:r>
    </w:p>
    <w:p w14:paraId="1E4BB193">
      <w:pPr>
        <w:spacing w:line="411" w:lineRule="auto"/>
        <w:rPr>
          <w:rFonts w:ascii="Arial"/>
          <w:color w:val="auto"/>
          <w:sz w:val="21"/>
          <w:highlight w:val="none"/>
        </w:rPr>
      </w:pPr>
    </w:p>
    <w:p w14:paraId="3E82F62A">
      <w:pPr>
        <w:spacing w:before="79" w:line="229" w:lineRule="auto"/>
        <w:ind w:left="6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66D1E849">
      <w:pPr>
        <w:spacing w:before="171" w:line="221" w:lineRule="auto"/>
        <w:ind w:left="8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3AE7514D">
      <w:pPr>
        <w:spacing w:line="283" w:lineRule="auto"/>
        <w:rPr>
          <w:rFonts w:ascii="Arial"/>
          <w:color w:val="auto"/>
          <w:sz w:val="21"/>
          <w:highlight w:val="none"/>
        </w:rPr>
      </w:pPr>
    </w:p>
    <w:p w14:paraId="52A43EF4">
      <w:pPr>
        <w:spacing w:line="284" w:lineRule="auto"/>
        <w:rPr>
          <w:rFonts w:ascii="Arial"/>
          <w:color w:val="auto"/>
          <w:sz w:val="21"/>
          <w:highlight w:val="none"/>
        </w:rPr>
      </w:pPr>
    </w:p>
    <w:p w14:paraId="391FCE66">
      <w:pPr>
        <w:spacing w:before="78" w:line="184" w:lineRule="auto"/>
        <w:ind w:left="102"/>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12BFED6D">
      <w:pPr>
        <w:spacing w:line="14" w:lineRule="auto"/>
        <w:rPr>
          <w:rFonts w:ascii="Arial"/>
          <w:color w:val="auto"/>
          <w:sz w:val="2"/>
          <w:highlight w:val="none"/>
        </w:rPr>
      </w:pPr>
      <w:r>
        <w:rPr>
          <w:rFonts w:ascii="Arial" w:hAnsi="Arial" w:eastAsia="Arial" w:cs="Arial"/>
          <w:color w:val="auto"/>
          <w:sz w:val="2"/>
          <w:szCs w:val="2"/>
          <w:highlight w:val="none"/>
        </w:rPr>
        <w:br w:type="column"/>
      </w:r>
    </w:p>
    <w:p w14:paraId="1D852A37">
      <w:pPr>
        <w:spacing w:before="46" w:line="219"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监理人</w:t>
      </w:r>
      <w:r>
        <w:rPr>
          <w:rFonts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7"/>
          <w:sz w:val="24"/>
          <w:szCs w:val="24"/>
          <w:highlight w:val="none"/>
          <w:u w:val="single" w:color="auto"/>
        </w:rPr>
        <w:t>全称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7"/>
          <w:sz w:val="24"/>
          <w:szCs w:val="24"/>
          <w:highlight w:val="none"/>
          <w:u w:val="single" w:color="auto"/>
        </w:rPr>
        <w:t>盖章）</w:t>
      </w:r>
      <w:r>
        <w:rPr>
          <w:rFonts w:ascii="宋体" w:hAnsi="宋体" w:eastAsia="宋体" w:cs="宋体"/>
          <w:color w:val="auto"/>
          <w:sz w:val="24"/>
          <w:szCs w:val="24"/>
          <w:highlight w:val="none"/>
          <w:u w:val="single" w:color="auto"/>
        </w:rPr>
        <w:t xml:space="preserve">   </w:t>
      </w:r>
    </w:p>
    <w:p w14:paraId="34481341">
      <w:pPr>
        <w:spacing w:line="415" w:lineRule="auto"/>
        <w:rPr>
          <w:rFonts w:ascii="Arial"/>
          <w:color w:val="auto"/>
          <w:sz w:val="21"/>
          <w:highlight w:val="none"/>
        </w:rPr>
      </w:pPr>
    </w:p>
    <w:p w14:paraId="6D8465CB">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法定代表人或</w:t>
      </w:r>
    </w:p>
    <w:p w14:paraId="44EDACE6">
      <w:pPr>
        <w:spacing w:line="414" w:lineRule="auto"/>
        <w:rPr>
          <w:rFonts w:ascii="Arial"/>
          <w:color w:val="auto"/>
          <w:sz w:val="21"/>
          <w:highlight w:val="none"/>
        </w:rPr>
      </w:pPr>
    </w:p>
    <w:p w14:paraId="13C1D378">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其授权的代理人</w:t>
      </w:r>
      <w:r>
        <w:rPr>
          <w:rFonts w:ascii="宋体" w:hAnsi="宋体" w:eastAsia="宋体" w:cs="宋体"/>
          <w:color w:val="auto"/>
          <w:spacing w:val="-16"/>
          <w:sz w:val="24"/>
          <w:szCs w:val="24"/>
          <w:highlight w:val="none"/>
        </w:rPr>
        <w:t>：</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签名）</w:t>
      </w:r>
      <w:r>
        <w:rPr>
          <w:rFonts w:ascii="宋体" w:hAnsi="宋体" w:eastAsia="宋体" w:cs="宋体"/>
          <w:color w:val="auto"/>
          <w:sz w:val="24"/>
          <w:szCs w:val="24"/>
          <w:highlight w:val="none"/>
          <w:u w:val="single" w:color="auto"/>
        </w:rPr>
        <w:t xml:space="preserve">   </w:t>
      </w:r>
    </w:p>
    <w:p w14:paraId="2078135C">
      <w:pPr>
        <w:spacing w:line="411" w:lineRule="auto"/>
        <w:rPr>
          <w:rFonts w:ascii="Arial"/>
          <w:color w:val="auto"/>
          <w:sz w:val="21"/>
          <w:highlight w:val="none"/>
        </w:rPr>
      </w:pPr>
    </w:p>
    <w:p w14:paraId="22DF7CB8">
      <w:pPr>
        <w:spacing w:before="78" w:line="229" w:lineRule="auto"/>
        <w:ind w:left="5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5CB9BF66">
      <w:pPr>
        <w:spacing w:before="172" w:line="221" w:lineRule="auto"/>
        <w:ind w:left="8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5386148C">
      <w:pPr>
        <w:spacing w:line="283" w:lineRule="auto"/>
        <w:rPr>
          <w:rFonts w:ascii="Arial"/>
          <w:color w:val="auto"/>
          <w:sz w:val="21"/>
          <w:highlight w:val="none"/>
        </w:rPr>
      </w:pPr>
    </w:p>
    <w:p w14:paraId="2403A490">
      <w:pPr>
        <w:spacing w:line="284" w:lineRule="auto"/>
        <w:rPr>
          <w:rFonts w:ascii="Arial"/>
          <w:color w:val="auto"/>
          <w:sz w:val="21"/>
          <w:highlight w:val="none"/>
        </w:rPr>
      </w:pPr>
    </w:p>
    <w:p w14:paraId="4970B4D4">
      <w:pPr>
        <w:spacing w:before="78" w:line="184" w:lineRule="auto"/>
        <w:ind w:left="10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790EDF58">
      <w:pPr>
        <w:spacing w:line="184" w:lineRule="auto"/>
        <w:rPr>
          <w:rFonts w:ascii="宋体" w:hAnsi="宋体" w:eastAsia="宋体" w:cs="宋体"/>
          <w:color w:val="auto"/>
          <w:sz w:val="24"/>
          <w:szCs w:val="24"/>
          <w:highlight w:val="none"/>
        </w:rPr>
        <w:sectPr>
          <w:type w:val="continuous"/>
          <w:pgSz w:w="11906" w:h="16839"/>
          <w:pgMar w:top="1405" w:right="1523" w:bottom="1297" w:left="1424" w:header="0" w:footer="1067" w:gutter="0"/>
          <w:pgNumType w:fmt="decimal"/>
          <w:cols w:equalWidth="0" w:num="2">
            <w:col w:w="4582" w:space="100"/>
            <w:col w:w="4276"/>
          </w:cols>
        </w:sectPr>
      </w:pPr>
    </w:p>
    <w:p w14:paraId="35E2102F">
      <w:pPr>
        <w:spacing w:line="243" w:lineRule="auto"/>
        <w:rPr>
          <w:rFonts w:ascii="Arial"/>
          <w:color w:val="auto"/>
          <w:sz w:val="21"/>
          <w:highlight w:val="none"/>
        </w:rPr>
      </w:pPr>
    </w:p>
    <w:p w14:paraId="61FEE0CC">
      <w:pPr>
        <w:spacing w:line="243" w:lineRule="auto"/>
        <w:rPr>
          <w:rFonts w:ascii="Arial"/>
          <w:color w:val="auto"/>
          <w:sz w:val="21"/>
          <w:highlight w:val="none"/>
        </w:rPr>
      </w:pPr>
    </w:p>
    <w:p w14:paraId="6A35473A">
      <w:pPr>
        <w:spacing w:line="243" w:lineRule="auto"/>
        <w:rPr>
          <w:rFonts w:ascii="Arial"/>
          <w:color w:val="auto"/>
          <w:sz w:val="21"/>
          <w:highlight w:val="none"/>
        </w:rPr>
      </w:pPr>
    </w:p>
    <w:p w14:paraId="16E54575">
      <w:pPr>
        <w:spacing w:line="244" w:lineRule="auto"/>
        <w:rPr>
          <w:rFonts w:ascii="Arial"/>
          <w:color w:val="auto"/>
          <w:sz w:val="21"/>
          <w:highlight w:val="none"/>
        </w:rPr>
      </w:pPr>
    </w:p>
    <w:p w14:paraId="5C0C35A8">
      <w:pPr>
        <w:spacing w:line="244" w:lineRule="auto"/>
        <w:rPr>
          <w:rFonts w:ascii="Arial"/>
          <w:color w:val="auto"/>
          <w:sz w:val="21"/>
          <w:highlight w:val="none"/>
        </w:rPr>
      </w:pPr>
    </w:p>
    <w:p w14:paraId="58C13FFC">
      <w:pPr>
        <w:spacing w:line="244" w:lineRule="auto"/>
        <w:rPr>
          <w:rFonts w:ascii="Arial"/>
          <w:color w:val="auto"/>
          <w:sz w:val="21"/>
          <w:highlight w:val="none"/>
        </w:rPr>
      </w:pPr>
    </w:p>
    <w:p w14:paraId="0D657983">
      <w:pPr>
        <w:spacing w:line="244" w:lineRule="auto"/>
        <w:rPr>
          <w:rFonts w:ascii="Arial"/>
          <w:color w:val="auto"/>
          <w:sz w:val="21"/>
          <w:highlight w:val="none"/>
        </w:rPr>
      </w:pPr>
    </w:p>
    <w:p w14:paraId="78508A16">
      <w:pPr>
        <w:spacing w:line="244" w:lineRule="auto"/>
        <w:rPr>
          <w:rFonts w:ascii="Arial"/>
          <w:color w:val="auto"/>
          <w:sz w:val="21"/>
          <w:highlight w:val="none"/>
        </w:rPr>
      </w:pPr>
    </w:p>
    <w:p w14:paraId="16DCB847">
      <w:pPr>
        <w:spacing w:line="244" w:lineRule="auto"/>
        <w:rPr>
          <w:rFonts w:ascii="Arial"/>
          <w:color w:val="auto"/>
          <w:sz w:val="21"/>
          <w:highlight w:val="none"/>
        </w:rPr>
      </w:pPr>
    </w:p>
    <w:p w14:paraId="4E7D1ED3">
      <w:pPr>
        <w:spacing w:line="244" w:lineRule="auto"/>
        <w:rPr>
          <w:rFonts w:ascii="Arial"/>
          <w:color w:val="auto"/>
          <w:sz w:val="21"/>
          <w:highlight w:val="none"/>
        </w:rPr>
      </w:pPr>
    </w:p>
    <w:p w14:paraId="03656FEC">
      <w:pPr>
        <w:spacing w:line="244" w:lineRule="auto"/>
        <w:rPr>
          <w:rFonts w:ascii="Arial"/>
          <w:color w:val="auto"/>
          <w:sz w:val="21"/>
          <w:highlight w:val="none"/>
        </w:rPr>
      </w:pPr>
    </w:p>
    <w:p w14:paraId="7DB73422">
      <w:pPr>
        <w:spacing w:line="244" w:lineRule="auto"/>
        <w:rPr>
          <w:rFonts w:ascii="Arial"/>
          <w:color w:val="auto"/>
          <w:sz w:val="21"/>
          <w:highlight w:val="none"/>
        </w:rPr>
      </w:pPr>
    </w:p>
    <w:p w14:paraId="0719A4A2">
      <w:pPr>
        <w:spacing w:line="243" w:lineRule="auto"/>
        <w:rPr>
          <w:rFonts w:ascii="Arial"/>
          <w:color w:val="auto"/>
          <w:sz w:val="21"/>
          <w:highlight w:val="none"/>
        </w:rPr>
      </w:pPr>
      <w:bookmarkStart w:id="727" w:name="bookmark15"/>
      <w:bookmarkEnd w:id="727"/>
      <w:bookmarkStart w:id="728" w:name="bookmark154"/>
      <w:bookmarkEnd w:id="728"/>
    </w:p>
    <w:p w14:paraId="4276D614">
      <w:pPr>
        <w:spacing w:line="244" w:lineRule="auto"/>
        <w:rPr>
          <w:rFonts w:ascii="Arial"/>
          <w:color w:val="auto"/>
          <w:sz w:val="21"/>
          <w:highlight w:val="none"/>
        </w:rPr>
      </w:pPr>
    </w:p>
    <w:p w14:paraId="15604160">
      <w:pPr>
        <w:spacing w:line="244" w:lineRule="auto"/>
        <w:rPr>
          <w:rFonts w:ascii="Arial"/>
          <w:color w:val="auto"/>
          <w:sz w:val="21"/>
          <w:highlight w:val="none"/>
        </w:rPr>
      </w:pPr>
    </w:p>
    <w:p w14:paraId="4AD896E5">
      <w:pPr>
        <w:spacing w:line="244" w:lineRule="auto"/>
        <w:rPr>
          <w:rFonts w:ascii="Arial"/>
          <w:color w:val="auto"/>
          <w:sz w:val="21"/>
          <w:highlight w:val="none"/>
        </w:rPr>
      </w:pPr>
    </w:p>
    <w:p w14:paraId="00A935F8">
      <w:pPr>
        <w:spacing w:line="244" w:lineRule="auto"/>
        <w:rPr>
          <w:rFonts w:ascii="Arial"/>
          <w:color w:val="auto"/>
          <w:sz w:val="21"/>
          <w:highlight w:val="none"/>
        </w:rPr>
      </w:pPr>
    </w:p>
    <w:p w14:paraId="44BD1FEF">
      <w:pPr>
        <w:spacing w:line="244" w:lineRule="auto"/>
        <w:rPr>
          <w:rFonts w:ascii="Arial"/>
          <w:color w:val="auto"/>
          <w:sz w:val="21"/>
          <w:highlight w:val="none"/>
        </w:rPr>
      </w:pPr>
    </w:p>
    <w:p w14:paraId="575BD842">
      <w:pPr>
        <w:spacing w:line="244" w:lineRule="auto"/>
        <w:rPr>
          <w:rFonts w:ascii="Arial"/>
          <w:color w:val="auto"/>
          <w:sz w:val="21"/>
          <w:highlight w:val="none"/>
        </w:rPr>
      </w:pPr>
    </w:p>
    <w:p w14:paraId="460CE2A0">
      <w:pPr>
        <w:spacing w:line="244" w:lineRule="auto"/>
        <w:rPr>
          <w:rFonts w:ascii="Arial"/>
          <w:color w:val="auto"/>
          <w:sz w:val="21"/>
          <w:highlight w:val="none"/>
        </w:rPr>
      </w:pPr>
    </w:p>
    <w:p w14:paraId="10199812">
      <w:pPr>
        <w:spacing w:line="244" w:lineRule="auto"/>
        <w:rPr>
          <w:rFonts w:ascii="Arial"/>
          <w:color w:val="auto"/>
          <w:sz w:val="21"/>
          <w:highlight w:val="none"/>
        </w:rPr>
      </w:pPr>
    </w:p>
    <w:p w14:paraId="6B04E602">
      <w:pPr>
        <w:spacing w:line="244" w:lineRule="auto"/>
        <w:rPr>
          <w:rFonts w:ascii="Arial"/>
          <w:color w:val="auto"/>
          <w:sz w:val="21"/>
          <w:highlight w:val="none"/>
        </w:rPr>
      </w:pPr>
    </w:p>
    <w:p w14:paraId="01A59B03">
      <w:pPr>
        <w:spacing w:line="244" w:lineRule="auto"/>
        <w:rPr>
          <w:rFonts w:ascii="Arial"/>
          <w:color w:val="auto"/>
          <w:sz w:val="21"/>
          <w:highlight w:val="none"/>
        </w:rPr>
      </w:pPr>
    </w:p>
    <w:p w14:paraId="0AB29D7E">
      <w:pPr>
        <w:spacing w:line="244" w:lineRule="auto"/>
        <w:rPr>
          <w:rFonts w:ascii="Arial"/>
          <w:color w:val="auto"/>
          <w:sz w:val="21"/>
          <w:highlight w:val="none"/>
        </w:rPr>
      </w:pPr>
    </w:p>
    <w:p w14:paraId="52558C41">
      <w:pPr>
        <w:spacing w:line="244" w:lineRule="auto"/>
        <w:rPr>
          <w:rFonts w:ascii="Arial"/>
          <w:color w:val="auto"/>
          <w:sz w:val="21"/>
          <w:highlight w:val="none"/>
        </w:rPr>
      </w:pPr>
    </w:p>
    <w:p w14:paraId="4F9EDEB6">
      <w:pPr>
        <w:spacing w:line="244" w:lineRule="auto"/>
        <w:rPr>
          <w:rFonts w:ascii="Arial"/>
          <w:color w:val="auto"/>
          <w:sz w:val="21"/>
          <w:highlight w:val="none"/>
        </w:rPr>
      </w:pPr>
    </w:p>
    <w:p w14:paraId="5A93A2B9">
      <w:pPr>
        <w:spacing w:line="244" w:lineRule="auto"/>
        <w:rPr>
          <w:rFonts w:ascii="Arial"/>
          <w:color w:val="auto"/>
          <w:sz w:val="21"/>
          <w:highlight w:val="none"/>
        </w:rPr>
      </w:pPr>
    </w:p>
    <w:p w14:paraId="429DE9C2">
      <w:pPr>
        <w:spacing w:line="244" w:lineRule="auto"/>
        <w:rPr>
          <w:rFonts w:ascii="Arial"/>
          <w:color w:val="auto"/>
          <w:sz w:val="21"/>
          <w:highlight w:val="none"/>
        </w:rPr>
      </w:pPr>
    </w:p>
    <w:p w14:paraId="4EF615D5">
      <w:pPr>
        <w:spacing w:line="244" w:lineRule="auto"/>
        <w:rPr>
          <w:rFonts w:ascii="Arial"/>
          <w:color w:val="auto"/>
          <w:sz w:val="21"/>
          <w:highlight w:val="none"/>
        </w:rPr>
      </w:pPr>
    </w:p>
    <w:p w14:paraId="32DA537E">
      <w:pPr>
        <w:spacing w:before="169" w:line="219" w:lineRule="auto"/>
        <w:ind w:left="1839"/>
        <w:outlineLvl w:val="0"/>
        <w:rPr>
          <w:rFonts w:ascii="宋体" w:hAnsi="宋体" w:eastAsia="宋体" w:cs="宋体"/>
          <w:color w:val="auto"/>
          <w:sz w:val="52"/>
          <w:szCs w:val="52"/>
          <w:highlight w:val="none"/>
        </w:rPr>
      </w:pPr>
      <w:bookmarkStart w:id="729" w:name="bookmark15"/>
      <w:bookmarkEnd w:id="729"/>
      <w:bookmarkStart w:id="730" w:name="_Toc16388"/>
      <w:bookmarkStart w:id="731" w:name="_Toc14274"/>
      <w:r>
        <w:rPr>
          <w:rFonts w:ascii="宋体" w:hAnsi="宋体" w:eastAsia="宋体" w:cs="宋体"/>
          <w:b/>
          <w:bCs/>
          <w:color w:val="auto"/>
          <w:spacing w:val="-5"/>
          <w:sz w:val="52"/>
          <w:szCs w:val="52"/>
          <w:highlight w:val="none"/>
        </w:rPr>
        <w:t>第五章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委托人要求</w:t>
      </w:r>
      <w:bookmarkEnd w:id="730"/>
      <w:bookmarkEnd w:id="731"/>
    </w:p>
    <w:p w14:paraId="34DC6639">
      <w:pPr>
        <w:spacing w:line="219" w:lineRule="auto"/>
        <w:rPr>
          <w:rFonts w:ascii="宋体" w:hAnsi="宋体" w:eastAsia="宋体" w:cs="宋体"/>
          <w:color w:val="auto"/>
          <w:sz w:val="52"/>
          <w:szCs w:val="52"/>
          <w:highlight w:val="none"/>
        </w:rPr>
        <w:sectPr>
          <w:footerReference r:id="rId38" w:type="default"/>
          <w:pgSz w:w="11906" w:h="16839"/>
          <w:pgMar w:top="1431" w:right="1785" w:bottom="1297" w:left="1785" w:header="0" w:footer="1067" w:gutter="0"/>
          <w:pgNumType w:fmt="decimal"/>
          <w:cols w:space="720" w:num="1"/>
        </w:sectPr>
      </w:pPr>
    </w:p>
    <w:p w14:paraId="306145BA">
      <w:pPr>
        <w:spacing w:before="59" w:line="221" w:lineRule="auto"/>
        <w:ind w:left="3789"/>
        <w:rPr>
          <w:rFonts w:ascii="宋体" w:hAnsi="宋体" w:eastAsia="宋体" w:cs="宋体"/>
          <w:color w:val="auto"/>
          <w:sz w:val="30"/>
          <w:szCs w:val="30"/>
          <w:highlight w:val="none"/>
        </w:rPr>
      </w:pPr>
      <w:bookmarkStart w:id="732" w:name="bookmark155"/>
      <w:bookmarkEnd w:id="732"/>
      <w:r>
        <w:rPr>
          <w:rFonts w:ascii="宋体" w:hAnsi="宋体" w:eastAsia="宋体" w:cs="宋体"/>
          <w:color w:val="auto"/>
          <w:spacing w:val="-3"/>
          <w:sz w:val="30"/>
          <w:szCs w:val="30"/>
          <w:highlight w:val="none"/>
        </w:rPr>
        <w:t>委托人要求</w:t>
      </w:r>
    </w:p>
    <w:p w14:paraId="73553939">
      <w:pPr>
        <w:spacing w:line="265" w:lineRule="auto"/>
        <w:rPr>
          <w:rFonts w:ascii="Arial"/>
          <w:color w:val="auto"/>
          <w:sz w:val="21"/>
          <w:highlight w:val="none"/>
        </w:rPr>
      </w:pPr>
    </w:p>
    <w:p w14:paraId="675735F5">
      <w:pPr>
        <w:spacing w:line="265" w:lineRule="auto"/>
        <w:rPr>
          <w:rFonts w:ascii="Arial"/>
          <w:color w:val="auto"/>
          <w:sz w:val="21"/>
          <w:highlight w:val="none"/>
        </w:rPr>
      </w:pPr>
    </w:p>
    <w:p w14:paraId="6915C84C">
      <w:pPr>
        <w:spacing w:line="227" w:lineRule="auto"/>
        <w:ind w:left="419"/>
        <w:rPr>
          <w:rFonts w:ascii="宋体" w:hAnsi="宋体" w:eastAsia="宋体" w:cs="宋体"/>
          <w:color w:val="auto"/>
          <w:sz w:val="20"/>
          <w:szCs w:val="20"/>
          <w:highlight w:val="none"/>
        </w:rPr>
      </w:pPr>
    </w:p>
    <w:p w14:paraId="6508EC24">
      <w:pPr>
        <w:spacing w:before="199" w:line="221" w:lineRule="auto"/>
        <w:ind w:left="5"/>
        <w:outlineLvl w:val="1"/>
        <w:rPr>
          <w:rFonts w:ascii="宋体" w:hAnsi="宋体" w:eastAsia="宋体" w:cs="宋体"/>
          <w:color w:val="auto"/>
          <w:sz w:val="24"/>
          <w:szCs w:val="24"/>
          <w:highlight w:val="none"/>
        </w:rPr>
      </w:pPr>
      <w:bookmarkStart w:id="733" w:name="_Toc9383"/>
      <w:bookmarkStart w:id="734" w:name="_Toc10695"/>
      <w:bookmarkStart w:id="735" w:name="_Toc28710"/>
      <w:bookmarkStart w:id="736" w:name="_Toc12007"/>
      <w:r>
        <w:rPr>
          <w:rFonts w:ascii="宋体" w:hAnsi="宋体" w:eastAsia="宋体" w:cs="宋体"/>
          <w:b/>
          <w:bCs/>
          <w:color w:val="auto"/>
          <w:spacing w:val="-4"/>
          <w:sz w:val="24"/>
          <w:szCs w:val="24"/>
          <w:highlight w:val="none"/>
        </w:rPr>
        <w:t>一、监理要求</w:t>
      </w:r>
      <w:bookmarkEnd w:id="733"/>
      <w:bookmarkEnd w:id="734"/>
      <w:bookmarkEnd w:id="735"/>
      <w:bookmarkEnd w:id="736"/>
    </w:p>
    <w:p w14:paraId="1597FDB3">
      <w:pPr>
        <w:spacing w:before="161"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招标人应当根据项目情况在本章中明确相应的监理要</w:t>
      </w:r>
      <w:r>
        <w:rPr>
          <w:rFonts w:ascii="宋体" w:hAnsi="宋体" w:eastAsia="宋体" w:cs="宋体"/>
          <w:color w:val="auto"/>
          <w:spacing w:val="-1"/>
          <w:sz w:val="24"/>
          <w:szCs w:val="24"/>
          <w:highlight w:val="none"/>
        </w:rPr>
        <w:t>求，一般应包括以下内容：</w:t>
      </w:r>
    </w:p>
    <w:p w14:paraId="18E11738">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（一）项目概况</w:t>
      </w:r>
    </w:p>
    <w:p w14:paraId="41A4860F">
      <w:pPr>
        <w:spacing w:before="152" w:line="309" w:lineRule="auto"/>
        <w:ind w:left="1" w:firstLine="497"/>
        <w:rPr>
          <w:rFonts w:hint="eastAsia"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1. 项目名称</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z w:val="24"/>
          <w:szCs w:val="24"/>
          <w:highlight w:val="none"/>
          <w:lang w:val="en-US" w:eastAsia="zh-CN"/>
        </w:rPr>
        <w:t>乳源县桂头镇至韶关丹霞机场公路新建工程（韶关机场进场道路）</w:t>
      </w:r>
      <w:r>
        <w:rPr>
          <w:rFonts w:ascii="宋体" w:hAnsi="宋体" w:eastAsia="宋体" w:cs="宋体"/>
          <w:color w:val="auto"/>
          <w:sz w:val="24"/>
          <w:szCs w:val="24"/>
          <w:highlight w:val="none"/>
          <w:lang w:val="en-US" w:eastAsia="zh-CN"/>
        </w:rPr>
        <w:t>施工监理</w:t>
      </w:r>
    </w:p>
    <w:p w14:paraId="36F84458">
      <w:pPr>
        <w:spacing w:before="152" w:line="309" w:lineRule="auto"/>
        <w:ind w:left="1" w:firstLine="497"/>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建设单位</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韶关市粤丹工程管理有限公司。</w:t>
      </w:r>
    </w:p>
    <w:p w14:paraId="1F2003A1">
      <w:pPr>
        <w:spacing w:before="152" w:line="309" w:lineRule="auto"/>
        <w:ind w:left="1" w:firstLine="497"/>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建设规模、技术标准、项目地理位置</w:t>
      </w:r>
      <w:r>
        <w:rPr>
          <w:rFonts w:hint="eastAsia" w:ascii="宋体" w:hAnsi="宋体" w:eastAsia="宋体" w:cs="宋体"/>
          <w:color w:val="auto"/>
          <w:spacing w:val="-2"/>
          <w:sz w:val="24"/>
          <w:szCs w:val="24"/>
          <w:highlight w:val="none"/>
          <w:lang w:eastAsia="zh-CN"/>
        </w:rPr>
        <w:t>：</w:t>
      </w:r>
    </w:p>
    <w:p w14:paraId="7E7C891C">
      <w:pPr>
        <w:spacing w:before="152" w:line="309" w:lineRule="auto"/>
        <w:ind w:left="1" w:firstLine="497"/>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建设地点：韶关市乳源县桂头镇</w:t>
      </w:r>
    </w:p>
    <w:p w14:paraId="5E10AC1A">
      <w:pPr>
        <w:spacing w:before="152" w:line="309" w:lineRule="auto"/>
        <w:ind w:left="1" w:firstLine="49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招标范围及规模：本项目位于韶关市乳源县桂头镇，路线起自省道S248与省道S250平交口，先东西走向，后南北走向，先后经过小江村、大坝村、凰村、红岭村，终点沿现状进场路，止于丹霞机场门口。路线全长4.237km，全线双向四车道，采用一级公路技术标准，设计速度60km/h，沥青混凝土路面，全线平面交叉8处（其中灯控平交4处，其余均有右进右出支路口），共设置涵洞13道。</w:t>
      </w:r>
    </w:p>
    <w:p w14:paraId="42C73E29">
      <w:pPr>
        <w:spacing w:before="157" w:line="220"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 项目周边环境、文物情况</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1E320081">
      <w:pPr>
        <w:spacing w:before="152"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 水文、气候、气象及地质简况</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6D9F382A">
      <w:pPr>
        <w:spacing w:before="156"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 交通、电力、通讯及其他条件等</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3A22044B">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（二）监理范围及内容</w:t>
      </w:r>
    </w:p>
    <w:p w14:paraId="5B729DF5">
      <w:pPr>
        <w:spacing w:before="153" w:line="339" w:lineRule="auto"/>
        <w:ind w:right="128" w:firstLine="480"/>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w:t>
      </w:r>
      <w:r>
        <w:rPr>
          <w:rFonts w:ascii="宋体" w:hAnsi="宋体" w:eastAsia="宋体" w:cs="宋体"/>
          <w:color w:val="auto"/>
          <w:spacing w:val="5"/>
          <w:sz w:val="24"/>
          <w:szCs w:val="24"/>
          <w:highlight w:val="none"/>
        </w:rPr>
        <w:t>包括监理范围及主要监理内容</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5B1C8639">
      <w:pPr>
        <w:spacing w:before="153" w:line="339" w:lineRule="auto"/>
        <w:ind w:right="128" w:firstLine="480"/>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2、</w:t>
      </w:r>
      <w:r>
        <w:rPr>
          <w:rFonts w:ascii="宋体" w:hAnsi="宋体" w:eastAsia="宋体" w:cs="宋体"/>
          <w:color w:val="auto"/>
          <w:spacing w:val="5"/>
          <w:sz w:val="24"/>
          <w:szCs w:val="24"/>
          <w:highlight w:val="none"/>
        </w:rPr>
        <w:t>与监理范围对应的施工标段划分及各标段主要工程数量表等</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详见施工图</w:t>
      </w:r>
      <w:r>
        <w:rPr>
          <w:rFonts w:ascii="宋体" w:hAnsi="宋体" w:eastAsia="宋体" w:cs="宋体"/>
          <w:color w:val="auto"/>
          <w:spacing w:val="5"/>
          <w:sz w:val="24"/>
          <w:szCs w:val="24"/>
          <w:highlight w:val="none"/>
        </w:rPr>
        <w:t>。</w:t>
      </w:r>
    </w:p>
    <w:p w14:paraId="7A36B974">
      <w:pPr>
        <w:spacing w:before="153" w:line="339" w:lineRule="auto"/>
        <w:ind w:right="128" w:firstLine="480"/>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en-US"/>
        </w:rPr>
        <w:t>（三）</w:t>
      </w:r>
      <w:r>
        <w:rPr>
          <w:rFonts w:ascii="宋体" w:hAnsi="宋体" w:eastAsia="宋体" w:cs="宋体"/>
          <w:color w:val="auto"/>
          <w:spacing w:val="5"/>
          <w:sz w:val="24"/>
          <w:szCs w:val="24"/>
          <w:highlight w:val="none"/>
        </w:rPr>
        <w:t>监理依据</w:t>
      </w:r>
    </w:p>
    <w:p w14:paraId="1182B3D3">
      <w:pPr>
        <w:spacing w:before="153" w:line="339" w:lineRule="auto"/>
        <w:ind w:right="128" w:firstLine="480"/>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执行《公路工程施工监理规范》</w:t>
      </w:r>
    </w:p>
    <w:p w14:paraId="1BF2B96E">
      <w:pPr>
        <w:spacing w:before="153" w:line="339" w:lineRule="auto"/>
        <w:ind w:right="128"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（四）监理人员和试验检测仪器设备要</w:t>
      </w:r>
      <w:r>
        <w:rPr>
          <w:rFonts w:ascii="宋体" w:hAnsi="宋体" w:eastAsia="宋体" w:cs="宋体"/>
          <w:color w:val="auto"/>
          <w:spacing w:val="-2"/>
          <w:sz w:val="24"/>
          <w:szCs w:val="24"/>
          <w:highlight w:val="none"/>
        </w:rPr>
        <w:t>求</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12CA759D">
      <w:pPr>
        <w:spacing w:before="155" w:line="220"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（五）其他要求</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4E74F02D">
      <w:pPr>
        <w:spacing w:before="186" w:line="220" w:lineRule="auto"/>
        <w:ind w:left="5"/>
        <w:outlineLvl w:val="1"/>
        <w:rPr>
          <w:rFonts w:ascii="宋体" w:hAnsi="宋体" w:eastAsia="宋体" w:cs="宋体"/>
          <w:color w:val="auto"/>
          <w:sz w:val="24"/>
          <w:szCs w:val="24"/>
          <w:highlight w:val="none"/>
        </w:rPr>
      </w:pPr>
      <w:bookmarkStart w:id="737" w:name="_Toc552"/>
      <w:bookmarkStart w:id="738" w:name="_Toc23072"/>
      <w:bookmarkStart w:id="739" w:name="_Toc4797"/>
      <w:bookmarkStart w:id="740" w:name="_Toc20781"/>
      <w:r>
        <w:rPr>
          <w:rFonts w:ascii="宋体" w:hAnsi="宋体" w:eastAsia="宋体" w:cs="宋体"/>
          <w:b/>
          <w:bCs/>
          <w:color w:val="auto"/>
          <w:spacing w:val="-4"/>
          <w:sz w:val="24"/>
          <w:szCs w:val="24"/>
          <w:highlight w:val="none"/>
        </w:rPr>
        <w:t>二、适用规范标准</w:t>
      </w:r>
      <w:bookmarkEnd w:id="737"/>
      <w:bookmarkEnd w:id="738"/>
      <w:bookmarkEnd w:id="739"/>
      <w:bookmarkEnd w:id="740"/>
    </w:p>
    <w:p w14:paraId="57A53931">
      <w:pPr>
        <w:spacing w:before="163" w:line="221"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（一）通用施工监理规范</w:t>
      </w:r>
    </w:p>
    <w:p w14:paraId="10990DDD">
      <w:pPr>
        <w:spacing w:before="15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执行最新《公路工程施工监理规范》。</w:t>
      </w:r>
    </w:p>
    <w:p w14:paraId="6389C19F">
      <w:pPr>
        <w:spacing w:before="155"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（二）专用施工监理规范</w:t>
      </w:r>
    </w:p>
    <w:p w14:paraId="26FC8F5F">
      <w:pPr>
        <w:spacing w:before="180" w:line="406" w:lineRule="auto"/>
        <w:ind w:left="1" w:right="128" w:firstLine="419"/>
        <w:jc w:val="both"/>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专用施工监理规范由招标人根据工程的实际情况，在最新《公路工</w:t>
      </w:r>
      <w:r>
        <w:rPr>
          <w:rFonts w:ascii="宋体" w:hAnsi="宋体" w:eastAsia="宋体" w:cs="宋体"/>
          <w:color w:val="auto"/>
          <w:spacing w:val="10"/>
          <w:sz w:val="24"/>
          <w:szCs w:val="24"/>
          <w:highlight w:val="none"/>
        </w:rPr>
        <w:t>程施工监理规范》的基础上自行编制并纳入“委托人要求</w:t>
      </w:r>
      <w:r>
        <w:rPr>
          <w:rFonts w:ascii="宋体" w:hAnsi="宋体" w:eastAsia="宋体" w:cs="宋体"/>
          <w:color w:val="auto"/>
          <w:spacing w:val="-69"/>
          <w:sz w:val="24"/>
          <w:szCs w:val="24"/>
          <w:highlight w:val="none"/>
        </w:rPr>
        <w:t xml:space="preserve"> </w:t>
      </w:r>
      <w:r>
        <w:rPr>
          <w:rFonts w:ascii="宋体" w:hAnsi="宋体" w:eastAsia="宋体" w:cs="宋体"/>
          <w:color w:val="auto"/>
          <w:spacing w:val="10"/>
          <w:sz w:val="24"/>
          <w:szCs w:val="24"/>
          <w:highlight w:val="none"/>
        </w:rPr>
        <w:t>”中，但不得与国家、交通运输部及有关部门的法规、标准、规范等</w:t>
      </w:r>
      <w:r>
        <w:rPr>
          <w:rFonts w:ascii="宋体" w:hAnsi="宋体" w:eastAsia="宋体" w:cs="宋体"/>
          <w:color w:val="auto"/>
          <w:spacing w:val="2"/>
          <w:sz w:val="24"/>
          <w:szCs w:val="24"/>
          <w:highlight w:val="none"/>
        </w:rPr>
        <w:t>矛盾。</w:t>
      </w:r>
    </w:p>
    <w:p w14:paraId="2049BE44">
      <w:pPr>
        <w:spacing w:before="1" w:line="409" w:lineRule="auto"/>
        <w:ind w:left="19" w:right="30" w:firstLine="40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针对本工程或仅在本地区实行的与监理工作有</w:t>
      </w:r>
      <w:r>
        <w:rPr>
          <w:rFonts w:ascii="宋体" w:hAnsi="宋体" w:eastAsia="宋体" w:cs="宋体"/>
          <w:color w:val="auto"/>
          <w:spacing w:val="12"/>
          <w:sz w:val="24"/>
          <w:szCs w:val="24"/>
          <w:highlight w:val="none"/>
        </w:rPr>
        <w:t>关的管理办法、制度应一并纳入“委托人要求</w:t>
      </w:r>
      <w:r>
        <w:rPr>
          <w:rFonts w:ascii="宋体" w:hAnsi="宋体" w:eastAsia="宋体" w:cs="宋体"/>
          <w:color w:val="auto"/>
          <w:spacing w:val="-72"/>
          <w:sz w:val="24"/>
          <w:szCs w:val="24"/>
          <w:highlight w:val="none"/>
        </w:rPr>
        <w:t xml:space="preserve"> </w:t>
      </w:r>
      <w:r>
        <w:rPr>
          <w:rFonts w:ascii="宋体" w:hAnsi="宋体" w:eastAsia="宋体" w:cs="宋体"/>
          <w:color w:val="auto"/>
          <w:spacing w:val="12"/>
          <w:sz w:val="24"/>
          <w:szCs w:val="24"/>
          <w:highlight w:val="none"/>
        </w:rPr>
        <w:t>”</w:t>
      </w:r>
      <w:r>
        <w:rPr>
          <w:rFonts w:ascii="宋体" w:hAnsi="宋体" w:eastAsia="宋体" w:cs="宋体"/>
          <w:color w:val="auto"/>
          <w:spacing w:val="-10"/>
          <w:sz w:val="24"/>
          <w:szCs w:val="24"/>
          <w:highlight w:val="none"/>
        </w:rPr>
        <w:t>中。</w:t>
      </w:r>
    </w:p>
    <w:p w14:paraId="1BEECB16">
      <w:pPr>
        <w:spacing w:before="132" w:line="219"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（三）施工技术规范</w:t>
      </w:r>
    </w:p>
    <w:p w14:paraId="7C8C9E99">
      <w:pPr>
        <w:spacing w:before="154"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施工技术规范包括以下内容：</w:t>
      </w:r>
    </w:p>
    <w:p w14:paraId="526E95E1">
      <w:pPr>
        <w:spacing w:before="155" w:line="219"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 本工程施工标段招标文件中的技术规范；</w:t>
      </w:r>
    </w:p>
    <w:p w14:paraId="51033005">
      <w:pPr>
        <w:spacing w:before="155"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2. 所有与工程施工有关的国家现行的公路建设</w:t>
      </w:r>
      <w:r>
        <w:rPr>
          <w:rFonts w:ascii="宋体" w:hAnsi="宋体" w:eastAsia="宋体" w:cs="宋体"/>
          <w:color w:val="auto"/>
          <w:spacing w:val="-1"/>
          <w:sz w:val="24"/>
          <w:szCs w:val="24"/>
          <w:highlight w:val="none"/>
        </w:rPr>
        <w:t>标准、规范、规程及相关文件。</w:t>
      </w:r>
    </w:p>
    <w:p w14:paraId="634FEA3D">
      <w:pPr>
        <w:spacing w:before="154" w:line="218"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（四）执行广东省《公路工程造价管理指南》。</w:t>
      </w:r>
    </w:p>
    <w:p w14:paraId="6DDC957A">
      <w:pPr>
        <w:spacing w:before="158"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（五）国家、行业、项目所在地适用本工程的其他规范、标准或规程。</w:t>
      </w:r>
    </w:p>
    <w:p w14:paraId="19E9F0BA">
      <w:pPr>
        <w:spacing w:before="187" w:line="219" w:lineRule="auto"/>
        <w:outlineLvl w:val="1"/>
        <w:rPr>
          <w:rFonts w:ascii="宋体" w:hAnsi="宋体" w:eastAsia="宋体" w:cs="宋体"/>
          <w:color w:val="auto"/>
          <w:sz w:val="24"/>
          <w:szCs w:val="24"/>
          <w:highlight w:val="none"/>
        </w:rPr>
      </w:pPr>
      <w:bookmarkStart w:id="741" w:name="_Toc16973"/>
      <w:bookmarkStart w:id="742" w:name="_Toc27662"/>
      <w:bookmarkStart w:id="743" w:name="_Toc10547"/>
      <w:bookmarkStart w:id="744" w:name="_Toc13224"/>
      <w:r>
        <w:rPr>
          <w:rFonts w:ascii="宋体" w:hAnsi="宋体" w:eastAsia="宋体" w:cs="宋体"/>
          <w:b/>
          <w:bCs/>
          <w:color w:val="auto"/>
          <w:spacing w:val="-3"/>
          <w:sz w:val="24"/>
          <w:szCs w:val="24"/>
          <w:highlight w:val="none"/>
        </w:rPr>
        <w:t>三、成果文件要求</w:t>
      </w:r>
      <w:bookmarkEnd w:id="741"/>
      <w:bookmarkEnd w:id="742"/>
      <w:bookmarkEnd w:id="743"/>
      <w:bookmarkEnd w:id="744"/>
    </w:p>
    <w:p w14:paraId="09B0C64B">
      <w:pPr>
        <w:spacing w:before="164" w:line="219" w:lineRule="auto"/>
        <w:ind w:left="491"/>
        <w:rPr>
          <w:rFonts w:hint="default" w:ascii="宋体" w:hAnsi="宋体" w:eastAsia="宋体" w:cs="宋体"/>
          <w:color w:val="auto"/>
          <w:sz w:val="24"/>
          <w:szCs w:val="24"/>
          <w:highlight w:val="none"/>
          <w:lang w:val="en-US"/>
        </w:rPr>
      </w:pPr>
      <w:r>
        <w:rPr>
          <w:rFonts w:ascii="宋体" w:hAnsi="宋体" w:eastAsia="宋体" w:cs="宋体"/>
          <w:color w:val="auto"/>
          <w:spacing w:val="-3"/>
          <w:sz w:val="24"/>
          <w:szCs w:val="24"/>
          <w:highlight w:val="none"/>
        </w:rPr>
        <w:t>（一）成果文件的组成</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614D3B1C">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（二）成果文件的深度</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7E39EB2D">
      <w:pPr>
        <w:spacing w:before="157"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（三）成果文件的格式要求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5E22156A">
      <w:pPr>
        <w:spacing w:before="155"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（四）成果文件的份数要求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36EB1FE2">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（五）成果文件的载体要求</w:t>
      </w:r>
    </w:p>
    <w:p w14:paraId="504DAB7F">
      <w:pPr>
        <w:spacing w:before="157" w:line="220" w:lineRule="auto"/>
        <w:ind w:left="4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 纸质版的要求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6378E50E">
      <w:pPr>
        <w:spacing w:before="153" w:line="220" w:lineRule="auto"/>
        <w:ind w:left="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ascii="宋体" w:hAnsi="宋体" w:eastAsia="宋体" w:cs="宋体"/>
          <w:color w:val="auto"/>
          <w:spacing w:val="40"/>
          <w:sz w:val="24"/>
          <w:szCs w:val="24"/>
          <w:highlight w:val="none"/>
        </w:rPr>
        <w:t xml:space="preserve"> </w:t>
      </w:r>
      <w:r>
        <w:rPr>
          <w:rFonts w:ascii="宋体" w:hAnsi="宋体" w:eastAsia="宋体" w:cs="宋体"/>
          <w:color w:val="auto"/>
          <w:spacing w:val="-6"/>
          <w:sz w:val="24"/>
          <w:szCs w:val="24"/>
          <w:highlight w:val="none"/>
        </w:rPr>
        <w:t>电子版的要求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0EBD1664">
      <w:pPr>
        <w:spacing w:before="153" w:line="220"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其他要求</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z w:val="24"/>
          <w:szCs w:val="24"/>
          <w:highlight w:val="none"/>
          <w:u w:val="single"/>
          <w:lang w:val="en-US" w:eastAsia="zh-CN"/>
        </w:rPr>
        <w:t>/</w:t>
      </w:r>
      <w:r>
        <w:rPr>
          <w:rFonts w:ascii="宋体" w:hAnsi="宋体" w:eastAsia="宋体" w:cs="宋体"/>
          <w:color w:val="auto"/>
          <w:spacing w:val="-2"/>
          <w:sz w:val="24"/>
          <w:szCs w:val="24"/>
          <w:highlight w:val="none"/>
        </w:rPr>
        <w:t>。</w:t>
      </w:r>
    </w:p>
    <w:p w14:paraId="46BC4134">
      <w:pPr>
        <w:spacing w:before="156"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（六）成果文件的其他要求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2F0EA7D1">
      <w:pPr>
        <w:spacing w:before="186" w:line="219" w:lineRule="auto"/>
        <w:ind w:left="22"/>
        <w:outlineLvl w:val="1"/>
        <w:rPr>
          <w:rFonts w:ascii="宋体" w:hAnsi="宋体" w:eastAsia="宋体" w:cs="宋体"/>
          <w:color w:val="auto"/>
          <w:sz w:val="24"/>
          <w:szCs w:val="24"/>
          <w:highlight w:val="none"/>
        </w:rPr>
      </w:pPr>
      <w:bookmarkStart w:id="745" w:name="_Toc16909"/>
      <w:bookmarkStart w:id="746" w:name="_Toc23010"/>
      <w:bookmarkStart w:id="747" w:name="_Toc8609"/>
      <w:bookmarkStart w:id="748" w:name="_Toc25997"/>
      <w:r>
        <w:rPr>
          <w:rFonts w:ascii="宋体" w:hAnsi="宋体" w:eastAsia="宋体" w:cs="宋体"/>
          <w:b/>
          <w:bCs/>
          <w:color w:val="auto"/>
          <w:spacing w:val="-6"/>
          <w:sz w:val="24"/>
          <w:szCs w:val="24"/>
          <w:highlight w:val="none"/>
        </w:rPr>
        <w:t>四、委托人财产清单</w:t>
      </w:r>
      <w:bookmarkEnd w:id="745"/>
      <w:bookmarkEnd w:id="746"/>
      <w:bookmarkEnd w:id="747"/>
      <w:bookmarkEnd w:id="748"/>
    </w:p>
    <w:p w14:paraId="0F21E20A">
      <w:pPr>
        <w:spacing w:before="163"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（一）委托人提供的设备、设施</w:t>
      </w:r>
    </w:p>
    <w:p w14:paraId="402BF95F">
      <w:pPr>
        <w:spacing w:before="154" w:line="219" w:lineRule="auto"/>
        <w:ind w:left="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不提供。</w:t>
      </w:r>
    </w:p>
    <w:p w14:paraId="1993428E">
      <w:pPr>
        <w:spacing w:before="157"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（二）委托人提供的资料</w:t>
      </w:r>
    </w:p>
    <w:p w14:paraId="5C7AC897">
      <w:pPr>
        <w:spacing w:before="155" w:line="299" w:lineRule="auto"/>
        <w:ind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施工场地及毗邻区域内的供水、排水、供电、供气、供热、通信、广播电视等</w:t>
      </w:r>
      <w:r>
        <w:rPr>
          <w:rFonts w:ascii="宋体" w:hAnsi="宋体" w:eastAsia="宋体" w:cs="宋体"/>
          <w:color w:val="auto"/>
          <w:spacing w:val="5"/>
          <w:sz w:val="24"/>
          <w:szCs w:val="24"/>
          <w:highlight w:val="none"/>
        </w:rPr>
        <w:t>地下管线资料、气象和水文观测资料，相邻建筑物和构筑物、地下工程的有</w:t>
      </w:r>
      <w:r>
        <w:rPr>
          <w:rFonts w:ascii="宋体" w:hAnsi="宋体" w:eastAsia="宋体" w:cs="宋体"/>
          <w:color w:val="auto"/>
          <w:spacing w:val="4"/>
          <w:sz w:val="24"/>
          <w:szCs w:val="24"/>
          <w:highlight w:val="none"/>
        </w:rPr>
        <w:t>关资料，</w:t>
      </w:r>
      <w:r>
        <w:rPr>
          <w:rFonts w:ascii="宋体" w:hAnsi="宋体" w:eastAsia="宋体" w:cs="宋体"/>
          <w:color w:val="auto"/>
          <w:spacing w:val="-1"/>
          <w:sz w:val="24"/>
          <w:szCs w:val="24"/>
          <w:highlight w:val="none"/>
        </w:rPr>
        <w:t>以及其他与公路工程有关的原始资料</w:t>
      </w:r>
    </w:p>
    <w:p w14:paraId="07B66DC2">
      <w:pPr>
        <w:spacing w:before="15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 定位放线的基准点、基准线和基准标高</w:t>
      </w:r>
    </w:p>
    <w:p w14:paraId="55C476D9">
      <w:pPr>
        <w:spacing w:before="153"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 委托人取得的有关审批、核准和备案材料</w:t>
      </w:r>
    </w:p>
    <w:p w14:paraId="6E94851E">
      <w:pPr>
        <w:spacing w:before="158"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 勘察文件、设计文件等资料</w:t>
      </w:r>
    </w:p>
    <w:p w14:paraId="28E1BC64">
      <w:pPr>
        <w:spacing w:before="155"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技术标准、规范</w:t>
      </w:r>
    </w:p>
    <w:p w14:paraId="1BC7FF13">
      <w:pPr>
        <w:spacing w:before="154"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 工程承包合同及其他相关合同</w:t>
      </w:r>
    </w:p>
    <w:p w14:paraId="099B1FF7">
      <w:pPr>
        <w:spacing w:before="157" w:line="220" w:lineRule="auto"/>
        <w:ind w:left="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ascii="宋体" w:hAnsi="宋体" w:eastAsia="宋体" w:cs="宋体"/>
          <w:color w:val="auto"/>
          <w:spacing w:val="13"/>
          <w:sz w:val="24"/>
          <w:szCs w:val="24"/>
          <w:highlight w:val="none"/>
        </w:rPr>
        <w:t xml:space="preserve"> </w:t>
      </w:r>
      <w:r>
        <w:rPr>
          <w:rFonts w:ascii="宋体" w:hAnsi="宋体" w:eastAsia="宋体" w:cs="宋体"/>
          <w:color w:val="auto"/>
          <w:spacing w:val="-5"/>
          <w:sz w:val="24"/>
          <w:szCs w:val="24"/>
          <w:highlight w:val="none"/>
        </w:rPr>
        <w:t>其他资料</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z w:val="24"/>
          <w:szCs w:val="24"/>
          <w:highlight w:val="none"/>
          <w:u w:val="single"/>
          <w:lang w:val="en-US" w:eastAsia="zh-CN"/>
        </w:rPr>
        <w:t>/</w:t>
      </w:r>
    </w:p>
    <w:p w14:paraId="5E3F6D78">
      <w:pPr>
        <w:spacing w:before="153" w:line="378" w:lineRule="exact"/>
        <w:ind w:left="495"/>
        <w:rPr>
          <w:rFonts w:ascii="宋体" w:hAnsi="宋体" w:eastAsia="宋体" w:cs="宋体"/>
          <w:color w:val="auto"/>
          <w:sz w:val="24"/>
          <w:szCs w:val="24"/>
          <w:highlight w:val="none"/>
        </w:rPr>
      </w:pPr>
    </w:p>
    <w:p w14:paraId="2F001294">
      <w:pPr>
        <w:spacing w:before="61"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（三）委托人财产使用要求及退还要求</w:t>
      </w:r>
    </w:p>
    <w:p w14:paraId="1401A2CF">
      <w:pPr>
        <w:spacing w:line="219" w:lineRule="auto"/>
        <w:ind w:firstLine="468" w:firstLineChars="200"/>
        <w:rPr>
          <w:rFonts w:ascii="宋体" w:hAnsi="宋体" w:eastAsia="宋体" w:cs="宋体"/>
          <w:color w:val="auto"/>
          <w:spacing w:val="-3"/>
          <w:sz w:val="24"/>
          <w:szCs w:val="24"/>
          <w:highlight w:val="none"/>
        </w:rPr>
      </w:pPr>
    </w:p>
    <w:p w14:paraId="4B2BD6ED">
      <w:pPr>
        <w:spacing w:line="219" w:lineRule="auto"/>
        <w:ind w:firstLine="468"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 委托人财产使用要求</w:t>
      </w:r>
      <w:r>
        <w:rPr>
          <w:rFonts w:hint="eastAsia" w:ascii="宋体" w:hAnsi="宋体" w:eastAsia="宋体" w:cs="宋体"/>
          <w:color w:val="auto"/>
          <w:spacing w:val="-2"/>
          <w:sz w:val="24"/>
          <w:szCs w:val="24"/>
          <w:highlight w:val="none"/>
          <w:lang w:val="en-US" w:eastAsia="zh-CN"/>
        </w:rPr>
        <w:t>:/</w:t>
      </w:r>
    </w:p>
    <w:p w14:paraId="5FC7A505">
      <w:pPr>
        <w:spacing w:before="154"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委托人财产退还要求</w:t>
      </w:r>
      <w:r>
        <w:rPr>
          <w:rFonts w:hint="eastAsia" w:ascii="宋体" w:hAnsi="宋体" w:eastAsia="宋体" w:cs="宋体"/>
          <w:color w:val="auto"/>
          <w:spacing w:val="-2"/>
          <w:sz w:val="24"/>
          <w:szCs w:val="24"/>
          <w:highlight w:val="none"/>
          <w:lang w:val="en-US" w:eastAsia="zh-CN"/>
        </w:rPr>
        <w:t>:/</w:t>
      </w:r>
    </w:p>
    <w:p w14:paraId="45D6D32F">
      <w:pPr>
        <w:spacing w:before="91" w:line="219" w:lineRule="auto"/>
        <w:ind w:left="4"/>
        <w:outlineLvl w:val="1"/>
        <w:rPr>
          <w:rFonts w:ascii="宋体" w:hAnsi="宋体" w:eastAsia="宋体" w:cs="宋体"/>
          <w:color w:val="auto"/>
          <w:sz w:val="24"/>
          <w:szCs w:val="24"/>
          <w:highlight w:val="none"/>
        </w:rPr>
      </w:pPr>
      <w:bookmarkStart w:id="749" w:name="_Toc12147"/>
      <w:bookmarkStart w:id="750" w:name="_Toc29738"/>
      <w:bookmarkStart w:id="751" w:name="_Toc887"/>
      <w:bookmarkStart w:id="752" w:name="_Toc505"/>
      <w:r>
        <w:rPr>
          <w:rFonts w:ascii="宋体" w:hAnsi="宋体" w:eastAsia="宋体" w:cs="宋体"/>
          <w:b/>
          <w:bCs/>
          <w:color w:val="auto"/>
          <w:spacing w:val="-3"/>
          <w:sz w:val="24"/>
          <w:szCs w:val="24"/>
          <w:highlight w:val="none"/>
        </w:rPr>
        <w:t>五、委托人提供的便利条件</w:t>
      </w:r>
      <w:bookmarkEnd w:id="749"/>
      <w:bookmarkEnd w:id="750"/>
      <w:bookmarkEnd w:id="751"/>
      <w:bookmarkEnd w:id="752"/>
    </w:p>
    <w:p w14:paraId="239E4AEE">
      <w:pPr>
        <w:spacing w:before="164" w:line="219" w:lineRule="auto"/>
        <w:ind w:left="492"/>
        <w:rPr>
          <w:rFonts w:hint="default" w:ascii="宋体" w:hAnsi="宋体" w:eastAsia="宋体" w:cs="宋体"/>
          <w:color w:val="auto"/>
          <w:sz w:val="24"/>
          <w:szCs w:val="24"/>
          <w:highlight w:val="none"/>
          <w:lang w:val="en-US"/>
        </w:rPr>
      </w:pPr>
      <w:r>
        <w:rPr>
          <w:rFonts w:ascii="宋体" w:hAnsi="宋体" w:eastAsia="宋体" w:cs="宋体"/>
          <w:color w:val="auto"/>
          <w:spacing w:val="-2"/>
          <w:sz w:val="24"/>
          <w:szCs w:val="24"/>
          <w:highlight w:val="none"/>
        </w:rPr>
        <w:t>（一）委托人提供的生活条件</w:t>
      </w:r>
      <w:r>
        <w:rPr>
          <w:rFonts w:hint="eastAsia" w:ascii="宋体" w:hAnsi="宋体" w:eastAsia="宋体" w:cs="宋体"/>
          <w:color w:val="auto"/>
          <w:spacing w:val="-2"/>
          <w:sz w:val="24"/>
          <w:szCs w:val="24"/>
          <w:highlight w:val="none"/>
          <w:lang w:val="en-US" w:eastAsia="zh-CN"/>
        </w:rPr>
        <w:t>:无</w:t>
      </w:r>
    </w:p>
    <w:p w14:paraId="41618BB5">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（二）委托人提供的交通条件</w:t>
      </w:r>
      <w:r>
        <w:rPr>
          <w:rFonts w:hint="eastAsia" w:ascii="宋体" w:hAnsi="宋体" w:eastAsia="宋体" w:cs="宋体"/>
          <w:color w:val="auto"/>
          <w:spacing w:val="-2"/>
          <w:sz w:val="24"/>
          <w:szCs w:val="24"/>
          <w:highlight w:val="none"/>
          <w:lang w:val="en-US" w:eastAsia="zh-CN"/>
        </w:rPr>
        <w:t>:/</w:t>
      </w:r>
    </w:p>
    <w:p w14:paraId="769C0D3C">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（三）委托人提供的网络、通讯条件</w:t>
      </w:r>
      <w:r>
        <w:rPr>
          <w:rFonts w:hint="eastAsia" w:ascii="宋体" w:hAnsi="宋体" w:eastAsia="宋体" w:cs="宋体"/>
          <w:color w:val="auto"/>
          <w:spacing w:val="-2"/>
          <w:sz w:val="24"/>
          <w:szCs w:val="24"/>
          <w:highlight w:val="none"/>
          <w:lang w:val="en-US" w:eastAsia="zh-CN"/>
        </w:rPr>
        <w:t>:/</w:t>
      </w:r>
    </w:p>
    <w:p w14:paraId="0E666FFA">
      <w:pPr>
        <w:spacing w:before="154" w:line="219" w:lineRule="auto"/>
        <w:ind w:left="492"/>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（四）委托人提供的协助人员</w:t>
      </w:r>
      <w:r>
        <w:rPr>
          <w:rFonts w:hint="eastAsia" w:ascii="宋体" w:hAnsi="宋体" w:eastAsia="宋体" w:cs="宋体"/>
          <w:color w:val="auto"/>
          <w:spacing w:val="-2"/>
          <w:sz w:val="24"/>
          <w:szCs w:val="24"/>
          <w:highlight w:val="none"/>
          <w:lang w:val="en-US" w:eastAsia="zh-CN"/>
        </w:rPr>
        <w:t>:/</w:t>
      </w:r>
    </w:p>
    <w:p w14:paraId="5B364F97">
      <w:pPr>
        <w:spacing w:before="95" w:line="219" w:lineRule="auto"/>
        <w:ind w:left="2"/>
        <w:outlineLvl w:val="1"/>
        <w:rPr>
          <w:rFonts w:ascii="宋体" w:hAnsi="宋体" w:eastAsia="宋体" w:cs="宋体"/>
          <w:color w:val="auto"/>
          <w:sz w:val="24"/>
          <w:szCs w:val="24"/>
          <w:highlight w:val="none"/>
        </w:rPr>
      </w:pPr>
      <w:bookmarkStart w:id="753" w:name="_Toc13303"/>
      <w:bookmarkStart w:id="754" w:name="_Toc577"/>
      <w:bookmarkStart w:id="755" w:name="_Toc1589"/>
      <w:bookmarkStart w:id="756" w:name="_Toc18535"/>
      <w:r>
        <w:rPr>
          <w:rFonts w:ascii="宋体" w:hAnsi="宋体" w:eastAsia="宋体" w:cs="宋体"/>
          <w:b/>
          <w:bCs/>
          <w:color w:val="auto"/>
          <w:spacing w:val="-3"/>
          <w:sz w:val="24"/>
          <w:szCs w:val="24"/>
          <w:highlight w:val="none"/>
        </w:rPr>
        <w:t>六、监理人需要自备的工作条件</w:t>
      </w:r>
      <w:bookmarkEnd w:id="753"/>
      <w:bookmarkEnd w:id="754"/>
      <w:bookmarkEnd w:id="755"/>
      <w:bookmarkEnd w:id="756"/>
    </w:p>
    <w:p w14:paraId="58BF50C7">
      <w:pPr>
        <w:spacing w:before="16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（一）监理人自备的工作手册：如本项目必备的规范标准、图集等</w:t>
      </w:r>
    </w:p>
    <w:p w14:paraId="7EDDADC2">
      <w:pPr>
        <w:spacing w:before="154" w:line="279" w:lineRule="auto"/>
        <w:ind w:left="2" w:firstLine="48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（二）监理人自备的办公设备：如电脑、软件、投影、打印机、复</w:t>
      </w:r>
      <w:r>
        <w:rPr>
          <w:rFonts w:ascii="宋体" w:hAnsi="宋体" w:eastAsia="宋体" w:cs="宋体"/>
          <w:color w:val="auto"/>
          <w:spacing w:val="4"/>
          <w:sz w:val="24"/>
          <w:szCs w:val="24"/>
          <w:highlight w:val="none"/>
        </w:rPr>
        <w:t>印机、照相机</w:t>
      </w:r>
      <w:r>
        <w:rPr>
          <w:rFonts w:ascii="宋体" w:hAnsi="宋体" w:eastAsia="宋体" w:cs="宋体"/>
          <w:color w:val="auto"/>
          <w:sz w:val="24"/>
          <w:szCs w:val="24"/>
          <w:highlight w:val="none"/>
        </w:rPr>
        <w:t>等</w:t>
      </w:r>
    </w:p>
    <w:p w14:paraId="2D28F590">
      <w:pPr>
        <w:spacing w:before="15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（三）监理人自备的交通工具：如出行车辆等</w:t>
      </w:r>
    </w:p>
    <w:p w14:paraId="713C2198">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（四）监理人自备的现场办公设施：如办公桌椅、文件柜等</w:t>
      </w:r>
    </w:p>
    <w:p w14:paraId="6E24CA48">
      <w:pPr>
        <w:spacing w:before="15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（五）监理人自备的安全设施：如安全帽、安全鞋、手电筒等</w:t>
      </w:r>
    </w:p>
    <w:p w14:paraId="189369F6">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（六）监理人自备的试验检测仪器、设备、工具</w:t>
      </w:r>
    </w:p>
    <w:p w14:paraId="7F252FE9">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（七）监理人自备的试验用房、样品用房</w:t>
      </w:r>
    </w:p>
    <w:p w14:paraId="4C33D8AF">
      <w:pPr>
        <w:spacing w:before="95" w:line="220" w:lineRule="auto"/>
        <w:outlineLvl w:val="1"/>
        <w:rPr>
          <w:rFonts w:ascii="宋体" w:hAnsi="宋体" w:eastAsia="宋体" w:cs="宋体"/>
          <w:color w:val="auto"/>
          <w:sz w:val="24"/>
          <w:szCs w:val="24"/>
          <w:highlight w:val="none"/>
        </w:rPr>
      </w:pPr>
      <w:bookmarkStart w:id="757" w:name="_Toc22017"/>
      <w:bookmarkStart w:id="758" w:name="_Toc12595"/>
      <w:bookmarkStart w:id="759" w:name="_Toc17202"/>
      <w:bookmarkStart w:id="760" w:name="_Toc23256"/>
      <w:r>
        <w:rPr>
          <w:rFonts w:ascii="宋体" w:hAnsi="宋体" w:eastAsia="宋体" w:cs="宋体"/>
          <w:b/>
          <w:bCs/>
          <w:color w:val="auto"/>
          <w:spacing w:val="-3"/>
          <w:sz w:val="24"/>
          <w:szCs w:val="24"/>
          <w:highlight w:val="none"/>
        </w:rPr>
        <w:t>七、委托人的其他要求</w:t>
      </w:r>
      <w:bookmarkEnd w:id="757"/>
      <w:bookmarkEnd w:id="758"/>
      <w:bookmarkEnd w:id="759"/>
      <w:bookmarkEnd w:id="760"/>
    </w:p>
    <w:p w14:paraId="79E503D4">
      <w:pPr>
        <w:spacing w:before="163" w:line="220" w:lineRule="auto"/>
        <w:ind w:left="480"/>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委托人的其他要求</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27D6B4F7">
      <w:pPr>
        <w:spacing w:line="243" w:lineRule="auto"/>
        <w:rPr>
          <w:rFonts w:ascii="Arial"/>
          <w:color w:val="auto"/>
          <w:sz w:val="21"/>
          <w:highlight w:val="none"/>
        </w:rPr>
      </w:pPr>
    </w:p>
    <w:p w14:paraId="390C9116">
      <w:pPr>
        <w:spacing w:line="56" w:lineRule="exact"/>
        <w:ind w:firstLine="496"/>
        <w:rPr>
          <w:color w:val="auto"/>
          <w:highlight w:val="none"/>
        </w:rPr>
      </w:pPr>
    </w:p>
    <w:p w14:paraId="0E529DAB">
      <w:pPr>
        <w:spacing w:line="56" w:lineRule="exact"/>
        <w:rPr>
          <w:color w:val="auto"/>
          <w:highlight w:val="none"/>
        </w:rPr>
        <w:sectPr>
          <w:footerReference r:id="rId39" w:type="default"/>
          <w:pgSz w:w="11906" w:h="16839"/>
          <w:pgMar w:top="1431" w:right="1418" w:bottom="1297" w:left="1424" w:header="0" w:footer="1067" w:gutter="0"/>
          <w:pgNumType w:fmt="decimal"/>
          <w:cols w:space="720" w:num="1"/>
        </w:sectPr>
      </w:pPr>
    </w:p>
    <w:p w14:paraId="4A5F49B1">
      <w:pPr>
        <w:spacing w:line="243" w:lineRule="auto"/>
        <w:rPr>
          <w:rFonts w:ascii="Arial"/>
          <w:color w:val="auto"/>
          <w:sz w:val="21"/>
          <w:highlight w:val="none"/>
        </w:rPr>
      </w:pPr>
    </w:p>
    <w:p w14:paraId="313A1625">
      <w:pPr>
        <w:spacing w:line="243" w:lineRule="auto"/>
        <w:rPr>
          <w:rFonts w:ascii="Arial"/>
          <w:color w:val="auto"/>
          <w:sz w:val="21"/>
          <w:highlight w:val="none"/>
        </w:rPr>
      </w:pPr>
    </w:p>
    <w:p w14:paraId="456F2EF7">
      <w:pPr>
        <w:spacing w:line="243" w:lineRule="auto"/>
        <w:rPr>
          <w:rFonts w:ascii="Arial"/>
          <w:color w:val="auto"/>
          <w:sz w:val="21"/>
          <w:highlight w:val="none"/>
        </w:rPr>
      </w:pPr>
    </w:p>
    <w:p w14:paraId="48601925">
      <w:pPr>
        <w:spacing w:line="243" w:lineRule="auto"/>
        <w:rPr>
          <w:rFonts w:ascii="Arial"/>
          <w:color w:val="auto"/>
          <w:sz w:val="21"/>
          <w:highlight w:val="none"/>
        </w:rPr>
      </w:pPr>
    </w:p>
    <w:p w14:paraId="1BE44508">
      <w:pPr>
        <w:spacing w:line="243" w:lineRule="auto"/>
        <w:rPr>
          <w:rFonts w:ascii="Arial"/>
          <w:color w:val="auto"/>
          <w:sz w:val="21"/>
          <w:highlight w:val="none"/>
        </w:rPr>
      </w:pPr>
    </w:p>
    <w:p w14:paraId="5C063A8F">
      <w:pPr>
        <w:spacing w:line="243" w:lineRule="auto"/>
        <w:rPr>
          <w:rFonts w:ascii="Arial"/>
          <w:color w:val="auto"/>
          <w:sz w:val="21"/>
          <w:highlight w:val="none"/>
        </w:rPr>
      </w:pPr>
    </w:p>
    <w:p w14:paraId="20BD0599">
      <w:pPr>
        <w:spacing w:line="243" w:lineRule="auto"/>
        <w:rPr>
          <w:rFonts w:ascii="Arial"/>
          <w:color w:val="auto"/>
          <w:sz w:val="21"/>
          <w:highlight w:val="none"/>
        </w:rPr>
      </w:pPr>
    </w:p>
    <w:p w14:paraId="58152966">
      <w:pPr>
        <w:spacing w:line="243" w:lineRule="auto"/>
        <w:rPr>
          <w:rFonts w:ascii="Arial"/>
          <w:color w:val="auto"/>
          <w:sz w:val="21"/>
          <w:highlight w:val="none"/>
        </w:rPr>
      </w:pPr>
    </w:p>
    <w:p w14:paraId="76823AFA">
      <w:pPr>
        <w:spacing w:line="244" w:lineRule="auto"/>
        <w:rPr>
          <w:rFonts w:ascii="Arial"/>
          <w:color w:val="auto"/>
          <w:sz w:val="21"/>
          <w:highlight w:val="none"/>
        </w:rPr>
      </w:pPr>
    </w:p>
    <w:p w14:paraId="523AD015">
      <w:pPr>
        <w:spacing w:line="244" w:lineRule="auto"/>
        <w:rPr>
          <w:rFonts w:ascii="Arial"/>
          <w:color w:val="auto"/>
          <w:sz w:val="21"/>
          <w:highlight w:val="none"/>
        </w:rPr>
      </w:pPr>
    </w:p>
    <w:p w14:paraId="316AC1C7">
      <w:pPr>
        <w:spacing w:line="244" w:lineRule="auto"/>
        <w:rPr>
          <w:rFonts w:ascii="Arial"/>
          <w:color w:val="auto"/>
          <w:sz w:val="21"/>
          <w:highlight w:val="none"/>
        </w:rPr>
      </w:pPr>
    </w:p>
    <w:p w14:paraId="2D403D53">
      <w:pPr>
        <w:spacing w:line="244" w:lineRule="auto"/>
        <w:rPr>
          <w:rFonts w:ascii="Arial"/>
          <w:color w:val="auto"/>
          <w:sz w:val="21"/>
          <w:highlight w:val="none"/>
        </w:rPr>
      </w:pPr>
    </w:p>
    <w:p w14:paraId="7FD6A5F6">
      <w:pPr>
        <w:spacing w:line="244" w:lineRule="auto"/>
        <w:rPr>
          <w:rFonts w:ascii="Arial"/>
          <w:color w:val="auto"/>
          <w:sz w:val="21"/>
          <w:highlight w:val="none"/>
        </w:rPr>
      </w:pPr>
    </w:p>
    <w:p w14:paraId="0B33EFA2">
      <w:pPr>
        <w:spacing w:line="244" w:lineRule="auto"/>
        <w:rPr>
          <w:rFonts w:ascii="Arial"/>
          <w:color w:val="auto"/>
          <w:sz w:val="21"/>
          <w:highlight w:val="none"/>
        </w:rPr>
      </w:pPr>
    </w:p>
    <w:p w14:paraId="3778B6E2">
      <w:pPr>
        <w:spacing w:line="244" w:lineRule="auto"/>
        <w:rPr>
          <w:rFonts w:ascii="Arial"/>
          <w:color w:val="auto"/>
          <w:sz w:val="21"/>
          <w:highlight w:val="none"/>
        </w:rPr>
      </w:pPr>
    </w:p>
    <w:p w14:paraId="51C4CB68">
      <w:pPr>
        <w:spacing w:line="244" w:lineRule="auto"/>
        <w:rPr>
          <w:rFonts w:ascii="Arial"/>
          <w:color w:val="auto"/>
          <w:sz w:val="21"/>
          <w:highlight w:val="none"/>
        </w:rPr>
      </w:pPr>
    </w:p>
    <w:p w14:paraId="51B22F6D">
      <w:pPr>
        <w:spacing w:line="244" w:lineRule="auto"/>
        <w:rPr>
          <w:rFonts w:ascii="Arial"/>
          <w:color w:val="auto"/>
          <w:sz w:val="21"/>
          <w:highlight w:val="none"/>
        </w:rPr>
      </w:pPr>
    </w:p>
    <w:p w14:paraId="23B3FD56">
      <w:pPr>
        <w:spacing w:line="244" w:lineRule="auto"/>
        <w:rPr>
          <w:rFonts w:ascii="Arial"/>
          <w:color w:val="auto"/>
          <w:sz w:val="21"/>
          <w:highlight w:val="none"/>
        </w:rPr>
      </w:pPr>
    </w:p>
    <w:p w14:paraId="1073EFE9">
      <w:pPr>
        <w:spacing w:before="169" w:line="219" w:lineRule="auto"/>
        <w:ind w:left="1839"/>
        <w:outlineLvl w:val="0"/>
        <w:rPr>
          <w:rFonts w:ascii="宋体" w:hAnsi="宋体" w:eastAsia="宋体" w:cs="宋体"/>
          <w:color w:val="auto"/>
          <w:sz w:val="52"/>
          <w:szCs w:val="52"/>
          <w:highlight w:val="none"/>
        </w:rPr>
      </w:pPr>
      <w:bookmarkStart w:id="761" w:name="_Toc27803"/>
      <w:bookmarkStart w:id="762" w:name="_Toc25139"/>
      <w:r>
        <w:rPr>
          <w:rFonts w:ascii="宋体" w:hAnsi="宋体" w:eastAsia="宋体" w:cs="宋体"/>
          <w:b/>
          <w:bCs/>
          <w:color w:val="auto"/>
          <w:spacing w:val="-16"/>
          <w:sz w:val="52"/>
          <w:szCs w:val="52"/>
          <w:highlight w:val="none"/>
        </w:rPr>
        <w:t>第六章</w:t>
      </w:r>
      <w:r>
        <w:rPr>
          <w:rFonts w:ascii="宋体" w:hAnsi="宋体" w:eastAsia="宋体" w:cs="宋体"/>
          <w:color w:val="auto"/>
          <w:spacing w:val="39"/>
          <w:sz w:val="52"/>
          <w:szCs w:val="52"/>
          <w:highlight w:val="none"/>
        </w:rPr>
        <w:t xml:space="preserve">  </w:t>
      </w:r>
      <w:r>
        <w:rPr>
          <w:rFonts w:ascii="宋体" w:hAnsi="宋体" w:eastAsia="宋体" w:cs="宋体"/>
          <w:b/>
          <w:bCs/>
          <w:color w:val="auto"/>
          <w:spacing w:val="-16"/>
          <w:sz w:val="52"/>
          <w:szCs w:val="52"/>
          <w:highlight w:val="none"/>
        </w:rPr>
        <w:t>图纸和资料</w:t>
      </w:r>
      <w:bookmarkEnd w:id="761"/>
      <w:bookmarkEnd w:id="762"/>
    </w:p>
    <w:p w14:paraId="167D55D8">
      <w:pPr>
        <w:spacing w:line="306" w:lineRule="auto"/>
        <w:rPr>
          <w:rFonts w:ascii="Arial"/>
          <w:color w:val="auto"/>
          <w:sz w:val="21"/>
          <w:highlight w:val="none"/>
        </w:rPr>
      </w:pPr>
    </w:p>
    <w:p w14:paraId="62699094">
      <w:pPr>
        <w:spacing w:line="306" w:lineRule="auto"/>
        <w:rPr>
          <w:rFonts w:ascii="Arial"/>
          <w:color w:val="auto"/>
          <w:sz w:val="21"/>
          <w:highlight w:val="none"/>
        </w:rPr>
      </w:pPr>
    </w:p>
    <w:p w14:paraId="3F3DC71A">
      <w:pPr>
        <w:spacing w:before="134" w:line="225" w:lineRule="auto"/>
        <w:ind w:left="3356"/>
        <w:rPr>
          <w:rFonts w:ascii="宋体" w:hAnsi="宋体" w:eastAsia="宋体" w:cs="宋体"/>
          <w:color w:val="auto"/>
          <w:sz w:val="41"/>
          <w:szCs w:val="41"/>
          <w:highlight w:val="none"/>
        </w:rPr>
      </w:pPr>
      <w:r>
        <w:rPr>
          <w:rFonts w:ascii="宋体" w:hAnsi="宋体" w:eastAsia="宋体" w:cs="宋体"/>
          <w:b/>
          <w:bCs/>
          <w:color w:val="auto"/>
          <w:spacing w:val="-5"/>
          <w:sz w:val="41"/>
          <w:szCs w:val="41"/>
          <w:highlight w:val="none"/>
        </w:rPr>
        <w:t>（另册）</w:t>
      </w:r>
    </w:p>
    <w:p w14:paraId="3E0B6939">
      <w:pPr>
        <w:spacing w:line="225" w:lineRule="auto"/>
        <w:rPr>
          <w:rFonts w:ascii="宋体" w:hAnsi="宋体" w:eastAsia="宋体" w:cs="宋体"/>
          <w:color w:val="auto"/>
          <w:sz w:val="41"/>
          <w:szCs w:val="41"/>
          <w:highlight w:val="none"/>
        </w:rPr>
        <w:sectPr>
          <w:footerReference r:id="rId40" w:type="default"/>
          <w:pgSz w:w="11906" w:h="16839"/>
          <w:pgMar w:top="1431" w:right="1785" w:bottom="1297" w:left="1785" w:header="0" w:footer="1065" w:gutter="0"/>
          <w:pgNumType w:fmt="decimal"/>
          <w:cols w:space="720" w:num="1"/>
        </w:sectPr>
      </w:pPr>
    </w:p>
    <w:p w14:paraId="79D2BDEA">
      <w:pPr>
        <w:spacing w:line="243" w:lineRule="auto"/>
        <w:rPr>
          <w:rFonts w:ascii="Arial"/>
          <w:color w:val="auto"/>
          <w:sz w:val="21"/>
          <w:highlight w:val="none"/>
        </w:rPr>
      </w:pPr>
    </w:p>
    <w:p w14:paraId="4DAB138E">
      <w:pPr>
        <w:spacing w:line="243" w:lineRule="auto"/>
        <w:rPr>
          <w:rFonts w:ascii="Arial"/>
          <w:color w:val="auto"/>
          <w:sz w:val="21"/>
          <w:highlight w:val="none"/>
        </w:rPr>
      </w:pPr>
    </w:p>
    <w:p w14:paraId="70CFD352">
      <w:pPr>
        <w:spacing w:line="243" w:lineRule="auto"/>
        <w:rPr>
          <w:rFonts w:ascii="Arial"/>
          <w:color w:val="auto"/>
          <w:sz w:val="21"/>
          <w:highlight w:val="none"/>
        </w:rPr>
      </w:pPr>
    </w:p>
    <w:p w14:paraId="05627D3E">
      <w:pPr>
        <w:spacing w:line="243" w:lineRule="auto"/>
        <w:rPr>
          <w:rFonts w:ascii="Arial"/>
          <w:color w:val="auto"/>
          <w:sz w:val="21"/>
          <w:highlight w:val="none"/>
        </w:rPr>
      </w:pPr>
    </w:p>
    <w:p w14:paraId="073860AD">
      <w:pPr>
        <w:spacing w:line="243" w:lineRule="auto"/>
        <w:rPr>
          <w:rFonts w:ascii="Arial"/>
          <w:color w:val="auto"/>
          <w:sz w:val="21"/>
          <w:highlight w:val="none"/>
        </w:rPr>
      </w:pPr>
    </w:p>
    <w:p w14:paraId="4A78C0AC">
      <w:pPr>
        <w:spacing w:line="243" w:lineRule="auto"/>
        <w:rPr>
          <w:rFonts w:ascii="Arial"/>
          <w:color w:val="auto"/>
          <w:sz w:val="21"/>
          <w:highlight w:val="none"/>
        </w:rPr>
      </w:pPr>
    </w:p>
    <w:p w14:paraId="16A25EF2">
      <w:pPr>
        <w:spacing w:line="243" w:lineRule="auto"/>
        <w:rPr>
          <w:rFonts w:ascii="Arial"/>
          <w:color w:val="auto"/>
          <w:sz w:val="21"/>
          <w:highlight w:val="none"/>
        </w:rPr>
      </w:pPr>
    </w:p>
    <w:p w14:paraId="2C99028D">
      <w:pPr>
        <w:spacing w:line="243" w:lineRule="auto"/>
        <w:rPr>
          <w:rFonts w:ascii="Arial"/>
          <w:color w:val="auto"/>
          <w:sz w:val="21"/>
          <w:highlight w:val="none"/>
        </w:rPr>
      </w:pPr>
    </w:p>
    <w:p w14:paraId="423BD8EA">
      <w:pPr>
        <w:spacing w:line="244" w:lineRule="auto"/>
        <w:rPr>
          <w:rFonts w:ascii="Arial"/>
          <w:color w:val="auto"/>
          <w:sz w:val="21"/>
          <w:highlight w:val="none"/>
        </w:rPr>
      </w:pPr>
    </w:p>
    <w:p w14:paraId="2A78AD0B">
      <w:pPr>
        <w:spacing w:line="244" w:lineRule="auto"/>
        <w:rPr>
          <w:rFonts w:ascii="Arial"/>
          <w:color w:val="auto"/>
          <w:sz w:val="21"/>
          <w:highlight w:val="none"/>
        </w:rPr>
      </w:pPr>
    </w:p>
    <w:p w14:paraId="644ADB32">
      <w:pPr>
        <w:spacing w:line="244" w:lineRule="auto"/>
        <w:rPr>
          <w:rFonts w:ascii="Arial"/>
          <w:color w:val="auto"/>
          <w:sz w:val="21"/>
          <w:highlight w:val="none"/>
        </w:rPr>
      </w:pPr>
    </w:p>
    <w:p w14:paraId="20FFAE6A">
      <w:pPr>
        <w:spacing w:line="244" w:lineRule="auto"/>
        <w:rPr>
          <w:rFonts w:ascii="Arial"/>
          <w:color w:val="auto"/>
          <w:sz w:val="21"/>
          <w:highlight w:val="none"/>
        </w:rPr>
      </w:pPr>
    </w:p>
    <w:p w14:paraId="61B3C007">
      <w:pPr>
        <w:spacing w:line="244" w:lineRule="auto"/>
        <w:rPr>
          <w:rFonts w:ascii="Arial"/>
          <w:color w:val="auto"/>
          <w:sz w:val="21"/>
          <w:highlight w:val="none"/>
        </w:rPr>
      </w:pPr>
    </w:p>
    <w:p w14:paraId="643ADD4E">
      <w:pPr>
        <w:spacing w:line="244" w:lineRule="auto"/>
        <w:rPr>
          <w:rFonts w:ascii="Arial"/>
          <w:color w:val="auto"/>
          <w:sz w:val="21"/>
          <w:highlight w:val="none"/>
        </w:rPr>
      </w:pPr>
    </w:p>
    <w:p w14:paraId="35D79914">
      <w:pPr>
        <w:spacing w:line="244" w:lineRule="auto"/>
        <w:rPr>
          <w:rFonts w:ascii="Arial"/>
          <w:color w:val="auto"/>
          <w:sz w:val="21"/>
          <w:highlight w:val="none"/>
        </w:rPr>
      </w:pPr>
    </w:p>
    <w:p w14:paraId="7DC7046E">
      <w:pPr>
        <w:spacing w:line="244" w:lineRule="auto"/>
        <w:rPr>
          <w:rFonts w:ascii="Arial"/>
          <w:color w:val="auto"/>
          <w:sz w:val="21"/>
          <w:highlight w:val="none"/>
        </w:rPr>
      </w:pPr>
    </w:p>
    <w:p w14:paraId="52C67B7B">
      <w:pPr>
        <w:spacing w:line="244" w:lineRule="auto"/>
        <w:rPr>
          <w:rFonts w:ascii="Arial"/>
          <w:color w:val="auto"/>
          <w:sz w:val="21"/>
          <w:highlight w:val="none"/>
        </w:rPr>
      </w:pPr>
    </w:p>
    <w:p w14:paraId="47B2EE7C">
      <w:pPr>
        <w:spacing w:line="244" w:lineRule="auto"/>
        <w:rPr>
          <w:rFonts w:ascii="Arial"/>
          <w:color w:val="auto"/>
          <w:sz w:val="21"/>
          <w:highlight w:val="none"/>
        </w:rPr>
      </w:pPr>
    </w:p>
    <w:p w14:paraId="391BF48A">
      <w:pPr>
        <w:spacing w:line="244" w:lineRule="auto"/>
        <w:rPr>
          <w:rFonts w:ascii="Arial"/>
          <w:color w:val="auto"/>
          <w:sz w:val="21"/>
          <w:highlight w:val="none"/>
        </w:rPr>
      </w:pPr>
    </w:p>
    <w:p w14:paraId="610A650B">
      <w:pPr>
        <w:spacing w:line="244" w:lineRule="auto"/>
        <w:rPr>
          <w:rFonts w:ascii="Arial"/>
          <w:color w:val="auto"/>
          <w:sz w:val="21"/>
          <w:highlight w:val="none"/>
        </w:rPr>
      </w:pPr>
    </w:p>
    <w:p w14:paraId="2861408B">
      <w:pPr>
        <w:spacing w:before="169" w:line="236" w:lineRule="auto"/>
        <w:ind w:left="1804"/>
        <w:outlineLvl w:val="0"/>
        <w:rPr>
          <w:rFonts w:ascii="宋体" w:hAnsi="宋体" w:eastAsia="宋体" w:cs="宋体"/>
          <w:color w:val="auto"/>
          <w:sz w:val="28"/>
          <w:szCs w:val="28"/>
          <w:highlight w:val="none"/>
        </w:rPr>
      </w:pPr>
      <w:bookmarkStart w:id="763" w:name="bookmark20"/>
      <w:bookmarkEnd w:id="763"/>
      <w:bookmarkStart w:id="764" w:name="_Toc9081"/>
      <w:bookmarkStart w:id="765" w:name="_Toc3352"/>
      <w:r>
        <w:rPr>
          <w:rFonts w:ascii="宋体" w:hAnsi="宋体" w:eastAsia="宋体" w:cs="宋体"/>
          <w:b/>
          <w:bCs/>
          <w:color w:val="auto"/>
          <w:spacing w:val="-5"/>
          <w:sz w:val="52"/>
          <w:szCs w:val="52"/>
          <w:highlight w:val="none"/>
        </w:rPr>
        <w:t>第七章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投标文件格式</w:t>
      </w:r>
      <w:bookmarkEnd w:id="764"/>
      <w:bookmarkEnd w:id="765"/>
    </w:p>
    <w:p w14:paraId="3451DC13">
      <w:pPr>
        <w:spacing w:line="247" w:lineRule="auto"/>
        <w:rPr>
          <w:rFonts w:ascii="Arial"/>
          <w:color w:val="auto"/>
          <w:sz w:val="21"/>
          <w:highlight w:val="none"/>
        </w:rPr>
      </w:pPr>
    </w:p>
    <w:p w14:paraId="61055614">
      <w:pPr>
        <w:spacing w:line="247" w:lineRule="auto"/>
        <w:rPr>
          <w:rFonts w:ascii="Arial"/>
          <w:color w:val="auto"/>
          <w:sz w:val="21"/>
          <w:highlight w:val="none"/>
        </w:rPr>
      </w:pPr>
    </w:p>
    <w:p w14:paraId="015DE45F">
      <w:pPr>
        <w:spacing w:line="247" w:lineRule="auto"/>
        <w:rPr>
          <w:rFonts w:ascii="Arial"/>
          <w:color w:val="auto"/>
          <w:sz w:val="21"/>
          <w:highlight w:val="none"/>
        </w:rPr>
      </w:pPr>
    </w:p>
    <w:p w14:paraId="7AF9D3DC">
      <w:pPr>
        <w:spacing w:line="247" w:lineRule="auto"/>
        <w:rPr>
          <w:rFonts w:ascii="Arial"/>
          <w:color w:val="auto"/>
          <w:sz w:val="21"/>
          <w:highlight w:val="none"/>
        </w:rPr>
      </w:pPr>
    </w:p>
    <w:p w14:paraId="3DCCF93B">
      <w:pPr>
        <w:spacing w:line="247" w:lineRule="auto"/>
        <w:rPr>
          <w:rFonts w:ascii="Arial"/>
          <w:color w:val="auto"/>
          <w:sz w:val="21"/>
          <w:highlight w:val="none"/>
        </w:rPr>
      </w:pPr>
    </w:p>
    <w:p w14:paraId="55B9E09C">
      <w:pPr>
        <w:spacing w:line="247" w:lineRule="auto"/>
        <w:rPr>
          <w:rFonts w:ascii="Arial"/>
          <w:color w:val="auto"/>
          <w:sz w:val="21"/>
          <w:highlight w:val="none"/>
        </w:rPr>
      </w:pPr>
    </w:p>
    <w:p w14:paraId="60DEEA88">
      <w:pPr>
        <w:spacing w:line="247" w:lineRule="auto"/>
        <w:rPr>
          <w:rFonts w:ascii="Arial"/>
          <w:color w:val="auto"/>
          <w:sz w:val="21"/>
          <w:highlight w:val="none"/>
        </w:rPr>
      </w:pPr>
    </w:p>
    <w:p w14:paraId="135C61F1">
      <w:pPr>
        <w:spacing w:line="247" w:lineRule="auto"/>
        <w:rPr>
          <w:rFonts w:ascii="Arial"/>
          <w:color w:val="auto"/>
          <w:sz w:val="21"/>
          <w:highlight w:val="none"/>
        </w:rPr>
      </w:pPr>
    </w:p>
    <w:p w14:paraId="00A6820F">
      <w:pPr>
        <w:spacing w:line="247" w:lineRule="auto"/>
        <w:rPr>
          <w:rFonts w:ascii="Arial"/>
          <w:color w:val="auto"/>
          <w:sz w:val="21"/>
          <w:highlight w:val="none"/>
        </w:rPr>
      </w:pPr>
    </w:p>
    <w:p w14:paraId="32328CBF">
      <w:pPr>
        <w:spacing w:line="247" w:lineRule="auto"/>
        <w:rPr>
          <w:rFonts w:ascii="Arial"/>
          <w:color w:val="auto"/>
          <w:sz w:val="21"/>
          <w:highlight w:val="none"/>
        </w:rPr>
      </w:pPr>
    </w:p>
    <w:p w14:paraId="19C64D11">
      <w:pPr>
        <w:spacing w:line="247" w:lineRule="auto"/>
        <w:rPr>
          <w:rFonts w:ascii="Arial"/>
          <w:color w:val="auto"/>
          <w:sz w:val="21"/>
          <w:highlight w:val="none"/>
        </w:rPr>
      </w:pPr>
    </w:p>
    <w:p w14:paraId="527EE1F7">
      <w:pPr>
        <w:spacing w:line="247" w:lineRule="auto"/>
        <w:rPr>
          <w:rFonts w:ascii="Arial"/>
          <w:color w:val="auto"/>
          <w:sz w:val="21"/>
          <w:highlight w:val="none"/>
        </w:rPr>
      </w:pPr>
    </w:p>
    <w:p w14:paraId="794E30B2">
      <w:pPr>
        <w:spacing w:line="247" w:lineRule="auto"/>
        <w:rPr>
          <w:rFonts w:ascii="Arial"/>
          <w:color w:val="auto"/>
          <w:sz w:val="21"/>
          <w:highlight w:val="none"/>
        </w:rPr>
      </w:pPr>
    </w:p>
    <w:p w14:paraId="416ACD16">
      <w:pPr>
        <w:spacing w:line="247" w:lineRule="auto"/>
        <w:rPr>
          <w:rFonts w:ascii="Arial"/>
          <w:color w:val="auto"/>
          <w:sz w:val="21"/>
          <w:highlight w:val="none"/>
        </w:rPr>
      </w:pPr>
    </w:p>
    <w:p w14:paraId="70D989B7">
      <w:pPr>
        <w:spacing w:line="247" w:lineRule="auto"/>
        <w:rPr>
          <w:rFonts w:ascii="Arial"/>
          <w:color w:val="auto"/>
          <w:sz w:val="21"/>
          <w:highlight w:val="none"/>
        </w:rPr>
      </w:pPr>
    </w:p>
    <w:p w14:paraId="472FBBCF">
      <w:pPr>
        <w:spacing w:line="247" w:lineRule="auto"/>
        <w:rPr>
          <w:rFonts w:ascii="Arial"/>
          <w:color w:val="auto"/>
          <w:sz w:val="21"/>
          <w:highlight w:val="none"/>
        </w:rPr>
      </w:pPr>
    </w:p>
    <w:p w14:paraId="368EBF18">
      <w:pPr>
        <w:spacing w:line="247" w:lineRule="auto"/>
        <w:rPr>
          <w:rFonts w:ascii="Arial"/>
          <w:color w:val="auto"/>
          <w:sz w:val="21"/>
          <w:highlight w:val="none"/>
        </w:rPr>
      </w:pPr>
    </w:p>
    <w:p w14:paraId="02186EE2">
      <w:pPr>
        <w:spacing w:line="247" w:lineRule="auto"/>
        <w:rPr>
          <w:rFonts w:ascii="Arial"/>
          <w:color w:val="auto"/>
          <w:sz w:val="21"/>
          <w:highlight w:val="none"/>
        </w:rPr>
      </w:pPr>
    </w:p>
    <w:p w14:paraId="6A09EDD3">
      <w:pPr>
        <w:spacing w:line="247" w:lineRule="auto"/>
        <w:rPr>
          <w:rFonts w:ascii="Arial"/>
          <w:color w:val="auto"/>
          <w:sz w:val="21"/>
          <w:highlight w:val="none"/>
        </w:rPr>
      </w:pPr>
    </w:p>
    <w:p w14:paraId="1BFAB680">
      <w:pPr>
        <w:spacing w:line="247" w:lineRule="auto"/>
        <w:rPr>
          <w:rFonts w:ascii="Arial"/>
          <w:color w:val="auto"/>
          <w:sz w:val="21"/>
          <w:highlight w:val="none"/>
        </w:rPr>
      </w:pPr>
    </w:p>
    <w:p w14:paraId="1366FED4">
      <w:pPr>
        <w:spacing w:line="247" w:lineRule="auto"/>
        <w:rPr>
          <w:rFonts w:ascii="Arial"/>
          <w:color w:val="auto"/>
          <w:sz w:val="21"/>
          <w:highlight w:val="none"/>
        </w:rPr>
      </w:pPr>
    </w:p>
    <w:p w14:paraId="352F6386">
      <w:pPr>
        <w:spacing w:line="247" w:lineRule="auto"/>
        <w:rPr>
          <w:rFonts w:ascii="Arial"/>
          <w:color w:val="auto"/>
          <w:sz w:val="21"/>
          <w:highlight w:val="none"/>
        </w:rPr>
      </w:pPr>
    </w:p>
    <w:p w14:paraId="33C35484">
      <w:pPr>
        <w:spacing w:line="247" w:lineRule="auto"/>
        <w:rPr>
          <w:rFonts w:ascii="Arial"/>
          <w:color w:val="auto"/>
          <w:sz w:val="21"/>
          <w:highlight w:val="none"/>
        </w:rPr>
      </w:pPr>
    </w:p>
    <w:p w14:paraId="6B85C31F">
      <w:pPr>
        <w:spacing w:line="247" w:lineRule="auto"/>
        <w:rPr>
          <w:rFonts w:ascii="Arial"/>
          <w:color w:val="auto"/>
          <w:sz w:val="21"/>
          <w:highlight w:val="none"/>
        </w:rPr>
      </w:pPr>
    </w:p>
    <w:p w14:paraId="64FD7938">
      <w:pPr>
        <w:spacing w:line="247" w:lineRule="auto"/>
        <w:rPr>
          <w:rFonts w:ascii="Arial"/>
          <w:color w:val="auto"/>
          <w:sz w:val="21"/>
          <w:highlight w:val="none"/>
        </w:rPr>
      </w:pPr>
    </w:p>
    <w:p w14:paraId="3EF7AAE5">
      <w:pPr>
        <w:spacing w:line="247" w:lineRule="auto"/>
        <w:rPr>
          <w:rFonts w:ascii="Arial"/>
          <w:color w:val="auto"/>
          <w:sz w:val="21"/>
          <w:highlight w:val="none"/>
        </w:rPr>
      </w:pPr>
    </w:p>
    <w:p w14:paraId="2AC56107">
      <w:pPr>
        <w:spacing w:line="248" w:lineRule="auto"/>
        <w:rPr>
          <w:rFonts w:ascii="Arial"/>
          <w:color w:val="auto"/>
          <w:sz w:val="21"/>
          <w:highlight w:val="none"/>
        </w:rPr>
      </w:pPr>
    </w:p>
    <w:p w14:paraId="6F690056">
      <w:pPr>
        <w:spacing w:line="248" w:lineRule="auto"/>
        <w:rPr>
          <w:rFonts w:ascii="Arial"/>
          <w:color w:val="auto"/>
          <w:sz w:val="21"/>
          <w:highlight w:val="none"/>
        </w:rPr>
      </w:pPr>
    </w:p>
    <w:p w14:paraId="26FEB559">
      <w:pPr>
        <w:spacing w:line="248" w:lineRule="auto"/>
        <w:rPr>
          <w:rFonts w:ascii="Arial"/>
          <w:color w:val="auto"/>
          <w:sz w:val="21"/>
          <w:highlight w:val="none"/>
        </w:rPr>
      </w:pPr>
    </w:p>
    <w:p w14:paraId="1AECC9A3">
      <w:pPr>
        <w:spacing w:line="248" w:lineRule="auto"/>
        <w:rPr>
          <w:rFonts w:ascii="Arial"/>
          <w:color w:val="auto"/>
          <w:sz w:val="21"/>
          <w:highlight w:val="none"/>
        </w:rPr>
      </w:pPr>
    </w:p>
    <w:p w14:paraId="4D5D1EB8">
      <w:pPr>
        <w:spacing w:line="248" w:lineRule="auto"/>
        <w:rPr>
          <w:rFonts w:ascii="Arial"/>
          <w:color w:val="auto"/>
          <w:sz w:val="21"/>
          <w:highlight w:val="none"/>
        </w:rPr>
      </w:pPr>
    </w:p>
    <w:p w14:paraId="7FFDF662">
      <w:pPr>
        <w:spacing w:line="220" w:lineRule="auto"/>
        <w:rPr>
          <w:rFonts w:ascii="宋体" w:hAnsi="宋体" w:eastAsia="宋体" w:cs="宋体"/>
          <w:color w:val="auto"/>
          <w:sz w:val="18"/>
          <w:szCs w:val="18"/>
          <w:highlight w:val="none"/>
        </w:rPr>
        <w:sectPr>
          <w:footerReference r:id="rId41" w:type="default"/>
          <w:pgSz w:w="11906" w:h="16839"/>
          <w:pgMar w:top="1431" w:right="1785" w:bottom="1297" w:left="1417" w:header="0" w:footer="1067" w:gutter="0"/>
          <w:pgNumType w:fmt="decimal"/>
          <w:cols w:space="720" w:num="1"/>
        </w:sectPr>
      </w:pPr>
    </w:p>
    <w:p w14:paraId="6F824DE2">
      <w:pPr>
        <w:spacing w:line="289" w:lineRule="auto"/>
        <w:rPr>
          <w:rFonts w:ascii="Arial"/>
          <w:color w:val="auto"/>
          <w:sz w:val="21"/>
          <w:highlight w:val="none"/>
        </w:rPr>
      </w:pPr>
    </w:p>
    <w:p w14:paraId="35FBA68B">
      <w:pPr>
        <w:spacing w:line="290" w:lineRule="auto"/>
        <w:rPr>
          <w:rFonts w:ascii="Arial"/>
          <w:color w:val="auto"/>
          <w:sz w:val="21"/>
          <w:highlight w:val="none"/>
        </w:rPr>
      </w:pPr>
    </w:p>
    <w:p w14:paraId="034A3094">
      <w:pPr>
        <w:spacing w:line="290" w:lineRule="auto"/>
        <w:rPr>
          <w:rFonts w:ascii="Arial"/>
          <w:color w:val="auto"/>
          <w:sz w:val="21"/>
          <w:highlight w:val="none"/>
        </w:rPr>
      </w:pPr>
    </w:p>
    <w:p w14:paraId="3B6FF976">
      <w:pPr>
        <w:spacing w:line="290" w:lineRule="auto"/>
        <w:rPr>
          <w:rFonts w:ascii="Arial"/>
          <w:color w:val="auto"/>
          <w:sz w:val="21"/>
          <w:highlight w:val="none"/>
        </w:rPr>
      </w:pPr>
    </w:p>
    <w:p w14:paraId="26DB6BBD">
      <w:pPr>
        <w:spacing w:before="130" w:line="220" w:lineRule="auto"/>
        <w:ind w:left="3581"/>
        <w:rPr>
          <w:rFonts w:ascii="宋体" w:hAnsi="宋体" w:eastAsia="宋体" w:cs="宋体"/>
          <w:color w:val="auto"/>
          <w:sz w:val="40"/>
          <w:szCs w:val="40"/>
          <w:highlight w:val="none"/>
        </w:rPr>
      </w:pPr>
      <w:r>
        <w:rPr>
          <w:rFonts w:ascii="宋体" w:hAnsi="宋体" w:eastAsia="宋体" w:cs="宋体"/>
          <w:color w:val="auto"/>
          <w:spacing w:val="-5"/>
          <w:sz w:val="40"/>
          <w:szCs w:val="40"/>
          <w:highlight w:val="none"/>
        </w:rPr>
        <w:t>广东省</w:t>
      </w:r>
    </w:p>
    <w:p w14:paraId="1AEE5245">
      <w:pPr>
        <w:spacing w:line="367" w:lineRule="auto"/>
        <w:rPr>
          <w:rFonts w:ascii="Arial"/>
          <w:color w:val="auto"/>
          <w:sz w:val="21"/>
          <w:highlight w:val="none"/>
        </w:rPr>
      </w:pPr>
    </w:p>
    <w:p w14:paraId="56F2B7D1">
      <w:pPr>
        <w:tabs>
          <w:tab w:val="left" w:pos="2256"/>
        </w:tabs>
        <w:spacing w:before="130" w:line="221" w:lineRule="auto"/>
        <w:ind w:left="630"/>
        <w:rPr>
          <w:rFonts w:ascii="宋体" w:hAnsi="宋体" w:eastAsia="宋体" w:cs="宋体"/>
          <w:color w:val="auto"/>
          <w:sz w:val="40"/>
          <w:szCs w:val="40"/>
          <w:highlight w:val="none"/>
        </w:rPr>
      </w:pPr>
      <w:r>
        <w:rPr>
          <w:rFonts w:ascii="宋体" w:hAnsi="宋体" w:eastAsia="宋体" w:cs="宋体"/>
          <w:color w:val="auto"/>
          <w:sz w:val="40"/>
          <w:szCs w:val="40"/>
          <w:highlight w:val="none"/>
          <w:u w:val="single" w:color="auto"/>
        </w:rPr>
        <w:tab/>
      </w:r>
      <w:r>
        <w:rPr>
          <w:rFonts w:ascii="宋体" w:hAnsi="宋体" w:eastAsia="宋体" w:cs="宋体"/>
          <w:color w:val="auto"/>
          <w:spacing w:val="-16"/>
          <w:sz w:val="40"/>
          <w:szCs w:val="40"/>
          <w:highlight w:val="none"/>
          <w:u w:val="single" w:color="auto"/>
        </w:rPr>
        <w:t xml:space="preserve">（项目名称）  </w:t>
      </w:r>
      <w:r>
        <w:rPr>
          <w:rFonts w:ascii="宋体" w:hAnsi="宋体" w:eastAsia="宋体" w:cs="宋体"/>
          <w:color w:val="auto"/>
          <w:spacing w:val="-170"/>
          <w:sz w:val="40"/>
          <w:szCs w:val="40"/>
          <w:highlight w:val="none"/>
        </w:rPr>
        <w:t xml:space="preserve"> </w:t>
      </w:r>
      <w:r>
        <w:rPr>
          <w:rFonts w:ascii="宋体" w:hAnsi="宋体" w:eastAsia="宋体" w:cs="宋体"/>
          <w:color w:val="auto"/>
          <w:spacing w:val="-16"/>
          <w:sz w:val="40"/>
          <w:szCs w:val="40"/>
          <w:highlight w:val="none"/>
        </w:rPr>
        <w:t>标段施工监理招标</w:t>
      </w:r>
    </w:p>
    <w:p w14:paraId="2142D90E">
      <w:pPr>
        <w:spacing w:line="258" w:lineRule="auto"/>
        <w:rPr>
          <w:rFonts w:ascii="Arial"/>
          <w:color w:val="auto"/>
          <w:sz w:val="21"/>
          <w:highlight w:val="none"/>
        </w:rPr>
      </w:pPr>
    </w:p>
    <w:p w14:paraId="5A05EC19">
      <w:pPr>
        <w:spacing w:line="258" w:lineRule="auto"/>
        <w:rPr>
          <w:rFonts w:ascii="Arial"/>
          <w:color w:val="auto"/>
          <w:sz w:val="21"/>
          <w:highlight w:val="none"/>
        </w:rPr>
      </w:pPr>
    </w:p>
    <w:p w14:paraId="001348C6">
      <w:pPr>
        <w:spacing w:line="258" w:lineRule="auto"/>
        <w:rPr>
          <w:rFonts w:ascii="Arial"/>
          <w:color w:val="auto"/>
          <w:sz w:val="21"/>
          <w:highlight w:val="none"/>
        </w:rPr>
      </w:pPr>
    </w:p>
    <w:p w14:paraId="79036CC7">
      <w:pPr>
        <w:spacing w:line="258" w:lineRule="auto"/>
        <w:rPr>
          <w:rFonts w:ascii="Arial"/>
          <w:color w:val="auto"/>
          <w:sz w:val="21"/>
          <w:highlight w:val="none"/>
        </w:rPr>
      </w:pPr>
    </w:p>
    <w:p w14:paraId="19604B75">
      <w:pPr>
        <w:spacing w:line="259" w:lineRule="auto"/>
        <w:rPr>
          <w:rFonts w:ascii="Arial"/>
          <w:color w:val="auto"/>
          <w:sz w:val="21"/>
          <w:highlight w:val="none"/>
        </w:rPr>
      </w:pPr>
    </w:p>
    <w:p w14:paraId="3499EF69">
      <w:pPr>
        <w:spacing w:line="259" w:lineRule="auto"/>
        <w:rPr>
          <w:rFonts w:ascii="Arial"/>
          <w:color w:val="auto"/>
          <w:sz w:val="21"/>
          <w:highlight w:val="none"/>
        </w:rPr>
      </w:pPr>
    </w:p>
    <w:p w14:paraId="265A19A7">
      <w:pPr>
        <w:spacing w:line="259" w:lineRule="auto"/>
        <w:rPr>
          <w:rFonts w:ascii="Arial"/>
          <w:color w:val="auto"/>
          <w:sz w:val="21"/>
          <w:highlight w:val="none"/>
        </w:rPr>
      </w:pPr>
    </w:p>
    <w:p w14:paraId="782E6AA6">
      <w:pPr>
        <w:spacing w:line="259" w:lineRule="auto"/>
        <w:rPr>
          <w:rFonts w:ascii="Arial"/>
          <w:color w:val="auto"/>
          <w:sz w:val="21"/>
          <w:highlight w:val="none"/>
        </w:rPr>
      </w:pPr>
    </w:p>
    <w:p w14:paraId="39E2C110">
      <w:pPr>
        <w:spacing w:before="140" w:line="223" w:lineRule="auto"/>
        <w:ind w:left="2642"/>
        <w:rPr>
          <w:rFonts w:ascii="宋体" w:hAnsi="宋体" w:eastAsia="宋体" w:cs="宋体"/>
          <w:color w:val="auto"/>
          <w:sz w:val="43"/>
          <w:szCs w:val="43"/>
          <w:highlight w:val="none"/>
        </w:rPr>
      </w:pPr>
      <w:r>
        <w:rPr>
          <w:rFonts w:ascii="宋体" w:hAnsi="宋体" w:eastAsia="宋体" w:cs="宋体"/>
          <w:b/>
          <w:bCs/>
          <w:color w:val="auto"/>
          <w:spacing w:val="-14"/>
          <w:sz w:val="43"/>
          <w:szCs w:val="43"/>
          <w:highlight w:val="none"/>
        </w:rPr>
        <w:t>投</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标</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文</w:t>
      </w:r>
      <w:r>
        <w:rPr>
          <w:rFonts w:ascii="宋体" w:hAnsi="宋体" w:eastAsia="宋体" w:cs="宋体"/>
          <w:color w:val="auto"/>
          <w:spacing w:val="15"/>
          <w:sz w:val="43"/>
          <w:szCs w:val="43"/>
          <w:highlight w:val="none"/>
        </w:rPr>
        <w:t xml:space="preserve">  </w:t>
      </w:r>
      <w:r>
        <w:rPr>
          <w:rFonts w:ascii="宋体" w:hAnsi="宋体" w:eastAsia="宋体" w:cs="宋体"/>
          <w:b/>
          <w:bCs/>
          <w:color w:val="auto"/>
          <w:spacing w:val="-14"/>
          <w:sz w:val="43"/>
          <w:szCs w:val="43"/>
          <w:highlight w:val="none"/>
        </w:rPr>
        <w:t>件</w:t>
      </w:r>
    </w:p>
    <w:p w14:paraId="24285491">
      <w:pPr>
        <w:spacing w:before="317" w:line="225" w:lineRule="auto"/>
        <w:ind w:left="2746"/>
        <w:outlineLvl w:val="0"/>
        <w:rPr>
          <w:rFonts w:ascii="宋体" w:hAnsi="宋体" w:eastAsia="宋体" w:cs="宋体"/>
          <w:color w:val="auto"/>
          <w:sz w:val="31"/>
          <w:szCs w:val="31"/>
          <w:highlight w:val="none"/>
        </w:rPr>
      </w:pPr>
      <w:bookmarkStart w:id="766" w:name="_Toc20560"/>
      <w:bookmarkStart w:id="767" w:name="_Toc16911"/>
      <w:bookmarkStart w:id="768" w:name="_Toc6901"/>
      <w:bookmarkStart w:id="769" w:name="_Toc31108"/>
      <w:bookmarkStart w:id="770" w:name="_Toc17235"/>
      <w:bookmarkStart w:id="771" w:name="_Toc21593"/>
      <w:bookmarkStart w:id="772" w:name="_Toc2139"/>
      <w:r>
        <w:rPr>
          <w:rFonts w:ascii="宋体" w:hAnsi="宋体" w:eastAsia="宋体" w:cs="宋体"/>
          <w:b/>
          <w:bCs/>
          <w:color w:val="auto"/>
          <w:spacing w:val="3"/>
          <w:sz w:val="31"/>
          <w:szCs w:val="31"/>
          <w:highlight w:val="none"/>
        </w:rPr>
        <w:t>（商务及技术文件）</w:t>
      </w:r>
      <w:bookmarkEnd w:id="766"/>
      <w:bookmarkEnd w:id="767"/>
      <w:bookmarkEnd w:id="768"/>
      <w:bookmarkEnd w:id="769"/>
      <w:bookmarkEnd w:id="770"/>
      <w:bookmarkEnd w:id="771"/>
      <w:bookmarkEnd w:id="772"/>
    </w:p>
    <w:p w14:paraId="2B407EEC">
      <w:pPr>
        <w:spacing w:line="249" w:lineRule="auto"/>
        <w:rPr>
          <w:rFonts w:ascii="Arial"/>
          <w:color w:val="auto"/>
          <w:sz w:val="21"/>
          <w:highlight w:val="none"/>
        </w:rPr>
      </w:pPr>
    </w:p>
    <w:p w14:paraId="25CC5246">
      <w:pPr>
        <w:spacing w:line="249" w:lineRule="auto"/>
        <w:rPr>
          <w:rFonts w:ascii="Arial"/>
          <w:color w:val="auto"/>
          <w:sz w:val="21"/>
          <w:highlight w:val="none"/>
        </w:rPr>
      </w:pPr>
    </w:p>
    <w:p w14:paraId="1D8B855D">
      <w:pPr>
        <w:spacing w:line="249" w:lineRule="auto"/>
        <w:rPr>
          <w:rFonts w:ascii="Arial"/>
          <w:color w:val="auto"/>
          <w:sz w:val="21"/>
          <w:highlight w:val="none"/>
        </w:rPr>
      </w:pPr>
    </w:p>
    <w:p w14:paraId="334F28D0">
      <w:pPr>
        <w:spacing w:line="249" w:lineRule="auto"/>
        <w:rPr>
          <w:rFonts w:ascii="Arial"/>
          <w:color w:val="auto"/>
          <w:sz w:val="21"/>
          <w:highlight w:val="none"/>
        </w:rPr>
      </w:pPr>
    </w:p>
    <w:p w14:paraId="44FEFE29">
      <w:pPr>
        <w:spacing w:line="249" w:lineRule="auto"/>
        <w:rPr>
          <w:rFonts w:ascii="Arial"/>
          <w:color w:val="auto"/>
          <w:sz w:val="21"/>
          <w:highlight w:val="none"/>
        </w:rPr>
      </w:pPr>
    </w:p>
    <w:p w14:paraId="2A81704F">
      <w:pPr>
        <w:spacing w:line="249" w:lineRule="auto"/>
        <w:rPr>
          <w:rFonts w:ascii="Arial"/>
          <w:color w:val="auto"/>
          <w:sz w:val="21"/>
          <w:highlight w:val="none"/>
        </w:rPr>
      </w:pPr>
    </w:p>
    <w:p w14:paraId="791E76BD">
      <w:pPr>
        <w:spacing w:line="249" w:lineRule="auto"/>
        <w:rPr>
          <w:rFonts w:ascii="Arial"/>
          <w:color w:val="auto"/>
          <w:sz w:val="21"/>
          <w:highlight w:val="none"/>
        </w:rPr>
      </w:pPr>
    </w:p>
    <w:p w14:paraId="460FC59F">
      <w:pPr>
        <w:spacing w:line="249" w:lineRule="auto"/>
        <w:rPr>
          <w:rFonts w:ascii="Arial"/>
          <w:color w:val="auto"/>
          <w:sz w:val="21"/>
          <w:highlight w:val="none"/>
        </w:rPr>
      </w:pPr>
    </w:p>
    <w:p w14:paraId="241D7300">
      <w:pPr>
        <w:spacing w:line="249" w:lineRule="auto"/>
        <w:rPr>
          <w:rFonts w:ascii="Arial"/>
          <w:color w:val="auto"/>
          <w:sz w:val="21"/>
          <w:highlight w:val="none"/>
        </w:rPr>
      </w:pPr>
    </w:p>
    <w:p w14:paraId="4814284B">
      <w:pPr>
        <w:spacing w:line="249" w:lineRule="auto"/>
        <w:rPr>
          <w:rFonts w:ascii="Arial"/>
          <w:color w:val="auto"/>
          <w:sz w:val="21"/>
          <w:highlight w:val="none"/>
        </w:rPr>
      </w:pPr>
    </w:p>
    <w:p w14:paraId="575E4ACD">
      <w:pPr>
        <w:spacing w:line="249" w:lineRule="auto"/>
        <w:rPr>
          <w:rFonts w:ascii="Arial"/>
          <w:color w:val="auto"/>
          <w:sz w:val="21"/>
          <w:highlight w:val="none"/>
        </w:rPr>
      </w:pPr>
    </w:p>
    <w:p w14:paraId="0CEA3876">
      <w:pPr>
        <w:spacing w:line="249" w:lineRule="auto"/>
        <w:rPr>
          <w:rFonts w:ascii="Arial"/>
          <w:color w:val="auto"/>
          <w:sz w:val="21"/>
          <w:highlight w:val="none"/>
        </w:rPr>
      </w:pPr>
    </w:p>
    <w:p w14:paraId="59B97EAD">
      <w:pPr>
        <w:spacing w:line="249" w:lineRule="auto"/>
        <w:rPr>
          <w:rFonts w:ascii="Arial"/>
          <w:color w:val="auto"/>
          <w:sz w:val="21"/>
          <w:highlight w:val="none"/>
        </w:rPr>
      </w:pPr>
    </w:p>
    <w:p w14:paraId="0962BB04">
      <w:pPr>
        <w:spacing w:line="249" w:lineRule="auto"/>
        <w:rPr>
          <w:rFonts w:ascii="Arial"/>
          <w:color w:val="auto"/>
          <w:sz w:val="21"/>
          <w:highlight w:val="none"/>
        </w:rPr>
      </w:pPr>
    </w:p>
    <w:p w14:paraId="033FE22C">
      <w:pPr>
        <w:spacing w:line="249" w:lineRule="auto"/>
        <w:rPr>
          <w:rFonts w:ascii="Arial"/>
          <w:color w:val="auto"/>
          <w:sz w:val="21"/>
          <w:highlight w:val="none"/>
        </w:rPr>
      </w:pPr>
    </w:p>
    <w:p w14:paraId="09F5FA07">
      <w:pPr>
        <w:spacing w:line="249" w:lineRule="auto"/>
        <w:rPr>
          <w:rFonts w:ascii="Arial"/>
          <w:color w:val="auto"/>
          <w:sz w:val="21"/>
          <w:highlight w:val="none"/>
        </w:rPr>
      </w:pPr>
    </w:p>
    <w:p w14:paraId="75045F5B">
      <w:pPr>
        <w:spacing w:line="250" w:lineRule="auto"/>
        <w:rPr>
          <w:rFonts w:ascii="Arial"/>
          <w:color w:val="auto"/>
          <w:sz w:val="21"/>
          <w:highlight w:val="none"/>
        </w:rPr>
      </w:pPr>
    </w:p>
    <w:p w14:paraId="0D5B3680">
      <w:pPr>
        <w:spacing w:line="250" w:lineRule="auto"/>
        <w:rPr>
          <w:rFonts w:ascii="Arial"/>
          <w:color w:val="auto"/>
          <w:sz w:val="21"/>
          <w:highlight w:val="none"/>
        </w:rPr>
      </w:pPr>
    </w:p>
    <w:p w14:paraId="7713D934">
      <w:pPr>
        <w:spacing w:line="250" w:lineRule="auto"/>
        <w:rPr>
          <w:rFonts w:ascii="Arial"/>
          <w:color w:val="auto"/>
          <w:sz w:val="21"/>
          <w:highlight w:val="none"/>
        </w:rPr>
      </w:pPr>
    </w:p>
    <w:p w14:paraId="26557EF3">
      <w:pPr>
        <w:spacing w:line="250" w:lineRule="auto"/>
        <w:rPr>
          <w:rFonts w:ascii="Arial"/>
          <w:color w:val="auto"/>
          <w:sz w:val="21"/>
          <w:highlight w:val="none"/>
        </w:rPr>
      </w:pPr>
    </w:p>
    <w:p w14:paraId="50256F73">
      <w:pPr>
        <w:spacing w:line="250" w:lineRule="auto"/>
        <w:rPr>
          <w:rFonts w:ascii="Arial"/>
          <w:color w:val="auto"/>
          <w:sz w:val="21"/>
          <w:highlight w:val="none"/>
        </w:rPr>
      </w:pPr>
    </w:p>
    <w:p w14:paraId="1D2FB352">
      <w:pPr>
        <w:spacing w:before="91" w:line="219" w:lineRule="auto"/>
        <w:ind w:left="400"/>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投标人</w:t>
      </w:r>
      <w:r>
        <w:rPr>
          <w:rFonts w:ascii="宋体" w:hAnsi="宋体" w:eastAsia="宋体" w:cs="宋体"/>
          <w:color w:val="auto"/>
          <w:spacing w:val="-19"/>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9"/>
          <w:sz w:val="28"/>
          <w:szCs w:val="28"/>
          <w:highlight w:val="none"/>
        </w:rPr>
        <w:t>（</w:t>
      </w:r>
      <w:r>
        <w:rPr>
          <w:rFonts w:ascii="宋体" w:hAnsi="宋体" w:eastAsia="宋体" w:cs="宋体"/>
          <w:color w:val="auto"/>
          <w:spacing w:val="3"/>
          <w:sz w:val="28"/>
          <w:szCs w:val="28"/>
          <w:highlight w:val="none"/>
        </w:rPr>
        <w:t>盖单位章）</w:t>
      </w:r>
    </w:p>
    <w:p w14:paraId="2FE9860C">
      <w:pPr>
        <w:spacing w:line="452" w:lineRule="auto"/>
        <w:rPr>
          <w:rFonts w:ascii="Arial"/>
          <w:color w:val="auto"/>
          <w:sz w:val="21"/>
          <w:highlight w:val="none"/>
        </w:rPr>
      </w:pPr>
    </w:p>
    <w:p w14:paraId="64BCA9AD">
      <w:pPr>
        <w:tabs>
          <w:tab w:val="left" w:pos="3117"/>
        </w:tabs>
        <w:spacing w:before="91" w:line="220" w:lineRule="auto"/>
        <w:ind w:left="1996"/>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7"/>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pacing w:val="19"/>
          <w:sz w:val="28"/>
          <w:szCs w:val="28"/>
          <w:highlight w:val="none"/>
          <w:u w:val="single" w:color="auto"/>
        </w:rPr>
        <w:t xml:space="preserve">       </w:t>
      </w:r>
      <w:r>
        <w:rPr>
          <w:rFonts w:ascii="宋体" w:hAnsi="宋体" w:eastAsia="宋体" w:cs="宋体"/>
          <w:color w:val="auto"/>
          <w:spacing w:val="-117"/>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10"/>
          <w:sz w:val="28"/>
          <w:szCs w:val="28"/>
          <w:highlight w:val="none"/>
        </w:rPr>
        <w:t>日</w:t>
      </w:r>
    </w:p>
    <w:p w14:paraId="5B91AF28">
      <w:pPr>
        <w:spacing w:line="220" w:lineRule="auto"/>
        <w:rPr>
          <w:rFonts w:ascii="宋体" w:hAnsi="宋体" w:eastAsia="宋体" w:cs="宋体"/>
          <w:color w:val="auto"/>
          <w:sz w:val="28"/>
          <w:szCs w:val="28"/>
          <w:highlight w:val="none"/>
        </w:rPr>
        <w:sectPr>
          <w:footerReference r:id="rId42" w:type="default"/>
          <w:pgSz w:w="11906" w:h="16839"/>
          <w:pgMar w:top="1431" w:right="1785" w:bottom="1297" w:left="1785" w:header="0" w:footer="1066" w:gutter="0"/>
          <w:pgNumType w:fmt="decimal"/>
          <w:cols w:space="720" w:num="1"/>
        </w:sectPr>
      </w:pPr>
    </w:p>
    <w:p w14:paraId="61334ABF">
      <w:pPr>
        <w:spacing w:before="63" w:line="227" w:lineRule="auto"/>
        <w:ind w:left="3517"/>
        <w:rPr>
          <w:rFonts w:ascii="宋体" w:hAnsi="宋体" w:eastAsia="宋体" w:cs="宋体"/>
          <w:color w:val="auto"/>
          <w:sz w:val="31"/>
          <w:szCs w:val="31"/>
          <w:highlight w:val="none"/>
        </w:rPr>
      </w:pPr>
      <w:r>
        <w:rPr>
          <w:rFonts w:ascii="宋体" w:hAnsi="宋体" w:eastAsia="宋体" w:cs="宋体"/>
          <w:b/>
          <w:bCs/>
          <w:color w:val="auto"/>
          <w:spacing w:val="-36"/>
          <w:sz w:val="31"/>
          <w:szCs w:val="31"/>
          <w:highlight w:val="none"/>
        </w:rPr>
        <w:t>目</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36"/>
          <w:sz w:val="31"/>
          <w:szCs w:val="31"/>
          <w:highlight w:val="none"/>
        </w:rPr>
        <w:t>录</w:t>
      </w:r>
    </w:p>
    <w:p w14:paraId="37CA5D06">
      <w:pPr>
        <w:spacing w:line="348" w:lineRule="auto"/>
        <w:rPr>
          <w:rFonts w:ascii="Arial"/>
          <w:color w:val="auto"/>
          <w:sz w:val="21"/>
          <w:highlight w:val="none"/>
        </w:rPr>
      </w:pPr>
    </w:p>
    <w:p w14:paraId="666879FD">
      <w:pPr>
        <w:spacing w:line="348" w:lineRule="auto"/>
        <w:rPr>
          <w:rFonts w:ascii="Arial"/>
          <w:color w:val="auto"/>
          <w:sz w:val="21"/>
          <w:highlight w:val="none"/>
        </w:rPr>
      </w:pPr>
    </w:p>
    <w:p w14:paraId="72065604">
      <w:pPr>
        <w:spacing w:before="78" w:line="220" w:lineRule="auto"/>
        <w:ind w:left="495"/>
        <w:outlineLvl w:val="1"/>
        <w:rPr>
          <w:rFonts w:ascii="宋体" w:hAnsi="宋体" w:eastAsia="宋体" w:cs="宋体"/>
          <w:color w:val="auto"/>
          <w:sz w:val="24"/>
          <w:szCs w:val="24"/>
          <w:highlight w:val="none"/>
        </w:rPr>
      </w:pPr>
      <w:bookmarkStart w:id="773" w:name="_Toc1920"/>
      <w:bookmarkStart w:id="774" w:name="_Toc28143"/>
      <w:bookmarkStart w:id="775" w:name="_Toc31035"/>
      <w:bookmarkStart w:id="776" w:name="_Toc8188"/>
      <w:bookmarkStart w:id="777" w:name="_Toc17970"/>
      <w:bookmarkStart w:id="778" w:name="_Toc13893"/>
      <w:bookmarkStart w:id="779" w:name="_Toc16430"/>
      <w:r>
        <w:rPr>
          <w:rFonts w:ascii="宋体" w:hAnsi="宋体" w:eastAsia="宋体" w:cs="宋体"/>
          <w:color w:val="auto"/>
          <w:spacing w:val="-3"/>
          <w:sz w:val="24"/>
          <w:szCs w:val="24"/>
          <w:highlight w:val="none"/>
        </w:rPr>
        <w:t>一、投标函</w:t>
      </w:r>
      <w:bookmarkEnd w:id="773"/>
      <w:bookmarkEnd w:id="774"/>
      <w:bookmarkEnd w:id="775"/>
      <w:bookmarkEnd w:id="776"/>
      <w:bookmarkEnd w:id="777"/>
      <w:bookmarkEnd w:id="778"/>
      <w:bookmarkEnd w:id="779"/>
    </w:p>
    <w:p w14:paraId="4EDF19A6">
      <w:pPr>
        <w:spacing w:before="152"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二、授权委托书或法定代表人身份证明</w:t>
      </w:r>
    </w:p>
    <w:p w14:paraId="55EF2EA6">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三、联合体协议书（如有）</w:t>
      </w:r>
    </w:p>
    <w:p w14:paraId="3AE3BB74">
      <w:pPr>
        <w:spacing w:before="157" w:line="220"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四、投标保证金</w:t>
      </w:r>
    </w:p>
    <w:p w14:paraId="71C07C4C">
      <w:pPr>
        <w:spacing w:before="154" w:line="219" w:lineRule="auto"/>
        <w:ind w:left="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五、资格审查资料</w:t>
      </w:r>
    </w:p>
    <w:p w14:paraId="76DD052D">
      <w:pPr>
        <w:spacing w:before="154" w:line="220"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六、其他资料</w:t>
      </w:r>
    </w:p>
    <w:p w14:paraId="2BFF5640">
      <w:pPr>
        <w:spacing w:before="155"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七、技术建议书</w:t>
      </w:r>
    </w:p>
    <w:p w14:paraId="4341AF47">
      <w:pPr>
        <w:spacing w:line="219" w:lineRule="auto"/>
        <w:rPr>
          <w:rFonts w:ascii="宋体" w:hAnsi="宋体" w:eastAsia="宋体" w:cs="宋体"/>
          <w:color w:val="auto"/>
          <w:sz w:val="24"/>
          <w:szCs w:val="24"/>
          <w:highlight w:val="none"/>
        </w:rPr>
        <w:sectPr>
          <w:footerReference r:id="rId43" w:type="default"/>
          <w:pgSz w:w="11906" w:h="16839"/>
          <w:pgMar w:top="1403" w:right="1785" w:bottom="1297" w:left="1785" w:header="0" w:footer="1067" w:gutter="0"/>
          <w:pgNumType w:fmt="decimal"/>
          <w:cols w:space="720" w:num="1"/>
        </w:sectPr>
      </w:pPr>
    </w:p>
    <w:p w14:paraId="7C6EA1EB">
      <w:pPr>
        <w:spacing w:before="163" w:line="220" w:lineRule="auto"/>
        <w:ind w:left="394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4BB7F949">
      <w:pPr>
        <w:spacing w:line="320" w:lineRule="auto"/>
        <w:rPr>
          <w:rFonts w:ascii="Arial"/>
          <w:color w:val="auto"/>
          <w:sz w:val="21"/>
          <w:highlight w:val="none"/>
        </w:rPr>
      </w:pPr>
    </w:p>
    <w:p w14:paraId="410D1E26">
      <w:pPr>
        <w:tabs>
          <w:tab w:val="left" w:pos="2880"/>
        </w:tabs>
        <w:spacing w:before="78"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（招标人名称</w:t>
      </w:r>
      <w:r>
        <w:rPr>
          <w:rFonts w:ascii="宋体" w:hAnsi="宋体" w:eastAsia="宋体" w:cs="宋体"/>
          <w:color w:val="auto"/>
          <w:spacing w:val="2"/>
          <w:sz w:val="24"/>
          <w:szCs w:val="24"/>
          <w:highlight w:val="none"/>
        </w:rPr>
        <w:t>）：</w:t>
      </w:r>
    </w:p>
    <w:p w14:paraId="5F27C883">
      <w:pPr>
        <w:spacing w:before="233" w:line="286" w:lineRule="auto"/>
        <w:ind w:left="12" w:right="8"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1．我方已仔细研究</w:t>
      </w:r>
      <w:r>
        <w:rPr>
          <w:rFonts w:ascii="宋体" w:hAnsi="宋体" w:eastAsia="宋体" w:cs="宋体"/>
          <w:color w:val="auto"/>
          <w:spacing w:val="1"/>
          <w:sz w:val="24"/>
          <w:szCs w:val="24"/>
          <w:highlight w:val="none"/>
          <w:u w:val="single" w:color="auto"/>
        </w:rPr>
        <w:t xml:space="preserve">                  （项目名称</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标段施工监理招标文件</w:t>
      </w:r>
      <w:r>
        <w:rPr>
          <w:rFonts w:ascii="宋体" w:hAnsi="宋体" w:eastAsia="宋体" w:cs="宋体"/>
          <w:color w:val="auto"/>
          <w:spacing w:val="4"/>
          <w:sz w:val="24"/>
          <w:szCs w:val="24"/>
          <w:highlight w:val="none"/>
        </w:rPr>
        <w:t>的全部内容（含补遗书</w:t>
      </w:r>
      <w:r>
        <w:rPr>
          <w:rFonts w:ascii="宋体" w:hAnsi="宋体" w:eastAsia="宋体" w:cs="宋体"/>
          <w:color w:val="auto"/>
          <w:spacing w:val="19"/>
          <w:sz w:val="24"/>
          <w:szCs w:val="24"/>
          <w:highlight w:val="none"/>
        </w:rPr>
        <w:t>），</w:t>
      </w:r>
      <w:r>
        <w:rPr>
          <w:rFonts w:ascii="宋体" w:hAnsi="宋体" w:eastAsia="宋体" w:cs="宋体"/>
          <w:color w:val="auto"/>
          <w:spacing w:val="4"/>
          <w:sz w:val="24"/>
          <w:szCs w:val="24"/>
          <w:highlight w:val="none"/>
        </w:rPr>
        <w:t>在考察工程现场后，愿意以第二个信封（报价文件）中的投标总报价（或根据招标文件规定修正核实后确定的另一金额</w:t>
      </w:r>
      <w:r>
        <w:rPr>
          <w:rFonts w:ascii="宋体" w:hAnsi="宋体" w:eastAsia="宋体" w:cs="宋体"/>
          <w:color w:val="auto"/>
          <w:spacing w:val="19"/>
          <w:sz w:val="24"/>
          <w:szCs w:val="24"/>
          <w:highlight w:val="none"/>
        </w:rPr>
        <w:t>），</w:t>
      </w:r>
      <w:r>
        <w:rPr>
          <w:rFonts w:ascii="宋体" w:hAnsi="宋体" w:eastAsia="宋体" w:cs="宋体"/>
          <w:color w:val="auto"/>
          <w:spacing w:val="4"/>
          <w:sz w:val="24"/>
          <w:szCs w:val="24"/>
          <w:highlight w:val="none"/>
        </w:rPr>
        <w:t>按合同约定完成施</w:t>
      </w:r>
      <w:r>
        <w:rPr>
          <w:rFonts w:ascii="宋体" w:hAnsi="宋体" w:eastAsia="宋体" w:cs="宋体"/>
          <w:color w:val="auto"/>
          <w:spacing w:val="-3"/>
          <w:sz w:val="24"/>
          <w:szCs w:val="24"/>
          <w:highlight w:val="none"/>
        </w:rPr>
        <w:t>工监理工作。</w:t>
      </w:r>
    </w:p>
    <w:p w14:paraId="52915872">
      <w:pPr>
        <w:spacing w:before="11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2．我方承诺在招标文件规定的投标有效期内不撤销投标文件。</w:t>
      </w:r>
    </w:p>
    <w:p w14:paraId="5BAE407A">
      <w:pPr>
        <w:spacing w:before="114" w:line="263" w:lineRule="auto"/>
        <w:ind w:left="8" w:right="8" w:firstLine="4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3．总监理工程师或驻地监理工程师姓名</w:t>
      </w:r>
      <w:r>
        <w:rPr>
          <w:rFonts w:ascii="宋体" w:hAnsi="宋体" w:eastAsia="宋体" w:cs="宋体"/>
          <w:color w:val="auto"/>
          <w:spacing w:val="5"/>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7"/>
          <w:sz w:val="24"/>
          <w:szCs w:val="24"/>
          <w:highlight w:val="none"/>
        </w:rPr>
        <w:t>年龄</w:t>
      </w:r>
      <w:r>
        <w:rPr>
          <w:rFonts w:ascii="宋体" w:hAnsi="宋体" w:eastAsia="宋体" w:cs="宋体"/>
          <w:color w:val="auto"/>
          <w:spacing w:val="5"/>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7"/>
          <w:sz w:val="24"/>
          <w:szCs w:val="24"/>
          <w:highlight w:val="none"/>
        </w:rPr>
        <w:t>职</w:t>
      </w:r>
      <w:r>
        <w:rPr>
          <w:rFonts w:ascii="宋体" w:hAnsi="宋体" w:eastAsia="宋体" w:cs="宋体"/>
          <w:color w:val="auto"/>
          <w:spacing w:val="1"/>
          <w:sz w:val="24"/>
          <w:szCs w:val="24"/>
          <w:highlight w:val="none"/>
        </w:rPr>
        <w:t>称</w:t>
      </w:r>
      <w:r>
        <w:rPr>
          <w:rFonts w:ascii="宋体" w:hAnsi="宋体" w:eastAsia="宋体" w:cs="宋体"/>
          <w:color w:val="auto"/>
          <w:spacing w:val="-2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1"/>
          <w:sz w:val="24"/>
          <w:szCs w:val="24"/>
          <w:highlight w:val="none"/>
        </w:rPr>
        <w:t>监理工程师证书：</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w:t>
      </w:r>
    </w:p>
    <w:p w14:paraId="5F77C467">
      <w:pPr>
        <w:spacing w:before="117"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 质量要求</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9"/>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3"/>
          <w:sz w:val="24"/>
          <w:szCs w:val="24"/>
          <w:highlight w:val="none"/>
        </w:rPr>
        <w:t>安全目标</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3"/>
          <w:sz w:val="24"/>
          <w:szCs w:val="24"/>
          <w:highlight w:val="none"/>
        </w:rPr>
        <w:t>监理服务期限：</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p>
    <w:p w14:paraId="6C47DBA4">
      <w:pPr>
        <w:spacing w:before="114"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如我方中标，我方承诺：</w:t>
      </w:r>
    </w:p>
    <w:p w14:paraId="0E4B2CD7">
      <w:pPr>
        <w:spacing w:before="115"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（1）在收到中标通知书后，在规定的期限内与你方签订合同；</w:t>
      </w:r>
    </w:p>
    <w:p w14:paraId="77632A51">
      <w:pPr>
        <w:spacing w:before="116"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（2）在签订合同时不向你方提出附加条件；</w:t>
      </w:r>
    </w:p>
    <w:p w14:paraId="6E1680A5">
      <w:pPr>
        <w:spacing w:before="114"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（3）按照招标文件要求提交履约保证金；</w:t>
      </w:r>
    </w:p>
    <w:p w14:paraId="461A5086">
      <w:pPr>
        <w:spacing w:before="117"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（4）在合同约定的期限内完成合同规定的全部义务；</w:t>
      </w:r>
    </w:p>
    <w:p w14:paraId="6C8DDE7A">
      <w:pPr>
        <w:spacing w:before="117" w:line="290" w:lineRule="auto"/>
        <w:ind w:left="11" w:right="8" w:firstLine="489"/>
        <w:rPr>
          <w:rFonts w:ascii="宋体" w:hAnsi="宋体" w:eastAsia="宋体" w:cs="宋体"/>
          <w:color w:val="auto"/>
          <w:sz w:val="12"/>
          <w:szCs w:val="12"/>
          <w:highlight w:val="none"/>
        </w:rPr>
      </w:pPr>
      <w:r>
        <w:rPr>
          <w:rFonts w:ascii="宋体" w:hAnsi="宋体" w:eastAsia="宋体" w:cs="宋体"/>
          <w:color w:val="auto"/>
          <w:spacing w:val="1"/>
          <w:sz w:val="24"/>
          <w:szCs w:val="24"/>
          <w:highlight w:val="none"/>
        </w:rPr>
        <w:t>（5）在你方和我方进行合同谈判之前，我方将按照合同附件提出的最低要求填报</w:t>
      </w:r>
      <w:r>
        <w:rPr>
          <w:rFonts w:ascii="宋体" w:hAnsi="宋体" w:eastAsia="宋体" w:cs="宋体"/>
          <w:color w:val="auto"/>
          <w:spacing w:val="5"/>
          <w:sz w:val="24"/>
          <w:szCs w:val="24"/>
          <w:highlight w:val="none"/>
        </w:rPr>
        <w:t>派驻本标段的其他主要监理人员及主要试验检测设备，经你方审批后作</w:t>
      </w:r>
      <w:r>
        <w:rPr>
          <w:rFonts w:ascii="宋体" w:hAnsi="宋体" w:eastAsia="宋体" w:cs="宋体"/>
          <w:color w:val="auto"/>
          <w:spacing w:val="4"/>
          <w:sz w:val="24"/>
          <w:szCs w:val="24"/>
          <w:highlight w:val="none"/>
        </w:rPr>
        <w:t>为派驻本标段</w:t>
      </w:r>
      <w:r>
        <w:rPr>
          <w:rFonts w:ascii="宋体" w:hAnsi="宋体" w:eastAsia="宋体" w:cs="宋体"/>
          <w:color w:val="auto"/>
          <w:spacing w:val="5"/>
          <w:sz w:val="24"/>
          <w:szCs w:val="24"/>
          <w:highlight w:val="none"/>
        </w:rPr>
        <w:t>的主要监理人员和主要试验检测设备且不进行更换。如我方拟派驻的人</w:t>
      </w:r>
      <w:r>
        <w:rPr>
          <w:rFonts w:ascii="宋体" w:hAnsi="宋体" w:eastAsia="宋体" w:cs="宋体"/>
          <w:color w:val="auto"/>
          <w:spacing w:val="4"/>
          <w:sz w:val="24"/>
          <w:szCs w:val="24"/>
          <w:highlight w:val="none"/>
        </w:rPr>
        <w:t>员和设备不满</w:t>
      </w:r>
      <w:r>
        <w:rPr>
          <w:rFonts w:ascii="宋体" w:hAnsi="宋体" w:eastAsia="宋体" w:cs="宋体"/>
          <w:color w:val="auto"/>
          <w:spacing w:val="-1"/>
          <w:sz w:val="24"/>
          <w:szCs w:val="24"/>
          <w:highlight w:val="none"/>
        </w:rPr>
        <w:t>足合同附件要求，你方有权取消我方中标资格。</w:t>
      </w:r>
    </w:p>
    <w:p w14:paraId="6021372E">
      <w:pPr>
        <w:spacing w:before="2" w:line="311" w:lineRule="auto"/>
        <w:ind w:left="13" w:right="8"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（6）我方在此承诺：拟投入本项目的总监理工程师（包括备选人，如有）无在岗</w:t>
      </w:r>
      <w:r>
        <w:rPr>
          <w:rFonts w:ascii="宋体" w:hAnsi="宋体" w:eastAsia="宋体" w:cs="宋体"/>
          <w:color w:val="auto"/>
          <w:spacing w:val="5"/>
          <w:sz w:val="24"/>
          <w:szCs w:val="24"/>
          <w:highlight w:val="none"/>
        </w:rPr>
        <w:t>项目（指目前未在其他项目上任职，或虽在其他项目上任职但本项</w:t>
      </w:r>
      <w:r>
        <w:rPr>
          <w:rFonts w:ascii="宋体" w:hAnsi="宋体" w:eastAsia="宋体" w:cs="宋体"/>
          <w:color w:val="auto"/>
          <w:spacing w:val="4"/>
          <w:sz w:val="24"/>
          <w:szCs w:val="24"/>
          <w:highlight w:val="none"/>
        </w:rPr>
        <w:t>目中标后能够从该</w:t>
      </w:r>
      <w:r>
        <w:rPr>
          <w:rFonts w:ascii="宋体" w:hAnsi="宋体" w:eastAsia="宋体" w:cs="宋体"/>
          <w:color w:val="auto"/>
          <w:spacing w:val="-1"/>
          <w:sz w:val="24"/>
          <w:szCs w:val="24"/>
          <w:highlight w:val="none"/>
        </w:rPr>
        <w:t>项目撤离）,否则自愿按照招标人的有关规定接受处罚。</w:t>
      </w:r>
    </w:p>
    <w:p w14:paraId="7946F0C0">
      <w:pPr>
        <w:spacing w:before="185" w:line="289" w:lineRule="auto"/>
        <w:ind w:left="8" w:right="8"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6．我方在此声明，所递交的投标文件及有关资料内</w:t>
      </w:r>
      <w:r>
        <w:rPr>
          <w:rFonts w:ascii="宋体" w:hAnsi="宋体" w:eastAsia="宋体" w:cs="宋体"/>
          <w:color w:val="auto"/>
          <w:spacing w:val="1"/>
          <w:sz w:val="24"/>
          <w:szCs w:val="24"/>
          <w:highlight w:val="none"/>
        </w:rPr>
        <w:t>容完整、真实和准确，且不存</w:t>
      </w:r>
      <w:r>
        <w:rPr>
          <w:rFonts w:ascii="宋体" w:hAnsi="宋体" w:eastAsia="宋体" w:cs="宋体"/>
          <w:color w:val="auto"/>
          <w:spacing w:val="-3"/>
          <w:sz w:val="24"/>
          <w:szCs w:val="24"/>
          <w:highlight w:val="none"/>
        </w:rPr>
        <w:t>在招标文件第二章“投标人须知</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”第</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1.4.3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项和第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1.4.4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项规定的任何一种情</w:t>
      </w:r>
      <w:r>
        <w:rPr>
          <w:rFonts w:ascii="宋体" w:hAnsi="宋体" w:eastAsia="宋体" w:cs="宋体"/>
          <w:color w:val="auto"/>
          <w:spacing w:val="-4"/>
          <w:sz w:val="24"/>
          <w:szCs w:val="24"/>
          <w:highlight w:val="none"/>
        </w:rPr>
        <w:t>形。</w:t>
      </w:r>
    </w:p>
    <w:p w14:paraId="351F73B7">
      <w:pPr>
        <w:spacing w:before="184"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7.我方在此承诺：权利义务满足招标文件规定。</w:t>
      </w:r>
    </w:p>
    <w:p w14:paraId="2B16B52E">
      <w:pPr>
        <w:spacing w:before="180" w:line="290" w:lineRule="auto"/>
        <w:ind w:left="9" w:right="8"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8．在合同协议书正式签署生效之前，本投标函连同你</w:t>
      </w:r>
      <w:r>
        <w:rPr>
          <w:rFonts w:ascii="宋体" w:hAnsi="宋体" w:eastAsia="宋体" w:cs="宋体"/>
          <w:color w:val="auto"/>
          <w:spacing w:val="1"/>
          <w:sz w:val="24"/>
          <w:szCs w:val="24"/>
          <w:highlight w:val="none"/>
        </w:rPr>
        <w:t>方的中标通知书将构成我们</w:t>
      </w:r>
      <w:r>
        <w:rPr>
          <w:rFonts w:ascii="宋体" w:hAnsi="宋体" w:eastAsia="宋体" w:cs="宋体"/>
          <w:color w:val="auto"/>
          <w:spacing w:val="-1"/>
          <w:sz w:val="24"/>
          <w:szCs w:val="24"/>
          <w:highlight w:val="none"/>
        </w:rPr>
        <w:t>双方之间共同遵守的文件，对双方具有约束力。</w:t>
      </w:r>
    </w:p>
    <w:p w14:paraId="01951FF0">
      <w:pPr>
        <w:spacing w:before="269"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其他补充说明）。</w:t>
      </w:r>
    </w:p>
    <w:p w14:paraId="5968684F">
      <w:pPr>
        <w:spacing w:line="311" w:lineRule="auto"/>
        <w:rPr>
          <w:rFonts w:ascii="Arial"/>
          <w:color w:val="auto"/>
          <w:sz w:val="21"/>
          <w:highlight w:val="none"/>
        </w:rPr>
      </w:pPr>
    </w:p>
    <w:p w14:paraId="4AA4A39D">
      <w:pPr>
        <w:spacing w:before="79" w:line="342" w:lineRule="auto"/>
        <w:jc w:val="right"/>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投 标 人</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9"/>
          <w:sz w:val="24"/>
          <w:szCs w:val="24"/>
          <w:highlight w:val="none"/>
        </w:rPr>
        <w:t>（</w:t>
      </w:r>
      <w:r>
        <w:rPr>
          <w:rFonts w:ascii="宋体" w:hAnsi="宋体" w:eastAsia="宋体" w:cs="宋体"/>
          <w:color w:val="auto"/>
          <w:spacing w:val="4"/>
          <w:sz w:val="24"/>
          <w:szCs w:val="24"/>
          <w:highlight w:val="none"/>
        </w:rPr>
        <w:t>盖单位章）</w:t>
      </w:r>
    </w:p>
    <w:p w14:paraId="4EB78F1D">
      <w:pPr>
        <w:spacing w:line="220" w:lineRule="auto"/>
        <w:rPr>
          <w:rFonts w:ascii="宋体" w:hAnsi="宋体" w:eastAsia="宋体" w:cs="宋体"/>
          <w:color w:val="auto"/>
          <w:sz w:val="18"/>
          <w:szCs w:val="18"/>
          <w:highlight w:val="none"/>
        </w:rPr>
      </w:pPr>
    </w:p>
    <w:p w14:paraId="2FA1A6D8">
      <w:pPr>
        <w:spacing w:before="111" w:line="219" w:lineRule="auto"/>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签字）</w:t>
      </w:r>
    </w:p>
    <w:p w14:paraId="26223B83">
      <w:pPr>
        <w:spacing w:before="115" w:line="229" w:lineRule="auto"/>
        <w:ind w:left="305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5560B990">
      <w:pPr>
        <w:spacing w:before="101" w:line="224" w:lineRule="auto"/>
        <w:ind w:left="307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网址：</w:t>
      </w:r>
      <w:r>
        <w:rPr>
          <w:rFonts w:ascii="宋体" w:hAnsi="宋体" w:eastAsia="宋体" w:cs="宋体"/>
          <w:color w:val="auto"/>
          <w:sz w:val="24"/>
          <w:szCs w:val="24"/>
          <w:highlight w:val="none"/>
          <w:u w:val="single" w:color="auto"/>
        </w:rPr>
        <w:t xml:space="preserve">                                     </w:t>
      </w:r>
    </w:p>
    <w:p w14:paraId="32EDE96A">
      <w:pPr>
        <w:spacing w:before="109" w:line="221" w:lineRule="auto"/>
        <w:ind w:left="308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11A6C841">
      <w:pPr>
        <w:spacing w:before="112" w:line="219" w:lineRule="auto"/>
        <w:ind w:left="305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7CF011FC">
      <w:pPr>
        <w:spacing w:before="114" w:line="219" w:lineRule="auto"/>
        <w:ind w:left="30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6DD83509">
      <w:pPr>
        <w:tabs>
          <w:tab w:val="left" w:pos="5450"/>
        </w:tabs>
        <w:spacing w:before="116" w:line="219" w:lineRule="auto"/>
        <w:ind w:left="437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bookmarkStart w:id="780" w:name="_Toc20695"/>
      <w:bookmarkStart w:id="781" w:name="_Toc5273"/>
      <w:bookmarkStart w:id="782" w:name="_Toc10560"/>
      <w:bookmarkStart w:id="783" w:name="_Toc21541"/>
      <w:bookmarkStart w:id="784" w:name="_Toc7682"/>
      <w:bookmarkStart w:id="785" w:name="_Toc7996"/>
      <w:bookmarkStart w:id="786" w:name="_Toc32114"/>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9"/>
          <w:sz w:val="24"/>
          <w:szCs w:val="24"/>
          <w:highlight w:val="none"/>
        </w:rPr>
        <w:t>日</w:t>
      </w:r>
      <w:bookmarkEnd w:id="780"/>
      <w:bookmarkEnd w:id="781"/>
      <w:bookmarkEnd w:id="782"/>
      <w:bookmarkEnd w:id="783"/>
      <w:bookmarkEnd w:id="784"/>
      <w:bookmarkEnd w:id="785"/>
      <w:bookmarkEnd w:id="786"/>
    </w:p>
    <w:p w14:paraId="2418E683">
      <w:pPr>
        <w:spacing w:line="219" w:lineRule="auto"/>
        <w:rPr>
          <w:rFonts w:ascii="宋体" w:hAnsi="宋体" w:eastAsia="宋体" w:cs="宋体"/>
          <w:color w:val="auto"/>
          <w:sz w:val="24"/>
          <w:szCs w:val="24"/>
          <w:highlight w:val="none"/>
        </w:rPr>
        <w:sectPr>
          <w:footerReference r:id="rId44" w:type="default"/>
          <w:pgSz w:w="11906" w:h="16839"/>
          <w:pgMar w:top="1431" w:right="1690" w:bottom="1297" w:left="1785" w:header="0" w:footer="1067" w:gutter="0"/>
          <w:pgNumType w:fmt="decimal"/>
          <w:cols w:space="720" w:num="1"/>
        </w:sectPr>
      </w:pPr>
    </w:p>
    <w:p w14:paraId="67A45279">
      <w:pPr>
        <w:spacing w:before="163" w:line="219" w:lineRule="auto"/>
        <w:ind w:left="260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二、授权委托书或法定代表人身份证明</w:t>
      </w:r>
    </w:p>
    <w:p w14:paraId="59239FDD">
      <w:pPr>
        <w:spacing w:line="267" w:lineRule="auto"/>
        <w:rPr>
          <w:rFonts w:ascii="Arial"/>
          <w:color w:val="auto"/>
          <w:sz w:val="21"/>
          <w:highlight w:val="none"/>
        </w:rPr>
      </w:pPr>
    </w:p>
    <w:p w14:paraId="55E3BDB6">
      <w:pPr>
        <w:spacing w:line="267" w:lineRule="auto"/>
        <w:rPr>
          <w:rFonts w:ascii="Arial"/>
          <w:color w:val="auto"/>
          <w:sz w:val="21"/>
          <w:highlight w:val="none"/>
        </w:rPr>
      </w:pPr>
    </w:p>
    <w:p w14:paraId="6976E200">
      <w:pPr>
        <w:spacing w:line="267" w:lineRule="auto"/>
        <w:rPr>
          <w:rFonts w:ascii="Arial"/>
          <w:color w:val="auto"/>
          <w:sz w:val="21"/>
          <w:highlight w:val="none"/>
        </w:rPr>
      </w:pPr>
    </w:p>
    <w:p w14:paraId="71639BC2">
      <w:pPr>
        <w:spacing w:before="98" w:line="219" w:lineRule="auto"/>
        <w:ind w:left="3455"/>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（一）授权委托书</w:t>
      </w:r>
    </w:p>
    <w:p w14:paraId="38020592">
      <w:pPr>
        <w:spacing w:line="345" w:lineRule="auto"/>
        <w:rPr>
          <w:rFonts w:ascii="Arial"/>
          <w:color w:val="auto"/>
          <w:sz w:val="21"/>
          <w:highlight w:val="none"/>
        </w:rPr>
      </w:pPr>
    </w:p>
    <w:p w14:paraId="7510D8ED">
      <w:pPr>
        <w:spacing w:line="345" w:lineRule="auto"/>
        <w:rPr>
          <w:rFonts w:ascii="Arial"/>
          <w:color w:val="auto"/>
          <w:sz w:val="21"/>
          <w:highlight w:val="none"/>
        </w:rPr>
      </w:pPr>
    </w:p>
    <w:p w14:paraId="18E6B331">
      <w:pPr>
        <w:spacing w:before="78" w:line="338" w:lineRule="auto"/>
        <w:ind w:firstLine="589"/>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w:t>
      </w:r>
      <w:r>
        <w:rPr>
          <w:rFonts w:ascii="宋体" w:hAnsi="宋体" w:eastAsia="宋体" w:cs="宋体"/>
          <w:color w:val="auto"/>
          <w:spacing w:val="-68"/>
          <w:sz w:val="24"/>
          <w:szCs w:val="24"/>
          <w:highlight w:val="none"/>
        </w:rPr>
        <w:t xml:space="preserve"> </w:t>
      </w:r>
      <w:r>
        <w:rPr>
          <w:rFonts w:ascii="宋体" w:hAnsi="宋体" w:eastAsia="宋体" w:cs="宋体"/>
          <w:color w:val="auto"/>
          <w:spacing w:val="-5"/>
          <w:sz w:val="24"/>
          <w:szCs w:val="24"/>
          <w:highlight w:val="none"/>
        </w:rPr>
        <w:t>人</w:t>
      </w:r>
      <w:r>
        <w:rPr>
          <w:rFonts w:ascii="宋体" w:hAnsi="宋体" w:eastAsia="宋体" w:cs="宋体"/>
          <w:color w:val="auto"/>
          <w:spacing w:val="-82"/>
          <w:sz w:val="24"/>
          <w:szCs w:val="24"/>
          <w:highlight w:val="none"/>
        </w:rPr>
        <w:t xml:space="preserve"> </w:t>
      </w:r>
      <w:r>
        <w:rPr>
          <w:rFonts w:ascii="宋体" w:hAnsi="宋体" w:eastAsia="宋体" w:cs="宋体"/>
          <w:color w:val="auto"/>
          <w:spacing w:val="-5"/>
          <w:sz w:val="24"/>
          <w:szCs w:val="24"/>
          <w:highlight w:val="none"/>
          <w:u w:val="single" w:color="auto"/>
        </w:rPr>
        <w:t xml:space="preserve">        （姓</w:t>
      </w:r>
      <w:r>
        <w:rPr>
          <w:rFonts w:ascii="宋体" w:hAnsi="宋体" w:eastAsia="宋体" w:cs="宋体"/>
          <w:color w:val="auto"/>
          <w:spacing w:val="-69"/>
          <w:sz w:val="24"/>
          <w:szCs w:val="24"/>
          <w:highlight w:val="none"/>
          <w:u w:val="single" w:color="auto"/>
        </w:rPr>
        <w:t xml:space="preserve"> </w:t>
      </w:r>
      <w:r>
        <w:rPr>
          <w:rFonts w:ascii="宋体" w:hAnsi="宋体" w:eastAsia="宋体" w:cs="宋体"/>
          <w:color w:val="auto"/>
          <w:spacing w:val="-5"/>
          <w:sz w:val="24"/>
          <w:szCs w:val="24"/>
          <w:highlight w:val="none"/>
          <w:u w:val="single" w:color="auto"/>
        </w:rPr>
        <w:t>名</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67"/>
          <w:sz w:val="24"/>
          <w:szCs w:val="24"/>
          <w:highlight w:val="none"/>
          <w:u w:val="single" w:color="auto"/>
        </w:rPr>
        <w:t xml:space="preserve"> </w:t>
      </w:r>
      <w:r>
        <w:rPr>
          <w:rFonts w:ascii="宋体" w:hAnsi="宋体" w:eastAsia="宋体" w:cs="宋体"/>
          <w:color w:val="auto"/>
          <w:spacing w:val="-5"/>
          <w:sz w:val="24"/>
          <w:szCs w:val="24"/>
          <w:highlight w:val="none"/>
        </w:rPr>
        <w:t>系</w:t>
      </w:r>
      <w:r>
        <w:rPr>
          <w:rFonts w:ascii="宋体" w:hAnsi="宋体" w:eastAsia="宋体" w:cs="宋体"/>
          <w:color w:val="auto"/>
          <w:spacing w:val="-80"/>
          <w:sz w:val="24"/>
          <w:szCs w:val="24"/>
          <w:highlight w:val="none"/>
        </w:rPr>
        <w:t xml:space="preserve">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32"/>
          <w:sz w:val="24"/>
          <w:szCs w:val="24"/>
          <w:highlight w:val="none"/>
          <w:u w:val="single" w:color="auto"/>
        </w:rPr>
        <w:t xml:space="preserve"> </w:t>
      </w:r>
      <w:r>
        <w:rPr>
          <w:rFonts w:ascii="宋体" w:hAnsi="宋体" w:eastAsia="宋体" w:cs="宋体"/>
          <w:color w:val="auto"/>
          <w:spacing w:val="-5"/>
          <w:sz w:val="24"/>
          <w:szCs w:val="24"/>
          <w:highlight w:val="none"/>
          <w:u w:val="single" w:color="auto"/>
        </w:rPr>
        <w:t>投</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6"/>
          <w:sz w:val="24"/>
          <w:szCs w:val="24"/>
          <w:highlight w:val="none"/>
          <w:u w:val="single" w:color="auto"/>
        </w:rPr>
        <w:t>标</w:t>
      </w:r>
      <w:r>
        <w:rPr>
          <w:rFonts w:ascii="宋体" w:hAnsi="宋体" w:eastAsia="宋体" w:cs="宋体"/>
          <w:color w:val="auto"/>
          <w:spacing w:val="-68"/>
          <w:sz w:val="24"/>
          <w:szCs w:val="24"/>
          <w:highlight w:val="none"/>
          <w:u w:val="single" w:color="auto"/>
        </w:rPr>
        <w:t xml:space="preserve"> </w:t>
      </w:r>
      <w:r>
        <w:rPr>
          <w:rFonts w:ascii="宋体" w:hAnsi="宋体" w:eastAsia="宋体" w:cs="宋体"/>
          <w:color w:val="auto"/>
          <w:spacing w:val="-6"/>
          <w:sz w:val="24"/>
          <w:szCs w:val="24"/>
          <w:highlight w:val="none"/>
          <w:u w:val="single" w:color="auto"/>
        </w:rPr>
        <w:t>人</w:t>
      </w:r>
      <w:r>
        <w:rPr>
          <w:rFonts w:ascii="宋体" w:hAnsi="宋体" w:eastAsia="宋体" w:cs="宋体"/>
          <w:color w:val="auto"/>
          <w:spacing w:val="-70"/>
          <w:sz w:val="24"/>
          <w:szCs w:val="24"/>
          <w:highlight w:val="none"/>
          <w:u w:val="single" w:color="auto"/>
        </w:rPr>
        <w:t xml:space="preserve"> </w:t>
      </w:r>
      <w:r>
        <w:rPr>
          <w:rFonts w:ascii="宋体" w:hAnsi="宋体" w:eastAsia="宋体" w:cs="宋体"/>
          <w:color w:val="auto"/>
          <w:spacing w:val="-6"/>
          <w:sz w:val="24"/>
          <w:szCs w:val="24"/>
          <w:highlight w:val="none"/>
          <w:u w:val="single" w:color="auto"/>
        </w:rPr>
        <w:t>名</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6"/>
          <w:sz w:val="24"/>
          <w:szCs w:val="24"/>
          <w:highlight w:val="none"/>
          <w:u w:val="single" w:color="auto"/>
        </w:rPr>
        <w:t>称</w:t>
      </w:r>
      <w:r>
        <w:rPr>
          <w:rFonts w:ascii="宋体" w:hAnsi="宋体" w:eastAsia="宋体" w:cs="宋体"/>
          <w:color w:val="auto"/>
          <w:spacing w:val="-46"/>
          <w:sz w:val="24"/>
          <w:szCs w:val="24"/>
          <w:highlight w:val="none"/>
          <w:u w:val="single" w:color="auto"/>
        </w:rPr>
        <w:t xml:space="preserve"> </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51"/>
          <w:sz w:val="24"/>
          <w:szCs w:val="24"/>
          <w:highlight w:val="none"/>
          <w:u w:val="single" w:color="auto"/>
        </w:rPr>
        <w:t xml:space="preserve"> </w:t>
      </w:r>
      <w:r>
        <w:rPr>
          <w:rFonts w:ascii="宋体" w:hAnsi="宋体" w:eastAsia="宋体" w:cs="宋体"/>
          <w:color w:val="auto"/>
          <w:spacing w:val="-6"/>
          <w:sz w:val="24"/>
          <w:szCs w:val="24"/>
          <w:highlight w:val="none"/>
        </w:rPr>
        <w:t>的</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法</w:t>
      </w:r>
      <w:r>
        <w:rPr>
          <w:rFonts w:ascii="宋体" w:hAnsi="宋体" w:eastAsia="宋体" w:cs="宋体"/>
          <w:color w:val="auto"/>
          <w:spacing w:val="-67"/>
          <w:sz w:val="24"/>
          <w:szCs w:val="24"/>
          <w:highlight w:val="none"/>
        </w:rPr>
        <w:t xml:space="preserve"> </w:t>
      </w:r>
      <w:r>
        <w:rPr>
          <w:rFonts w:ascii="宋体" w:hAnsi="宋体" w:eastAsia="宋体" w:cs="宋体"/>
          <w:color w:val="auto"/>
          <w:spacing w:val="-6"/>
          <w:sz w:val="24"/>
          <w:szCs w:val="24"/>
          <w:highlight w:val="none"/>
        </w:rPr>
        <w:t>定</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代表</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人</w:t>
      </w:r>
      <w:r>
        <w:rPr>
          <w:rFonts w:ascii="宋体" w:hAnsi="宋体" w:eastAsia="宋体" w:cs="宋体"/>
          <w:color w:val="auto"/>
          <w:spacing w:val="-52"/>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现</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委托</w:t>
      </w:r>
      <w:r>
        <w:rPr>
          <w:rFonts w:ascii="宋体" w:hAnsi="宋体" w:eastAsia="宋体" w:cs="宋体"/>
          <w:color w:val="auto"/>
          <w:spacing w:val="1"/>
          <w:sz w:val="24"/>
          <w:szCs w:val="24"/>
          <w:highlight w:val="none"/>
          <w:u w:val="single" w:color="auto"/>
        </w:rPr>
        <w:t>（姓名）</w:t>
      </w:r>
      <w:r>
        <w:rPr>
          <w:rFonts w:ascii="宋体" w:hAnsi="宋体" w:eastAsia="宋体" w:cs="宋体"/>
          <w:color w:val="auto"/>
          <w:spacing w:val="1"/>
          <w:sz w:val="24"/>
          <w:szCs w:val="24"/>
          <w:highlight w:val="none"/>
        </w:rPr>
        <w:t>为我方代理人。代理人根据授权，以我方名义签署、澄清确认、递交、撤回、</w:t>
      </w:r>
      <w:r>
        <w:rPr>
          <w:rFonts w:ascii="宋体" w:hAnsi="宋体" w:eastAsia="宋体" w:cs="宋体"/>
          <w:color w:val="auto"/>
          <w:spacing w:val="6"/>
          <w:sz w:val="24"/>
          <w:szCs w:val="24"/>
          <w:highlight w:val="none"/>
        </w:rPr>
        <w:t>修改</w:t>
      </w:r>
      <w:r>
        <w:rPr>
          <w:rFonts w:ascii="宋体" w:hAnsi="宋体" w:eastAsia="宋体" w:cs="宋体"/>
          <w:color w:val="auto"/>
          <w:spacing w:val="6"/>
          <w:sz w:val="24"/>
          <w:szCs w:val="24"/>
          <w:highlight w:val="none"/>
          <w:u w:val="single" w:color="auto"/>
        </w:rPr>
        <w:t xml:space="preserve">                     （项目名称）</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rPr>
        <w:t>标段施工监理投标文件、签订合同和处理有关事宜，其法律后果由我方承担。</w:t>
      </w:r>
    </w:p>
    <w:p w14:paraId="0A4A7ACE">
      <w:pPr>
        <w:spacing w:line="218" w:lineRule="auto"/>
        <w:ind w:left="5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委托期限：</w:t>
      </w:r>
      <w:r>
        <w:rPr>
          <w:rFonts w:ascii="宋体" w:hAnsi="宋体" w:eastAsia="宋体" w:cs="宋体"/>
          <w:color w:val="auto"/>
          <w:spacing w:val="-58"/>
          <w:sz w:val="24"/>
          <w:szCs w:val="24"/>
          <w:highlight w:val="none"/>
        </w:rPr>
        <w:t xml:space="preserve"> </w:t>
      </w:r>
      <w:r>
        <w:rPr>
          <w:rFonts w:ascii="宋体" w:hAnsi="宋体" w:eastAsia="宋体" w:cs="宋体"/>
          <w:color w:val="auto"/>
          <w:spacing w:val="-3"/>
          <w:sz w:val="24"/>
          <w:szCs w:val="24"/>
          <w:highlight w:val="none"/>
        </w:rPr>
        <w:t>自本委托书签署之日起至投标有效期期满。</w:t>
      </w:r>
    </w:p>
    <w:p w14:paraId="0C0CFCEC">
      <w:pPr>
        <w:spacing w:before="158" w:line="219" w:lineRule="auto"/>
        <w:ind w:left="5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代理人无转委托权。</w:t>
      </w:r>
    </w:p>
    <w:p w14:paraId="3831B114">
      <w:pPr>
        <w:spacing w:line="275" w:lineRule="auto"/>
        <w:rPr>
          <w:rFonts w:ascii="Arial"/>
          <w:color w:val="auto"/>
          <w:sz w:val="21"/>
          <w:highlight w:val="none"/>
        </w:rPr>
      </w:pPr>
    </w:p>
    <w:p w14:paraId="5E88FFDA">
      <w:pPr>
        <w:spacing w:line="276" w:lineRule="auto"/>
        <w:rPr>
          <w:rFonts w:ascii="Arial"/>
          <w:color w:val="auto"/>
          <w:sz w:val="21"/>
          <w:highlight w:val="none"/>
        </w:rPr>
      </w:pPr>
    </w:p>
    <w:p w14:paraId="49DE8E03">
      <w:pPr>
        <w:spacing w:before="65" w:line="227" w:lineRule="auto"/>
        <w:ind w:left="1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附：法定代表人身份证扫描件及委托代理人身份证扫描件。</w:t>
      </w:r>
    </w:p>
    <w:p w14:paraId="33B1FF64">
      <w:pPr>
        <w:spacing w:line="252" w:lineRule="auto"/>
        <w:rPr>
          <w:rFonts w:ascii="Arial"/>
          <w:color w:val="auto"/>
          <w:sz w:val="21"/>
          <w:highlight w:val="none"/>
        </w:rPr>
      </w:pPr>
    </w:p>
    <w:p w14:paraId="416AA94B">
      <w:pPr>
        <w:spacing w:line="253" w:lineRule="auto"/>
        <w:rPr>
          <w:rFonts w:ascii="Arial"/>
          <w:color w:val="auto"/>
          <w:sz w:val="21"/>
          <w:highlight w:val="none"/>
        </w:rPr>
      </w:pPr>
    </w:p>
    <w:p w14:paraId="23E011DE">
      <w:pPr>
        <w:spacing w:before="78" w:line="219" w:lineRule="auto"/>
        <w:ind w:left="34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14:paraId="6FAC44AE">
      <w:pPr>
        <w:spacing w:line="434" w:lineRule="auto"/>
        <w:rPr>
          <w:rFonts w:ascii="Arial"/>
          <w:color w:val="auto"/>
          <w:sz w:val="21"/>
          <w:highlight w:val="none"/>
        </w:rPr>
      </w:pPr>
    </w:p>
    <w:p w14:paraId="52F9BC0F">
      <w:pPr>
        <w:spacing w:before="79" w:line="219" w:lineRule="auto"/>
        <w:ind w:left="339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45DAEC29">
      <w:pPr>
        <w:spacing w:line="433" w:lineRule="auto"/>
        <w:rPr>
          <w:rFonts w:ascii="Arial"/>
          <w:color w:val="auto"/>
          <w:sz w:val="21"/>
          <w:highlight w:val="none"/>
        </w:rPr>
      </w:pPr>
    </w:p>
    <w:p w14:paraId="71748727">
      <w:pPr>
        <w:spacing w:before="79" w:line="219" w:lineRule="auto"/>
        <w:ind w:left="34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1518784A">
      <w:pPr>
        <w:spacing w:line="436" w:lineRule="auto"/>
        <w:rPr>
          <w:rFonts w:ascii="Arial"/>
          <w:color w:val="auto"/>
          <w:sz w:val="21"/>
          <w:highlight w:val="none"/>
        </w:rPr>
      </w:pPr>
    </w:p>
    <w:p w14:paraId="4E2DDC3B">
      <w:pPr>
        <w:spacing w:before="78" w:line="219" w:lineRule="auto"/>
        <w:ind w:left="33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14:paraId="225B2332">
      <w:pPr>
        <w:spacing w:line="433" w:lineRule="auto"/>
        <w:rPr>
          <w:rFonts w:ascii="Arial"/>
          <w:color w:val="auto"/>
          <w:sz w:val="21"/>
          <w:highlight w:val="none"/>
        </w:rPr>
      </w:pPr>
    </w:p>
    <w:p w14:paraId="2E1FCC05">
      <w:pPr>
        <w:spacing w:before="79" w:line="219" w:lineRule="auto"/>
        <w:ind w:left="34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0CB8A0F2">
      <w:pPr>
        <w:spacing w:line="433" w:lineRule="auto"/>
        <w:rPr>
          <w:rFonts w:ascii="Arial"/>
          <w:color w:val="auto"/>
          <w:sz w:val="21"/>
          <w:highlight w:val="none"/>
        </w:rPr>
      </w:pPr>
    </w:p>
    <w:p w14:paraId="6BD471BB">
      <w:pPr>
        <w:tabs>
          <w:tab w:val="left" w:pos="5559"/>
        </w:tabs>
        <w:spacing w:before="79" w:line="219" w:lineRule="auto"/>
        <w:ind w:left="471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6"/>
          <w:sz w:val="24"/>
          <w:szCs w:val="24"/>
          <w:highlight w:val="none"/>
        </w:rPr>
        <w:t xml:space="preserve">年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6"/>
          <w:sz w:val="24"/>
          <w:szCs w:val="24"/>
          <w:highlight w:val="none"/>
        </w:rPr>
        <w:t xml:space="preserve">月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日</w:t>
      </w:r>
    </w:p>
    <w:p w14:paraId="2F2C5820">
      <w:pPr>
        <w:spacing w:line="394" w:lineRule="auto"/>
        <w:rPr>
          <w:rFonts w:ascii="Arial"/>
          <w:color w:val="auto"/>
          <w:sz w:val="21"/>
          <w:highlight w:val="none"/>
        </w:rPr>
      </w:pPr>
    </w:p>
    <w:p w14:paraId="4EFD2F45">
      <w:pPr>
        <w:spacing w:before="65" w:line="232" w:lineRule="auto"/>
        <w:ind w:left="107"/>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52425A4C">
      <w:pPr>
        <w:spacing w:before="149" w:line="299" w:lineRule="auto"/>
        <w:ind w:left="111" w:right="51"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1.法定代表人和委托代理人必须在授权书上签名；如果由投标人的委托代理人签署投标文</w:t>
      </w:r>
      <w:r>
        <w:rPr>
          <w:rFonts w:ascii="宋体" w:hAnsi="宋体" w:eastAsia="宋体" w:cs="宋体"/>
          <w:color w:val="auto"/>
          <w:spacing w:val="8"/>
          <w:sz w:val="20"/>
          <w:szCs w:val="20"/>
          <w:highlight w:val="none"/>
        </w:rPr>
        <w:t>件，则不需提交（二）法定代表人身份证明；</w:t>
      </w:r>
    </w:p>
    <w:p w14:paraId="074E2815">
      <w:pPr>
        <w:spacing w:before="151" w:line="227" w:lineRule="auto"/>
        <w:ind w:left="5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2.以联合体形式投标的，本授权委托书应由联合体牵头人的法定代表人按上述规定签署。</w:t>
      </w:r>
    </w:p>
    <w:p w14:paraId="50434E53">
      <w:pPr>
        <w:spacing w:before="155" w:line="227" w:lineRule="auto"/>
        <w:ind w:left="5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3.如果由投标人的法定代表人签署投标文件，则无须提交授权委托</w:t>
      </w:r>
      <w:r>
        <w:rPr>
          <w:rFonts w:ascii="宋体" w:hAnsi="宋体" w:eastAsia="宋体" w:cs="宋体"/>
          <w:color w:val="auto"/>
          <w:spacing w:val="8"/>
          <w:sz w:val="20"/>
          <w:szCs w:val="20"/>
          <w:highlight w:val="none"/>
        </w:rPr>
        <w:t>书。</w:t>
      </w:r>
    </w:p>
    <w:p w14:paraId="083B7117">
      <w:pPr>
        <w:spacing w:line="227" w:lineRule="auto"/>
        <w:rPr>
          <w:rFonts w:ascii="宋体" w:hAnsi="宋体" w:eastAsia="宋体" w:cs="宋体"/>
          <w:color w:val="auto"/>
          <w:sz w:val="20"/>
          <w:szCs w:val="20"/>
          <w:highlight w:val="none"/>
        </w:rPr>
        <w:sectPr>
          <w:footerReference r:id="rId45" w:type="default"/>
          <w:pgSz w:w="11906" w:h="16839"/>
          <w:pgMar w:top="1431" w:right="1418" w:bottom="1297" w:left="1316" w:header="0" w:footer="1067" w:gutter="0"/>
          <w:pgNumType w:fmt="decimal"/>
          <w:cols w:space="720" w:num="1"/>
        </w:sectPr>
      </w:pPr>
    </w:p>
    <w:p w14:paraId="741CD7C2">
      <w:pPr>
        <w:spacing w:before="60" w:line="219" w:lineRule="auto"/>
        <w:ind w:left="2669"/>
        <w:outlineLvl w:val="1"/>
        <w:rPr>
          <w:rFonts w:ascii="宋体" w:hAnsi="宋体" w:eastAsia="宋体" w:cs="宋体"/>
          <w:color w:val="auto"/>
          <w:sz w:val="30"/>
          <w:szCs w:val="30"/>
          <w:highlight w:val="none"/>
        </w:rPr>
      </w:pPr>
      <w:bookmarkStart w:id="787" w:name="_Toc12748"/>
      <w:bookmarkStart w:id="788" w:name="_Toc3163"/>
      <w:bookmarkStart w:id="789" w:name="_Toc7818"/>
      <w:bookmarkStart w:id="790" w:name="_Toc3375"/>
      <w:bookmarkStart w:id="791" w:name="_Toc5490"/>
      <w:bookmarkStart w:id="792" w:name="_Toc17150"/>
      <w:bookmarkStart w:id="793" w:name="_Toc21914"/>
      <w:r>
        <w:rPr>
          <w:rFonts w:ascii="宋体" w:hAnsi="宋体" w:eastAsia="宋体" w:cs="宋体"/>
          <w:b/>
          <w:bCs/>
          <w:color w:val="auto"/>
          <w:spacing w:val="-4"/>
          <w:sz w:val="30"/>
          <w:szCs w:val="30"/>
          <w:highlight w:val="none"/>
        </w:rPr>
        <w:t>（二）</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法定代表人身份证明</w:t>
      </w:r>
      <w:bookmarkEnd w:id="787"/>
      <w:bookmarkEnd w:id="788"/>
      <w:bookmarkEnd w:id="789"/>
      <w:bookmarkEnd w:id="790"/>
      <w:bookmarkEnd w:id="791"/>
      <w:bookmarkEnd w:id="792"/>
      <w:bookmarkEnd w:id="793"/>
    </w:p>
    <w:p w14:paraId="2B58A3CE">
      <w:pPr>
        <w:spacing w:line="342" w:lineRule="auto"/>
        <w:rPr>
          <w:rFonts w:ascii="Arial"/>
          <w:color w:val="auto"/>
          <w:sz w:val="21"/>
          <w:highlight w:val="none"/>
        </w:rPr>
      </w:pPr>
    </w:p>
    <w:p w14:paraId="06F79E74">
      <w:pPr>
        <w:spacing w:line="343" w:lineRule="auto"/>
        <w:rPr>
          <w:rFonts w:ascii="Arial"/>
          <w:color w:val="auto"/>
          <w:sz w:val="21"/>
          <w:highlight w:val="none"/>
        </w:rPr>
      </w:pPr>
    </w:p>
    <w:p w14:paraId="692D35AC">
      <w:pPr>
        <w:spacing w:before="78" w:line="220" w:lineRule="auto"/>
        <w:ind w:left="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78C83299">
      <w:pPr>
        <w:spacing w:before="155" w:line="338" w:lineRule="auto"/>
        <w:ind w:left="4" w:right="184" w:hanging="4"/>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r>
        <w:rPr>
          <w:rFonts w:ascii="宋体" w:hAnsi="宋体" w:eastAsia="宋体" w:cs="宋体"/>
          <w:color w:val="auto"/>
          <w:spacing w:val="-11"/>
          <w:sz w:val="24"/>
          <w:szCs w:val="24"/>
          <w:highlight w:val="none"/>
        </w:rPr>
        <w:t>：</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1"/>
          <w:sz w:val="24"/>
          <w:szCs w:val="24"/>
          <w:highlight w:val="none"/>
          <w:u w:val="single" w:color="auto"/>
        </w:rPr>
        <w:t>（</w:t>
      </w:r>
      <w:r>
        <w:rPr>
          <w:rFonts w:ascii="宋体" w:hAnsi="宋体" w:eastAsia="宋体" w:cs="宋体"/>
          <w:color w:val="auto"/>
          <w:sz w:val="24"/>
          <w:szCs w:val="24"/>
          <w:highlight w:val="none"/>
          <w:u w:val="single" w:color="auto"/>
        </w:rPr>
        <w:t>法定代表人签字）</w:t>
      </w:r>
      <w:r>
        <w:rPr>
          <w:rFonts w:ascii="宋体" w:hAnsi="宋体" w:eastAsia="宋体" w:cs="宋体"/>
          <w:color w:val="auto"/>
          <w:sz w:val="24"/>
          <w:szCs w:val="24"/>
          <w:highlight w:val="none"/>
        </w:rPr>
        <w:t>性别：</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 xml:space="preserve"> 年龄：</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职务：</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系</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（投标人名称）</w:t>
      </w:r>
      <w:r>
        <w:rPr>
          <w:rFonts w:ascii="宋体" w:hAnsi="宋体" w:eastAsia="宋体" w:cs="宋体"/>
          <w:color w:val="auto"/>
          <w:spacing w:val="-1"/>
          <w:sz w:val="24"/>
          <w:szCs w:val="24"/>
          <w:highlight w:val="none"/>
        </w:rPr>
        <w:t>的法定代表人。</w:t>
      </w:r>
    </w:p>
    <w:p w14:paraId="5CB8A222">
      <w:pPr>
        <w:spacing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7412C3AA">
      <w:pPr>
        <w:spacing w:line="276" w:lineRule="auto"/>
        <w:rPr>
          <w:rFonts w:ascii="Arial"/>
          <w:color w:val="auto"/>
          <w:sz w:val="21"/>
          <w:highlight w:val="none"/>
        </w:rPr>
      </w:pPr>
    </w:p>
    <w:p w14:paraId="7AFA5299">
      <w:pPr>
        <w:spacing w:line="277" w:lineRule="auto"/>
        <w:rPr>
          <w:rFonts w:ascii="Arial"/>
          <w:color w:val="auto"/>
          <w:sz w:val="21"/>
          <w:highlight w:val="none"/>
        </w:rPr>
      </w:pPr>
    </w:p>
    <w:p w14:paraId="541DA340">
      <w:pPr>
        <w:spacing w:before="65" w:line="227" w:lineRule="auto"/>
        <w:ind w:left="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附：法定代表人身份证扫描件。</w:t>
      </w:r>
    </w:p>
    <w:p w14:paraId="45DF5553">
      <w:pPr>
        <w:spacing w:line="279" w:lineRule="auto"/>
        <w:rPr>
          <w:rFonts w:ascii="Arial"/>
          <w:color w:val="auto"/>
          <w:sz w:val="21"/>
          <w:highlight w:val="none"/>
        </w:rPr>
      </w:pPr>
    </w:p>
    <w:p w14:paraId="1FFE6817">
      <w:pPr>
        <w:spacing w:line="280" w:lineRule="auto"/>
        <w:rPr>
          <w:rFonts w:ascii="Arial"/>
          <w:color w:val="auto"/>
          <w:sz w:val="21"/>
          <w:highlight w:val="none"/>
        </w:rPr>
      </w:pPr>
    </w:p>
    <w:p w14:paraId="4C748479">
      <w:pPr>
        <w:spacing w:line="280" w:lineRule="auto"/>
        <w:rPr>
          <w:rFonts w:ascii="Arial"/>
          <w:color w:val="auto"/>
          <w:sz w:val="21"/>
          <w:highlight w:val="none"/>
        </w:rPr>
      </w:pPr>
    </w:p>
    <w:p w14:paraId="5D3D85DB">
      <w:pPr>
        <w:spacing w:line="280" w:lineRule="auto"/>
        <w:rPr>
          <w:rFonts w:ascii="Arial"/>
          <w:color w:val="auto"/>
          <w:sz w:val="21"/>
          <w:highlight w:val="none"/>
        </w:rPr>
      </w:pPr>
    </w:p>
    <w:p w14:paraId="360A9AFB">
      <w:pPr>
        <w:spacing w:line="280" w:lineRule="auto"/>
        <w:rPr>
          <w:rFonts w:ascii="Arial"/>
          <w:color w:val="auto"/>
          <w:sz w:val="21"/>
          <w:highlight w:val="none"/>
        </w:rPr>
      </w:pPr>
    </w:p>
    <w:p w14:paraId="6E7EB92C">
      <w:pPr>
        <w:tabs>
          <w:tab w:val="left" w:pos="5390"/>
        </w:tabs>
        <w:spacing w:before="79" w:line="342" w:lineRule="auto"/>
        <w:ind w:left="4309" w:right="1164" w:hanging="1187"/>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1"/>
          <w:sz w:val="24"/>
          <w:szCs w:val="24"/>
          <w:highlight w:val="none"/>
        </w:rPr>
        <w:t xml:space="preserve"> </w:t>
      </w:r>
      <w:r>
        <w:rPr>
          <w:rFonts w:ascii="宋体" w:hAnsi="宋体" w:eastAsia="宋体" w:cs="宋体"/>
          <w:color w:val="auto"/>
          <w:spacing w:val="-9"/>
          <w:sz w:val="24"/>
          <w:szCs w:val="24"/>
          <w:highlight w:val="none"/>
        </w:rPr>
        <w:t>日</w:t>
      </w:r>
    </w:p>
    <w:p w14:paraId="5A7FE784">
      <w:pPr>
        <w:spacing w:line="241" w:lineRule="auto"/>
        <w:rPr>
          <w:rFonts w:ascii="Arial"/>
          <w:color w:val="auto"/>
          <w:sz w:val="21"/>
          <w:highlight w:val="none"/>
        </w:rPr>
      </w:pPr>
    </w:p>
    <w:p w14:paraId="67AA0163">
      <w:pPr>
        <w:spacing w:line="241" w:lineRule="auto"/>
        <w:rPr>
          <w:rFonts w:ascii="Arial"/>
          <w:color w:val="auto"/>
          <w:sz w:val="21"/>
          <w:highlight w:val="none"/>
        </w:rPr>
      </w:pPr>
    </w:p>
    <w:p w14:paraId="68084F41">
      <w:pPr>
        <w:spacing w:line="241" w:lineRule="auto"/>
        <w:rPr>
          <w:rFonts w:ascii="Arial"/>
          <w:color w:val="auto"/>
          <w:sz w:val="21"/>
          <w:highlight w:val="none"/>
        </w:rPr>
      </w:pPr>
    </w:p>
    <w:p w14:paraId="3B3DEF47">
      <w:pPr>
        <w:spacing w:line="241" w:lineRule="auto"/>
        <w:rPr>
          <w:rFonts w:ascii="Arial"/>
          <w:color w:val="auto"/>
          <w:sz w:val="21"/>
          <w:highlight w:val="none"/>
        </w:rPr>
      </w:pPr>
    </w:p>
    <w:p w14:paraId="0C01D7EF">
      <w:pPr>
        <w:spacing w:line="241" w:lineRule="auto"/>
        <w:rPr>
          <w:rFonts w:ascii="Arial"/>
          <w:color w:val="auto"/>
          <w:sz w:val="21"/>
          <w:highlight w:val="none"/>
        </w:rPr>
      </w:pPr>
    </w:p>
    <w:p w14:paraId="64702F33">
      <w:pPr>
        <w:spacing w:line="241" w:lineRule="auto"/>
        <w:rPr>
          <w:rFonts w:ascii="Arial"/>
          <w:color w:val="auto"/>
          <w:sz w:val="21"/>
          <w:highlight w:val="none"/>
        </w:rPr>
      </w:pPr>
    </w:p>
    <w:p w14:paraId="342BC73C">
      <w:pPr>
        <w:spacing w:line="241" w:lineRule="auto"/>
        <w:rPr>
          <w:rFonts w:ascii="Arial"/>
          <w:color w:val="auto"/>
          <w:sz w:val="21"/>
          <w:highlight w:val="none"/>
        </w:rPr>
      </w:pPr>
    </w:p>
    <w:p w14:paraId="44E97441">
      <w:pPr>
        <w:spacing w:before="65" w:line="228" w:lineRule="auto"/>
        <w:ind w:left="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注：法定代表人必须在法定代表人身份证明上签名。</w:t>
      </w:r>
    </w:p>
    <w:p w14:paraId="328D5D4D">
      <w:pPr>
        <w:spacing w:line="228" w:lineRule="auto"/>
        <w:rPr>
          <w:rFonts w:ascii="宋体" w:hAnsi="宋体" w:eastAsia="宋体" w:cs="宋体"/>
          <w:color w:val="auto"/>
          <w:sz w:val="20"/>
          <w:szCs w:val="20"/>
          <w:highlight w:val="none"/>
        </w:rPr>
        <w:sectPr>
          <w:footerReference r:id="rId46" w:type="default"/>
          <w:pgSz w:w="11906" w:h="16839"/>
          <w:pgMar w:top="1401" w:right="1785" w:bottom="1297" w:left="1425" w:header="0" w:footer="1067" w:gutter="0"/>
          <w:pgNumType w:fmt="decimal"/>
          <w:cols w:space="720" w:num="1"/>
        </w:sectPr>
      </w:pPr>
    </w:p>
    <w:p w14:paraId="73611F6D">
      <w:pPr>
        <w:spacing w:before="163" w:line="219" w:lineRule="auto"/>
        <w:ind w:left="357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三、联合体协议书</w:t>
      </w:r>
    </w:p>
    <w:p w14:paraId="22A5C184">
      <w:pPr>
        <w:spacing w:line="253" w:lineRule="auto"/>
        <w:rPr>
          <w:rFonts w:ascii="Arial"/>
          <w:color w:val="auto"/>
          <w:sz w:val="21"/>
          <w:highlight w:val="none"/>
        </w:rPr>
      </w:pPr>
    </w:p>
    <w:p w14:paraId="5BBD59D7">
      <w:pPr>
        <w:spacing w:line="253" w:lineRule="auto"/>
        <w:rPr>
          <w:rFonts w:ascii="Arial"/>
          <w:color w:val="auto"/>
          <w:sz w:val="21"/>
          <w:highlight w:val="none"/>
        </w:rPr>
      </w:pPr>
    </w:p>
    <w:p w14:paraId="4B3AABFE">
      <w:pPr>
        <w:spacing w:line="253" w:lineRule="auto"/>
        <w:rPr>
          <w:rFonts w:ascii="Arial"/>
          <w:color w:val="auto"/>
          <w:sz w:val="21"/>
          <w:highlight w:val="none"/>
        </w:rPr>
      </w:pPr>
    </w:p>
    <w:p w14:paraId="31FB8C54">
      <w:pPr>
        <w:tabs>
          <w:tab w:val="left" w:pos="2406"/>
        </w:tabs>
        <w:spacing w:before="78" w:line="308" w:lineRule="auto"/>
        <w:ind w:firstLine="351"/>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7"/>
          <w:sz w:val="24"/>
          <w:szCs w:val="24"/>
          <w:highlight w:val="none"/>
          <w:u w:val="single" w:color="auto"/>
        </w:rPr>
        <w:t>（所有成员单位名称）</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7"/>
          <w:sz w:val="24"/>
          <w:szCs w:val="24"/>
          <w:highlight w:val="none"/>
        </w:rPr>
        <w:t>自愿组成</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
          <w:sz w:val="24"/>
          <w:szCs w:val="24"/>
          <w:highlight w:val="none"/>
          <w:u w:val="single" w:color="auto"/>
        </w:rPr>
        <w:t xml:space="preserve">  （联合体名称）</w:t>
      </w:r>
      <w:r>
        <w:rPr>
          <w:rFonts w:ascii="宋体" w:hAnsi="宋体" w:eastAsia="宋体" w:cs="宋体"/>
          <w:color w:val="auto"/>
          <w:spacing w:val="-8"/>
          <w:sz w:val="24"/>
          <w:szCs w:val="24"/>
          <w:highlight w:val="none"/>
        </w:rPr>
        <w:t>联合体，</w:t>
      </w:r>
      <w:r>
        <w:rPr>
          <w:rFonts w:ascii="宋体" w:hAnsi="宋体" w:eastAsia="宋体" w:cs="宋体"/>
          <w:color w:val="auto"/>
          <w:spacing w:val="4"/>
          <w:sz w:val="24"/>
          <w:szCs w:val="24"/>
          <w:highlight w:val="none"/>
        </w:rPr>
        <w:t>共同参加</w:t>
      </w:r>
      <w:r>
        <w:rPr>
          <w:rFonts w:ascii="宋体" w:hAnsi="宋体" w:eastAsia="宋体" w:cs="宋体"/>
          <w:color w:val="auto"/>
          <w:spacing w:val="4"/>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4"/>
          <w:sz w:val="24"/>
          <w:szCs w:val="24"/>
          <w:highlight w:val="none"/>
        </w:rPr>
        <w:t>标段施工监理投标。现就联合体投标</w:t>
      </w:r>
      <w:r>
        <w:rPr>
          <w:rFonts w:ascii="宋体" w:hAnsi="宋体" w:eastAsia="宋体" w:cs="宋体"/>
          <w:color w:val="auto"/>
          <w:spacing w:val="3"/>
          <w:sz w:val="24"/>
          <w:szCs w:val="24"/>
          <w:highlight w:val="none"/>
        </w:rPr>
        <w:t>事宜订立</w:t>
      </w:r>
      <w:r>
        <w:rPr>
          <w:rFonts w:ascii="宋体" w:hAnsi="宋体" w:eastAsia="宋体" w:cs="宋体"/>
          <w:color w:val="auto"/>
          <w:spacing w:val="-2"/>
          <w:sz w:val="24"/>
          <w:szCs w:val="24"/>
          <w:highlight w:val="none"/>
        </w:rPr>
        <w:t>如下协议。</w:t>
      </w:r>
    </w:p>
    <w:p w14:paraId="05271A24">
      <w:pPr>
        <w:spacing w:line="218" w:lineRule="auto"/>
        <w:ind w:left="4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pacing w:val="-1"/>
          <w:sz w:val="24"/>
          <w:szCs w:val="24"/>
          <w:highlight w:val="none"/>
          <w:u w:val="single" w:color="auto"/>
        </w:rPr>
        <w:t xml:space="preserve">          （某成员单位名称）</w:t>
      </w:r>
      <w:r>
        <w:rPr>
          <w:rFonts w:ascii="宋体" w:hAnsi="宋体" w:eastAsia="宋体" w:cs="宋体"/>
          <w:color w:val="auto"/>
          <w:spacing w:val="-1"/>
          <w:sz w:val="24"/>
          <w:szCs w:val="24"/>
          <w:highlight w:val="none"/>
        </w:rPr>
        <w:t>为</w:t>
      </w:r>
      <w:r>
        <w:rPr>
          <w:rFonts w:ascii="宋体" w:hAnsi="宋体" w:eastAsia="宋体" w:cs="宋体"/>
          <w:color w:val="auto"/>
          <w:spacing w:val="-1"/>
          <w:sz w:val="24"/>
          <w:szCs w:val="24"/>
          <w:highlight w:val="none"/>
          <w:u w:val="single" w:color="auto"/>
        </w:rPr>
        <w:t xml:space="preserve">        （联合体名称）</w:t>
      </w:r>
      <w:r>
        <w:rPr>
          <w:rFonts w:ascii="宋体" w:hAnsi="宋体" w:eastAsia="宋体" w:cs="宋体"/>
          <w:color w:val="auto"/>
          <w:spacing w:val="-1"/>
          <w:sz w:val="24"/>
          <w:szCs w:val="24"/>
          <w:highlight w:val="none"/>
        </w:rPr>
        <w:t>牵头人。</w:t>
      </w:r>
    </w:p>
    <w:p w14:paraId="04CD3930">
      <w:pPr>
        <w:spacing w:before="115" w:line="278" w:lineRule="auto"/>
        <w:ind w:right="109" w:firstLine="3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2.联合体各成员授权牵头人代表联合体参加投标活动，签署</w:t>
      </w:r>
      <w:r>
        <w:rPr>
          <w:rFonts w:ascii="宋体" w:hAnsi="宋体" w:eastAsia="宋体" w:cs="宋体"/>
          <w:color w:val="auto"/>
          <w:sz w:val="24"/>
          <w:szCs w:val="24"/>
          <w:highlight w:val="none"/>
        </w:rPr>
        <w:t>文件，提交和接收相关</w:t>
      </w:r>
      <w:r>
        <w:rPr>
          <w:rFonts w:ascii="宋体" w:hAnsi="宋体" w:eastAsia="宋体" w:cs="宋体"/>
          <w:color w:val="auto"/>
          <w:spacing w:val="5"/>
          <w:sz w:val="24"/>
          <w:szCs w:val="24"/>
          <w:highlight w:val="none"/>
        </w:rPr>
        <w:t>的资料、信息及指示，进行合同谈判活动，负责合同实施阶段的组织和协调工</w:t>
      </w:r>
      <w:r>
        <w:rPr>
          <w:rFonts w:ascii="宋体" w:hAnsi="宋体" w:eastAsia="宋体" w:cs="宋体"/>
          <w:color w:val="auto"/>
          <w:spacing w:val="4"/>
          <w:sz w:val="24"/>
          <w:szCs w:val="24"/>
          <w:highlight w:val="none"/>
        </w:rPr>
        <w:t>作，以</w:t>
      </w:r>
      <w:r>
        <w:rPr>
          <w:rFonts w:ascii="宋体" w:hAnsi="宋体" w:eastAsia="宋体" w:cs="宋体"/>
          <w:color w:val="auto"/>
          <w:spacing w:val="-1"/>
          <w:sz w:val="24"/>
          <w:szCs w:val="24"/>
          <w:highlight w:val="none"/>
        </w:rPr>
        <w:t>及处理与本招标项目有关的一切事宜。</w:t>
      </w:r>
    </w:p>
    <w:p w14:paraId="561D2F17">
      <w:pPr>
        <w:spacing w:before="113" w:line="279" w:lineRule="auto"/>
        <w:ind w:left="6" w:right="109" w:firstLine="3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3.联合体牵头人在本项目中签署的一切文件和处理的一</w:t>
      </w:r>
      <w:r>
        <w:rPr>
          <w:rFonts w:ascii="宋体" w:hAnsi="宋体" w:eastAsia="宋体" w:cs="宋体"/>
          <w:color w:val="auto"/>
          <w:sz w:val="24"/>
          <w:szCs w:val="24"/>
          <w:highlight w:val="none"/>
        </w:rPr>
        <w:t>切事宜，联合体各成员均予</w:t>
      </w:r>
      <w:r>
        <w:rPr>
          <w:rFonts w:ascii="宋体" w:hAnsi="宋体" w:eastAsia="宋体" w:cs="宋体"/>
          <w:color w:val="auto"/>
          <w:spacing w:val="5"/>
          <w:sz w:val="24"/>
          <w:szCs w:val="24"/>
          <w:highlight w:val="none"/>
        </w:rPr>
        <w:t>以承认。联合体各成员将严格按照招标文件、投标文件和合同</w:t>
      </w:r>
      <w:r>
        <w:rPr>
          <w:rFonts w:ascii="宋体" w:hAnsi="宋体" w:eastAsia="宋体" w:cs="宋体"/>
          <w:color w:val="auto"/>
          <w:spacing w:val="4"/>
          <w:sz w:val="24"/>
          <w:szCs w:val="24"/>
          <w:highlight w:val="none"/>
        </w:rPr>
        <w:t>的要求全面履行义务，</w:t>
      </w:r>
      <w:r>
        <w:rPr>
          <w:rFonts w:ascii="宋体" w:hAnsi="宋体" w:eastAsia="宋体" w:cs="宋体"/>
          <w:color w:val="auto"/>
          <w:spacing w:val="-2"/>
          <w:sz w:val="24"/>
          <w:szCs w:val="24"/>
          <w:highlight w:val="none"/>
        </w:rPr>
        <w:t>并向招标人承担连带责任。</w:t>
      </w:r>
    </w:p>
    <w:p w14:paraId="40BC4D6D">
      <w:pPr>
        <w:spacing w:before="115" w:line="279" w:lineRule="auto"/>
        <w:ind w:right="107"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4.联合体各成员单位内部的职责分工如下</w:t>
      </w:r>
      <w:r>
        <w:rPr>
          <w:rFonts w:ascii="宋体" w:hAnsi="宋体" w:eastAsia="宋体" w:cs="宋体"/>
          <w:color w:val="auto"/>
          <w:spacing w:val="-13"/>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2"/>
          <w:sz w:val="24"/>
          <w:szCs w:val="24"/>
          <w:highlight w:val="none"/>
          <w:u w:val="single" w:color="auto"/>
        </w:rPr>
        <w:t>牵头人名称）</w:t>
      </w:r>
      <w:r>
        <w:rPr>
          <w:rFonts w:ascii="宋体" w:hAnsi="宋体" w:eastAsia="宋体" w:cs="宋体"/>
          <w:color w:val="auto"/>
          <w:spacing w:val="2"/>
          <w:sz w:val="24"/>
          <w:szCs w:val="24"/>
          <w:highlight w:val="none"/>
        </w:rPr>
        <w:t>承担</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专业工</w:t>
      </w:r>
      <w:r>
        <w:rPr>
          <w:rFonts w:ascii="宋体" w:hAnsi="宋体" w:eastAsia="宋体" w:cs="宋体"/>
          <w:color w:val="auto"/>
          <w:spacing w:val="9"/>
          <w:sz w:val="24"/>
          <w:szCs w:val="24"/>
          <w:highlight w:val="none"/>
        </w:rPr>
        <w:t>程</w:t>
      </w:r>
      <w:r>
        <w:rPr>
          <w:rFonts w:ascii="宋体" w:hAnsi="宋体" w:eastAsia="宋体" w:cs="宋体"/>
          <w:color w:val="auto"/>
          <w:spacing w:val="-71"/>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52"/>
          <w:sz w:val="24"/>
          <w:szCs w:val="24"/>
          <w:highlight w:val="none"/>
        </w:rPr>
        <w:t xml:space="preserve"> </w:t>
      </w:r>
      <w:r>
        <w:rPr>
          <w:rFonts w:ascii="宋体" w:hAnsi="宋体" w:eastAsia="宋体" w:cs="宋体"/>
          <w:color w:val="auto"/>
          <w:spacing w:val="9"/>
          <w:sz w:val="24"/>
          <w:szCs w:val="24"/>
          <w:highlight w:val="none"/>
        </w:rPr>
        <w:t>占总工程量的</w:t>
      </w:r>
      <w:r>
        <w:rPr>
          <w:rFonts w:ascii="宋体" w:hAnsi="宋体" w:eastAsia="宋体" w:cs="宋体"/>
          <w:color w:val="auto"/>
          <w:spacing w:val="-101"/>
          <w:sz w:val="24"/>
          <w:szCs w:val="24"/>
          <w:highlight w:val="none"/>
        </w:rPr>
        <w:t xml:space="preserve"> </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17"/>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71"/>
          <w:sz w:val="24"/>
          <w:szCs w:val="24"/>
          <w:highlight w:val="none"/>
        </w:rPr>
        <w:t xml:space="preserve"> </w:t>
      </w:r>
      <w:r>
        <w:rPr>
          <w:rFonts w:ascii="宋体" w:hAnsi="宋体" w:eastAsia="宋体" w:cs="宋体"/>
          <w:color w:val="auto"/>
          <w:spacing w:val="-19"/>
          <w:sz w:val="24"/>
          <w:szCs w:val="24"/>
          <w:highlight w:val="none"/>
        </w:rPr>
        <w:t>；</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9"/>
          <w:sz w:val="24"/>
          <w:szCs w:val="24"/>
          <w:highlight w:val="none"/>
          <w:u w:val="single" w:color="auto"/>
        </w:rPr>
        <w:t>（</w:t>
      </w:r>
      <w:r>
        <w:rPr>
          <w:rFonts w:ascii="宋体" w:hAnsi="宋体" w:eastAsia="宋体" w:cs="宋体"/>
          <w:color w:val="auto"/>
          <w:spacing w:val="9"/>
          <w:sz w:val="24"/>
          <w:szCs w:val="24"/>
          <w:highlight w:val="none"/>
          <w:u w:val="single" w:color="auto"/>
        </w:rPr>
        <w:t>成员一名称）</w:t>
      </w:r>
      <w:r>
        <w:rPr>
          <w:rFonts w:ascii="宋体" w:hAnsi="宋体" w:eastAsia="宋体" w:cs="宋体"/>
          <w:color w:val="auto"/>
          <w:spacing w:val="9"/>
          <w:sz w:val="24"/>
          <w:szCs w:val="24"/>
          <w:highlight w:val="none"/>
        </w:rPr>
        <w:t>承担</w:t>
      </w:r>
      <w:r>
        <w:rPr>
          <w:rFonts w:ascii="宋体" w:hAnsi="宋体" w:eastAsia="宋体" w:cs="宋体"/>
          <w:color w:val="auto"/>
          <w:spacing w:val="-97"/>
          <w:sz w:val="24"/>
          <w:szCs w:val="24"/>
          <w:highlight w:val="none"/>
        </w:rPr>
        <w:t xml:space="preserve"> </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9"/>
          <w:sz w:val="24"/>
          <w:szCs w:val="24"/>
          <w:highlight w:val="none"/>
        </w:rPr>
        <w:t>专业工程</w:t>
      </w:r>
      <w:r>
        <w:rPr>
          <w:rFonts w:ascii="宋体" w:hAnsi="宋体" w:eastAsia="宋体" w:cs="宋体"/>
          <w:color w:val="auto"/>
          <w:spacing w:val="-72"/>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52"/>
          <w:sz w:val="24"/>
          <w:szCs w:val="24"/>
          <w:highlight w:val="none"/>
        </w:rPr>
        <w:t xml:space="preserve"> </w:t>
      </w:r>
      <w:r>
        <w:rPr>
          <w:rFonts w:ascii="宋体" w:hAnsi="宋体" w:eastAsia="宋体" w:cs="宋体"/>
          <w:color w:val="auto"/>
          <w:spacing w:val="9"/>
          <w:sz w:val="24"/>
          <w:szCs w:val="24"/>
          <w:highlight w:val="none"/>
        </w:rPr>
        <w:t>占总工程量</w:t>
      </w:r>
      <w:r>
        <w:rPr>
          <w:rFonts w:ascii="宋体" w:hAnsi="宋体" w:eastAsia="宋体" w:cs="宋体"/>
          <w:color w:val="auto"/>
          <w:spacing w:val="-1"/>
          <w:sz w:val="24"/>
          <w:szCs w:val="24"/>
          <w:highlight w:val="none"/>
        </w:rPr>
        <w:t>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934B9D8">
      <w:pPr>
        <w:spacing w:before="110" w:line="264" w:lineRule="auto"/>
        <w:ind w:right="109"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5.投标工作和联合体在中标后工程实施过程中的有关费用按各自承担的</w:t>
      </w:r>
      <w:r>
        <w:rPr>
          <w:rFonts w:ascii="宋体" w:hAnsi="宋体" w:eastAsia="宋体" w:cs="宋体"/>
          <w:color w:val="auto"/>
          <w:spacing w:val="4"/>
          <w:sz w:val="24"/>
          <w:szCs w:val="24"/>
          <w:highlight w:val="none"/>
        </w:rPr>
        <w:t>工作量分</w:t>
      </w:r>
      <w:r>
        <w:rPr>
          <w:rFonts w:ascii="宋体" w:hAnsi="宋体" w:eastAsia="宋体" w:cs="宋体"/>
          <w:color w:val="auto"/>
          <w:spacing w:val="-5"/>
          <w:sz w:val="24"/>
          <w:szCs w:val="24"/>
          <w:highlight w:val="none"/>
        </w:rPr>
        <w:t>摊。</w:t>
      </w:r>
    </w:p>
    <w:p w14:paraId="3724E790">
      <w:pPr>
        <w:spacing w:before="115" w:line="263" w:lineRule="auto"/>
        <w:ind w:left="5" w:right="109" w:firstLine="47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6.本协议书自所有成员单位法定代表人签字或盖单位章之日起生效，合同履行完</w:t>
      </w:r>
      <w:r>
        <w:rPr>
          <w:rFonts w:ascii="宋体" w:hAnsi="宋体" w:eastAsia="宋体" w:cs="宋体"/>
          <w:color w:val="auto"/>
          <w:spacing w:val="-3"/>
          <w:sz w:val="24"/>
          <w:szCs w:val="24"/>
          <w:highlight w:val="none"/>
        </w:rPr>
        <w:t>毕后自动失效。</w:t>
      </w:r>
    </w:p>
    <w:p w14:paraId="58F1C1E4">
      <w:pPr>
        <w:spacing w:before="115"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7.本协议书一式</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份，联合体成员和招标人各执一份。</w:t>
      </w:r>
    </w:p>
    <w:p w14:paraId="3EE9F521">
      <w:pPr>
        <w:spacing w:line="433" w:lineRule="auto"/>
        <w:rPr>
          <w:rFonts w:ascii="Arial"/>
          <w:color w:val="auto"/>
          <w:sz w:val="21"/>
          <w:highlight w:val="none"/>
        </w:rPr>
      </w:pPr>
    </w:p>
    <w:p w14:paraId="73C5FCE2">
      <w:pPr>
        <w:spacing w:before="79" w:line="219" w:lineRule="auto"/>
        <w:ind w:left="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联合体牵头人名称</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盖单位章）</w:t>
      </w:r>
    </w:p>
    <w:p w14:paraId="0724FE42">
      <w:pPr>
        <w:spacing w:before="117" w:line="219" w:lineRule="auto"/>
        <w:ind w:left="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150757D3">
      <w:pPr>
        <w:spacing w:line="432" w:lineRule="auto"/>
        <w:rPr>
          <w:rFonts w:ascii="Arial"/>
          <w:color w:val="auto"/>
          <w:sz w:val="21"/>
          <w:highlight w:val="none"/>
        </w:rPr>
      </w:pPr>
    </w:p>
    <w:p w14:paraId="35E1855E">
      <w:pPr>
        <w:spacing w:before="79" w:line="219" w:lineRule="auto"/>
        <w:ind w:left="4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联合体成员名称</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2"/>
          <w:sz w:val="24"/>
          <w:szCs w:val="24"/>
          <w:highlight w:val="none"/>
        </w:rPr>
        <w:t>盖单位章）</w:t>
      </w:r>
    </w:p>
    <w:p w14:paraId="070218DC">
      <w:pPr>
        <w:spacing w:before="117" w:line="219" w:lineRule="auto"/>
        <w:ind w:left="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105F947A">
      <w:pPr>
        <w:spacing w:before="225"/>
        <w:rPr>
          <w:color w:val="auto"/>
          <w:highlight w:val="none"/>
        </w:rPr>
      </w:pPr>
    </w:p>
    <w:p w14:paraId="16D4F1F0">
      <w:pPr>
        <w:rPr>
          <w:color w:val="auto"/>
          <w:highlight w:val="none"/>
        </w:rPr>
        <w:sectPr>
          <w:footerReference r:id="rId47" w:type="default"/>
          <w:pgSz w:w="11906" w:h="16839"/>
          <w:pgMar w:top="1431" w:right="1308" w:bottom="1297" w:left="1424" w:header="0" w:footer="1067" w:gutter="0"/>
          <w:pgNumType w:fmt="decimal"/>
          <w:cols w:equalWidth="0" w:num="1">
            <w:col w:w="9174"/>
          </w:cols>
        </w:sectPr>
      </w:pPr>
    </w:p>
    <w:p w14:paraId="0BED8268">
      <w:pPr>
        <w:spacing w:before="48" w:line="378" w:lineRule="exact"/>
        <w:ind w:left="49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762F945E">
      <w:pPr>
        <w:spacing w:line="14" w:lineRule="auto"/>
        <w:rPr>
          <w:rFonts w:ascii="Arial"/>
          <w:color w:val="auto"/>
          <w:sz w:val="2"/>
          <w:highlight w:val="none"/>
        </w:rPr>
      </w:pPr>
      <w:r>
        <w:rPr>
          <w:rFonts w:ascii="Arial" w:hAnsi="Arial" w:eastAsia="Arial" w:cs="Arial"/>
          <w:color w:val="auto"/>
          <w:sz w:val="2"/>
          <w:szCs w:val="2"/>
          <w:highlight w:val="none"/>
        </w:rPr>
        <w:br w:type="column"/>
      </w:r>
    </w:p>
    <w:p w14:paraId="710ECF92">
      <w:pPr>
        <w:spacing w:line="367" w:lineRule="auto"/>
        <w:rPr>
          <w:rFonts w:ascii="Arial"/>
          <w:color w:val="auto"/>
          <w:sz w:val="21"/>
          <w:highlight w:val="none"/>
        </w:rPr>
      </w:pPr>
    </w:p>
    <w:p w14:paraId="6F373D16">
      <w:pPr>
        <w:tabs>
          <w:tab w:val="left" w:pos="840"/>
        </w:tabs>
        <w:spacing w:before="78" w:line="184" w:lineRule="auto"/>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bookmarkStart w:id="794" w:name="_Toc8840"/>
      <w:bookmarkStart w:id="795" w:name="_Toc6496"/>
      <w:bookmarkStart w:id="796" w:name="_Toc30473"/>
      <w:bookmarkStart w:id="797" w:name="_Toc24344"/>
      <w:bookmarkStart w:id="798" w:name="_Toc23611"/>
      <w:bookmarkStart w:id="799" w:name="_Toc32529"/>
      <w:bookmarkStart w:id="800" w:name="_Toc31102"/>
      <w:r>
        <w:rPr>
          <w:rFonts w:ascii="宋体" w:hAnsi="宋体" w:eastAsia="宋体" w:cs="宋体"/>
          <w:color w:val="auto"/>
          <w:spacing w:val="-7"/>
          <w:sz w:val="24"/>
          <w:szCs w:val="24"/>
          <w:highlight w:val="none"/>
        </w:rPr>
        <w:t xml:space="preserve">年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7"/>
          <w:sz w:val="24"/>
          <w:szCs w:val="24"/>
          <w:highlight w:val="none"/>
        </w:rPr>
        <w:t>日</w:t>
      </w:r>
      <w:bookmarkEnd w:id="794"/>
      <w:bookmarkEnd w:id="795"/>
      <w:bookmarkEnd w:id="796"/>
      <w:bookmarkEnd w:id="797"/>
      <w:bookmarkEnd w:id="798"/>
      <w:bookmarkEnd w:id="799"/>
      <w:bookmarkEnd w:id="800"/>
    </w:p>
    <w:p w14:paraId="5748F2B2">
      <w:pPr>
        <w:spacing w:line="184" w:lineRule="auto"/>
        <w:rPr>
          <w:rFonts w:ascii="宋体" w:hAnsi="宋体" w:eastAsia="宋体" w:cs="宋体"/>
          <w:color w:val="auto"/>
          <w:sz w:val="24"/>
          <w:szCs w:val="24"/>
          <w:highlight w:val="none"/>
        </w:rPr>
        <w:sectPr>
          <w:type w:val="continuous"/>
          <w:pgSz w:w="11906" w:h="16839"/>
          <w:pgMar w:top="1431" w:right="1308" w:bottom="1297" w:left="1424" w:header="0" w:footer="1067" w:gutter="0"/>
          <w:pgNumType w:fmt="decimal"/>
          <w:cols w:equalWidth="0" w:num="2">
            <w:col w:w="6204" w:space="100"/>
            <w:col w:w="2870"/>
          </w:cols>
        </w:sectPr>
      </w:pPr>
    </w:p>
    <w:p w14:paraId="59725A4D">
      <w:pPr>
        <w:spacing w:before="163" w:line="220" w:lineRule="auto"/>
        <w:ind w:left="3725"/>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四、投标保证金</w:t>
      </w:r>
    </w:p>
    <w:p w14:paraId="1AA43557">
      <w:pPr>
        <w:spacing w:line="252" w:lineRule="auto"/>
        <w:rPr>
          <w:rFonts w:ascii="Arial"/>
          <w:color w:val="auto"/>
          <w:sz w:val="21"/>
          <w:highlight w:val="none"/>
        </w:rPr>
      </w:pPr>
    </w:p>
    <w:p w14:paraId="703DAC2A">
      <w:pPr>
        <w:spacing w:line="253" w:lineRule="auto"/>
        <w:rPr>
          <w:rFonts w:ascii="Arial"/>
          <w:color w:val="auto"/>
          <w:sz w:val="21"/>
          <w:highlight w:val="none"/>
        </w:rPr>
      </w:pPr>
    </w:p>
    <w:p w14:paraId="0B35BA32">
      <w:pPr>
        <w:spacing w:before="113" w:line="292" w:lineRule="auto"/>
        <w:ind w:left="14" w:right="2" w:firstLine="50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如采用银行转账，投标人应在此提供汇款凭证的复印件。</w:t>
      </w:r>
    </w:p>
    <w:p w14:paraId="7DA284F8">
      <w:pPr>
        <w:spacing w:before="113" w:line="292" w:lineRule="auto"/>
        <w:ind w:left="14" w:right="2" w:firstLine="50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如采用投标保证保险的，附电子保单打印件。</w:t>
      </w:r>
    </w:p>
    <w:p w14:paraId="4ADE8D4D">
      <w:pPr>
        <w:spacing w:before="113" w:line="292" w:lineRule="auto"/>
        <w:ind w:left="14" w:right="2" w:firstLine="507"/>
        <w:rPr>
          <w:rFonts w:ascii="宋体" w:hAnsi="宋体" w:eastAsia="宋体" w:cs="宋体"/>
          <w:color w:val="auto"/>
          <w:sz w:val="24"/>
          <w:szCs w:val="24"/>
          <w:highlight w:val="none"/>
        </w:rPr>
        <w:sectPr>
          <w:footerReference r:id="rId48" w:type="default"/>
          <w:pgSz w:w="11906" w:h="16839"/>
          <w:pgMar w:top="1431" w:right="1415" w:bottom="1297" w:left="1416" w:header="0" w:footer="1067" w:gutter="0"/>
          <w:pgNumType w:fmt="decimal"/>
          <w:cols w:equalWidth="0" w:num="1">
            <w:col w:w="9075"/>
          </w:cols>
        </w:sectPr>
      </w:pPr>
      <w:r>
        <w:rPr>
          <w:rFonts w:ascii="宋体" w:hAnsi="宋体" w:eastAsia="宋体" w:cs="宋体"/>
          <w:color w:val="auto"/>
          <w:spacing w:val="4"/>
          <w:sz w:val="24"/>
          <w:szCs w:val="24"/>
          <w:highlight w:val="none"/>
        </w:rPr>
        <w:t>如采用银行保函，投标人应在此提供银行保函复印件。</w:t>
      </w:r>
    </w:p>
    <w:p w14:paraId="02C26D61">
      <w:pPr>
        <w:spacing w:line="57" w:lineRule="exact"/>
        <w:rPr>
          <w:rFonts w:ascii="宋体" w:hAnsi="宋体" w:eastAsia="宋体" w:cs="宋体"/>
          <w:color w:val="auto"/>
          <w:sz w:val="4"/>
          <w:szCs w:val="4"/>
          <w:highlight w:val="none"/>
        </w:rPr>
        <w:sectPr>
          <w:type w:val="continuous"/>
          <w:pgSz w:w="11906" w:h="16839"/>
          <w:pgMar w:top="1431" w:right="1415" w:bottom="1297" w:left="1416" w:header="0" w:footer="1067" w:gutter="0"/>
          <w:pgNumType w:fmt="decimal"/>
          <w:cols w:equalWidth="0" w:num="2">
            <w:col w:w="1589" w:space="1"/>
            <w:col w:w="7484"/>
          </w:cols>
        </w:sectPr>
      </w:pPr>
    </w:p>
    <w:p w14:paraId="6F180D91">
      <w:pPr>
        <w:spacing w:line="282" w:lineRule="auto"/>
        <w:rPr>
          <w:rFonts w:ascii="Arial"/>
          <w:color w:val="auto"/>
          <w:sz w:val="21"/>
          <w:highlight w:val="none"/>
        </w:rPr>
      </w:pPr>
    </w:p>
    <w:p w14:paraId="6CC02DC5">
      <w:pPr>
        <w:spacing w:line="282" w:lineRule="auto"/>
        <w:rPr>
          <w:rFonts w:ascii="Arial"/>
          <w:color w:val="auto"/>
          <w:sz w:val="21"/>
          <w:highlight w:val="none"/>
        </w:rPr>
      </w:pPr>
    </w:p>
    <w:p w14:paraId="690B50E3">
      <w:pPr>
        <w:tabs>
          <w:tab w:val="left" w:pos="1920"/>
        </w:tabs>
        <w:spacing w:before="79"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（招标人名称）：</w:t>
      </w:r>
    </w:p>
    <w:p w14:paraId="1B0FCF03">
      <w:pPr>
        <w:spacing w:line="253" w:lineRule="auto"/>
        <w:rPr>
          <w:rFonts w:ascii="Arial"/>
          <w:color w:val="auto"/>
          <w:sz w:val="21"/>
          <w:highlight w:val="none"/>
        </w:rPr>
      </w:pPr>
    </w:p>
    <w:p w14:paraId="05B8F104">
      <w:pPr>
        <w:spacing w:line="254" w:lineRule="auto"/>
        <w:rPr>
          <w:rFonts w:ascii="Arial"/>
          <w:color w:val="auto"/>
          <w:sz w:val="21"/>
          <w:highlight w:val="none"/>
        </w:rPr>
      </w:pPr>
    </w:p>
    <w:p w14:paraId="56B4C45F">
      <w:pPr>
        <w:spacing w:before="79" w:line="339" w:lineRule="auto"/>
        <w:ind w:left="8"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鉴于</w:t>
      </w:r>
      <w:r>
        <w:rPr>
          <w:rFonts w:ascii="宋体" w:hAnsi="宋体" w:eastAsia="宋体" w:cs="宋体"/>
          <w:color w:val="auto"/>
          <w:spacing w:val="-1"/>
          <w:sz w:val="24"/>
          <w:szCs w:val="24"/>
          <w:highlight w:val="none"/>
          <w:u w:val="single" w:color="auto"/>
        </w:rPr>
        <w:t xml:space="preserve">             （投标人名称</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以下称“投标人</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”）于</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年</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月</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
          <w:sz w:val="24"/>
          <w:szCs w:val="24"/>
          <w:highlight w:val="none"/>
        </w:rPr>
        <w:t>日参</w:t>
      </w:r>
      <w:r>
        <w:rPr>
          <w:rFonts w:ascii="宋体" w:hAnsi="宋体" w:eastAsia="宋体" w:cs="宋体"/>
          <w:color w:val="auto"/>
          <w:spacing w:val="5"/>
          <w:sz w:val="24"/>
          <w:szCs w:val="24"/>
          <w:highlight w:val="none"/>
        </w:rPr>
        <w:t>加</w:t>
      </w:r>
      <w:r>
        <w:rPr>
          <w:rFonts w:ascii="宋体" w:hAnsi="宋体" w:eastAsia="宋体" w:cs="宋体"/>
          <w:color w:val="auto"/>
          <w:spacing w:val="-115"/>
          <w:sz w:val="24"/>
          <w:szCs w:val="24"/>
          <w:highlight w:val="none"/>
        </w:rPr>
        <w:t xml:space="preserve"> </w:t>
      </w:r>
      <w:r>
        <w:rPr>
          <w:rFonts w:ascii="宋体" w:hAnsi="宋体" w:eastAsia="宋体" w:cs="宋体"/>
          <w:color w:val="auto"/>
          <w:spacing w:val="5"/>
          <w:sz w:val="24"/>
          <w:szCs w:val="24"/>
          <w:highlight w:val="none"/>
          <w:u w:val="single" w:color="auto"/>
        </w:rPr>
        <w:t xml:space="preserve">          （项目名称）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rPr>
        <w:t>标段施工监理的投标</w:t>
      </w:r>
      <w:r>
        <w:rPr>
          <w:rFonts w:ascii="宋体" w:hAnsi="宋体" w:eastAsia="宋体" w:cs="宋体"/>
          <w:color w:val="auto"/>
          <w:spacing w:val="-30"/>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30"/>
          <w:sz w:val="24"/>
          <w:szCs w:val="24"/>
          <w:highlight w:val="none"/>
          <w:u w:val="single" w:color="auto"/>
        </w:rPr>
        <w:t>（</w:t>
      </w:r>
      <w:r>
        <w:rPr>
          <w:rFonts w:ascii="宋体" w:hAnsi="宋体" w:eastAsia="宋体" w:cs="宋体"/>
          <w:color w:val="auto"/>
          <w:spacing w:val="5"/>
          <w:sz w:val="24"/>
          <w:szCs w:val="24"/>
          <w:highlight w:val="none"/>
          <w:u w:val="single" w:color="auto"/>
        </w:rPr>
        <w:t>担保人名称，以</w:t>
      </w:r>
      <w:r>
        <w:rPr>
          <w:rFonts w:ascii="宋体" w:hAnsi="宋体" w:eastAsia="宋体" w:cs="宋体"/>
          <w:color w:val="auto"/>
          <w:spacing w:val="4"/>
          <w:sz w:val="24"/>
          <w:szCs w:val="24"/>
          <w:highlight w:val="none"/>
          <w:u w:val="single" w:color="auto"/>
        </w:rPr>
        <w:t>下简称“我方</w:t>
      </w:r>
      <w:r>
        <w:rPr>
          <w:rFonts w:ascii="宋体" w:hAnsi="宋体" w:eastAsia="宋体" w:cs="宋体"/>
          <w:color w:val="auto"/>
          <w:spacing w:val="-83"/>
          <w:sz w:val="24"/>
          <w:szCs w:val="24"/>
          <w:highlight w:val="none"/>
          <w:u w:val="single" w:color="auto"/>
        </w:rPr>
        <w:t xml:space="preserve"> </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4"/>
          <w:sz w:val="24"/>
          <w:szCs w:val="24"/>
          <w:highlight w:val="none"/>
        </w:rPr>
        <w:t>无条件地、不可撤销地保证：若投标人在投标有效期内撤销</w:t>
      </w:r>
      <w:r>
        <w:rPr>
          <w:rFonts w:ascii="宋体" w:hAnsi="宋体" w:eastAsia="宋体" w:cs="宋体"/>
          <w:color w:val="auto"/>
          <w:spacing w:val="3"/>
          <w:sz w:val="24"/>
          <w:szCs w:val="24"/>
          <w:highlight w:val="none"/>
        </w:rPr>
        <w:t>投标文</w:t>
      </w:r>
      <w:r>
        <w:rPr>
          <w:rFonts w:ascii="宋体" w:hAnsi="宋体" w:eastAsia="宋体" w:cs="宋体"/>
          <w:color w:val="auto"/>
          <w:spacing w:val="5"/>
          <w:sz w:val="24"/>
          <w:szCs w:val="24"/>
          <w:highlight w:val="none"/>
        </w:rPr>
        <w:t>件，中标后无正当理由不与招标人订立合同，在签订合同时向招标人提出附加条件，不按照招标文件要求提交履约保证金，或发生招标文件明确规定可以不予退还</w:t>
      </w:r>
      <w:r>
        <w:rPr>
          <w:rFonts w:ascii="宋体" w:hAnsi="宋体" w:eastAsia="宋体" w:cs="宋体"/>
          <w:color w:val="auto"/>
          <w:spacing w:val="4"/>
          <w:sz w:val="24"/>
          <w:szCs w:val="24"/>
          <w:highlight w:val="none"/>
        </w:rPr>
        <w:t>投标保</w:t>
      </w:r>
      <w:r>
        <w:rPr>
          <w:rFonts w:ascii="宋体" w:hAnsi="宋体" w:eastAsia="宋体" w:cs="宋体"/>
          <w:color w:val="auto"/>
          <w:spacing w:val="3"/>
          <w:sz w:val="24"/>
          <w:szCs w:val="24"/>
          <w:highlight w:val="none"/>
        </w:rPr>
        <w:t>证金的其他情形，我方承担保证责任。收到你方书面通</w:t>
      </w:r>
      <w:r>
        <w:rPr>
          <w:rFonts w:ascii="宋体" w:hAnsi="宋体" w:eastAsia="宋体" w:cs="宋体"/>
          <w:color w:val="auto"/>
          <w:spacing w:val="2"/>
          <w:sz w:val="24"/>
          <w:szCs w:val="24"/>
          <w:highlight w:val="none"/>
        </w:rPr>
        <w:t>知后，我方在</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7 日内向你方无</w:t>
      </w:r>
      <w:r>
        <w:rPr>
          <w:rFonts w:ascii="宋体" w:hAnsi="宋体" w:eastAsia="宋体" w:cs="宋体"/>
          <w:color w:val="auto"/>
          <w:spacing w:val="-1"/>
          <w:sz w:val="24"/>
          <w:szCs w:val="24"/>
          <w:highlight w:val="none"/>
        </w:rPr>
        <w:t>条件支付人民币（大写）</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
          <w:sz w:val="24"/>
          <w:szCs w:val="24"/>
          <w:highlight w:val="none"/>
        </w:rPr>
        <w:t>元。</w:t>
      </w:r>
    </w:p>
    <w:p w14:paraId="1E77EC60">
      <w:pPr>
        <w:spacing w:before="2" w:line="339" w:lineRule="auto"/>
        <w:ind w:left="29" w:right="2" w:firstLine="46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本保函在投标有效期或经延长的投标有效期内保持有效。要求我方承担保证责任</w:t>
      </w:r>
      <w:r>
        <w:rPr>
          <w:rFonts w:ascii="宋体" w:hAnsi="宋体" w:eastAsia="宋体" w:cs="宋体"/>
          <w:color w:val="auto"/>
          <w:spacing w:val="-1"/>
          <w:sz w:val="24"/>
          <w:szCs w:val="24"/>
          <w:highlight w:val="none"/>
        </w:rPr>
        <w:t>的通知应在上述期限内送达我方。你方延长投标有效期的决定，应通知我方。</w:t>
      </w:r>
    </w:p>
    <w:p w14:paraId="4F5A8861">
      <w:pPr>
        <w:spacing w:line="264" w:lineRule="auto"/>
        <w:rPr>
          <w:rFonts w:ascii="Arial"/>
          <w:color w:val="auto"/>
          <w:sz w:val="21"/>
          <w:highlight w:val="none"/>
        </w:rPr>
      </w:pPr>
    </w:p>
    <w:p w14:paraId="11C1BC48">
      <w:pPr>
        <w:spacing w:line="264" w:lineRule="auto"/>
        <w:rPr>
          <w:rFonts w:ascii="Arial"/>
          <w:color w:val="auto"/>
          <w:sz w:val="21"/>
          <w:highlight w:val="none"/>
        </w:rPr>
      </w:pPr>
    </w:p>
    <w:p w14:paraId="23B732B0">
      <w:pPr>
        <w:spacing w:line="264" w:lineRule="auto"/>
        <w:rPr>
          <w:rFonts w:ascii="Arial"/>
          <w:color w:val="auto"/>
          <w:sz w:val="21"/>
          <w:highlight w:val="none"/>
        </w:rPr>
      </w:pPr>
    </w:p>
    <w:p w14:paraId="54D8FD14">
      <w:pPr>
        <w:spacing w:before="78" w:line="219" w:lineRule="auto"/>
        <w:ind w:left="19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担保人名称</w:t>
      </w:r>
      <w:r>
        <w:rPr>
          <w:rFonts w:ascii="宋体" w:hAnsi="宋体" w:eastAsia="宋体" w:cs="宋体"/>
          <w:color w:val="auto"/>
          <w:spacing w:val="-16"/>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盖单位章）</w:t>
      </w:r>
    </w:p>
    <w:p w14:paraId="17693AF2">
      <w:pPr>
        <w:spacing w:before="155" w:line="219" w:lineRule="auto"/>
        <w:ind w:left="19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55FBB940">
      <w:pPr>
        <w:spacing w:before="157" w:line="229" w:lineRule="auto"/>
        <w:ind w:left="198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8"/>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54B75826">
      <w:pPr>
        <w:spacing w:before="142" w:line="219" w:lineRule="auto"/>
        <w:ind w:left="20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747D1524">
      <w:pPr>
        <w:spacing w:before="155" w:line="221" w:lineRule="auto"/>
        <w:ind w:left="2017"/>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电</w:t>
      </w:r>
      <w:r>
        <w:rPr>
          <w:rFonts w:ascii="宋体" w:hAnsi="宋体" w:eastAsia="宋体" w:cs="宋体"/>
          <w:color w:val="auto"/>
          <w:spacing w:val="2"/>
          <w:sz w:val="24"/>
          <w:szCs w:val="24"/>
          <w:highlight w:val="none"/>
        </w:rPr>
        <w:t xml:space="preserve">    </w:t>
      </w:r>
      <w:r>
        <w:rPr>
          <w:rFonts w:ascii="宋体" w:hAnsi="宋体" w:eastAsia="宋体" w:cs="宋体"/>
          <w:color w:val="auto"/>
          <w:spacing w:val="-26"/>
          <w:sz w:val="24"/>
          <w:szCs w:val="24"/>
          <w:highlight w:val="none"/>
        </w:rPr>
        <w:t>话</w:t>
      </w:r>
      <w:r>
        <w:rPr>
          <w:rFonts w:ascii="宋体" w:hAnsi="宋体" w:eastAsia="宋体" w:cs="宋体"/>
          <w:color w:val="auto"/>
          <w:spacing w:val="-89"/>
          <w:sz w:val="24"/>
          <w:szCs w:val="24"/>
          <w:highlight w:val="none"/>
        </w:rPr>
        <w:t xml:space="preserve"> </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u w:val="single" w:color="auto"/>
        </w:rPr>
        <w:t xml:space="preserve">                                        </w:t>
      </w:r>
    </w:p>
    <w:p w14:paraId="42584E20">
      <w:pPr>
        <w:spacing w:before="153" w:line="219" w:lineRule="auto"/>
        <w:ind w:left="1987"/>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传</w:t>
      </w:r>
      <w:r>
        <w:rPr>
          <w:rFonts w:ascii="宋体" w:hAnsi="宋体" w:eastAsia="宋体" w:cs="宋体"/>
          <w:color w:val="auto"/>
          <w:spacing w:val="3"/>
          <w:sz w:val="24"/>
          <w:szCs w:val="24"/>
          <w:highlight w:val="none"/>
        </w:rPr>
        <w:t xml:space="preserve">    </w:t>
      </w:r>
      <w:r>
        <w:rPr>
          <w:rFonts w:ascii="宋体" w:hAnsi="宋体" w:eastAsia="宋体" w:cs="宋体"/>
          <w:color w:val="auto"/>
          <w:spacing w:val="-17"/>
          <w:sz w:val="24"/>
          <w:szCs w:val="24"/>
          <w:highlight w:val="none"/>
        </w:rPr>
        <w:t>真</w:t>
      </w:r>
      <w:r>
        <w:rPr>
          <w:rFonts w:ascii="宋体" w:hAnsi="宋体" w:eastAsia="宋体" w:cs="宋体"/>
          <w:color w:val="auto"/>
          <w:spacing w:val="-9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504AAD8B">
      <w:pPr>
        <w:tabs>
          <w:tab w:val="left" w:pos="5999"/>
        </w:tabs>
        <w:spacing w:before="155" w:line="219" w:lineRule="auto"/>
        <w:ind w:left="503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78FF9C50">
      <w:pPr>
        <w:spacing w:before="182" w:line="406" w:lineRule="auto"/>
        <w:ind w:left="21" w:right="2" w:hanging="1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注：本保函格式只作为参考，投标人可根据当地银行及相关规定的格</w:t>
      </w:r>
      <w:r>
        <w:rPr>
          <w:rFonts w:ascii="宋体" w:hAnsi="宋体" w:eastAsia="宋体" w:cs="宋体"/>
          <w:color w:val="auto"/>
          <w:spacing w:val="10"/>
          <w:sz w:val="20"/>
          <w:szCs w:val="20"/>
          <w:highlight w:val="none"/>
        </w:rPr>
        <w:t>式填写，但主要内容须与本保函内容原则上保持一致。如：“本保函在投标有效期或经延长的投标有</w:t>
      </w:r>
      <w:r>
        <w:rPr>
          <w:rFonts w:ascii="宋体" w:hAnsi="宋体" w:eastAsia="宋体" w:cs="宋体"/>
          <w:color w:val="auto"/>
          <w:spacing w:val="9"/>
          <w:sz w:val="20"/>
          <w:szCs w:val="20"/>
          <w:highlight w:val="none"/>
        </w:rPr>
        <w:t>效期内保持有效</w:t>
      </w:r>
      <w:r>
        <w:rPr>
          <w:rFonts w:ascii="宋体" w:hAnsi="宋体" w:eastAsia="宋体" w:cs="宋体"/>
          <w:color w:val="auto"/>
          <w:spacing w:val="-69"/>
          <w:sz w:val="20"/>
          <w:szCs w:val="20"/>
          <w:highlight w:val="none"/>
        </w:rPr>
        <w:t xml:space="preserve"> </w:t>
      </w:r>
      <w:r>
        <w:rPr>
          <w:rFonts w:ascii="宋体" w:hAnsi="宋体" w:eastAsia="宋体" w:cs="宋体"/>
          <w:color w:val="auto"/>
          <w:spacing w:val="9"/>
          <w:sz w:val="20"/>
          <w:szCs w:val="20"/>
          <w:highlight w:val="none"/>
        </w:rPr>
        <w:t>”可改为本</w:t>
      </w:r>
    </w:p>
    <w:p w14:paraId="5E75FCD1">
      <w:pPr>
        <w:spacing w:line="228" w:lineRule="auto"/>
        <w:ind w:left="8"/>
        <w:outlineLvl w:val="1"/>
        <w:rPr>
          <w:rFonts w:ascii="宋体" w:hAnsi="宋体" w:eastAsia="宋体" w:cs="宋体"/>
          <w:color w:val="auto"/>
          <w:sz w:val="20"/>
          <w:szCs w:val="20"/>
          <w:highlight w:val="none"/>
        </w:rPr>
      </w:pPr>
      <w:bookmarkStart w:id="801" w:name="bookmark158"/>
      <w:bookmarkEnd w:id="801"/>
      <w:bookmarkStart w:id="802" w:name="_Toc14781"/>
      <w:bookmarkStart w:id="803" w:name="_Toc5778"/>
      <w:bookmarkStart w:id="804" w:name="_Toc22362"/>
      <w:bookmarkStart w:id="805" w:name="_Toc23260"/>
      <w:bookmarkStart w:id="806" w:name="_Toc19508"/>
      <w:bookmarkStart w:id="807" w:name="_Toc9490"/>
      <w:bookmarkStart w:id="808" w:name="_Toc22558"/>
      <w:r>
        <w:rPr>
          <w:rFonts w:ascii="宋体" w:hAnsi="宋体" w:eastAsia="宋体" w:cs="宋体"/>
          <w:color w:val="auto"/>
          <w:spacing w:val="8"/>
          <w:sz w:val="20"/>
          <w:szCs w:val="20"/>
          <w:highlight w:val="none"/>
        </w:rPr>
        <w:t>保函自</w:t>
      </w:r>
      <w:r>
        <w:rPr>
          <w:rFonts w:ascii="宋体" w:hAnsi="宋体" w:eastAsia="宋体" w:cs="宋体"/>
          <w:color w:val="auto"/>
          <w:spacing w:val="8"/>
          <w:sz w:val="20"/>
          <w:szCs w:val="20"/>
          <w:highlight w:val="none"/>
          <w:u w:val="single" w:color="auto"/>
        </w:rPr>
        <w:t xml:space="preserve">     （生效日期）</w:t>
      </w:r>
      <w:r>
        <w:rPr>
          <w:rFonts w:ascii="宋体" w:hAnsi="宋体" w:eastAsia="宋体" w:cs="宋体"/>
          <w:color w:val="auto"/>
          <w:spacing w:val="8"/>
          <w:sz w:val="20"/>
          <w:szCs w:val="20"/>
          <w:highlight w:val="none"/>
        </w:rPr>
        <w:t>之日起生效，至</w:t>
      </w:r>
      <w:r>
        <w:rPr>
          <w:rFonts w:ascii="宋体" w:hAnsi="宋体" w:eastAsia="宋体" w:cs="宋体"/>
          <w:color w:val="auto"/>
          <w:spacing w:val="8"/>
          <w:sz w:val="20"/>
          <w:szCs w:val="20"/>
          <w:highlight w:val="none"/>
          <w:u w:val="single" w:color="auto"/>
        </w:rPr>
        <w:t xml:space="preserve">     （失效日期）</w:t>
      </w:r>
      <w:r>
        <w:rPr>
          <w:rFonts w:ascii="宋体" w:hAnsi="宋体" w:eastAsia="宋体" w:cs="宋体"/>
          <w:color w:val="auto"/>
          <w:spacing w:val="8"/>
          <w:sz w:val="20"/>
          <w:szCs w:val="20"/>
          <w:highlight w:val="none"/>
        </w:rPr>
        <w:t>之日失效。</w:t>
      </w:r>
      <w:bookmarkEnd w:id="802"/>
      <w:bookmarkEnd w:id="803"/>
      <w:bookmarkEnd w:id="804"/>
      <w:bookmarkEnd w:id="805"/>
      <w:bookmarkEnd w:id="806"/>
      <w:bookmarkEnd w:id="807"/>
      <w:bookmarkEnd w:id="808"/>
    </w:p>
    <w:p w14:paraId="54BE9E8C">
      <w:pPr>
        <w:spacing w:line="184" w:lineRule="auto"/>
        <w:rPr>
          <w:rFonts w:ascii="宋体" w:hAnsi="宋体" w:eastAsia="宋体" w:cs="宋体"/>
          <w:color w:val="auto"/>
          <w:sz w:val="18"/>
          <w:szCs w:val="18"/>
          <w:highlight w:val="none"/>
        </w:rPr>
        <w:sectPr>
          <w:type w:val="continuous"/>
          <w:pgSz w:w="11906" w:h="16839"/>
          <w:pgMar w:top="1431" w:right="1415" w:bottom="1297" w:left="1416" w:header="0" w:footer="1067" w:gutter="0"/>
          <w:pgNumType w:fmt="decimal"/>
          <w:cols w:equalWidth="0" w:num="1">
            <w:col w:w="9075"/>
          </w:cols>
        </w:sectPr>
      </w:pPr>
    </w:p>
    <w:p w14:paraId="2D3CB86D">
      <w:pPr>
        <w:spacing w:before="164" w:line="219" w:lineRule="auto"/>
        <w:ind w:left="357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五、资格审查资料</w:t>
      </w:r>
    </w:p>
    <w:p w14:paraId="21A08734">
      <w:pPr>
        <w:spacing w:before="322" w:line="219" w:lineRule="auto"/>
        <w:ind w:left="289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（一）投标人基本情况表</w:t>
      </w:r>
    </w:p>
    <w:p w14:paraId="392A5478">
      <w:pPr>
        <w:spacing w:line="182" w:lineRule="exact"/>
        <w:rPr>
          <w:color w:val="auto"/>
          <w:highlight w:val="none"/>
        </w:rPr>
      </w:pPr>
    </w:p>
    <w:tbl>
      <w:tblPr>
        <w:tblStyle w:val="22"/>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4D8B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005D58CE">
            <w:pPr>
              <w:pStyle w:val="23"/>
              <w:spacing w:before="176" w:line="228" w:lineRule="auto"/>
              <w:ind w:left="509"/>
              <w:rPr>
                <w:color w:val="auto"/>
                <w:highlight w:val="none"/>
              </w:rPr>
            </w:pPr>
            <w:r>
              <w:rPr>
                <w:color w:val="auto"/>
                <w:spacing w:val="7"/>
                <w:highlight w:val="none"/>
              </w:rPr>
              <w:t>投标人名称</w:t>
            </w:r>
          </w:p>
        </w:tc>
        <w:tc>
          <w:tcPr>
            <w:tcW w:w="6840" w:type="dxa"/>
            <w:gridSpan w:val="8"/>
            <w:vAlign w:val="top"/>
          </w:tcPr>
          <w:p w14:paraId="68A01D24">
            <w:pPr>
              <w:rPr>
                <w:rFonts w:ascii="Arial"/>
                <w:color w:val="auto"/>
                <w:sz w:val="21"/>
                <w:highlight w:val="none"/>
              </w:rPr>
            </w:pPr>
          </w:p>
        </w:tc>
      </w:tr>
      <w:tr w14:paraId="429D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459A6F0B">
            <w:pPr>
              <w:pStyle w:val="23"/>
              <w:spacing w:before="173" w:line="229" w:lineRule="auto"/>
              <w:ind w:left="609"/>
              <w:rPr>
                <w:color w:val="auto"/>
                <w:highlight w:val="none"/>
              </w:rPr>
            </w:pPr>
            <w:r>
              <w:rPr>
                <w:color w:val="auto"/>
                <w:spacing w:val="7"/>
                <w:highlight w:val="none"/>
              </w:rPr>
              <w:t>注册地址</w:t>
            </w:r>
          </w:p>
        </w:tc>
        <w:tc>
          <w:tcPr>
            <w:tcW w:w="3208" w:type="dxa"/>
            <w:gridSpan w:val="3"/>
            <w:vAlign w:val="top"/>
          </w:tcPr>
          <w:p w14:paraId="46F19272">
            <w:pPr>
              <w:rPr>
                <w:rFonts w:ascii="Arial"/>
                <w:color w:val="auto"/>
                <w:sz w:val="21"/>
                <w:highlight w:val="none"/>
              </w:rPr>
            </w:pPr>
          </w:p>
        </w:tc>
        <w:tc>
          <w:tcPr>
            <w:tcW w:w="1286" w:type="dxa"/>
            <w:gridSpan w:val="2"/>
            <w:vAlign w:val="top"/>
          </w:tcPr>
          <w:p w14:paraId="1D1CA5C1">
            <w:pPr>
              <w:pStyle w:val="23"/>
              <w:spacing w:before="173" w:line="228" w:lineRule="auto"/>
              <w:ind w:left="244"/>
              <w:rPr>
                <w:color w:val="auto"/>
                <w:highlight w:val="none"/>
              </w:rPr>
            </w:pPr>
            <w:r>
              <w:rPr>
                <w:color w:val="auto"/>
                <w:spacing w:val="3"/>
                <w:highlight w:val="none"/>
              </w:rPr>
              <w:t>邮政编码</w:t>
            </w:r>
          </w:p>
        </w:tc>
        <w:tc>
          <w:tcPr>
            <w:tcW w:w="2346" w:type="dxa"/>
            <w:gridSpan w:val="3"/>
            <w:vAlign w:val="top"/>
          </w:tcPr>
          <w:p w14:paraId="58E69AFD">
            <w:pPr>
              <w:rPr>
                <w:rFonts w:ascii="Arial"/>
                <w:color w:val="auto"/>
                <w:sz w:val="21"/>
                <w:highlight w:val="none"/>
              </w:rPr>
            </w:pPr>
          </w:p>
        </w:tc>
      </w:tr>
      <w:tr w14:paraId="3B38B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14:paraId="787ADC55">
            <w:pPr>
              <w:spacing w:line="331" w:lineRule="auto"/>
              <w:rPr>
                <w:rFonts w:ascii="Arial"/>
                <w:color w:val="auto"/>
                <w:sz w:val="21"/>
                <w:highlight w:val="none"/>
              </w:rPr>
            </w:pPr>
          </w:p>
          <w:p w14:paraId="6F9C0D8D">
            <w:pPr>
              <w:pStyle w:val="23"/>
              <w:spacing w:before="65" w:line="229" w:lineRule="auto"/>
              <w:ind w:left="610"/>
              <w:rPr>
                <w:color w:val="auto"/>
                <w:highlight w:val="none"/>
              </w:rPr>
            </w:pPr>
            <w:r>
              <w:rPr>
                <w:color w:val="auto"/>
                <w:spacing w:val="7"/>
                <w:highlight w:val="none"/>
              </w:rPr>
              <w:t>联系方式</w:t>
            </w:r>
          </w:p>
        </w:tc>
        <w:tc>
          <w:tcPr>
            <w:tcW w:w="897" w:type="dxa"/>
            <w:vAlign w:val="top"/>
          </w:tcPr>
          <w:p w14:paraId="4B3FD88B">
            <w:pPr>
              <w:pStyle w:val="23"/>
              <w:spacing w:before="173" w:line="230" w:lineRule="auto"/>
              <w:ind w:left="137"/>
              <w:rPr>
                <w:color w:val="auto"/>
                <w:highlight w:val="none"/>
              </w:rPr>
            </w:pPr>
            <w:r>
              <w:rPr>
                <w:color w:val="auto"/>
                <w:spacing w:val="6"/>
                <w:highlight w:val="none"/>
              </w:rPr>
              <w:t>联系人</w:t>
            </w:r>
          </w:p>
        </w:tc>
        <w:tc>
          <w:tcPr>
            <w:tcW w:w="2311" w:type="dxa"/>
            <w:gridSpan w:val="2"/>
            <w:vAlign w:val="top"/>
          </w:tcPr>
          <w:p w14:paraId="33186ADB">
            <w:pPr>
              <w:rPr>
                <w:rFonts w:ascii="Arial"/>
                <w:color w:val="auto"/>
                <w:sz w:val="21"/>
                <w:highlight w:val="none"/>
              </w:rPr>
            </w:pPr>
          </w:p>
        </w:tc>
        <w:tc>
          <w:tcPr>
            <w:tcW w:w="1286" w:type="dxa"/>
            <w:gridSpan w:val="2"/>
            <w:vAlign w:val="top"/>
          </w:tcPr>
          <w:p w14:paraId="510535D3">
            <w:pPr>
              <w:pStyle w:val="23"/>
              <w:spacing w:before="173" w:line="230" w:lineRule="auto"/>
              <w:ind w:left="411"/>
              <w:rPr>
                <w:color w:val="auto"/>
                <w:highlight w:val="none"/>
              </w:rPr>
            </w:pPr>
            <w:r>
              <w:rPr>
                <w:color w:val="auto"/>
                <w:spacing w:val="-12"/>
                <w:highlight w:val="none"/>
              </w:rPr>
              <w:t>电</w:t>
            </w:r>
            <w:r>
              <w:rPr>
                <w:color w:val="auto"/>
                <w:spacing w:val="16"/>
                <w:highlight w:val="none"/>
              </w:rPr>
              <w:t xml:space="preserve"> </w:t>
            </w:r>
            <w:r>
              <w:rPr>
                <w:color w:val="auto"/>
                <w:spacing w:val="-12"/>
                <w:highlight w:val="none"/>
              </w:rPr>
              <w:t>话</w:t>
            </w:r>
          </w:p>
        </w:tc>
        <w:tc>
          <w:tcPr>
            <w:tcW w:w="2346" w:type="dxa"/>
            <w:gridSpan w:val="3"/>
            <w:vAlign w:val="top"/>
          </w:tcPr>
          <w:p w14:paraId="78787713">
            <w:pPr>
              <w:rPr>
                <w:rFonts w:ascii="Arial"/>
                <w:color w:val="auto"/>
                <w:sz w:val="21"/>
                <w:highlight w:val="none"/>
              </w:rPr>
            </w:pPr>
          </w:p>
        </w:tc>
      </w:tr>
      <w:tr w14:paraId="428A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14:paraId="2D1989EA">
            <w:pPr>
              <w:rPr>
                <w:rFonts w:ascii="Arial"/>
                <w:color w:val="auto"/>
                <w:sz w:val="21"/>
                <w:highlight w:val="none"/>
              </w:rPr>
            </w:pPr>
          </w:p>
        </w:tc>
        <w:tc>
          <w:tcPr>
            <w:tcW w:w="897" w:type="dxa"/>
            <w:vAlign w:val="top"/>
          </w:tcPr>
          <w:p w14:paraId="63EB5712">
            <w:pPr>
              <w:pStyle w:val="23"/>
              <w:spacing w:before="174" w:line="227" w:lineRule="auto"/>
              <w:ind w:left="135"/>
              <w:rPr>
                <w:color w:val="auto"/>
                <w:highlight w:val="none"/>
              </w:rPr>
            </w:pPr>
            <w:r>
              <w:rPr>
                <w:color w:val="auto"/>
                <w:spacing w:val="1"/>
                <w:highlight w:val="none"/>
              </w:rPr>
              <w:t>传</w:t>
            </w:r>
            <w:r>
              <w:rPr>
                <w:color w:val="auto"/>
                <w:spacing w:val="10"/>
                <w:highlight w:val="none"/>
              </w:rPr>
              <w:t xml:space="preserve">  </w:t>
            </w:r>
            <w:r>
              <w:rPr>
                <w:color w:val="auto"/>
                <w:spacing w:val="1"/>
                <w:highlight w:val="none"/>
              </w:rPr>
              <w:t>真</w:t>
            </w:r>
          </w:p>
        </w:tc>
        <w:tc>
          <w:tcPr>
            <w:tcW w:w="2311" w:type="dxa"/>
            <w:gridSpan w:val="2"/>
            <w:vAlign w:val="top"/>
          </w:tcPr>
          <w:p w14:paraId="5A57FB64">
            <w:pPr>
              <w:rPr>
                <w:rFonts w:ascii="Arial"/>
                <w:color w:val="auto"/>
                <w:sz w:val="21"/>
                <w:highlight w:val="none"/>
              </w:rPr>
            </w:pPr>
          </w:p>
        </w:tc>
        <w:tc>
          <w:tcPr>
            <w:tcW w:w="1286" w:type="dxa"/>
            <w:gridSpan w:val="2"/>
            <w:vAlign w:val="top"/>
          </w:tcPr>
          <w:p w14:paraId="58F53D3B">
            <w:pPr>
              <w:pStyle w:val="23"/>
              <w:spacing w:before="174" w:line="228" w:lineRule="auto"/>
              <w:ind w:left="253"/>
              <w:rPr>
                <w:color w:val="auto"/>
                <w:highlight w:val="none"/>
              </w:rPr>
            </w:pPr>
            <w:r>
              <w:rPr>
                <w:color w:val="auto"/>
                <w:spacing w:val="1"/>
                <w:highlight w:val="none"/>
              </w:rPr>
              <w:t>电子邮件</w:t>
            </w:r>
          </w:p>
        </w:tc>
        <w:tc>
          <w:tcPr>
            <w:tcW w:w="2346" w:type="dxa"/>
            <w:gridSpan w:val="3"/>
            <w:vAlign w:val="top"/>
          </w:tcPr>
          <w:p w14:paraId="1831A1AF">
            <w:pPr>
              <w:rPr>
                <w:rFonts w:ascii="Arial"/>
                <w:color w:val="auto"/>
                <w:sz w:val="21"/>
                <w:highlight w:val="none"/>
              </w:rPr>
            </w:pPr>
          </w:p>
        </w:tc>
      </w:tr>
      <w:tr w14:paraId="1120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F8BC72A">
            <w:pPr>
              <w:pStyle w:val="23"/>
              <w:spacing w:before="172" w:line="228" w:lineRule="auto"/>
              <w:ind w:left="507"/>
              <w:rPr>
                <w:color w:val="auto"/>
                <w:highlight w:val="none"/>
              </w:rPr>
            </w:pPr>
            <w:r>
              <w:rPr>
                <w:color w:val="auto"/>
                <w:spacing w:val="7"/>
                <w:highlight w:val="none"/>
              </w:rPr>
              <w:t>法定代表人</w:t>
            </w:r>
          </w:p>
        </w:tc>
        <w:tc>
          <w:tcPr>
            <w:tcW w:w="897" w:type="dxa"/>
            <w:vAlign w:val="top"/>
          </w:tcPr>
          <w:p w14:paraId="132D124A">
            <w:pPr>
              <w:pStyle w:val="23"/>
              <w:spacing w:before="172" w:line="228" w:lineRule="auto"/>
              <w:ind w:left="242"/>
              <w:rPr>
                <w:color w:val="auto"/>
                <w:highlight w:val="none"/>
              </w:rPr>
            </w:pPr>
            <w:r>
              <w:rPr>
                <w:color w:val="auto"/>
                <w:spacing w:val="4"/>
                <w:highlight w:val="none"/>
              </w:rPr>
              <w:t>姓名</w:t>
            </w:r>
          </w:p>
        </w:tc>
        <w:tc>
          <w:tcPr>
            <w:tcW w:w="1025" w:type="dxa"/>
            <w:vAlign w:val="top"/>
          </w:tcPr>
          <w:p w14:paraId="1F1C95BE">
            <w:pPr>
              <w:rPr>
                <w:rFonts w:ascii="Arial"/>
                <w:color w:val="auto"/>
                <w:sz w:val="21"/>
                <w:highlight w:val="none"/>
              </w:rPr>
            </w:pPr>
          </w:p>
        </w:tc>
        <w:tc>
          <w:tcPr>
            <w:tcW w:w="1286" w:type="dxa"/>
            <w:vAlign w:val="top"/>
          </w:tcPr>
          <w:p w14:paraId="4AA03770">
            <w:pPr>
              <w:pStyle w:val="23"/>
              <w:spacing w:before="172" w:line="228" w:lineRule="auto"/>
              <w:ind w:left="229"/>
              <w:rPr>
                <w:color w:val="auto"/>
                <w:highlight w:val="none"/>
              </w:rPr>
            </w:pPr>
            <w:r>
              <w:rPr>
                <w:color w:val="auto"/>
                <w:spacing w:val="7"/>
                <w:highlight w:val="none"/>
              </w:rPr>
              <w:t>技术职称</w:t>
            </w:r>
          </w:p>
        </w:tc>
        <w:tc>
          <w:tcPr>
            <w:tcW w:w="1286" w:type="dxa"/>
            <w:gridSpan w:val="2"/>
            <w:vAlign w:val="top"/>
          </w:tcPr>
          <w:p w14:paraId="393EE1E2">
            <w:pPr>
              <w:rPr>
                <w:rFonts w:ascii="Arial"/>
                <w:color w:val="auto"/>
                <w:sz w:val="21"/>
                <w:highlight w:val="none"/>
              </w:rPr>
            </w:pPr>
          </w:p>
        </w:tc>
        <w:tc>
          <w:tcPr>
            <w:tcW w:w="1112" w:type="dxa"/>
            <w:gridSpan w:val="2"/>
            <w:vAlign w:val="top"/>
          </w:tcPr>
          <w:p w14:paraId="0426645F">
            <w:pPr>
              <w:pStyle w:val="23"/>
              <w:spacing w:before="173" w:line="230" w:lineRule="auto"/>
              <w:ind w:left="378"/>
              <w:rPr>
                <w:color w:val="auto"/>
                <w:highlight w:val="none"/>
              </w:rPr>
            </w:pPr>
            <w:r>
              <w:rPr>
                <w:color w:val="auto"/>
                <w:spacing w:val="-8"/>
                <w:highlight w:val="none"/>
              </w:rPr>
              <w:t>电话</w:t>
            </w:r>
          </w:p>
        </w:tc>
        <w:tc>
          <w:tcPr>
            <w:tcW w:w="1234" w:type="dxa"/>
            <w:vAlign w:val="top"/>
          </w:tcPr>
          <w:p w14:paraId="0A144F05">
            <w:pPr>
              <w:rPr>
                <w:rFonts w:ascii="Arial"/>
                <w:color w:val="auto"/>
                <w:sz w:val="21"/>
                <w:highlight w:val="none"/>
              </w:rPr>
            </w:pPr>
          </w:p>
        </w:tc>
      </w:tr>
      <w:tr w14:paraId="043C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40D3180F">
            <w:pPr>
              <w:pStyle w:val="23"/>
              <w:spacing w:before="174" w:line="228" w:lineRule="auto"/>
              <w:ind w:left="507"/>
              <w:rPr>
                <w:color w:val="auto"/>
                <w:highlight w:val="none"/>
              </w:rPr>
            </w:pPr>
            <w:r>
              <w:rPr>
                <w:color w:val="auto"/>
                <w:spacing w:val="7"/>
                <w:highlight w:val="none"/>
              </w:rPr>
              <w:t>技术负责人</w:t>
            </w:r>
          </w:p>
        </w:tc>
        <w:tc>
          <w:tcPr>
            <w:tcW w:w="897" w:type="dxa"/>
            <w:vAlign w:val="top"/>
          </w:tcPr>
          <w:p w14:paraId="475D79BF">
            <w:pPr>
              <w:pStyle w:val="23"/>
              <w:spacing w:before="174" w:line="228" w:lineRule="auto"/>
              <w:ind w:left="242"/>
              <w:rPr>
                <w:color w:val="auto"/>
                <w:highlight w:val="none"/>
              </w:rPr>
            </w:pPr>
            <w:r>
              <w:rPr>
                <w:color w:val="auto"/>
                <w:spacing w:val="4"/>
                <w:highlight w:val="none"/>
              </w:rPr>
              <w:t>姓名</w:t>
            </w:r>
          </w:p>
        </w:tc>
        <w:tc>
          <w:tcPr>
            <w:tcW w:w="1025" w:type="dxa"/>
            <w:vAlign w:val="top"/>
          </w:tcPr>
          <w:p w14:paraId="0A6944DE">
            <w:pPr>
              <w:rPr>
                <w:rFonts w:ascii="Arial"/>
                <w:color w:val="auto"/>
                <w:sz w:val="21"/>
                <w:highlight w:val="none"/>
              </w:rPr>
            </w:pPr>
          </w:p>
        </w:tc>
        <w:tc>
          <w:tcPr>
            <w:tcW w:w="1286" w:type="dxa"/>
            <w:vAlign w:val="top"/>
          </w:tcPr>
          <w:p w14:paraId="5C939A3A">
            <w:pPr>
              <w:pStyle w:val="23"/>
              <w:spacing w:before="174" w:line="228" w:lineRule="auto"/>
              <w:ind w:left="229"/>
              <w:rPr>
                <w:color w:val="auto"/>
                <w:highlight w:val="none"/>
              </w:rPr>
            </w:pPr>
            <w:r>
              <w:rPr>
                <w:color w:val="auto"/>
                <w:spacing w:val="7"/>
                <w:highlight w:val="none"/>
              </w:rPr>
              <w:t>技术职称</w:t>
            </w:r>
          </w:p>
        </w:tc>
        <w:tc>
          <w:tcPr>
            <w:tcW w:w="1286" w:type="dxa"/>
            <w:gridSpan w:val="2"/>
            <w:vAlign w:val="top"/>
          </w:tcPr>
          <w:p w14:paraId="0BD61234">
            <w:pPr>
              <w:rPr>
                <w:rFonts w:ascii="Arial"/>
                <w:color w:val="auto"/>
                <w:sz w:val="21"/>
                <w:highlight w:val="none"/>
              </w:rPr>
            </w:pPr>
          </w:p>
        </w:tc>
        <w:tc>
          <w:tcPr>
            <w:tcW w:w="1112" w:type="dxa"/>
            <w:gridSpan w:val="2"/>
            <w:vAlign w:val="top"/>
          </w:tcPr>
          <w:p w14:paraId="574F2A04">
            <w:pPr>
              <w:pStyle w:val="23"/>
              <w:spacing w:before="174" w:line="230" w:lineRule="auto"/>
              <w:ind w:left="378"/>
              <w:rPr>
                <w:color w:val="auto"/>
                <w:highlight w:val="none"/>
              </w:rPr>
            </w:pPr>
            <w:r>
              <w:rPr>
                <w:color w:val="auto"/>
                <w:spacing w:val="-8"/>
                <w:highlight w:val="none"/>
              </w:rPr>
              <w:t>电话</w:t>
            </w:r>
          </w:p>
        </w:tc>
        <w:tc>
          <w:tcPr>
            <w:tcW w:w="1234" w:type="dxa"/>
            <w:vAlign w:val="top"/>
          </w:tcPr>
          <w:p w14:paraId="4B3B2C02">
            <w:pPr>
              <w:rPr>
                <w:rFonts w:ascii="Arial"/>
                <w:color w:val="auto"/>
                <w:sz w:val="21"/>
                <w:highlight w:val="none"/>
              </w:rPr>
            </w:pPr>
          </w:p>
        </w:tc>
      </w:tr>
      <w:tr w14:paraId="25886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7A8DB45">
            <w:pPr>
              <w:pStyle w:val="23"/>
              <w:spacing w:before="173" w:line="227" w:lineRule="auto"/>
              <w:ind w:left="193"/>
              <w:rPr>
                <w:color w:val="auto"/>
                <w:highlight w:val="none"/>
              </w:rPr>
            </w:pPr>
            <w:r>
              <w:rPr>
                <w:color w:val="auto"/>
                <w:spacing w:val="8"/>
                <w:highlight w:val="none"/>
              </w:rPr>
              <w:t>企业监理资质证书</w:t>
            </w:r>
          </w:p>
        </w:tc>
        <w:tc>
          <w:tcPr>
            <w:tcW w:w="6840" w:type="dxa"/>
            <w:gridSpan w:val="8"/>
            <w:vAlign w:val="top"/>
          </w:tcPr>
          <w:p w14:paraId="23611514">
            <w:pPr>
              <w:pStyle w:val="23"/>
              <w:spacing w:before="173" w:line="227" w:lineRule="auto"/>
              <w:ind w:left="219"/>
              <w:rPr>
                <w:color w:val="auto"/>
                <w:highlight w:val="none"/>
              </w:rPr>
            </w:pPr>
            <w:r>
              <w:rPr>
                <w:color w:val="auto"/>
                <w:spacing w:val="4"/>
                <w:highlight w:val="none"/>
              </w:rPr>
              <w:t>发证机关：</w:t>
            </w:r>
            <w:r>
              <w:rPr>
                <w:color w:val="auto"/>
                <w:spacing w:val="10"/>
                <w:highlight w:val="none"/>
              </w:rPr>
              <w:t xml:space="preserve">     </w:t>
            </w:r>
            <w:r>
              <w:rPr>
                <w:color w:val="auto"/>
                <w:spacing w:val="4"/>
                <w:highlight w:val="none"/>
              </w:rPr>
              <w:t>类型：</w:t>
            </w:r>
            <w:r>
              <w:rPr>
                <w:color w:val="auto"/>
                <w:spacing w:val="6"/>
                <w:highlight w:val="none"/>
              </w:rPr>
              <w:t xml:space="preserve">              </w:t>
            </w:r>
            <w:r>
              <w:rPr>
                <w:color w:val="auto"/>
                <w:spacing w:val="4"/>
                <w:highlight w:val="none"/>
              </w:rPr>
              <w:t>等级：</w:t>
            </w:r>
            <w:r>
              <w:rPr>
                <w:color w:val="auto"/>
                <w:spacing w:val="9"/>
                <w:highlight w:val="none"/>
              </w:rPr>
              <w:t xml:space="preserve">      </w:t>
            </w:r>
            <w:r>
              <w:rPr>
                <w:color w:val="auto"/>
                <w:spacing w:val="4"/>
                <w:highlight w:val="none"/>
              </w:rPr>
              <w:t>证书号：</w:t>
            </w:r>
          </w:p>
        </w:tc>
      </w:tr>
      <w:tr w14:paraId="58FF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117461BE">
            <w:pPr>
              <w:pStyle w:val="23"/>
              <w:spacing w:before="174" w:line="227" w:lineRule="auto"/>
              <w:ind w:left="194"/>
              <w:rPr>
                <w:color w:val="auto"/>
                <w:highlight w:val="none"/>
              </w:rPr>
            </w:pPr>
            <w:r>
              <w:rPr>
                <w:color w:val="auto"/>
                <w:spacing w:val="8"/>
                <w:highlight w:val="none"/>
              </w:rPr>
              <w:t>统一社会信用代码</w:t>
            </w:r>
          </w:p>
        </w:tc>
        <w:tc>
          <w:tcPr>
            <w:tcW w:w="3208" w:type="dxa"/>
            <w:gridSpan w:val="3"/>
            <w:vAlign w:val="top"/>
          </w:tcPr>
          <w:p w14:paraId="4F9B3633">
            <w:pPr>
              <w:rPr>
                <w:rFonts w:ascii="Arial"/>
                <w:color w:val="auto"/>
                <w:sz w:val="21"/>
                <w:highlight w:val="none"/>
              </w:rPr>
            </w:pPr>
          </w:p>
        </w:tc>
        <w:tc>
          <w:tcPr>
            <w:tcW w:w="3632" w:type="dxa"/>
            <w:gridSpan w:val="5"/>
            <w:vAlign w:val="top"/>
          </w:tcPr>
          <w:p w14:paraId="3F0CD818">
            <w:pPr>
              <w:pStyle w:val="23"/>
              <w:spacing w:before="174" w:line="228" w:lineRule="auto"/>
              <w:ind w:left="1199"/>
              <w:rPr>
                <w:color w:val="auto"/>
                <w:highlight w:val="none"/>
              </w:rPr>
            </w:pPr>
            <w:r>
              <w:rPr>
                <w:color w:val="auto"/>
                <w:spacing w:val="5"/>
                <w:highlight w:val="none"/>
              </w:rPr>
              <w:t>员工总人数：</w:t>
            </w:r>
          </w:p>
        </w:tc>
      </w:tr>
      <w:tr w14:paraId="7904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3850C3F8">
            <w:pPr>
              <w:pStyle w:val="23"/>
              <w:spacing w:before="173" w:line="227" w:lineRule="auto"/>
              <w:ind w:left="609"/>
              <w:rPr>
                <w:color w:val="auto"/>
                <w:highlight w:val="none"/>
              </w:rPr>
            </w:pPr>
            <w:r>
              <w:rPr>
                <w:color w:val="auto"/>
                <w:spacing w:val="7"/>
                <w:highlight w:val="none"/>
              </w:rPr>
              <w:t>注册资本</w:t>
            </w:r>
          </w:p>
        </w:tc>
        <w:tc>
          <w:tcPr>
            <w:tcW w:w="3208" w:type="dxa"/>
            <w:gridSpan w:val="3"/>
            <w:vAlign w:val="top"/>
          </w:tcPr>
          <w:p w14:paraId="1BBCAF3B">
            <w:pPr>
              <w:rPr>
                <w:rFonts w:ascii="Arial"/>
                <w:color w:val="auto"/>
                <w:sz w:val="21"/>
                <w:highlight w:val="none"/>
              </w:rPr>
            </w:pPr>
          </w:p>
        </w:tc>
        <w:tc>
          <w:tcPr>
            <w:tcW w:w="414" w:type="dxa"/>
            <w:vMerge w:val="restart"/>
            <w:tcBorders>
              <w:bottom w:val="nil"/>
            </w:tcBorders>
            <w:textDirection w:val="tbRlV"/>
            <w:vAlign w:val="top"/>
          </w:tcPr>
          <w:p w14:paraId="5A024472">
            <w:pPr>
              <w:pStyle w:val="23"/>
              <w:spacing w:before="91" w:line="216" w:lineRule="auto"/>
              <w:ind w:left="629"/>
              <w:rPr>
                <w:color w:val="auto"/>
                <w:highlight w:val="none"/>
              </w:rPr>
            </w:pPr>
            <w:r>
              <w:rPr>
                <w:color w:val="auto"/>
                <w:spacing w:val="8"/>
                <w:highlight w:val="none"/>
              </w:rPr>
              <w:t>其</w:t>
            </w:r>
            <w:r>
              <w:rPr>
                <w:color w:val="auto"/>
                <w:spacing w:val="15"/>
                <w:highlight w:val="none"/>
              </w:rPr>
              <w:t xml:space="preserve">  </w:t>
            </w:r>
            <w:r>
              <w:rPr>
                <w:color w:val="auto"/>
                <w:spacing w:val="8"/>
                <w:highlight w:val="none"/>
              </w:rPr>
              <w:t>中</w:t>
            </w:r>
          </w:p>
        </w:tc>
        <w:tc>
          <w:tcPr>
            <w:tcW w:w="1700" w:type="dxa"/>
            <w:gridSpan w:val="2"/>
            <w:vAlign w:val="top"/>
          </w:tcPr>
          <w:p w14:paraId="2E209A83">
            <w:pPr>
              <w:pStyle w:val="23"/>
              <w:spacing w:before="172" w:line="228" w:lineRule="auto"/>
              <w:ind w:left="233"/>
              <w:rPr>
                <w:color w:val="auto"/>
                <w:highlight w:val="none"/>
              </w:rPr>
            </w:pPr>
            <w:r>
              <w:rPr>
                <w:color w:val="auto"/>
                <w:spacing w:val="7"/>
                <w:highlight w:val="none"/>
              </w:rPr>
              <w:t>高级职称人员</w:t>
            </w:r>
          </w:p>
        </w:tc>
        <w:tc>
          <w:tcPr>
            <w:tcW w:w="1518" w:type="dxa"/>
            <w:gridSpan w:val="2"/>
            <w:vAlign w:val="top"/>
          </w:tcPr>
          <w:p w14:paraId="37DF73E6">
            <w:pPr>
              <w:rPr>
                <w:rFonts w:ascii="Arial"/>
                <w:color w:val="auto"/>
                <w:sz w:val="21"/>
                <w:highlight w:val="none"/>
              </w:rPr>
            </w:pPr>
          </w:p>
        </w:tc>
      </w:tr>
      <w:tr w14:paraId="72DA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6DC7015">
            <w:pPr>
              <w:pStyle w:val="23"/>
              <w:spacing w:before="175" w:line="228" w:lineRule="auto"/>
              <w:ind w:left="611"/>
              <w:rPr>
                <w:color w:val="auto"/>
                <w:highlight w:val="none"/>
              </w:rPr>
            </w:pPr>
            <w:r>
              <w:rPr>
                <w:color w:val="auto"/>
                <w:spacing w:val="6"/>
                <w:highlight w:val="none"/>
              </w:rPr>
              <w:t>成立日期</w:t>
            </w:r>
          </w:p>
        </w:tc>
        <w:tc>
          <w:tcPr>
            <w:tcW w:w="3208" w:type="dxa"/>
            <w:gridSpan w:val="3"/>
            <w:vAlign w:val="top"/>
          </w:tcPr>
          <w:p w14:paraId="30967CCE">
            <w:pPr>
              <w:rPr>
                <w:rFonts w:ascii="Arial"/>
                <w:color w:val="auto"/>
                <w:sz w:val="21"/>
                <w:highlight w:val="none"/>
              </w:rPr>
            </w:pPr>
          </w:p>
        </w:tc>
        <w:tc>
          <w:tcPr>
            <w:tcW w:w="414" w:type="dxa"/>
            <w:vMerge w:val="continue"/>
            <w:tcBorders>
              <w:top w:val="nil"/>
              <w:bottom w:val="nil"/>
            </w:tcBorders>
            <w:textDirection w:val="tbRlV"/>
            <w:vAlign w:val="top"/>
          </w:tcPr>
          <w:p w14:paraId="57E3F74F">
            <w:pPr>
              <w:rPr>
                <w:rFonts w:ascii="Arial"/>
                <w:color w:val="auto"/>
                <w:sz w:val="21"/>
                <w:highlight w:val="none"/>
              </w:rPr>
            </w:pPr>
          </w:p>
        </w:tc>
        <w:tc>
          <w:tcPr>
            <w:tcW w:w="1700" w:type="dxa"/>
            <w:gridSpan w:val="2"/>
            <w:vAlign w:val="top"/>
          </w:tcPr>
          <w:p w14:paraId="58697ECB">
            <w:pPr>
              <w:pStyle w:val="23"/>
              <w:spacing w:before="175" w:line="228" w:lineRule="auto"/>
              <w:ind w:left="247"/>
              <w:rPr>
                <w:color w:val="auto"/>
                <w:highlight w:val="none"/>
              </w:rPr>
            </w:pPr>
            <w:r>
              <w:rPr>
                <w:color w:val="auto"/>
                <w:spacing w:val="4"/>
                <w:highlight w:val="none"/>
              </w:rPr>
              <w:t>中级职称人员</w:t>
            </w:r>
          </w:p>
        </w:tc>
        <w:tc>
          <w:tcPr>
            <w:tcW w:w="1518" w:type="dxa"/>
            <w:gridSpan w:val="2"/>
            <w:vAlign w:val="top"/>
          </w:tcPr>
          <w:p w14:paraId="7E774838">
            <w:pPr>
              <w:rPr>
                <w:rFonts w:ascii="Arial"/>
                <w:color w:val="auto"/>
                <w:sz w:val="21"/>
                <w:highlight w:val="none"/>
              </w:rPr>
            </w:pPr>
          </w:p>
        </w:tc>
      </w:tr>
      <w:tr w14:paraId="24AC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16F96655">
            <w:pPr>
              <w:pStyle w:val="23"/>
              <w:spacing w:before="174" w:line="227" w:lineRule="auto"/>
              <w:ind w:left="189"/>
              <w:rPr>
                <w:color w:val="auto"/>
                <w:highlight w:val="none"/>
              </w:rPr>
            </w:pPr>
            <w:r>
              <w:rPr>
                <w:color w:val="auto"/>
                <w:spacing w:val="8"/>
                <w:highlight w:val="none"/>
              </w:rPr>
              <w:t>基本账户开户银行</w:t>
            </w:r>
          </w:p>
        </w:tc>
        <w:tc>
          <w:tcPr>
            <w:tcW w:w="3208" w:type="dxa"/>
            <w:gridSpan w:val="3"/>
            <w:vAlign w:val="top"/>
          </w:tcPr>
          <w:p w14:paraId="63C9EA3D">
            <w:pPr>
              <w:rPr>
                <w:rFonts w:ascii="Arial"/>
                <w:color w:val="auto"/>
                <w:sz w:val="21"/>
                <w:highlight w:val="none"/>
              </w:rPr>
            </w:pPr>
          </w:p>
        </w:tc>
        <w:tc>
          <w:tcPr>
            <w:tcW w:w="414" w:type="dxa"/>
            <w:vMerge w:val="continue"/>
            <w:tcBorders>
              <w:top w:val="nil"/>
              <w:bottom w:val="nil"/>
            </w:tcBorders>
            <w:textDirection w:val="tbRlV"/>
            <w:vAlign w:val="top"/>
          </w:tcPr>
          <w:p w14:paraId="6EEB800B">
            <w:pPr>
              <w:rPr>
                <w:rFonts w:ascii="Arial"/>
                <w:color w:val="auto"/>
                <w:sz w:val="21"/>
                <w:highlight w:val="none"/>
              </w:rPr>
            </w:pPr>
          </w:p>
        </w:tc>
        <w:tc>
          <w:tcPr>
            <w:tcW w:w="1700" w:type="dxa"/>
            <w:gridSpan w:val="2"/>
            <w:vAlign w:val="top"/>
          </w:tcPr>
          <w:p w14:paraId="27FF90FF">
            <w:pPr>
              <w:pStyle w:val="23"/>
              <w:spacing w:before="173" w:line="228" w:lineRule="auto"/>
              <w:ind w:left="228"/>
              <w:rPr>
                <w:color w:val="auto"/>
                <w:highlight w:val="none"/>
              </w:rPr>
            </w:pPr>
            <w:r>
              <w:rPr>
                <w:color w:val="auto"/>
                <w:spacing w:val="8"/>
                <w:highlight w:val="none"/>
              </w:rPr>
              <w:t>技术人员数量</w:t>
            </w:r>
          </w:p>
        </w:tc>
        <w:tc>
          <w:tcPr>
            <w:tcW w:w="1518" w:type="dxa"/>
            <w:gridSpan w:val="2"/>
            <w:vAlign w:val="top"/>
          </w:tcPr>
          <w:p w14:paraId="36343202">
            <w:pPr>
              <w:rPr>
                <w:rFonts w:ascii="Arial"/>
                <w:color w:val="auto"/>
                <w:sz w:val="21"/>
                <w:highlight w:val="none"/>
              </w:rPr>
            </w:pPr>
          </w:p>
        </w:tc>
      </w:tr>
      <w:tr w14:paraId="1B02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13EA9552">
            <w:pPr>
              <w:pStyle w:val="23"/>
              <w:spacing w:before="175" w:line="227" w:lineRule="auto"/>
              <w:ind w:left="189"/>
              <w:rPr>
                <w:color w:val="auto"/>
                <w:highlight w:val="none"/>
              </w:rPr>
            </w:pPr>
            <w:r>
              <w:rPr>
                <w:color w:val="auto"/>
                <w:spacing w:val="8"/>
                <w:highlight w:val="none"/>
              </w:rPr>
              <w:t>基本账户银行账号</w:t>
            </w:r>
          </w:p>
        </w:tc>
        <w:tc>
          <w:tcPr>
            <w:tcW w:w="3208" w:type="dxa"/>
            <w:gridSpan w:val="3"/>
            <w:vAlign w:val="top"/>
          </w:tcPr>
          <w:p w14:paraId="4BC397A3">
            <w:pPr>
              <w:rPr>
                <w:rFonts w:ascii="Arial"/>
                <w:color w:val="auto"/>
                <w:sz w:val="21"/>
                <w:highlight w:val="none"/>
              </w:rPr>
            </w:pPr>
          </w:p>
        </w:tc>
        <w:tc>
          <w:tcPr>
            <w:tcW w:w="414" w:type="dxa"/>
            <w:vMerge w:val="continue"/>
            <w:tcBorders>
              <w:top w:val="nil"/>
            </w:tcBorders>
            <w:textDirection w:val="tbRlV"/>
            <w:vAlign w:val="top"/>
          </w:tcPr>
          <w:p w14:paraId="0F39BEF9">
            <w:pPr>
              <w:rPr>
                <w:rFonts w:ascii="Arial"/>
                <w:color w:val="auto"/>
                <w:sz w:val="21"/>
                <w:highlight w:val="none"/>
              </w:rPr>
            </w:pPr>
          </w:p>
        </w:tc>
        <w:tc>
          <w:tcPr>
            <w:tcW w:w="1700" w:type="dxa"/>
            <w:gridSpan w:val="2"/>
            <w:vAlign w:val="top"/>
          </w:tcPr>
          <w:p w14:paraId="3EDDF4B7">
            <w:pPr>
              <w:pStyle w:val="23"/>
              <w:spacing w:before="175" w:line="228" w:lineRule="auto"/>
              <w:ind w:left="230"/>
              <w:rPr>
                <w:color w:val="auto"/>
                <w:highlight w:val="none"/>
              </w:rPr>
            </w:pPr>
            <w:r>
              <w:rPr>
                <w:color w:val="auto"/>
                <w:spacing w:val="7"/>
                <w:highlight w:val="none"/>
              </w:rPr>
              <w:t>各类注册人员</w:t>
            </w:r>
          </w:p>
        </w:tc>
        <w:tc>
          <w:tcPr>
            <w:tcW w:w="1518" w:type="dxa"/>
            <w:gridSpan w:val="2"/>
            <w:vAlign w:val="top"/>
          </w:tcPr>
          <w:p w14:paraId="39BBF1D1">
            <w:pPr>
              <w:rPr>
                <w:rFonts w:ascii="Arial"/>
                <w:color w:val="auto"/>
                <w:sz w:val="21"/>
                <w:highlight w:val="none"/>
              </w:rPr>
            </w:pPr>
          </w:p>
        </w:tc>
      </w:tr>
      <w:tr w14:paraId="2583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265F87D9">
            <w:pPr>
              <w:pStyle w:val="23"/>
              <w:spacing w:before="174" w:line="228" w:lineRule="auto"/>
              <w:ind w:left="717"/>
              <w:rPr>
                <w:color w:val="auto"/>
                <w:highlight w:val="none"/>
              </w:rPr>
            </w:pPr>
            <w:r>
              <w:rPr>
                <w:color w:val="auto"/>
                <w:spacing w:val="6"/>
                <w:highlight w:val="none"/>
              </w:rPr>
              <w:t>经营范围</w:t>
            </w:r>
          </w:p>
        </w:tc>
        <w:tc>
          <w:tcPr>
            <w:tcW w:w="6840" w:type="dxa"/>
            <w:gridSpan w:val="8"/>
            <w:vAlign w:val="top"/>
          </w:tcPr>
          <w:p w14:paraId="58CAD95E">
            <w:pPr>
              <w:rPr>
                <w:rFonts w:ascii="Arial"/>
                <w:color w:val="auto"/>
                <w:sz w:val="21"/>
                <w:highlight w:val="none"/>
              </w:rPr>
            </w:pPr>
          </w:p>
        </w:tc>
      </w:tr>
      <w:tr w14:paraId="2244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vAlign w:val="top"/>
          </w:tcPr>
          <w:p w14:paraId="5873FCBE">
            <w:pPr>
              <w:spacing w:line="266" w:lineRule="auto"/>
              <w:rPr>
                <w:rFonts w:ascii="Arial"/>
                <w:color w:val="auto"/>
                <w:sz w:val="21"/>
                <w:highlight w:val="none"/>
              </w:rPr>
            </w:pPr>
          </w:p>
          <w:p w14:paraId="50AE07C7">
            <w:pPr>
              <w:spacing w:line="266" w:lineRule="auto"/>
              <w:rPr>
                <w:rFonts w:ascii="Arial"/>
                <w:color w:val="auto"/>
                <w:sz w:val="21"/>
                <w:highlight w:val="none"/>
              </w:rPr>
            </w:pPr>
          </w:p>
          <w:p w14:paraId="2208E29D">
            <w:pPr>
              <w:spacing w:line="266" w:lineRule="auto"/>
              <w:rPr>
                <w:rFonts w:ascii="Arial"/>
                <w:color w:val="auto"/>
                <w:sz w:val="21"/>
                <w:highlight w:val="none"/>
              </w:rPr>
            </w:pPr>
          </w:p>
          <w:p w14:paraId="09CA6CA4">
            <w:pPr>
              <w:spacing w:line="266" w:lineRule="auto"/>
              <w:rPr>
                <w:rFonts w:ascii="Arial"/>
                <w:color w:val="auto"/>
                <w:sz w:val="21"/>
                <w:highlight w:val="none"/>
              </w:rPr>
            </w:pPr>
          </w:p>
          <w:p w14:paraId="40905541">
            <w:pPr>
              <w:pStyle w:val="23"/>
              <w:spacing w:before="65" w:line="228" w:lineRule="auto"/>
              <w:ind w:left="192"/>
              <w:rPr>
                <w:color w:val="auto"/>
                <w:highlight w:val="none"/>
              </w:rPr>
            </w:pPr>
            <w:r>
              <w:rPr>
                <w:color w:val="auto"/>
                <w:spacing w:val="8"/>
                <w:highlight w:val="none"/>
              </w:rPr>
              <w:t>投标人关联企业情</w:t>
            </w:r>
          </w:p>
          <w:p w14:paraId="700E742D">
            <w:pPr>
              <w:pStyle w:val="23"/>
              <w:spacing w:before="192" w:line="228" w:lineRule="auto"/>
              <w:ind w:left="928"/>
              <w:rPr>
                <w:color w:val="auto"/>
                <w:highlight w:val="none"/>
              </w:rPr>
            </w:pPr>
            <w:r>
              <w:rPr>
                <w:color w:val="auto"/>
                <w:highlight w:val="none"/>
              </w:rPr>
              <w:t>况</w:t>
            </w:r>
          </w:p>
        </w:tc>
        <w:tc>
          <w:tcPr>
            <w:tcW w:w="6840" w:type="dxa"/>
            <w:gridSpan w:val="8"/>
            <w:vAlign w:val="top"/>
          </w:tcPr>
          <w:p w14:paraId="6AAF4542">
            <w:pPr>
              <w:pStyle w:val="23"/>
              <w:spacing w:before="160" w:line="227" w:lineRule="auto"/>
              <w:ind w:left="115"/>
              <w:rPr>
                <w:color w:val="auto"/>
                <w:highlight w:val="none"/>
              </w:rPr>
            </w:pPr>
            <w:r>
              <w:rPr>
                <w:color w:val="auto"/>
                <w:spacing w:val="8"/>
                <w:highlight w:val="none"/>
              </w:rPr>
              <w:t>投标人应提供关联企业情况，包括：</w:t>
            </w:r>
          </w:p>
          <w:p w14:paraId="531A7185">
            <w:pPr>
              <w:pStyle w:val="23"/>
              <w:spacing w:before="154" w:line="322" w:lineRule="auto"/>
              <w:ind w:left="112" w:right="108" w:hanging="95"/>
              <w:rPr>
                <w:color w:val="auto"/>
                <w:highlight w:val="none"/>
              </w:rPr>
            </w:pPr>
            <w:r>
              <w:rPr>
                <w:color w:val="auto"/>
                <w:spacing w:val="11"/>
                <w:highlight w:val="none"/>
              </w:rPr>
              <w:t>（1）投标人的所有股东名称及相应股权（出资额）</w:t>
            </w:r>
            <w:r>
              <w:rPr>
                <w:color w:val="auto"/>
                <w:spacing w:val="-45"/>
                <w:highlight w:val="none"/>
              </w:rPr>
              <w:t xml:space="preserve"> </w:t>
            </w:r>
            <w:r>
              <w:rPr>
                <w:color w:val="auto"/>
                <w:spacing w:val="11"/>
                <w:highlight w:val="none"/>
              </w:rPr>
              <w:t>比例；如投标人为上</w:t>
            </w:r>
            <w:r>
              <w:rPr>
                <w:color w:val="auto"/>
                <w:spacing w:val="12"/>
                <w:highlight w:val="none"/>
              </w:rPr>
              <w:t>市公司，投标人应提供股权占公司股份总数</w:t>
            </w:r>
            <w:r>
              <w:rPr>
                <w:color w:val="auto"/>
                <w:spacing w:val="12"/>
                <w:highlight w:val="none"/>
                <w:u w:val="single" w:color="auto"/>
              </w:rPr>
              <w:t xml:space="preserve"> 5 </w:t>
            </w:r>
            <w:r>
              <w:rPr>
                <w:color w:val="auto"/>
                <w:spacing w:val="12"/>
                <w:highlight w:val="none"/>
              </w:rPr>
              <w:t>%以上的所有股东名称及</w:t>
            </w:r>
            <w:r>
              <w:rPr>
                <w:color w:val="auto"/>
                <w:spacing w:val="7"/>
                <w:highlight w:val="none"/>
              </w:rPr>
              <w:t>相应股权比例；</w:t>
            </w:r>
          </w:p>
          <w:p w14:paraId="03B574F6">
            <w:pPr>
              <w:pStyle w:val="23"/>
              <w:spacing w:before="155" w:line="298" w:lineRule="auto"/>
              <w:ind w:left="135" w:right="127" w:hanging="118"/>
              <w:rPr>
                <w:color w:val="auto"/>
                <w:highlight w:val="none"/>
              </w:rPr>
            </w:pPr>
            <w:r>
              <w:rPr>
                <w:color w:val="auto"/>
                <w:spacing w:val="12"/>
                <w:highlight w:val="none"/>
              </w:rPr>
              <w:t>（2）投标人投资（控股）或管理的下属企业名称、持有股权（出资额）</w:t>
            </w:r>
            <w:r>
              <w:rPr>
                <w:color w:val="auto"/>
                <w:spacing w:val="-5"/>
                <w:highlight w:val="none"/>
              </w:rPr>
              <w:t>比例；</w:t>
            </w:r>
          </w:p>
          <w:p w14:paraId="0D8C3995">
            <w:pPr>
              <w:pStyle w:val="23"/>
              <w:spacing w:before="152" w:line="214" w:lineRule="auto"/>
              <w:ind w:left="17"/>
              <w:rPr>
                <w:color w:val="auto"/>
                <w:highlight w:val="none"/>
              </w:rPr>
            </w:pPr>
            <w:r>
              <w:rPr>
                <w:color w:val="auto"/>
                <w:spacing w:val="9"/>
                <w:highlight w:val="none"/>
              </w:rPr>
              <w:t>（3）与投标人单位负责人（即法定代表人）为同一人的其他</w:t>
            </w:r>
            <w:r>
              <w:rPr>
                <w:color w:val="auto"/>
                <w:spacing w:val="8"/>
                <w:highlight w:val="none"/>
              </w:rPr>
              <w:t>单位名称。</w:t>
            </w:r>
          </w:p>
        </w:tc>
      </w:tr>
      <w:tr w14:paraId="63EF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11E158B2">
            <w:pPr>
              <w:pStyle w:val="23"/>
              <w:spacing w:before="175" w:line="229" w:lineRule="auto"/>
              <w:ind w:left="823"/>
              <w:rPr>
                <w:color w:val="auto"/>
                <w:highlight w:val="none"/>
              </w:rPr>
            </w:pPr>
            <w:r>
              <w:rPr>
                <w:color w:val="auto"/>
                <w:spacing w:val="3"/>
                <w:highlight w:val="none"/>
              </w:rPr>
              <w:t>备注</w:t>
            </w:r>
          </w:p>
        </w:tc>
        <w:tc>
          <w:tcPr>
            <w:tcW w:w="6840" w:type="dxa"/>
            <w:gridSpan w:val="8"/>
            <w:vAlign w:val="top"/>
          </w:tcPr>
          <w:p w14:paraId="30A79D59">
            <w:pPr>
              <w:rPr>
                <w:rFonts w:ascii="Arial"/>
                <w:color w:val="auto"/>
                <w:sz w:val="21"/>
                <w:highlight w:val="none"/>
              </w:rPr>
            </w:pPr>
          </w:p>
        </w:tc>
      </w:tr>
    </w:tbl>
    <w:p w14:paraId="418CA1CD">
      <w:pPr>
        <w:spacing w:before="119" w:line="227" w:lineRule="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注：1.投标人应根据招标文件第二章“投标人须知</w:t>
      </w:r>
      <w:r>
        <w:rPr>
          <w:rFonts w:ascii="宋体" w:hAnsi="宋体" w:eastAsia="宋体" w:cs="宋体"/>
          <w:color w:val="auto"/>
          <w:spacing w:val="-63"/>
          <w:sz w:val="20"/>
          <w:szCs w:val="20"/>
          <w:highlight w:val="none"/>
        </w:rPr>
        <w:t xml:space="preserve"> </w:t>
      </w:r>
      <w:r>
        <w:rPr>
          <w:rFonts w:ascii="宋体" w:hAnsi="宋体" w:eastAsia="宋体" w:cs="宋体"/>
          <w:color w:val="auto"/>
          <w:spacing w:val="8"/>
          <w:sz w:val="20"/>
          <w:szCs w:val="20"/>
          <w:highlight w:val="none"/>
        </w:rPr>
        <w:t>”第3.5.1项的要求在本表后附相关证明材料。</w:t>
      </w:r>
    </w:p>
    <w:p w14:paraId="1D79F036">
      <w:pPr>
        <w:spacing w:before="114"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2.以联合体形式参与投标的，联合体各成员</w:t>
      </w:r>
      <w:r>
        <w:rPr>
          <w:rFonts w:ascii="宋体" w:hAnsi="宋体" w:eastAsia="宋体" w:cs="宋体"/>
          <w:color w:val="auto"/>
          <w:spacing w:val="8"/>
          <w:sz w:val="20"/>
          <w:szCs w:val="20"/>
          <w:highlight w:val="none"/>
        </w:rPr>
        <w:t>应分别填写。</w:t>
      </w:r>
    </w:p>
    <w:p w14:paraId="6BCDE689">
      <w:pPr>
        <w:spacing w:line="228" w:lineRule="auto"/>
        <w:rPr>
          <w:rFonts w:ascii="宋体" w:hAnsi="宋体" w:eastAsia="宋体" w:cs="宋体"/>
          <w:color w:val="auto"/>
          <w:sz w:val="20"/>
          <w:szCs w:val="20"/>
          <w:highlight w:val="none"/>
        </w:rPr>
        <w:sectPr>
          <w:footerReference r:id="rId49" w:type="default"/>
          <w:pgSz w:w="11906" w:h="16839"/>
          <w:pgMar w:top="1431" w:right="1505" w:bottom="1297" w:left="1424" w:header="0" w:footer="1067" w:gutter="0"/>
          <w:pgNumType w:fmt="decimal"/>
          <w:cols w:space="720" w:num="1"/>
        </w:sectPr>
      </w:pPr>
    </w:p>
    <w:p w14:paraId="46760DB6">
      <w:pPr>
        <w:spacing w:before="59" w:line="219" w:lineRule="auto"/>
        <w:ind w:left="2567"/>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（二）投标人企业组织机构框图</w:t>
      </w:r>
    </w:p>
    <w:p w14:paraId="08BBBBC9">
      <w:pPr>
        <w:spacing w:line="184" w:lineRule="exact"/>
        <w:rPr>
          <w:color w:val="auto"/>
          <w:highlight w:val="none"/>
        </w:rPr>
      </w:pPr>
    </w:p>
    <w:tbl>
      <w:tblPr>
        <w:tblStyle w:val="22"/>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1C78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vAlign w:val="top"/>
          </w:tcPr>
          <w:p w14:paraId="6CE79786">
            <w:pPr>
              <w:spacing w:line="307" w:lineRule="auto"/>
              <w:rPr>
                <w:rFonts w:ascii="Arial"/>
                <w:color w:val="auto"/>
                <w:sz w:val="21"/>
                <w:highlight w:val="none"/>
              </w:rPr>
            </w:pPr>
          </w:p>
          <w:p w14:paraId="16FA4117">
            <w:pPr>
              <w:spacing w:line="307" w:lineRule="auto"/>
              <w:rPr>
                <w:rFonts w:ascii="Arial"/>
                <w:color w:val="auto"/>
                <w:sz w:val="21"/>
                <w:highlight w:val="none"/>
              </w:rPr>
            </w:pPr>
          </w:p>
          <w:p w14:paraId="74E07067">
            <w:pPr>
              <w:pStyle w:val="23"/>
              <w:spacing w:before="65" w:line="228" w:lineRule="auto"/>
              <w:ind w:left="407"/>
              <w:rPr>
                <w:color w:val="auto"/>
                <w:highlight w:val="none"/>
              </w:rPr>
            </w:pPr>
            <w:r>
              <w:rPr>
                <w:color w:val="auto"/>
                <w:spacing w:val="5"/>
                <w:highlight w:val="none"/>
              </w:rPr>
              <w:t>以框图方式表示</w:t>
            </w:r>
          </w:p>
        </w:tc>
      </w:tr>
      <w:tr w14:paraId="377A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vAlign w:val="top"/>
          </w:tcPr>
          <w:p w14:paraId="7BDB5D3D">
            <w:pPr>
              <w:pStyle w:val="23"/>
              <w:spacing w:before="163" w:line="228" w:lineRule="auto"/>
              <w:ind w:left="386"/>
              <w:rPr>
                <w:color w:val="auto"/>
                <w:highlight w:val="none"/>
              </w:rPr>
            </w:pPr>
            <w:r>
              <w:rPr>
                <w:color w:val="auto"/>
                <w:spacing w:val="3"/>
                <w:highlight w:val="none"/>
              </w:rPr>
              <w:t>说明</w:t>
            </w:r>
          </w:p>
        </w:tc>
      </w:tr>
    </w:tbl>
    <w:p w14:paraId="20033576">
      <w:pPr>
        <w:rPr>
          <w:rFonts w:ascii="Arial"/>
          <w:color w:val="auto"/>
          <w:sz w:val="21"/>
          <w:highlight w:val="none"/>
        </w:rPr>
      </w:pPr>
    </w:p>
    <w:p w14:paraId="567E464C">
      <w:pPr>
        <w:rPr>
          <w:rFonts w:ascii="Arial" w:hAnsi="Arial" w:eastAsia="Arial" w:cs="Arial"/>
          <w:color w:val="auto"/>
          <w:sz w:val="21"/>
          <w:szCs w:val="21"/>
          <w:highlight w:val="none"/>
        </w:rPr>
        <w:sectPr>
          <w:footerReference r:id="rId50" w:type="default"/>
          <w:pgSz w:w="11906" w:h="16839"/>
          <w:pgMar w:top="1401" w:right="1698" w:bottom="1297" w:left="1301" w:header="0" w:footer="1067" w:gutter="0"/>
          <w:pgNumType w:fmt="decimal"/>
          <w:cols w:space="720" w:num="1"/>
        </w:sectPr>
      </w:pPr>
    </w:p>
    <w:p w14:paraId="0F2DA5E0">
      <w:pPr>
        <w:spacing w:line="330" w:lineRule="auto"/>
        <w:rPr>
          <w:rFonts w:ascii="Arial"/>
          <w:color w:val="auto"/>
          <w:sz w:val="21"/>
          <w:highlight w:val="none"/>
        </w:rPr>
      </w:pPr>
    </w:p>
    <w:p w14:paraId="12BB4A76">
      <w:pPr>
        <w:spacing w:line="330" w:lineRule="auto"/>
        <w:rPr>
          <w:rFonts w:ascii="Arial"/>
          <w:color w:val="auto"/>
          <w:sz w:val="21"/>
          <w:highlight w:val="none"/>
        </w:rPr>
      </w:pPr>
    </w:p>
    <w:p w14:paraId="3F9BC757">
      <w:pPr>
        <w:spacing w:before="98" w:line="219" w:lineRule="auto"/>
        <w:ind w:left="4578"/>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（三）近年完成的类似项目情况汇总表</w:t>
      </w:r>
    </w:p>
    <w:p w14:paraId="20C6B5A8">
      <w:pPr>
        <w:spacing w:line="181" w:lineRule="exact"/>
        <w:rPr>
          <w:color w:val="auto"/>
          <w:highlight w:val="none"/>
        </w:rPr>
      </w:pPr>
    </w:p>
    <w:tbl>
      <w:tblPr>
        <w:tblStyle w:val="22"/>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14:paraId="322F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vAlign w:val="top"/>
          </w:tcPr>
          <w:p w14:paraId="320D98F7">
            <w:pPr>
              <w:pStyle w:val="23"/>
              <w:spacing w:before="210" w:line="218" w:lineRule="auto"/>
              <w:ind w:left="170"/>
              <w:rPr>
                <w:color w:val="auto"/>
                <w:highlight w:val="none"/>
              </w:rPr>
            </w:pPr>
            <w:r>
              <w:rPr>
                <w:color w:val="auto"/>
                <w:spacing w:val="8"/>
                <w:highlight w:val="none"/>
              </w:rPr>
              <w:t>序</w:t>
            </w:r>
            <w:r>
              <w:rPr>
                <w:color w:val="auto"/>
                <w:spacing w:val="-35"/>
                <w:highlight w:val="none"/>
              </w:rPr>
              <w:t xml:space="preserve"> </w:t>
            </w:r>
            <w:r>
              <w:rPr>
                <w:color w:val="auto"/>
                <w:spacing w:val="8"/>
                <w:highlight w:val="none"/>
              </w:rPr>
              <w:t>号</w:t>
            </w:r>
          </w:p>
        </w:tc>
        <w:tc>
          <w:tcPr>
            <w:tcW w:w="1031" w:type="dxa"/>
            <w:vAlign w:val="top"/>
          </w:tcPr>
          <w:p w14:paraId="362DBC85">
            <w:pPr>
              <w:pStyle w:val="23"/>
              <w:spacing w:before="170" w:line="255" w:lineRule="auto"/>
              <w:ind w:left="413" w:right="202" w:hanging="207"/>
              <w:rPr>
                <w:color w:val="auto"/>
                <w:highlight w:val="none"/>
              </w:rPr>
            </w:pPr>
            <w:r>
              <w:rPr>
                <w:color w:val="auto"/>
                <w:spacing w:val="5"/>
                <w:highlight w:val="none"/>
              </w:rPr>
              <w:t>项目名</w:t>
            </w:r>
            <w:r>
              <w:rPr>
                <w:color w:val="auto"/>
                <w:spacing w:val="1"/>
                <w:highlight w:val="none"/>
              </w:rPr>
              <w:t>称</w:t>
            </w:r>
          </w:p>
        </w:tc>
        <w:tc>
          <w:tcPr>
            <w:tcW w:w="1289" w:type="dxa"/>
            <w:vAlign w:val="top"/>
          </w:tcPr>
          <w:p w14:paraId="0C768F61">
            <w:pPr>
              <w:pStyle w:val="23"/>
              <w:spacing w:before="170" w:line="255" w:lineRule="auto"/>
              <w:ind w:left="546" w:right="173" w:hanging="371"/>
              <w:rPr>
                <w:color w:val="auto"/>
                <w:highlight w:val="none"/>
              </w:rPr>
            </w:pPr>
            <w:r>
              <w:rPr>
                <w:color w:val="auto"/>
                <w:spacing w:val="6"/>
                <w:highlight w:val="none"/>
              </w:rPr>
              <w:t>新建/改扩</w:t>
            </w:r>
            <w:r>
              <w:rPr>
                <w:color w:val="auto"/>
                <w:highlight w:val="none"/>
              </w:rPr>
              <w:t>建</w:t>
            </w:r>
          </w:p>
        </w:tc>
        <w:tc>
          <w:tcPr>
            <w:tcW w:w="1031" w:type="dxa"/>
            <w:vAlign w:val="top"/>
          </w:tcPr>
          <w:p w14:paraId="03724B81">
            <w:pPr>
              <w:pStyle w:val="23"/>
              <w:spacing w:before="170" w:line="255" w:lineRule="auto"/>
              <w:ind w:left="418" w:right="201" w:hanging="208"/>
              <w:rPr>
                <w:color w:val="auto"/>
                <w:highlight w:val="none"/>
              </w:rPr>
            </w:pPr>
            <w:r>
              <w:rPr>
                <w:color w:val="auto"/>
                <w:spacing w:val="4"/>
                <w:highlight w:val="none"/>
              </w:rPr>
              <w:t>公路等</w:t>
            </w:r>
            <w:r>
              <w:rPr>
                <w:color w:val="auto"/>
                <w:highlight w:val="none"/>
              </w:rPr>
              <w:t>级</w:t>
            </w:r>
          </w:p>
        </w:tc>
        <w:tc>
          <w:tcPr>
            <w:tcW w:w="1434" w:type="dxa"/>
            <w:vAlign w:val="top"/>
          </w:tcPr>
          <w:p w14:paraId="54B32F42">
            <w:pPr>
              <w:pStyle w:val="23"/>
              <w:spacing w:before="171" w:line="255" w:lineRule="auto"/>
              <w:ind w:left="633" w:right="190" w:hanging="432"/>
              <w:rPr>
                <w:color w:val="auto"/>
                <w:highlight w:val="none"/>
              </w:rPr>
            </w:pPr>
            <w:r>
              <w:rPr>
                <w:color w:val="auto"/>
                <w:spacing w:val="7"/>
                <w:highlight w:val="none"/>
              </w:rPr>
              <w:t>交工验收时</w:t>
            </w:r>
            <w:r>
              <w:rPr>
                <w:color w:val="auto"/>
                <w:highlight w:val="none"/>
              </w:rPr>
              <w:t>间</w:t>
            </w:r>
          </w:p>
        </w:tc>
        <w:tc>
          <w:tcPr>
            <w:tcW w:w="1307" w:type="dxa"/>
            <w:vAlign w:val="top"/>
          </w:tcPr>
          <w:p w14:paraId="66A4D46F">
            <w:pPr>
              <w:rPr>
                <w:rFonts w:ascii="Arial"/>
                <w:color w:val="auto"/>
                <w:sz w:val="21"/>
                <w:highlight w:val="none"/>
              </w:rPr>
            </w:pPr>
          </w:p>
          <w:p w14:paraId="6AF1B443">
            <w:pPr>
              <w:pStyle w:val="23"/>
              <w:spacing w:before="65" w:line="228" w:lineRule="auto"/>
              <w:ind w:left="135"/>
              <w:rPr>
                <w:color w:val="auto"/>
                <w:highlight w:val="none"/>
              </w:rPr>
            </w:pPr>
            <w:r>
              <w:rPr>
                <w:color w:val="auto"/>
                <w:spacing w:val="7"/>
                <w:highlight w:val="none"/>
              </w:rPr>
              <w:t>路基（</w:t>
            </w:r>
            <w:r>
              <w:rPr>
                <w:color w:val="auto"/>
                <w:highlight w:val="none"/>
              </w:rPr>
              <w:t>km</w:t>
            </w:r>
            <w:r>
              <w:rPr>
                <w:color w:val="auto"/>
                <w:spacing w:val="7"/>
                <w:highlight w:val="none"/>
              </w:rPr>
              <w:t>）</w:t>
            </w:r>
          </w:p>
        </w:tc>
        <w:tc>
          <w:tcPr>
            <w:tcW w:w="1140" w:type="dxa"/>
            <w:vAlign w:val="top"/>
          </w:tcPr>
          <w:p w14:paraId="2E3F2115">
            <w:pPr>
              <w:pStyle w:val="23"/>
              <w:spacing w:before="171" w:line="260" w:lineRule="auto"/>
              <w:ind w:left="272" w:right="270" w:firstLine="97"/>
              <w:rPr>
                <w:color w:val="auto"/>
                <w:highlight w:val="none"/>
              </w:rPr>
            </w:pPr>
            <w:r>
              <w:rPr>
                <w:color w:val="auto"/>
                <w:spacing w:val="3"/>
                <w:highlight w:val="none"/>
              </w:rPr>
              <w:t>路面</w:t>
            </w:r>
            <w:r>
              <w:rPr>
                <w:color w:val="auto"/>
                <w:spacing w:val="-2"/>
                <w:highlight w:val="none"/>
              </w:rPr>
              <w:t>（km）</w:t>
            </w:r>
          </w:p>
        </w:tc>
        <w:tc>
          <w:tcPr>
            <w:tcW w:w="796" w:type="dxa"/>
            <w:vAlign w:val="top"/>
          </w:tcPr>
          <w:p w14:paraId="4330E6BC">
            <w:pPr>
              <w:pStyle w:val="23"/>
              <w:spacing w:before="170" w:line="254" w:lineRule="auto"/>
              <w:ind w:left="194" w:right="186"/>
              <w:rPr>
                <w:color w:val="auto"/>
                <w:highlight w:val="none"/>
              </w:rPr>
            </w:pPr>
            <w:r>
              <w:rPr>
                <w:color w:val="auto"/>
                <w:spacing w:val="4"/>
                <w:highlight w:val="none"/>
              </w:rPr>
              <w:t>桥梁概况</w:t>
            </w:r>
          </w:p>
        </w:tc>
        <w:tc>
          <w:tcPr>
            <w:tcW w:w="742" w:type="dxa"/>
            <w:vAlign w:val="top"/>
          </w:tcPr>
          <w:p w14:paraId="21EC1775">
            <w:pPr>
              <w:pStyle w:val="23"/>
              <w:spacing w:before="170" w:line="254" w:lineRule="auto"/>
              <w:ind w:left="166" w:right="160" w:firstLine="10"/>
              <w:rPr>
                <w:color w:val="auto"/>
                <w:highlight w:val="none"/>
              </w:rPr>
            </w:pPr>
            <w:r>
              <w:rPr>
                <w:color w:val="auto"/>
                <w:spacing w:val="-1"/>
                <w:highlight w:val="none"/>
              </w:rPr>
              <w:t>隧道</w:t>
            </w:r>
            <w:r>
              <w:rPr>
                <w:color w:val="auto"/>
                <w:spacing w:val="4"/>
                <w:highlight w:val="none"/>
              </w:rPr>
              <w:t>概况</w:t>
            </w:r>
          </w:p>
        </w:tc>
        <w:tc>
          <w:tcPr>
            <w:tcW w:w="1723" w:type="dxa"/>
            <w:vAlign w:val="top"/>
          </w:tcPr>
          <w:p w14:paraId="6B8A657E">
            <w:pPr>
              <w:pStyle w:val="23"/>
              <w:spacing w:before="170" w:line="229" w:lineRule="auto"/>
              <w:ind w:left="137"/>
              <w:rPr>
                <w:color w:val="auto"/>
                <w:highlight w:val="none"/>
              </w:rPr>
            </w:pPr>
            <w:r>
              <w:rPr>
                <w:color w:val="auto"/>
                <w:spacing w:val="8"/>
                <w:highlight w:val="none"/>
              </w:rPr>
              <w:t>交通安全设施工</w:t>
            </w:r>
          </w:p>
          <w:p w14:paraId="305C7896">
            <w:pPr>
              <w:pStyle w:val="23"/>
              <w:spacing w:before="25" w:line="228" w:lineRule="auto"/>
              <w:ind w:left="448"/>
              <w:rPr>
                <w:color w:val="auto"/>
                <w:highlight w:val="none"/>
              </w:rPr>
            </w:pPr>
            <w:r>
              <w:rPr>
                <w:color w:val="auto"/>
                <w:spacing w:val="7"/>
                <w:highlight w:val="none"/>
              </w:rPr>
              <w:t>程（</w:t>
            </w:r>
            <w:r>
              <w:rPr>
                <w:color w:val="auto"/>
                <w:highlight w:val="none"/>
              </w:rPr>
              <w:t>km</w:t>
            </w:r>
            <w:r>
              <w:rPr>
                <w:color w:val="auto"/>
                <w:spacing w:val="7"/>
                <w:highlight w:val="none"/>
              </w:rPr>
              <w:t>）</w:t>
            </w:r>
          </w:p>
        </w:tc>
        <w:tc>
          <w:tcPr>
            <w:tcW w:w="1031" w:type="dxa"/>
            <w:vAlign w:val="top"/>
          </w:tcPr>
          <w:p w14:paraId="72B623D1">
            <w:pPr>
              <w:pStyle w:val="23"/>
              <w:spacing w:before="37" w:line="250" w:lineRule="auto"/>
              <w:ind w:left="417" w:right="197" w:hanging="211"/>
              <w:rPr>
                <w:color w:val="auto"/>
                <w:highlight w:val="none"/>
              </w:rPr>
            </w:pPr>
            <w:r>
              <w:rPr>
                <w:color w:val="auto"/>
                <w:spacing w:val="7"/>
                <w:highlight w:val="none"/>
              </w:rPr>
              <w:t>机电工</w:t>
            </w:r>
            <w:r>
              <w:rPr>
                <w:color w:val="auto"/>
                <w:spacing w:val="1"/>
                <w:highlight w:val="none"/>
              </w:rPr>
              <w:t>程</w:t>
            </w:r>
          </w:p>
          <w:p w14:paraId="398D4820">
            <w:pPr>
              <w:pStyle w:val="23"/>
              <w:spacing w:line="218" w:lineRule="auto"/>
              <w:ind w:left="217"/>
              <w:rPr>
                <w:color w:val="auto"/>
                <w:highlight w:val="none"/>
              </w:rPr>
            </w:pPr>
            <w:r>
              <w:rPr>
                <w:color w:val="auto"/>
                <w:spacing w:val="1"/>
                <w:highlight w:val="none"/>
              </w:rPr>
              <w:t>（</w:t>
            </w:r>
            <w:r>
              <w:rPr>
                <w:color w:val="auto"/>
                <w:highlight w:val="none"/>
              </w:rPr>
              <w:t>km</w:t>
            </w:r>
            <w:r>
              <w:rPr>
                <w:color w:val="auto"/>
                <w:spacing w:val="1"/>
                <w:highlight w:val="none"/>
              </w:rPr>
              <w:t>）</w:t>
            </w:r>
          </w:p>
        </w:tc>
        <w:tc>
          <w:tcPr>
            <w:tcW w:w="1842" w:type="dxa"/>
            <w:vAlign w:val="top"/>
          </w:tcPr>
          <w:p w14:paraId="45F4C0E5">
            <w:pPr>
              <w:pStyle w:val="23"/>
              <w:spacing w:before="170" w:line="256" w:lineRule="auto"/>
              <w:ind w:left="821" w:right="184" w:hanging="630"/>
              <w:rPr>
                <w:color w:val="auto"/>
                <w:highlight w:val="none"/>
              </w:rPr>
            </w:pPr>
            <w:r>
              <w:rPr>
                <w:color w:val="auto"/>
                <w:spacing w:val="8"/>
                <w:highlight w:val="none"/>
              </w:rPr>
              <w:t>证明资料所在页</w:t>
            </w:r>
            <w:r>
              <w:rPr>
                <w:color w:val="auto"/>
                <w:spacing w:val="1"/>
                <w:highlight w:val="none"/>
              </w:rPr>
              <w:t>码</w:t>
            </w:r>
          </w:p>
        </w:tc>
      </w:tr>
      <w:tr w14:paraId="2B43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48CFFD3B">
            <w:pPr>
              <w:rPr>
                <w:rFonts w:ascii="Arial"/>
                <w:color w:val="auto"/>
                <w:sz w:val="21"/>
                <w:highlight w:val="none"/>
              </w:rPr>
            </w:pPr>
          </w:p>
        </w:tc>
        <w:tc>
          <w:tcPr>
            <w:tcW w:w="1031" w:type="dxa"/>
            <w:vAlign w:val="top"/>
          </w:tcPr>
          <w:p w14:paraId="457E78FE">
            <w:pPr>
              <w:rPr>
                <w:rFonts w:ascii="Arial"/>
                <w:color w:val="auto"/>
                <w:sz w:val="21"/>
                <w:highlight w:val="none"/>
              </w:rPr>
            </w:pPr>
          </w:p>
        </w:tc>
        <w:tc>
          <w:tcPr>
            <w:tcW w:w="1289" w:type="dxa"/>
            <w:vAlign w:val="top"/>
          </w:tcPr>
          <w:p w14:paraId="693D1103">
            <w:pPr>
              <w:rPr>
                <w:rFonts w:ascii="Arial"/>
                <w:color w:val="auto"/>
                <w:sz w:val="21"/>
                <w:highlight w:val="none"/>
              </w:rPr>
            </w:pPr>
          </w:p>
        </w:tc>
        <w:tc>
          <w:tcPr>
            <w:tcW w:w="1031" w:type="dxa"/>
            <w:vAlign w:val="top"/>
          </w:tcPr>
          <w:p w14:paraId="0D7896C1">
            <w:pPr>
              <w:rPr>
                <w:rFonts w:ascii="Arial"/>
                <w:color w:val="auto"/>
                <w:sz w:val="21"/>
                <w:highlight w:val="none"/>
              </w:rPr>
            </w:pPr>
          </w:p>
        </w:tc>
        <w:tc>
          <w:tcPr>
            <w:tcW w:w="1434" w:type="dxa"/>
            <w:vAlign w:val="top"/>
          </w:tcPr>
          <w:p w14:paraId="12F185BB">
            <w:pPr>
              <w:rPr>
                <w:rFonts w:ascii="Arial"/>
                <w:color w:val="auto"/>
                <w:sz w:val="21"/>
                <w:highlight w:val="none"/>
              </w:rPr>
            </w:pPr>
          </w:p>
        </w:tc>
        <w:tc>
          <w:tcPr>
            <w:tcW w:w="1307" w:type="dxa"/>
            <w:vAlign w:val="top"/>
          </w:tcPr>
          <w:p w14:paraId="7B44912F">
            <w:pPr>
              <w:rPr>
                <w:rFonts w:ascii="Arial"/>
                <w:color w:val="auto"/>
                <w:sz w:val="21"/>
                <w:highlight w:val="none"/>
              </w:rPr>
            </w:pPr>
          </w:p>
        </w:tc>
        <w:tc>
          <w:tcPr>
            <w:tcW w:w="1140" w:type="dxa"/>
            <w:vAlign w:val="top"/>
          </w:tcPr>
          <w:p w14:paraId="7003A7D4">
            <w:pPr>
              <w:rPr>
                <w:rFonts w:ascii="Arial"/>
                <w:color w:val="auto"/>
                <w:sz w:val="21"/>
                <w:highlight w:val="none"/>
              </w:rPr>
            </w:pPr>
          </w:p>
        </w:tc>
        <w:tc>
          <w:tcPr>
            <w:tcW w:w="796" w:type="dxa"/>
            <w:vAlign w:val="top"/>
          </w:tcPr>
          <w:p w14:paraId="6D9A09E1">
            <w:pPr>
              <w:rPr>
                <w:rFonts w:ascii="Arial"/>
                <w:color w:val="auto"/>
                <w:sz w:val="21"/>
                <w:highlight w:val="none"/>
              </w:rPr>
            </w:pPr>
          </w:p>
        </w:tc>
        <w:tc>
          <w:tcPr>
            <w:tcW w:w="742" w:type="dxa"/>
            <w:vAlign w:val="top"/>
          </w:tcPr>
          <w:p w14:paraId="6347ABBA">
            <w:pPr>
              <w:rPr>
                <w:rFonts w:ascii="Arial"/>
                <w:color w:val="auto"/>
                <w:sz w:val="21"/>
                <w:highlight w:val="none"/>
              </w:rPr>
            </w:pPr>
          </w:p>
        </w:tc>
        <w:tc>
          <w:tcPr>
            <w:tcW w:w="1723" w:type="dxa"/>
            <w:vAlign w:val="top"/>
          </w:tcPr>
          <w:p w14:paraId="311ADA0F">
            <w:pPr>
              <w:rPr>
                <w:rFonts w:ascii="Arial"/>
                <w:color w:val="auto"/>
                <w:sz w:val="21"/>
                <w:highlight w:val="none"/>
              </w:rPr>
            </w:pPr>
          </w:p>
        </w:tc>
        <w:tc>
          <w:tcPr>
            <w:tcW w:w="1031" w:type="dxa"/>
            <w:vAlign w:val="top"/>
          </w:tcPr>
          <w:p w14:paraId="62A33705">
            <w:pPr>
              <w:rPr>
                <w:rFonts w:ascii="Arial"/>
                <w:color w:val="auto"/>
                <w:sz w:val="21"/>
                <w:highlight w:val="none"/>
              </w:rPr>
            </w:pPr>
          </w:p>
        </w:tc>
        <w:tc>
          <w:tcPr>
            <w:tcW w:w="1842" w:type="dxa"/>
            <w:vAlign w:val="top"/>
          </w:tcPr>
          <w:p w14:paraId="05E1C6E3">
            <w:pPr>
              <w:rPr>
                <w:rFonts w:ascii="Arial"/>
                <w:color w:val="auto"/>
                <w:sz w:val="21"/>
                <w:highlight w:val="none"/>
              </w:rPr>
            </w:pPr>
          </w:p>
        </w:tc>
      </w:tr>
      <w:tr w14:paraId="4368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3734426C">
            <w:pPr>
              <w:rPr>
                <w:rFonts w:ascii="Arial"/>
                <w:color w:val="auto"/>
                <w:sz w:val="21"/>
                <w:highlight w:val="none"/>
              </w:rPr>
            </w:pPr>
          </w:p>
        </w:tc>
        <w:tc>
          <w:tcPr>
            <w:tcW w:w="1031" w:type="dxa"/>
            <w:vAlign w:val="top"/>
          </w:tcPr>
          <w:p w14:paraId="72232932">
            <w:pPr>
              <w:rPr>
                <w:rFonts w:ascii="Arial"/>
                <w:color w:val="auto"/>
                <w:sz w:val="21"/>
                <w:highlight w:val="none"/>
              </w:rPr>
            </w:pPr>
          </w:p>
        </w:tc>
        <w:tc>
          <w:tcPr>
            <w:tcW w:w="1289" w:type="dxa"/>
            <w:vAlign w:val="top"/>
          </w:tcPr>
          <w:p w14:paraId="04DEB2D3">
            <w:pPr>
              <w:rPr>
                <w:rFonts w:ascii="Arial"/>
                <w:color w:val="auto"/>
                <w:sz w:val="21"/>
                <w:highlight w:val="none"/>
              </w:rPr>
            </w:pPr>
          </w:p>
        </w:tc>
        <w:tc>
          <w:tcPr>
            <w:tcW w:w="1031" w:type="dxa"/>
            <w:vAlign w:val="top"/>
          </w:tcPr>
          <w:p w14:paraId="3372876D">
            <w:pPr>
              <w:rPr>
                <w:rFonts w:ascii="Arial"/>
                <w:color w:val="auto"/>
                <w:sz w:val="21"/>
                <w:highlight w:val="none"/>
              </w:rPr>
            </w:pPr>
          </w:p>
        </w:tc>
        <w:tc>
          <w:tcPr>
            <w:tcW w:w="1434" w:type="dxa"/>
            <w:vAlign w:val="top"/>
          </w:tcPr>
          <w:p w14:paraId="19774051">
            <w:pPr>
              <w:rPr>
                <w:rFonts w:ascii="Arial"/>
                <w:color w:val="auto"/>
                <w:sz w:val="21"/>
                <w:highlight w:val="none"/>
              </w:rPr>
            </w:pPr>
          </w:p>
        </w:tc>
        <w:tc>
          <w:tcPr>
            <w:tcW w:w="1307" w:type="dxa"/>
            <w:vAlign w:val="top"/>
          </w:tcPr>
          <w:p w14:paraId="13292CAC">
            <w:pPr>
              <w:rPr>
                <w:rFonts w:ascii="Arial"/>
                <w:color w:val="auto"/>
                <w:sz w:val="21"/>
                <w:highlight w:val="none"/>
              </w:rPr>
            </w:pPr>
          </w:p>
        </w:tc>
        <w:tc>
          <w:tcPr>
            <w:tcW w:w="1140" w:type="dxa"/>
            <w:vAlign w:val="top"/>
          </w:tcPr>
          <w:p w14:paraId="185D7C81">
            <w:pPr>
              <w:rPr>
                <w:rFonts w:ascii="Arial"/>
                <w:color w:val="auto"/>
                <w:sz w:val="21"/>
                <w:highlight w:val="none"/>
              </w:rPr>
            </w:pPr>
          </w:p>
        </w:tc>
        <w:tc>
          <w:tcPr>
            <w:tcW w:w="796" w:type="dxa"/>
            <w:vAlign w:val="top"/>
          </w:tcPr>
          <w:p w14:paraId="0E5CCB40">
            <w:pPr>
              <w:rPr>
                <w:rFonts w:ascii="Arial"/>
                <w:color w:val="auto"/>
                <w:sz w:val="21"/>
                <w:highlight w:val="none"/>
              </w:rPr>
            </w:pPr>
          </w:p>
        </w:tc>
        <w:tc>
          <w:tcPr>
            <w:tcW w:w="742" w:type="dxa"/>
            <w:vAlign w:val="top"/>
          </w:tcPr>
          <w:p w14:paraId="46EE4502">
            <w:pPr>
              <w:rPr>
                <w:rFonts w:ascii="Arial"/>
                <w:color w:val="auto"/>
                <w:sz w:val="21"/>
                <w:highlight w:val="none"/>
              </w:rPr>
            </w:pPr>
          </w:p>
        </w:tc>
        <w:tc>
          <w:tcPr>
            <w:tcW w:w="1723" w:type="dxa"/>
            <w:vAlign w:val="top"/>
          </w:tcPr>
          <w:p w14:paraId="7926D7ED">
            <w:pPr>
              <w:rPr>
                <w:rFonts w:ascii="Arial"/>
                <w:color w:val="auto"/>
                <w:sz w:val="21"/>
                <w:highlight w:val="none"/>
              </w:rPr>
            </w:pPr>
          </w:p>
        </w:tc>
        <w:tc>
          <w:tcPr>
            <w:tcW w:w="1031" w:type="dxa"/>
            <w:vAlign w:val="top"/>
          </w:tcPr>
          <w:p w14:paraId="6663C388">
            <w:pPr>
              <w:rPr>
                <w:rFonts w:ascii="Arial"/>
                <w:color w:val="auto"/>
                <w:sz w:val="21"/>
                <w:highlight w:val="none"/>
              </w:rPr>
            </w:pPr>
          </w:p>
        </w:tc>
        <w:tc>
          <w:tcPr>
            <w:tcW w:w="1842" w:type="dxa"/>
            <w:vAlign w:val="top"/>
          </w:tcPr>
          <w:p w14:paraId="6F27AA13">
            <w:pPr>
              <w:rPr>
                <w:rFonts w:ascii="Arial"/>
                <w:color w:val="auto"/>
                <w:sz w:val="21"/>
                <w:highlight w:val="none"/>
              </w:rPr>
            </w:pPr>
          </w:p>
        </w:tc>
      </w:tr>
      <w:tr w14:paraId="56FE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69681545">
            <w:pPr>
              <w:rPr>
                <w:rFonts w:ascii="Arial"/>
                <w:color w:val="auto"/>
                <w:sz w:val="21"/>
                <w:highlight w:val="none"/>
              </w:rPr>
            </w:pPr>
          </w:p>
        </w:tc>
        <w:tc>
          <w:tcPr>
            <w:tcW w:w="1031" w:type="dxa"/>
            <w:vAlign w:val="top"/>
          </w:tcPr>
          <w:p w14:paraId="65644724">
            <w:pPr>
              <w:rPr>
                <w:rFonts w:ascii="Arial"/>
                <w:color w:val="auto"/>
                <w:sz w:val="21"/>
                <w:highlight w:val="none"/>
              </w:rPr>
            </w:pPr>
          </w:p>
        </w:tc>
        <w:tc>
          <w:tcPr>
            <w:tcW w:w="1289" w:type="dxa"/>
            <w:vAlign w:val="top"/>
          </w:tcPr>
          <w:p w14:paraId="6CA96DF2">
            <w:pPr>
              <w:rPr>
                <w:rFonts w:ascii="Arial"/>
                <w:color w:val="auto"/>
                <w:sz w:val="21"/>
                <w:highlight w:val="none"/>
              </w:rPr>
            </w:pPr>
          </w:p>
        </w:tc>
        <w:tc>
          <w:tcPr>
            <w:tcW w:w="1031" w:type="dxa"/>
            <w:vAlign w:val="top"/>
          </w:tcPr>
          <w:p w14:paraId="4DA44813">
            <w:pPr>
              <w:rPr>
                <w:rFonts w:ascii="Arial"/>
                <w:color w:val="auto"/>
                <w:sz w:val="21"/>
                <w:highlight w:val="none"/>
              </w:rPr>
            </w:pPr>
          </w:p>
        </w:tc>
        <w:tc>
          <w:tcPr>
            <w:tcW w:w="1434" w:type="dxa"/>
            <w:vAlign w:val="top"/>
          </w:tcPr>
          <w:p w14:paraId="28C7A8A5">
            <w:pPr>
              <w:rPr>
                <w:rFonts w:ascii="Arial"/>
                <w:color w:val="auto"/>
                <w:sz w:val="21"/>
                <w:highlight w:val="none"/>
              </w:rPr>
            </w:pPr>
          </w:p>
        </w:tc>
        <w:tc>
          <w:tcPr>
            <w:tcW w:w="1307" w:type="dxa"/>
            <w:vAlign w:val="top"/>
          </w:tcPr>
          <w:p w14:paraId="36227362">
            <w:pPr>
              <w:rPr>
                <w:rFonts w:ascii="Arial"/>
                <w:color w:val="auto"/>
                <w:sz w:val="21"/>
                <w:highlight w:val="none"/>
              </w:rPr>
            </w:pPr>
          </w:p>
        </w:tc>
        <w:tc>
          <w:tcPr>
            <w:tcW w:w="1140" w:type="dxa"/>
            <w:vAlign w:val="top"/>
          </w:tcPr>
          <w:p w14:paraId="1A2576D3">
            <w:pPr>
              <w:rPr>
                <w:rFonts w:ascii="Arial"/>
                <w:color w:val="auto"/>
                <w:sz w:val="21"/>
                <w:highlight w:val="none"/>
              </w:rPr>
            </w:pPr>
          </w:p>
        </w:tc>
        <w:tc>
          <w:tcPr>
            <w:tcW w:w="796" w:type="dxa"/>
            <w:vAlign w:val="top"/>
          </w:tcPr>
          <w:p w14:paraId="532F005C">
            <w:pPr>
              <w:rPr>
                <w:rFonts w:ascii="Arial"/>
                <w:color w:val="auto"/>
                <w:sz w:val="21"/>
                <w:highlight w:val="none"/>
              </w:rPr>
            </w:pPr>
          </w:p>
        </w:tc>
        <w:tc>
          <w:tcPr>
            <w:tcW w:w="742" w:type="dxa"/>
            <w:vAlign w:val="top"/>
          </w:tcPr>
          <w:p w14:paraId="51EBFEA4">
            <w:pPr>
              <w:rPr>
                <w:rFonts w:ascii="Arial"/>
                <w:color w:val="auto"/>
                <w:sz w:val="21"/>
                <w:highlight w:val="none"/>
              </w:rPr>
            </w:pPr>
          </w:p>
        </w:tc>
        <w:tc>
          <w:tcPr>
            <w:tcW w:w="1723" w:type="dxa"/>
            <w:vAlign w:val="top"/>
          </w:tcPr>
          <w:p w14:paraId="315CC603">
            <w:pPr>
              <w:rPr>
                <w:rFonts w:ascii="Arial"/>
                <w:color w:val="auto"/>
                <w:sz w:val="21"/>
                <w:highlight w:val="none"/>
              </w:rPr>
            </w:pPr>
          </w:p>
        </w:tc>
        <w:tc>
          <w:tcPr>
            <w:tcW w:w="1031" w:type="dxa"/>
            <w:vAlign w:val="top"/>
          </w:tcPr>
          <w:p w14:paraId="5DBA2E23">
            <w:pPr>
              <w:rPr>
                <w:rFonts w:ascii="Arial"/>
                <w:color w:val="auto"/>
                <w:sz w:val="21"/>
                <w:highlight w:val="none"/>
              </w:rPr>
            </w:pPr>
          </w:p>
        </w:tc>
        <w:tc>
          <w:tcPr>
            <w:tcW w:w="1842" w:type="dxa"/>
            <w:vAlign w:val="top"/>
          </w:tcPr>
          <w:p w14:paraId="46954491">
            <w:pPr>
              <w:rPr>
                <w:rFonts w:ascii="Arial"/>
                <w:color w:val="auto"/>
                <w:sz w:val="21"/>
                <w:highlight w:val="none"/>
              </w:rPr>
            </w:pPr>
          </w:p>
        </w:tc>
      </w:tr>
      <w:tr w14:paraId="1D967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3C72F7F7">
            <w:pPr>
              <w:rPr>
                <w:rFonts w:ascii="Arial"/>
                <w:color w:val="auto"/>
                <w:sz w:val="21"/>
                <w:highlight w:val="none"/>
              </w:rPr>
            </w:pPr>
          </w:p>
        </w:tc>
        <w:tc>
          <w:tcPr>
            <w:tcW w:w="1031" w:type="dxa"/>
            <w:vAlign w:val="top"/>
          </w:tcPr>
          <w:p w14:paraId="575DE2AE">
            <w:pPr>
              <w:rPr>
                <w:rFonts w:ascii="Arial"/>
                <w:color w:val="auto"/>
                <w:sz w:val="21"/>
                <w:highlight w:val="none"/>
              </w:rPr>
            </w:pPr>
          </w:p>
        </w:tc>
        <w:tc>
          <w:tcPr>
            <w:tcW w:w="1289" w:type="dxa"/>
            <w:vAlign w:val="top"/>
          </w:tcPr>
          <w:p w14:paraId="31431E77">
            <w:pPr>
              <w:rPr>
                <w:rFonts w:ascii="Arial"/>
                <w:color w:val="auto"/>
                <w:sz w:val="21"/>
                <w:highlight w:val="none"/>
              </w:rPr>
            </w:pPr>
          </w:p>
        </w:tc>
        <w:tc>
          <w:tcPr>
            <w:tcW w:w="1031" w:type="dxa"/>
            <w:vAlign w:val="top"/>
          </w:tcPr>
          <w:p w14:paraId="4C877C26">
            <w:pPr>
              <w:rPr>
                <w:rFonts w:ascii="Arial"/>
                <w:color w:val="auto"/>
                <w:sz w:val="21"/>
                <w:highlight w:val="none"/>
              </w:rPr>
            </w:pPr>
          </w:p>
        </w:tc>
        <w:tc>
          <w:tcPr>
            <w:tcW w:w="1434" w:type="dxa"/>
            <w:vAlign w:val="top"/>
          </w:tcPr>
          <w:p w14:paraId="1BFE5CAF">
            <w:pPr>
              <w:rPr>
                <w:rFonts w:ascii="Arial"/>
                <w:color w:val="auto"/>
                <w:sz w:val="21"/>
                <w:highlight w:val="none"/>
              </w:rPr>
            </w:pPr>
          </w:p>
        </w:tc>
        <w:tc>
          <w:tcPr>
            <w:tcW w:w="1307" w:type="dxa"/>
            <w:vAlign w:val="top"/>
          </w:tcPr>
          <w:p w14:paraId="23B27427">
            <w:pPr>
              <w:rPr>
                <w:rFonts w:ascii="Arial"/>
                <w:color w:val="auto"/>
                <w:sz w:val="21"/>
                <w:highlight w:val="none"/>
              </w:rPr>
            </w:pPr>
          </w:p>
        </w:tc>
        <w:tc>
          <w:tcPr>
            <w:tcW w:w="1140" w:type="dxa"/>
            <w:vAlign w:val="top"/>
          </w:tcPr>
          <w:p w14:paraId="3ADB1FF4">
            <w:pPr>
              <w:rPr>
                <w:rFonts w:ascii="Arial"/>
                <w:color w:val="auto"/>
                <w:sz w:val="21"/>
                <w:highlight w:val="none"/>
              </w:rPr>
            </w:pPr>
          </w:p>
        </w:tc>
        <w:tc>
          <w:tcPr>
            <w:tcW w:w="796" w:type="dxa"/>
            <w:vAlign w:val="top"/>
          </w:tcPr>
          <w:p w14:paraId="5BE398B1">
            <w:pPr>
              <w:rPr>
                <w:rFonts w:ascii="Arial"/>
                <w:color w:val="auto"/>
                <w:sz w:val="21"/>
                <w:highlight w:val="none"/>
              </w:rPr>
            </w:pPr>
          </w:p>
        </w:tc>
        <w:tc>
          <w:tcPr>
            <w:tcW w:w="742" w:type="dxa"/>
            <w:vAlign w:val="top"/>
          </w:tcPr>
          <w:p w14:paraId="704EFC95">
            <w:pPr>
              <w:rPr>
                <w:rFonts w:ascii="Arial"/>
                <w:color w:val="auto"/>
                <w:sz w:val="21"/>
                <w:highlight w:val="none"/>
              </w:rPr>
            </w:pPr>
          </w:p>
        </w:tc>
        <w:tc>
          <w:tcPr>
            <w:tcW w:w="1723" w:type="dxa"/>
            <w:vAlign w:val="top"/>
          </w:tcPr>
          <w:p w14:paraId="78AA25CF">
            <w:pPr>
              <w:rPr>
                <w:rFonts w:ascii="Arial"/>
                <w:color w:val="auto"/>
                <w:sz w:val="21"/>
                <w:highlight w:val="none"/>
              </w:rPr>
            </w:pPr>
          </w:p>
        </w:tc>
        <w:tc>
          <w:tcPr>
            <w:tcW w:w="1031" w:type="dxa"/>
            <w:vAlign w:val="top"/>
          </w:tcPr>
          <w:p w14:paraId="6EEC75DE">
            <w:pPr>
              <w:rPr>
                <w:rFonts w:ascii="Arial"/>
                <w:color w:val="auto"/>
                <w:sz w:val="21"/>
                <w:highlight w:val="none"/>
              </w:rPr>
            </w:pPr>
          </w:p>
        </w:tc>
        <w:tc>
          <w:tcPr>
            <w:tcW w:w="1842" w:type="dxa"/>
            <w:vAlign w:val="top"/>
          </w:tcPr>
          <w:p w14:paraId="38A91F6B">
            <w:pPr>
              <w:rPr>
                <w:rFonts w:ascii="Arial"/>
                <w:color w:val="auto"/>
                <w:sz w:val="21"/>
                <w:highlight w:val="none"/>
              </w:rPr>
            </w:pPr>
          </w:p>
        </w:tc>
      </w:tr>
      <w:tr w14:paraId="58F1D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1F264BFA">
            <w:pPr>
              <w:rPr>
                <w:rFonts w:ascii="Arial"/>
                <w:color w:val="auto"/>
                <w:sz w:val="21"/>
                <w:highlight w:val="none"/>
              </w:rPr>
            </w:pPr>
          </w:p>
        </w:tc>
        <w:tc>
          <w:tcPr>
            <w:tcW w:w="1031" w:type="dxa"/>
            <w:vAlign w:val="top"/>
          </w:tcPr>
          <w:p w14:paraId="117AC089">
            <w:pPr>
              <w:rPr>
                <w:rFonts w:ascii="Arial"/>
                <w:color w:val="auto"/>
                <w:sz w:val="21"/>
                <w:highlight w:val="none"/>
              </w:rPr>
            </w:pPr>
          </w:p>
        </w:tc>
        <w:tc>
          <w:tcPr>
            <w:tcW w:w="1289" w:type="dxa"/>
            <w:vAlign w:val="top"/>
          </w:tcPr>
          <w:p w14:paraId="7B896E1B">
            <w:pPr>
              <w:rPr>
                <w:rFonts w:ascii="Arial"/>
                <w:color w:val="auto"/>
                <w:sz w:val="21"/>
                <w:highlight w:val="none"/>
              </w:rPr>
            </w:pPr>
          </w:p>
        </w:tc>
        <w:tc>
          <w:tcPr>
            <w:tcW w:w="1031" w:type="dxa"/>
            <w:vAlign w:val="top"/>
          </w:tcPr>
          <w:p w14:paraId="73F97EAF">
            <w:pPr>
              <w:rPr>
                <w:rFonts w:ascii="Arial"/>
                <w:color w:val="auto"/>
                <w:sz w:val="21"/>
                <w:highlight w:val="none"/>
              </w:rPr>
            </w:pPr>
          </w:p>
        </w:tc>
        <w:tc>
          <w:tcPr>
            <w:tcW w:w="1434" w:type="dxa"/>
            <w:vAlign w:val="top"/>
          </w:tcPr>
          <w:p w14:paraId="14886F24">
            <w:pPr>
              <w:rPr>
                <w:rFonts w:ascii="Arial"/>
                <w:color w:val="auto"/>
                <w:sz w:val="21"/>
                <w:highlight w:val="none"/>
              </w:rPr>
            </w:pPr>
          </w:p>
        </w:tc>
        <w:tc>
          <w:tcPr>
            <w:tcW w:w="1307" w:type="dxa"/>
            <w:vAlign w:val="top"/>
          </w:tcPr>
          <w:p w14:paraId="637B87D2">
            <w:pPr>
              <w:rPr>
                <w:rFonts w:ascii="Arial"/>
                <w:color w:val="auto"/>
                <w:sz w:val="21"/>
                <w:highlight w:val="none"/>
              </w:rPr>
            </w:pPr>
          </w:p>
        </w:tc>
        <w:tc>
          <w:tcPr>
            <w:tcW w:w="1140" w:type="dxa"/>
            <w:vAlign w:val="top"/>
          </w:tcPr>
          <w:p w14:paraId="0607F9F2">
            <w:pPr>
              <w:rPr>
                <w:rFonts w:ascii="Arial"/>
                <w:color w:val="auto"/>
                <w:sz w:val="21"/>
                <w:highlight w:val="none"/>
              </w:rPr>
            </w:pPr>
          </w:p>
        </w:tc>
        <w:tc>
          <w:tcPr>
            <w:tcW w:w="796" w:type="dxa"/>
            <w:vAlign w:val="top"/>
          </w:tcPr>
          <w:p w14:paraId="3A69BFC2">
            <w:pPr>
              <w:rPr>
                <w:rFonts w:ascii="Arial"/>
                <w:color w:val="auto"/>
                <w:sz w:val="21"/>
                <w:highlight w:val="none"/>
              </w:rPr>
            </w:pPr>
          </w:p>
        </w:tc>
        <w:tc>
          <w:tcPr>
            <w:tcW w:w="742" w:type="dxa"/>
            <w:vAlign w:val="top"/>
          </w:tcPr>
          <w:p w14:paraId="7D7C4F93">
            <w:pPr>
              <w:rPr>
                <w:rFonts w:ascii="Arial"/>
                <w:color w:val="auto"/>
                <w:sz w:val="21"/>
                <w:highlight w:val="none"/>
              </w:rPr>
            </w:pPr>
          </w:p>
        </w:tc>
        <w:tc>
          <w:tcPr>
            <w:tcW w:w="1723" w:type="dxa"/>
            <w:vAlign w:val="top"/>
          </w:tcPr>
          <w:p w14:paraId="456B7ABF">
            <w:pPr>
              <w:rPr>
                <w:rFonts w:ascii="Arial"/>
                <w:color w:val="auto"/>
                <w:sz w:val="21"/>
                <w:highlight w:val="none"/>
              </w:rPr>
            </w:pPr>
          </w:p>
        </w:tc>
        <w:tc>
          <w:tcPr>
            <w:tcW w:w="1031" w:type="dxa"/>
            <w:vAlign w:val="top"/>
          </w:tcPr>
          <w:p w14:paraId="393BF7ED">
            <w:pPr>
              <w:rPr>
                <w:rFonts w:ascii="Arial"/>
                <w:color w:val="auto"/>
                <w:sz w:val="21"/>
                <w:highlight w:val="none"/>
              </w:rPr>
            </w:pPr>
          </w:p>
        </w:tc>
        <w:tc>
          <w:tcPr>
            <w:tcW w:w="1842" w:type="dxa"/>
            <w:vAlign w:val="top"/>
          </w:tcPr>
          <w:p w14:paraId="723A0C46">
            <w:pPr>
              <w:rPr>
                <w:rFonts w:ascii="Arial"/>
                <w:color w:val="auto"/>
                <w:sz w:val="21"/>
                <w:highlight w:val="none"/>
              </w:rPr>
            </w:pPr>
          </w:p>
        </w:tc>
      </w:tr>
      <w:tr w14:paraId="63BA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7C39F60A">
            <w:pPr>
              <w:rPr>
                <w:rFonts w:ascii="Arial"/>
                <w:color w:val="auto"/>
                <w:sz w:val="21"/>
                <w:highlight w:val="none"/>
              </w:rPr>
            </w:pPr>
          </w:p>
        </w:tc>
        <w:tc>
          <w:tcPr>
            <w:tcW w:w="1031" w:type="dxa"/>
            <w:vAlign w:val="top"/>
          </w:tcPr>
          <w:p w14:paraId="4E550D63">
            <w:pPr>
              <w:rPr>
                <w:rFonts w:ascii="Arial"/>
                <w:color w:val="auto"/>
                <w:sz w:val="21"/>
                <w:highlight w:val="none"/>
              </w:rPr>
            </w:pPr>
          </w:p>
        </w:tc>
        <w:tc>
          <w:tcPr>
            <w:tcW w:w="1289" w:type="dxa"/>
            <w:vAlign w:val="top"/>
          </w:tcPr>
          <w:p w14:paraId="55E572D9">
            <w:pPr>
              <w:rPr>
                <w:rFonts w:ascii="Arial"/>
                <w:color w:val="auto"/>
                <w:sz w:val="21"/>
                <w:highlight w:val="none"/>
              </w:rPr>
            </w:pPr>
          </w:p>
        </w:tc>
        <w:tc>
          <w:tcPr>
            <w:tcW w:w="1031" w:type="dxa"/>
            <w:vAlign w:val="top"/>
          </w:tcPr>
          <w:p w14:paraId="1552D84A">
            <w:pPr>
              <w:rPr>
                <w:rFonts w:ascii="Arial"/>
                <w:color w:val="auto"/>
                <w:sz w:val="21"/>
                <w:highlight w:val="none"/>
              </w:rPr>
            </w:pPr>
          </w:p>
        </w:tc>
        <w:tc>
          <w:tcPr>
            <w:tcW w:w="1434" w:type="dxa"/>
            <w:vAlign w:val="top"/>
          </w:tcPr>
          <w:p w14:paraId="000E1196">
            <w:pPr>
              <w:rPr>
                <w:rFonts w:ascii="Arial"/>
                <w:color w:val="auto"/>
                <w:sz w:val="21"/>
                <w:highlight w:val="none"/>
              </w:rPr>
            </w:pPr>
          </w:p>
        </w:tc>
        <w:tc>
          <w:tcPr>
            <w:tcW w:w="1307" w:type="dxa"/>
            <w:vAlign w:val="top"/>
          </w:tcPr>
          <w:p w14:paraId="247310E0">
            <w:pPr>
              <w:rPr>
                <w:rFonts w:ascii="Arial"/>
                <w:color w:val="auto"/>
                <w:sz w:val="21"/>
                <w:highlight w:val="none"/>
              </w:rPr>
            </w:pPr>
          </w:p>
        </w:tc>
        <w:tc>
          <w:tcPr>
            <w:tcW w:w="1140" w:type="dxa"/>
            <w:vAlign w:val="top"/>
          </w:tcPr>
          <w:p w14:paraId="0A42C535">
            <w:pPr>
              <w:rPr>
                <w:rFonts w:ascii="Arial"/>
                <w:color w:val="auto"/>
                <w:sz w:val="21"/>
                <w:highlight w:val="none"/>
              </w:rPr>
            </w:pPr>
          </w:p>
        </w:tc>
        <w:tc>
          <w:tcPr>
            <w:tcW w:w="796" w:type="dxa"/>
            <w:vAlign w:val="top"/>
          </w:tcPr>
          <w:p w14:paraId="6ACB1FEF">
            <w:pPr>
              <w:rPr>
                <w:rFonts w:ascii="Arial"/>
                <w:color w:val="auto"/>
                <w:sz w:val="21"/>
                <w:highlight w:val="none"/>
              </w:rPr>
            </w:pPr>
          </w:p>
        </w:tc>
        <w:tc>
          <w:tcPr>
            <w:tcW w:w="742" w:type="dxa"/>
            <w:vAlign w:val="top"/>
          </w:tcPr>
          <w:p w14:paraId="6FF7DEC4">
            <w:pPr>
              <w:rPr>
                <w:rFonts w:ascii="Arial"/>
                <w:color w:val="auto"/>
                <w:sz w:val="21"/>
                <w:highlight w:val="none"/>
              </w:rPr>
            </w:pPr>
          </w:p>
        </w:tc>
        <w:tc>
          <w:tcPr>
            <w:tcW w:w="1723" w:type="dxa"/>
            <w:vAlign w:val="top"/>
          </w:tcPr>
          <w:p w14:paraId="1F9FAFED">
            <w:pPr>
              <w:rPr>
                <w:rFonts w:ascii="Arial"/>
                <w:color w:val="auto"/>
                <w:sz w:val="21"/>
                <w:highlight w:val="none"/>
              </w:rPr>
            </w:pPr>
          </w:p>
        </w:tc>
        <w:tc>
          <w:tcPr>
            <w:tcW w:w="1031" w:type="dxa"/>
            <w:vAlign w:val="top"/>
          </w:tcPr>
          <w:p w14:paraId="66E9A48C">
            <w:pPr>
              <w:rPr>
                <w:rFonts w:ascii="Arial"/>
                <w:color w:val="auto"/>
                <w:sz w:val="21"/>
                <w:highlight w:val="none"/>
              </w:rPr>
            </w:pPr>
          </w:p>
        </w:tc>
        <w:tc>
          <w:tcPr>
            <w:tcW w:w="1842" w:type="dxa"/>
            <w:vAlign w:val="top"/>
          </w:tcPr>
          <w:p w14:paraId="2DD45593">
            <w:pPr>
              <w:rPr>
                <w:rFonts w:ascii="Arial"/>
                <w:color w:val="auto"/>
                <w:sz w:val="21"/>
                <w:highlight w:val="none"/>
              </w:rPr>
            </w:pPr>
          </w:p>
        </w:tc>
      </w:tr>
      <w:tr w14:paraId="3757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41461E6B">
            <w:pPr>
              <w:rPr>
                <w:rFonts w:ascii="Arial"/>
                <w:color w:val="auto"/>
                <w:sz w:val="21"/>
                <w:highlight w:val="none"/>
              </w:rPr>
            </w:pPr>
          </w:p>
        </w:tc>
        <w:tc>
          <w:tcPr>
            <w:tcW w:w="1031" w:type="dxa"/>
            <w:vAlign w:val="top"/>
          </w:tcPr>
          <w:p w14:paraId="7721AF7E">
            <w:pPr>
              <w:rPr>
                <w:rFonts w:ascii="Arial"/>
                <w:color w:val="auto"/>
                <w:sz w:val="21"/>
                <w:highlight w:val="none"/>
              </w:rPr>
            </w:pPr>
          </w:p>
        </w:tc>
        <w:tc>
          <w:tcPr>
            <w:tcW w:w="1289" w:type="dxa"/>
            <w:vAlign w:val="top"/>
          </w:tcPr>
          <w:p w14:paraId="3187EEF1">
            <w:pPr>
              <w:rPr>
                <w:rFonts w:ascii="Arial"/>
                <w:color w:val="auto"/>
                <w:sz w:val="21"/>
                <w:highlight w:val="none"/>
              </w:rPr>
            </w:pPr>
          </w:p>
        </w:tc>
        <w:tc>
          <w:tcPr>
            <w:tcW w:w="1031" w:type="dxa"/>
            <w:vAlign w:val="top"/>
          </w:tcPr>
          <w:p w14:paraId="26F59CE4">
            <w:pPr>
              <w:rPr>
                <w:rFonts w:ascii="Arial"/>
                <w:color w:val="auto"/>
                <w:sz w:val="21"/>
                <w:highlight w:val="none"/>
              </w:rPr>
            </w:pPr>
          </w:p>
        </w:tc>
        <w:tc>
          <w:tcPr>
            <w:tcW w:w="1434" w:type="dxa"/>
            <w:vAlign w:val="top"/>
          </w:tcPr>
          <w:p w14:paraId="6AF99DA5">
            <w:pPr>
              <w:rPr>
                <w:rFonts w:ascii="Arial"/>
                <w:color w:val="auto"/>
                <w:sz w:val="21"/>
                <w:highlight w:val="none"/>
              </w:rPr>
            </w:pPr>
          </w:p>
        </w:tc>
        <w:tc>
          <w:tcPr>
            <w:tcW w:w="1307" w:type="dxa"/>
            <w:vAlign w:val="top"/>
          </w:tcPr>
          <w:p w14:paraId="42C65D78">
            <w:pPr>
              <w:rPr>
                <w:rFonts w:ascii="Arial"/>
                <w:color w:val="auto"/>
                <w:sz w:val="21"/>
                <w:highlight w:val="none"/>
              </w:rPr>
            </w:pPr>
          </w:p>
        </w:tc>
        <w:tc>
          <w:tcPr>
            <w:tcW w:w="1140" w:type="dxa"/>
            <w:vAlign w:val="top"/>
          </w:tcPr>
          <w:p w14:paraId="4E51D812">
            <w:pPr>
              <w:rPr>
                <w:rFonts w:ascii="Arial"/>
                <w:color w:val="auto"/>
                <w:sz w:val="21"/>
                <w:highlight w:val="none"/>
              </w:rPr>
            </w:pPr>
          </w:p>
        </w:tc>
        <w:tc>
          <w:tcPr>
            <w:tcW w:w="796" w:type="dxa"/>
            <w:vAlign w:val="top"/>
          </w:tcPr>
          <w:p w14:paraId="0597AB99">
            <w:pPr>
              <w:rPr>
                <w:rFonts w:ascii="Arial"/>
                <w:color w:val="auto"/>
                <w:sz w:val="21"/>
                <w:highlight w:val="none"/>
              </w:rPr>
            </w:pPr>
          </w:p>
        </w:tc>
        <w:tc>
          <w:tcPr>
            <w:tcW w:w="742" w:type="dxa"/>
            <w:vAlign w:val="top"/>
          </w:tcPr>
          <w:p w14:paraId="0C9961AA">
            <w:pPr>
              <w:rPr>
                <w:rFonts w:ascii="Arial"/>
                <w:color w:val="auto"/>
                <w:sz w:val="21"/>
                <w:highlight w:val="none"/>
              </w:rPr>
            </w:pPr>
          </w:p>
        </w:tc>
        <w:tc>
          <w:tcPr>
            <w:tcW w:w="1723" w:type="dxa"/>
            <w:vAlign w:val="top"/>
          </w:tcPr>
          <w:p w14:paraId="7126F1DD">
            <w:pPr>
              <w:rPr>
                <w:rFonts w:ascii="Arial"/>
                <w:color w:val="auto"/>
                <w:sz w:val="21"/>
                <w:highlight w:val="none"/>
              </w:rPr>
            </w:pPr>
          </w:p>
        </w:tc>
        <w:tc>
          <w:tcPr>
            <w:tcW w:w="1031" w:type="dxa"/>
            <w:vAlign w:val="top"/>
          </w:tcPr>
          <w:p w14:paraId="393C84BC">
            <w:pPr>
              <w:rPr>
                <w:rFonts w:ascii="Arial"/>
                <w:color w:val="auto"/>
                <w:sz w:val="21"/>
                <w:highlight w:val="none"/>
              </w:rPr>
            </w:pPr>
          </w:p>
        </w:tc>
        <w:tc>
          <w:tcPr>
            <w:tcW w:w="1842" w:type="dxa"/>
            <w:vAlign w:val="top"/>
          </w:tcPr>
          <w:p w14:paraId="2E1E05BB">
            <w:pPr>
              <w:rPr>
                <w:rFonts w:ascii="Arial"/>
                <w:color w:val="auto"/>
                <w:sz w:val="21"/>
                <w:highlight w:val="none"/>
              </w:rPr>
            </w:pPr>
          </w:p>
        </w:tc>
      </w:tr>
      <w:tr w14:paraId="26CA3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338BD754">
            <w:pPr>
              <w:rPr>
                <w:rFonts w:ascii="Arial"/>
                <w:color w:val="auto"/>
                <w:sz w:val="21"/>
                <w:highlight w:val="none"/>
              </w:rPr>
            </w:pPr>
          </w:p>
        </w:tc>
        <w:tc>
          <w:tcPr>
            <w:tcW w:w="1031" w:type="dxa"/>
            <w:vAlign w:val="top"/>
          </w:tcPr>
          <w:p w14:paraId="0522BA0D">
            <w:pPr>
              <w:rPr>
                <w:rFonts w:ascii="Arial"/>
                <w:color w:val="auto"/>
                <w:sz w:val="21"/>
                <w:highlight w:val="none"/>
              </w:rPr>
            </w:pPr>
          </w:p>
        </w:tc>
        <w:tc>
          <w:tcPr>
            <w:tcW w:w="1289" w:type="dxa"/>
            <w:vAlign w:val="top"/>
          </w:tcPr>
          <w:p w14:paraId="3497A0AD">
            <w:pPr>
              <w:rPr>
                <w:rFonts w:ascii="Arial"/>
                <w:color w:val="auto"/>
                <w:sz w:val="21"/>
                <w:highlight w:val="none"/>
              </w:rPr>
            </w:pPr>
          </w:p>
        </w:tc>
        <w:tc>
          <w:tcPr>
            <w:tcW w:w="1031" w:type="dxa"/>
            <w:vAlign w:val="top"/>
          </w:tcPr>
          <w:p w14:paraId="44443279">
            <w:pPr>
              <w:rPr>
                <w:rFonts w:ascii="Arial"/>
                <w:color w:val="auto"/>
                <w:sz w:val="21"/>
                <w:highlight w:val="none"/>
              </w:rPr>
            </w:pPr>
          </w:p>
        </w:tc>
        <w:tc>
          <w:tcPr>
            <w:tcW w:w="1434" w:type="dxa"/>
            <w:vAlign w:val="top"/>
          </w:tcPr>
          <w:p w14:paraId="4FA91952">
            <w:pPr>
              <w:rPr>
                <w:rFonts w:ascii="Arial"/>
                <w:color w:val="auto"/>
                <w:sz w:val="21"/>
                <w:highlight w:val="none"/>
              </w:rPr>
            </w:pPr>
          </w:p>
        </w:tc>
        <w:tc>
          <w:tcPr>
            <w:tcW w:w="1307" w:type="dxa"/>
            <w:vAlign w:val="top"/>
          </w:tcPr>
          <w:p w14:paraId="33EF21B7">
            <w:pPr>
              <w:rPr>
                <w:rFonts w:ascii="Arial"/>
                <w:color w:val="auto"/>
                <w:sz w:val="21"/>
                <w:highlight w:val="none"/>
              </w:rPr>
            </w:pPr>
          </w:p>
        </w:tc>
        <w:tc>
          <w:tcPr>
            <w:tcW w:w="1140" w:type="dxa"/>
            <w:vAlign w:val="top"/>
          </w:tcPr>
          <w:p w14:paraId="5ABEEB34">
            <w:pPr>
              <w:rPr>
                <w:rFonts w:ascii="Arial"/>
                <w:color w:val="auto"/>
                <w:sz w:val="21"/>
                <w:highlight w:val="none"/>
              </w:rPr>
            </w:pPr>
          </w:p>
        </w:tc>
        <w:tc>
          <w:tcPr>
            <w:tcW w:w="796" w:type="dxa"/>
            <w:vAlign w:val="top"/>
          </w:tcPr>
          <w:p w14:paraId="6117569B">
            <w:pPr>
              <w:rPr>
                <w:rFonts w:ascii="Arial"/>
                <w:color w:val="auto"/>
                <w:sz w:val="21"/>
                <w:highlight w:val="none"/>
              </w:rPr>
            </w:pPr>
          </w:p>
        </w:tc>
        <w:tc>
          <w:tcPr>
            <w:tcW w:w="742" w:type="dxa"/>
            <w:vAlign w:val="top"/>
          </w:tcPr>
          <w:p w14:paraId="41AD78B8">
            <w:pPr>
              <w:rPr>
                <w:rFonts w:ascii="Arial"/>
                <w:color w:val="auto"/>
                <w:sz w:val="21"/>
                <w:highlight w:val="none"/>
              </w:rPr>
            </w:pPr>
          </w:p>
        </w:tc>
        <w:tc>
          <w:tcPr>
            <w:tcW w:w="1723" w:type="dxa"/>
            <w:vAlign w:val="top"/>
          </w:tcPr>
          <w:p w14:paraId="07789AD7">
            <w:pPr>
              <w:rPr>
                <w:rFonts w:ascii="Arial"/>
                <w:color w:val="auto"/>
                <w:sz w:val="21"/>
                <w:highlight w:val="none"/>
              </w:rPr>
            </w:pPr>
          </w:p>
        </w:tc>
        <w:tc>
          <w:tcPr>
            <w:tcW w:w="1031" w:type="dxa"/>
            <w:vAlign w:val="top"/>
          </w:tcPr>
          <w:p w14:paraId="7C85AFFD">
            <w:pPr>
              <w:rPr>
                <w:rFonts w:ascii="Arial"/>
                <w:color w:val="auto"/>
                <w:sz w:val="21"/>
                <w:highlight w:val="none"/>
              </w:rPr>
            </w:pPr>
          </w:p>
        </w:tc>
        <w:tc>
          <w:tcPr>
            <w:tcW w:w="1842" w:type="dxa"/>
            <w:vAlign w:val="top"/>
          </w:tcPr>
          <w:p w14:paraId="3FACA698">
            <w:pPr>
              <w:rPr>
                <w:rFonts w:ascii="Arial"/>
                <w:color w:val="auto"/>
                <w:sz w:val="21"/>
                <w:highlight w:val="none"/>
              </w:rPr>
            </w:pPr>
          </w:p>
        </w:tc>
      </w:tr>
      <w:tr w14:paraId="0948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794E2A52">
            <w:pPr>
              <w:rPr>
                <w:rFonts w:ascii="Arial"/>
                <w:color w:val="auto"/>
                <w:sz w:val="21"/>
                <w:highlight w:val="none"/>
              </w:rPr>
            </w:pPr>
          </w:p>
        </w:tc>
        <w:tc>
          <w:tcPr>
            <w:tcW w:w="1031" w:type="dxa"/>
            <w:vAlign w:val="top"/>
          </w:tcPr>
          <w:p w14:paraId="2082FB87">
            <w:pPr>
              <w:rPr>
                <w:rFonts w:ascii="Arial"/>
                <w:color w:val="auto"/>
                <w:sz w:val="21"/>
                <w:highlight w:val="none"/>
              </w:rPr>
            </w:pPr>
          </w:p>
        </w:tc>
        <w:tc>
          <w:tcPr>
            <w:tcW w:w="1289" w:type="dxa"/>
            <w:vAlign w:val="top"/>
          </w:tcPr>
          <w:p w14:paraId="7555CE39">
            <w:pPr>
              <w:rPr>
                <w:rFonts w:ascii="Arial"/>
                <w:color w:val="auto"/>
                <w:sz w:val="21"/>
                <w:highlight w:val="none"/>
              </w:rPr>
            </w:pPr>
          </w:p>
        </w:tc>
        <w:tc>
          <w:tcPr>
            <w:tcW w:w="1031" w:type="dxa"/>
            <w:vAlign w:val="top"/>
          </w:tcPr>
          <w:p w14:paraId="641B85BB">
            <w:pPr>
              <w:rPr>
                <w:rFonts w:ascii="Arial"/>
                <w:color w:val="auto"/>
                <w:sz w:val="21"/>
                <w:highlight w:val="none"/>
              </w:rPr>
            </w:pPr>
          </w:p>
        </w:tc>
        <w:tc>
          <w:tcPr>
            <w:tcW w:w="1434" w:type="dxa"/>
            <w:vAlign w:val="top"/>
          </w:tcPr>
          <w:p w14:paraId="7D03E940">
            <w:pPr>
              <w:rPr>
                <w:rFonts w:ascii="Arial"/>
                <w:color w:val="auto"/>
                <w:sz w:val="21"/>
                <w:highlight w:val="none"/>
              </w:rPr>
            </w:pPr>
          </w:p>
        </w:tc>
        <w:tc>
          <w:tcPr>
            <w:tcW w:w="1307" w:type="dxa"/>
            <w:vAlign w:val="top"/>
          </w:tcPr>
          <w:p w14:paraId="79A12DAA">
            <w:pPr>
              <w:rPr>
                <w:rFonts w:ascii="Arial"/>
                <w:color w:val="auto"/>
                <w:sz w:val="21"/>
                <w:highlight w:val="none"/>
              </w:rPr>
            </w:pPr>
          </w:p>
        </w:tc>
        <w:tc>
          <w:tcPr>
            <w:tcW w:w="1140" w:type="dxa"/>
            <w:vAlign w:val="top"/>
          </w:tcPr>
          <w:p w14:paraId="5A53C433">
            <w:pPr>
              <w:rPr>
                <w:rFonts w:ascii="Arial"/>
                <w:color w:val="auto"/>
                <w:sz w:val="21"/>
                <w:highlight w:val="none"/>
              </w:rPr>
            </w:pPr>
          </w:p>
        </w:tc>
        <w:tc>
          <w:tcPr>
            <w:tcW w:w="796" w:type="dxa"/>
            <w:vAlign w:val="top"/>
          </w:tcPr>
          <w:p w14:paraId="083AF33A">
            <w:pPr>
              <w:rPr>
                <w:rFonts w:ascii="Arial"/>
                <w:color w:val="auto"/>
                <w:sz w:val="21"/>
                <w:highlight w:val="none"/>
              </w:rPr>
            </w:pPr>
          </w:p>
        </w:tc>
        <w:tc>
          <w:tcPr>
            <w:tcW w:w="742" w:type="dxa"/>
            <w:vAlign w:val="top"/>
          </w:tcPr>
          <w:p w14:paraId="7730D9E2">
            <w:pPr>
              <w:rPr>
                <w:rFonts w:ascii="Arial"/>
                <w:color w:val="auto"/>
                <w:sz w:val="21"/>
                <w:highlight w:val="none"/>
              </w:rPr>
            </w:pPr>
          </w:p>
        </w:tc>
        <w:tc>
          <w:tcPr>
            <w:tcW w:w="1723" w:type="dxa"/>
            <w:vAlign w:val="top"/>
          </w:tcPr>
          <w:p w14:paraId="27126E46">
            <w:pPr>
              <w:rPr>
                <w:rFonts w:ascii="Arial"/>
                <w:color w:val="auto"/>
                <w:sz w:val="21"/>
                <w:highlight w:val="none"/>
              </w:rPr>
            </w:pPr>
          </w:p>
        </w:tc>
        <w:tc>
          <w:tcPr>
            <w:tcW w:w="1031" w:type="dxa"/>
            <w:vAlign w:val="top"/>
          </w:tcPr>
          <w:p w14:paraId="48A322B5">
            <w:pPr>
              <w:rPr>
                <w:rFonts w:ascii="Arial"/>
                <w:color w:val="auto"/>
                <w:sz w:val="21"/>
                <w:highlight w:val="none"/>
              </w:rPr>
            </w:pPr>
          </w:p>
        </w:tc>
        <w:tc>
          <w:tcPr>
            <w:tcW w:w="1842" w:type="dxa"/>
            <w:vAlign w:val="top"/>
          </w:tcPr>
          <w:p w14:paraId="2D06E0A3">
            <w:pPr>
              <w:rPr>
                <w:rFonts w:ascii="Arial"/>
                <w:color w:val="auto"/>
                <w:sz w:val="21"/>
                <w:highlight w:val="none"/>
              </w:rPr>
            </w:pPr>
          </w:p>
        </w:tc>
      </w:tr>
      <w:tr w14:paraId="5E8D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4DFE50A7">
            <w:pPr>
              <w:rPr>
                <w:rFonts w:ascii="Arial"/>
                <w:color w:val="auto"/>
                <w:sz w:val="21"/>
                <w:highlight w:val="none"/>
              </w:rPr>
            </w:pPr>
          </w:p>
        </w:tc>
        <w:tc>
          <w:tcPr>
            <w:tcW w:w="1031" w:type="dxa"/>
            <w:vAlign w:val="top"/>
          </w:tcPr>
          <w:p w14:paraId="2D8B7522">
            <w:pPr>
              <w:rPr>
                <w:rFonts w:ascii="Arial"/>
                <w:color w:val="auto"/>
                <w:sz w:val="21"/>
                <w:highlight w:val="none"/>
              </w:rPr>
            </w:pPr>
          </w:p>
        </w:tc>
        <w:tc>
          <w:tcPr>
            <w:tcW w:w="1289" w:type="dxa"/>
            <w:vAlign w:val="top"/>
          </w:tcPr>
          <w:p w14:paraId="240C51BA">
            <w:pPr>
              <w:rPr>
                <w:rFonts w:ascii="Arial"/>
                <w:color w:val="auto"/>
                <w:sz w:val="21"/>
                <w:highlight w:val="none"/>
              </w:rPr>
            </w:pPr>
          </w:p>
        </w:tc>
        <w:tc>
          <w:tcPr>
            <w:tcW w:w="1031" w:type="dxa"/>
            <w:vAlign w:val="top"/>
          </w:tcPr>
          <w:p w14:paraId="3467CC20">
            <w:pPr>
              <w:rPr>
                <w:rFonts w:ascii="Arial"/>
                <w:color w:val="auto"/>
                <w:sz w:val="21"/>
                <w:highlight w:val="none"/>
              </w:rPr>
            </w:pPr>
          </w:p>
        </w:tc>
        <w:tc>
          <w:tcPr>
            <w:tcW w:w="1434" w:type="dxa"/>
            <w:vAlign w:val="top"/>
          </w:tcPr>
          <w:p w14:paraId="51122088">
            <w:pPr>
              <w:rPr>
                <w:rFonts w:ascii="Arial"/>
                <w:color w:val="auto"/>
                <w:sz w:val="21"/>
                <w:highlight w:val="none"/>
              </w:rPr>
            </w:pPr>
          </w:p>
        </w:tc>
        <w:tc>
          <w:tcPr>
            <w:tcW w:w="1307" w:type="dxa"/>
            <w:vAlign w:val="top"/>
          </w:tcPr>
          <w:p w14:paraId="617AB064">
            <w:pPr>
              <w:rPr>
                <w:rFonts w:ascii="Arial"/>
                <w:color w:val="auto"/>
                <w:sz w:val="21"/>
                <w:highlight w:val="none"/>
              </w:rPr>
            </w:pPr>
          </w:p>
        </w:tc>
        <w:tc>
          <w:tcPr>
            <w:tcW w:w="1140" w:type="dxa"/>
            <w:vAlign w:val="top"/>
          </w:tcPr>
          <w:p w14:paraId="0C7560FA">
            <w:pPr>
              <w:rPr>
                <w:rFonts w:ascii="Arial"/>
                <w:color w:val="auto"/>
                <w:sz w:val="21"/>
                <w:highlight w:val="none"/>
              </w:rPr>
            </w:pPr>
          </w:p>
        </w:tc>
        <w:tc>
          <w:tcPr>
            <w:tcW w:w="796" w:type="dxa"/>
            <w:vAlign w:val="top"/>
          </w:tcPr>
          <w:p w14:paraId="02788D4D">
            <w:pPr>
              <w:rPr>
                <w:rFonts w:ascii="Arial"/>
                <w:color w:val="auto"/>
                <w:sz w:val="21"/>
                <w:highlight w:val="none"/>
              </w:rPr>
            </w:pPr>
          </w:p>
        </w:tc>
        <w:tc>
          <w:tcPr>
            <w:tcW w:w="742" w:type="dxa"/>
            <w:vAlign w:val="top"/>
          </w:tcPr>
          <w:p w14:paraId="0DCECE28">
            <w:pPr>
              <w:rPr>
                <w:rFonts w:ascii="Arial"/>
                <w:color w:val="auto"/>
                <w:sz w:val="21"/>
                <w:highlight w:val="none"/>
              </w:rPr>
            </w:pPr>
          </w:p>
        </w:tc>
        <w:tc>
          <w:tcPr>
            <w:tcW w:w="1723" w:type="dxa"/>
            <w:vAlign w:val="top"/>
          </w:tcPr>
          <w:p w14:paraId="6745B22B">
            <w:pPr>
              <w:rPr>
                <w:rFonts w:ascii="Arial"/>
                <w:color w:val="auto"/>
                <w:sz w:val="21"/>
                <w:highlight w:val="none"/>
              </w:rPr>
            </w:pPr>
          </w:p>
        </w:tc>
        <w:tc>
          <w:tcPr>
            <w:tcW w:w="1031" w:type="dxa"/>
            <w:vAlign w:val="top"/>
          </w:tcPr>
          <w:p w14:paraId="691D4C58">
            <w:pPr>
              <w:rPr>
                <w:rFonts w:ascii="Arial"/>
                <w:color w:val="auto"/>
                <w:sz w:val="21"/>
                <w:highlight w:val="none"/>
              </w:rPr>
            </w:pPr>
          </w:p>
        </w:tc>
        <w:tc>
          <w:tcPr>
            <w:tcW w:w="1842" w:type="dxa"/>
            <w:vAlign w:val="top"/>
          </w:tcPr>
          <w:p w14:paraId="2F05426F">
            <w:pPr>
              <w:rPr>
                <w:rFonts w:ascii="Arial"/>
                <w:color w:val="auto"/>
                <w:sz w:val="21"/>
                <w:highlight w:val="none"/>
              </w:rPr>
            </w:pPr>
          </w:p>
        </w:tc>
      </w:tr>
      <w:tr w14:paraId="2FCF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37F754C3">
            <w:pPr>
              <w:rPr>
                <w:rFonts w:ascii="Arial"/>
                <w:color w:val="auto"/>
                <w:sz w:val="21"/>
                <w:highlight w:val="none"/>
              </w:rPr>
            </w:pPr>
          </w:p>
        </w:tc>
        <w:tc>
          <w:tcPr>
            <w:tcW w:w="1031" w:type="dxa"/>
            <w:vAlign w:val="top"/>
          </w:tcPr>
          <w:p w14:paraId="1EB869C5">
            <w:pPr>
              <w:rPr>
                <w:rFonts w:ascii="Arial"/>
                <w:color w:val="auto"/>
                <w:sz w:val="21"/>
                <w:highlight w:val="none"/>
              </w:rPr>
            </w:pPr>
          </w:p>
        </w:tc>
        <w:tc>
          <w:tcPr>
            <w:tcW w:w="1289" w:type="dxa"/>
            <w:vAlign w:val="top"/>
          </w:tcPr>
          <w:p w14:paraId="29F48FB4">
            <w:pPr>
              <w:rPr>
                <w:rFonts w:ascii="Arial"/>
                <w:color w:val="auto"/>
                <w:sz w:val="21"/>
                <w:highlight w:val="none"/>
              </w:rPr>
            </w:pPr>
          </w:p>
        </w:tc>
        <w:tc>
          <w:tcPr>
            <w:tcW w:w="1031" w:type="dxa"/>
            <w:vAlign w:val="top"/>
          </w:tcPr>
          <w:p w14:paraId="5B120BAD">
            <w:pPr>
              <w:rPr>
                <w:rFonts w:ascii="Arial"/>
                <w:color w:val="auto"/>
                <w:sz w:val="21"/>
                <w:highlight w:val="none"/>
              </w:rPr>
            </w:pPr>
          </w:p>
        </w:tc>
        <w:tc>
          <w:tcPr>
            <w:tcW w:w="1434" w:type="dxa"/>
            <w:vAlign w:val="top"/>
          </w:tcPr>
          <w:p w14:paraId="66DB7684">
            <w:pPr>
              <w:rPr>
                <w:rFonts w:ascii="Arial"/>
                <w:color w:val="auto"/>
                <w:sz w:val="21"/>
                <w:highlight w:val="none"/>
              </w:rPr>
            </w:pPr>
          </w:p>
        </w:tc>
        <w:tc>
          <w:tcPr>
            <w:tcW w:w="1307" w:type="dxa"/>
            <w:vAlign w:val="top"/>
          </w:tcPr>
          <w:p w14:paraId="5D7EE910">
            <w:pPr>
              <w:rPr>
                <w:rFonts w:ascii="Arial"/>
                <w:color w:val="auto"/>
                <w:sz w:val="21"/>
                <w:highlight w:val="none"/>
              </w:rPr>
            </w:pPr>
          </w:p>
        </w:tc>
        <w:tc>
          <w:tcPr>
            <w:tcW w:w="1140" w:type="dxa"/>
            <w:vAlign w:val="top"/>
          </w:tcPr>
          <w:p w14:paraId="0237E17E">
            <w:pPr>
              <w:rPr>
                <w:rFonts w:ascii="Arial"/>
                <w:color w:val="auto"/>
                <w:sz w:val="21"/>
                <w:highlight w:val="none"/>
              </w:rPr>
            </w:pPr>
          </w:p>
        </w:tc>
        <w:tc>
          <w:tcPr>
            <w:tcW w:w="796" w:type="dxa"/>
            <w:vAlign w:val="top"/>
          </w:tcPr>
          <w:p w14:paraId="4CEBCBB8">
            <w:pPr>
              <w:rPr>
                <w:rFonts w:ascii="Arial"/>
                <w:color w:val="auto"/>
                <w:sz w:val="21"/>
                <w:highlight w:val="none"/>
              </w:rPr>
            </w:pPr>
          </w:p>
        </w:tc>
        <w:tc>
          <w:tcPr>
            <w:tcW w:w="742" w:type="dxa"/>
            <w:vAlign w:val="top"/>
          </w:tcPr>
          <w:p w14:paraId="1B8BDA39">
            <w:pPr>
              <w:rPr>
                <w:rFonts w:ascii="Arial"/>
                <w:color w:val="auto"/>
                <w:sz w:val="21"/>
                <w:highlight w:val="none"/>
              </w:rPr>
            </w:pPr>
          </w:p>
        </w:tc>
        <w:tc>
          <w:tcPr>
            <w:tcW w:w="1723" w:type="dxa"/>
            <w:vAlign w:val="top"/>
          </w:tcPr>
          <w:p w14:paraId="1CB68923">
            <w:pPr>
              <w:rPr>
                <w:rFonts w:ascii="Arial"/>
                <w:color w:val="auto"/>
                <w:sz w:val="21"/>
                <w:highlight w:val="none"/>
              </w:rPr>
            </w:pPr>
          </w:p>
        </w:tc>
        <w:tc>
          <w:tcPr>
            <w:tcW w:w="1031" w:type="dxa"/>
            <w:vAlign w:val="top"/>
          </w:tcPr>
          <w:p w14:paraId="17671055">
            <w:pPr>
              <w:rPr>
                <w:rFonts w:ascii="Arial"/>
                <w:color w:val="auto"/>
                <w:sz w:val="21"/>
                <w:highlight w:val="none"/>
              </w:rPr>
            </w:pPr>
          </w:p>
        </w:tc>
        <w:tc>
          <w:tcPr>
            <w:tcW w:w="1842" w:type="dxa"/>
            <w:vAlign w:val="top"/>
          </w:tcPr>
          <w:p w14:paraId="4A17C8ED">
            <w:pPr>
              <w:rPr>
                <w:rFonts w:ascii="Arial"/>
                <w:color w:val="auto"/>
                <w:sz w:val="21"/>
                <w:highlight w:val="none"/>
              </w:rPr>
            </w:pPr>
          </w:p>
        </w:tc>
      </w:tr>
      <w:tr w14:paraId="38BDE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1AB38AB0">
            <w:pPr>
              <w:rPr>
                <w:rFonts w:ascii="Arial"/>
                <w:color w:val="auto"/>
                <w:sz w:val="21"/>
                <w:highlight w:val="none"/>
              </w:rPr>
            </w:pPr>
          </w:p>
        </w:tc>
        <w:tc>
          <w:tcPr>
            <w:tcW w:w="1031" w:type="dxa"/>
            <w:vAlign w:val="top"/>
          </w:tcPr>
          <w:p w14:paraId="5B50B474">
            <w:pPr>
              <w:rPr>
                <w:rFonts w:ascii="Arial"/>
                <w:color w:val="auto"/>
                <w:sz w:val="21"/>
                <w:highlight w:val="none"/>
              </w:rPr>
            </w:pPr>
          </w:p>
        </w:tc>
        <w:tc>
          <w:tcPr>
            <w:tcW w:w="1289" w:type="dxa"/>
            <w:vAlign w:val="top"/>
          </w:tcPr>
          <w:p w14:paraId="495CB3B7">
            <w:pPr>
              <w:rPr>
                <w:rFonts w:ascii="Arial"/>
                <w:color w:val="auto"/>
                <w:sz w:val="21"/>
                <w:highlight w:val="none"/>
              </w:rPr>
            </w:pPr>
          </w:p>
        </w:tc>
        <w:tc>
          <w:tcPr>
            <w:tcW w:w="1031" w:type="dxa"/>
            <w:vAlign w:val="top"/>
          </w:tcPr>
          <w:p w14:paraId="64F3EF37">
            <w:pPr>
              <w:rPr>
                <w:rFonts w:ascii="Arial"/>
                <w:color w:val="auto"/>
                <w:sz w:val="21"/>
                <w:highlight w:val="none"/>
              </w:rPr>
            </w:pPr>
          </w:p>
        </w:tc>
        <w:tc>
          <w:tcPr>
            <w:tcW w:w="1434" w:type="dxa"/>
            <w:vAlign w:val="top"/>
          </w:tcPr>
          <w:p w14:paraId="4F592AEB">
            <w:pPr>
              <w:rPr>
                <w:rFonts w:ascii="Arial"/>
                <w:color w:val="auto"/>
                <w:sz w:val="21"/>
                <w:highlight w:val="none"/>
              </w:rPr>
            </w:pPr>
          </w:p>
        </w:tc>
        <w:tc>
          <w:tcPr>
            <w:tcW w:w="1307" w:type="dxa"/>
            <w:vAlign w:val="top"/>
          </w:tcPr>
          <w:p w14:paraId="121ABF80">
            <w:pPr>
              <w:rPr>
                <w:rFonts w:ascii="Arial"/>
                <w:color w:val="auto"/>
                <w:sz w:val="21"/>
                <w:highlight w:val="none"/>
              </w:rPr>
            </w:pPr>
          </w:p>
        </w:tc>
        <w:tc>
          <w:tcPr>
            <w:tcW w:w="1140" w:type="dxa"/>
            <w:vAlign w:val="top"/>
          </w:tcPr>
          <w:p w14:paraId="39AE5F7B">
            <w:pPr>
              <w:rPr>
                <w:rFonts w:ascii="Arial"/>
                <w:color w:val="auto"/>
                <w:sz w:val="21"/>
                <w:highlight w:val="none"/>
              </w:rPr>
            </w:pPr>
          </w:p>
        </w:tc>
        <w:tc>
          <w:tcPr>
            <w:tcW w:w="796" w:type="dxa"/>
            <w:vAlign w:val="top"/>
          </w:tcPr>
          <w:p w14:paraId="6A964774">
            <w:pPr>
              <w:rPr>
                <w:rFonts w:ascii="Arial"/>
                <w:color w:val="auto"/>
                <w:sz w:val="21"/>
                <w:highlight w:val="none"/>
              </w:rPr>
            </w:pPr>
          </w:p>
        </w:tc>
        <w:tc>
          <w:tcPr>
            <w:tcW w:w="742" w:type="dxa"/>
            <w:vAlign w:val="top"/>
          </w:tcPr>
          <w:p w14:paraId="2E62CA27">
            <w:pPr>
              <w:rPr>
                <w:rFonts w:ascii="Arial"/>
                <w:color w:val="auto"/>
                <w:sz w:val="21"/>
                <w:highlight w:val="none"/>
              </w:rPr>
            </w:pPr>
          </w:p>
        </w:tc>
        <w:tc>
          <w:tcPr>
            <w:tcW w:w="1723" w:type="dxa"/>
            <w:vAlign w:val="top"/>
          </w:tcPr>
          <w:p w14:paraId="13869106">
            <w:pPr>
              <w:rPr>
                <w:rFonts w:ascii="Arial"/>
                <w:color w:val="auto"/>
                <w:sz w:val="21"/>
                <w:highlight w:val="none"/>
              </w:rPr>
            </w:pPr>
          </w:p>
        </w:tc>
        <w:tc>
          <w:tcPr>
            <w:tcW w:w="1031" w:type="dxa"/>
            <w:vAlign w:val="top"/>
          </w:tcPr>
          <w:p w14:paraId="127C62F9">
            <w:pPr>
              <w:rPr>
                <w:rFonts w:ascii="Arial"/>
                <w:color w:val="auto"/>
                <w:sz w:val="21"/>
                <w:highlight w:val="none"/>
              </w:rPr>
            </w:pPr>
          </w:p>
        </w:tc>
        <w:tc>
          <w:tcPr>
            <w:tcW w:w="1842" w:type="dxa"/>
            <w:vAlign w:val="top"/>
          </w:tcPr>
          <w:p w14:paraId="68B62910">
            <w:pPr>
              <w:rPr>
                <w:rFonts w:ascii="Arial"/>
                <w:color w:val="auto"/>
                <w:sz w:val="21"/>
                <w:highlight w:val="none"/>
              </w:rPr>
            </w:pPr>
          </w:p>
        </w:tc>
      </w:tr>
      <w:tr w14:paraId="4C8F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742895FC">
            <w:pPr>
              <w:rPr>
                <w:rFonts w:ascii="Arial"/>
                <w:color w:val="auto"/>
                <w:sz w:val="21"/>
                <w:highlight w:val="none"/>
              </w:rPr>
            </w:pPr>
          </w:p>
        </w:tc>
        <w:tc>
          <w:tcPr>
            <w:tcW w:w="1031" w:type="dxa"/>
            <w:vAlign w:val="top"/>
          </w:tcPr>
          <w:p w14:paraId="2C4E3057">
            <w:pPr>
              <w:rPr>
                <w:rFonts w:ascii="Arial"/>
                <w:color w:val="auto"/>
                <w:sz w:val="21"/>
                <w:highlight w:val="none"/>
              </w:rPr>
            </w:pPr>
          </w:p>
        </w:tc>
        <w:tc>
          <w:tcPr>
            <w:tcW w:w="1289" w:type="dxa"/>
            <w:vAlign w:val="top"/>
          </w:tcPr>
          <w:p w14:paraId="59AAB22F">
            <w:pPr>
              <w:rPr>
                <w:rFonts w:ascii="Arial"/>
                <w:color w:val="auto"/>
                <w:sz w:val="21"/>
                <w:highlight w:val="none"/>
              </w:rPr>
            </w:pPr>
          </w:p>
        </w:tc>
        <w:tc>
          <w:tcPr>
            <w:tcW w:w="1031" w:type="dxa"/>
            <w:vAlign w:val="top"/>
          </w:tcPr>
          <w:p w14:paraId="7DBB8C74">
            <w:pPr>
              <w:rPr>
                <w:rFonts w:ascii="Arial"/>
                <w:color w:val="auto"/>
                <w:sz w:val="21"/>
                <w:highlight w:val="none"/>
              </w:rPr>
            </w:pPr>
          </w:p>
        </w:tc>
        <w:tc>
          <w:tcPr>
            <w:tcW w:w="1434" w:type="dxa"/>
            <w:vAlign w:val="top"/>
          </w:tcPr>
          <w:p w14:paraId="404B706F">
            <w:pPr>
              <w:rPr>
                <w:rFonts w:ascii="Arial"/>
                <w:color w:val="auto"/>
                <w:sz w:val="21"/>
                <w:highlight w:val="none"/>
              </w:rPr>
            </w:pPr>
          </w:p>
        </w:tc>
        <w:tc>
          <w:tcPr>
            <w:tcW w:w="1307" w:type="dxa"/>
            <w:vAlign w:val="top"/>
          </w:tcPr>
          <w:p w14:paraId="5A41583E">
            <w:pPr>
              <w:rPr>
                <w:rFonts w:ascii="Arial"/>
                <w:color w:val="auto"/>
                <w:sz w:val="21"/>
                <w:highlight w:val="none"/>
              </w:rPr>
            </w:pPr>
          </w:p>
        </w:tc>
        <w:tc>
          <w:tcPr>
            <w:tcW w:w="1140" w:type="dxa"/>
            <w:vAlign w:val="top"/>
          </w:tcPr>
          <w:p w14:paraId="505B05BF">
            <w:pPr>
              <w:rPr>
                <w:rFonts w:ascii="Arial"/>
                <w:color w:val="auto"/>
                <w:sz w:val="21"/>
                <w:highlight w:val="none"/>
              </w:rPr>
            </w:pPr>
          </w:p>
        </w:tc>
        <w:tc>
          <w:tcPr>
            <w:tcW w:w="796" w:type="dxa"/>
            <w:vAlign w:val="top"/>
          </w:tcPr>
          <w:p w14:paraId="31C70A35">
            <w:pPr>
              <w:rPr>
                <w:rFonts w:ascii="Arial"/>
                <w:color w:val="auto"/>
                <w:sz w:val="21"/>
                <w:highlight w:val="none"/>
              </w:rPr>
            </w:pPr>
          </w:p>
        </w:tc>
        <w:tc>
          <w:tcPr>
            <w:tcW w:w="742" w:type="dxa"/>
            <w:vAlign w:val="top"/>
          </w:tcPr>
          <w:p w14:paraId="3E872249">
            <w:pPr>
              <w:rPr>
                <w:rFonts w:ascii="Arial"/>
                <w:color w:val="auto"/>
                <w:sz w:val="21"/>
                <w:highlight w:val="none"/>
              </w:rPr>
            </w:pPr>
          </w:p>
        </w:tc>
        <w:tc>
          <w:tcPr>
            <w:tcW w:w="1723" w:type="dxa"/>
            <w:vAlign w:val="top"/>
          </w:tcPr>
          <w:p w14:paraId="00FCBD15">
            <w:pPr>
              <w:rPr>
                <w:rFonts w:ascii="Arial"/>
                <w:color w:val="auto"/>
                <w:sz w:val="21"/>
                <w:highlight w:val="none"/>
              </w:rPr>
            </w:pPr>
          </w:p>
        </w:tc>
        <w:tc>
          <w:tcPr>
            <w:tcW w:w="1031" w:type="dxa"/>
            <w:vAlign w:val="top"/>
          </w:tcPr>
          <w:p w14:paraId="40D7FC8E">
            <w:pPr>
              <w:rPr>
                <w:rFonts w:ascii="Arial"/>
                <w:color w:val="auto"/>
                <w:sz w:val="21"/>
                <w:highlight w:val="none"/>
              </w:rPr>
            </w:pPr>
          </w:p>
        </w:tc>
        <w:tc>
          <w:tcPr>
            <w:tcW w:w="1842" w:type="dxa"/>
            <w:vAlign w:val="top"/>
          </w:tcPr>
          <w:p w14:paraId="31EF697B">
            <w:pPr>
              <w:rPr>
                <w:rFonts w:ascii="Arial"/>
                <w:color w:val="auto"/>
                <w:sz w:val="21"/>
                <w:highlight w:val="none"/>
              </w:rPr>
            </w:pPr>
          </w:p>
        </w:tc>
      </w:tr>
      <w:tr w14:paraId="0409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2" w:type="dxa"/>
            <w:vAlign w:val="top"/>
          </w:tcPr>
          <w:p w14:paraId="4A1077C8">
            <w:pPr>
              <w:rPr>
                <w:rFonts w:ascii="Arial"/>
                <w:color w:val="auto"/>
                <w:sz w:val="21"/>
                <w:highlight w:val="none"/>
              </w:rPr>
            </w:pPr>
          </w:p>
        </w:tc>
        <w:tc>
          <w:tcPr>
            <w:tcW w:w="1031" w:type="dxa"/>
            <w:vAlign w:val="top"/>
          </w:tcPr>
          <w:p w14:paraId="31E9F9DC">
            <w:pPr>
              <w:rPr>
                <w:rFonts w:ascii="Arial"/>
                <w:color w:val="auto"/>
                <w:sz w:val="21"/>
                <w:highlight w:val="none"/>
              </w:rPr>
            </w:pPr>
          </w:p>
        </w:tc>
        <w:tc>
          <w:tcPr>
            <w:tcW w:w="1289" w:type="dxa"/>
            <w:vAlign w:val="top"/>
          </w:tcPr>
          <w:p w14:paraId="635E3FE2">
            <w:pPr>
              <w:rPr>
                <w:rFonts w:ascii="Arial"/>
                <w:color w:val="auto"/>
                <w:sz w:val="21"/>
                <w:highlight w:val="none"/>
              </w:rPr>
            </w:pPr>
          </w:p>
        </w:tc>
        <w:tc>
          <w:tcPr>
            <w:tcW w:w="1031" w:type="dxa"/>
            <w:vAlign w:val="top"/>
          </w:tcPr>
          <w:p w14:paraId="317EDDB6">
            <w:pPr>
              <w:rPr>
                <w:rFonts w:ascii="Arial"/>
                <w:color w:val="auto"/>
                <w:sz w:val="21"/>
                <w:highlight w:val="none"/>
              </w:rPr>
            </w:pPr>
          </w:p>
        </w:tc>
        <w:tc>
          <w:tcPr>
            <w:tcW w:w="1434" w:type="dxa"/>
            <w:vAlign w:val="top"/>
          </w:tcPr>
          <w:p w14:paraId="405C0E82">
            <w:pPr>
              <w:rPr>
                <w:rFonts w:ascii="Arial"/>
                <w:color w:val="auto"/>
                <w:sz w:val="21"/>
                <w:highlight w:val="none"/>
              </w:rPr>
            </w:pPr>
          </w:p>
        </w:tc>
        <w:tc>
          <w:tcPr>
            <w:tcW w:w="1307" w:type="dxa"/>
            <w:vAlign w:val="top"/>
          </w:tcPr>
          <w:p w14:paraId="40FB16CD">
            <w:pPr>
              <w:rPr>
                <w:rFonts w:ascii="Arial"/>
                <w:color w:val="auto"/>
                <w:sz w:val="21"/>
                <w:highlight w:val="none"/>
              </w:rPr>
            </w:pPr>
          </w:p>
        </w:tc>
        <w:tc>
          <w:tcPr>
            <w:tcW w:w="1140" w:type="dxa"/>
            <w:vAlign w:val="top"/>
          </w:tcPr>
          <w:p w14:paraId="22E676E4">
            <w:pPr>
              <w:rPr>
                <w:rFonts w:ascii="Arial"/>
                <w:color w:val="auto"/>
                <w:sz w:val="21"/>
                <w:highlight w:val="none"/>
              </w:rPr>
            </w:pPr>
          </w:p>
        </w:tc>
        <w:tc>
          <w:tcPr>
            <w:tcW w:w="796" w:type="dxa"/>
            <w:vAlign w:val="top"/>
          </w:tcPr>
          <w:p w14:paraId="5FAE4EA3">
            <w:pPr>
              <w:rPr>
                <w:rFonts w:ascii="Arial"/>
                <w:color w:val="auto"/>
                <w:sz w:val="21"/>
                <w:highlight w:val="none"/>
              </w:rPr>
            </w:pPr>
          </w:p>
        </w:tc>
        <w:tc>
          <w:tcPr>
            <w:tcW w:w="742" w:type="dxa"/>
            <w:vAlign w:val="top"/>
          </w:tcPr>
          <w:p w14:paraId="246F2EB6">
            <w:pPr>
              <w:rPr>
                <w:rFonts w:ascii="Arial"/>
                <w:color w:val="auto"/>
                <w:sz w:val="21"/>
                <w:highlight w:val="none"/>
              </w:rPr>
            </w:pPr>
          </w:p>
        </w:tc>
        <w:tc>
          <w:tcPr>
            <w:tcW w:w="1723" w:type="dxa"/>
            <w:vAlign w:val="top"/>
          </w:tcPr>
          <w:p w14:paraId="4807FC93">
            <w:pPr>
              <w:rPr>
                <w:rFonts w:ascii="Arial"/>
                <w:color w:val="auto"/>
                <w:sz w:val="21"/>
                <w:highlight w:val="none"/>
              </w:rPr>
            </w:pPr>
          </w:p>
        </w:tc>
        <w:tc>
          <w:tcPr>
            <w:tcW w:w="1031" w:type="dxa"/>
            <w:vAlign w:val="top"/>
          </w:tcPr>
          <w:p w14:paraId="32138DDE">
            <w:pPr>
              <w:rPr>
                <w:rFonts w:ascii="Arial"/>
                <w:color w:val="auto"/>
                <w:sz w:val="21"/>
                <w:highlight w:val="none"/>
              </w:rPr>
            </w:pPr>
          </w:p>
        </w:tc>
        <w:tc>
          <w:tcPr>
            <w:tcW w:w="1842" w:type="dxa"/>
            <w:vAlign w:val="top"/>
          </w:tcPr>
          <w:p w14:paraId="06949719">
            <w:pPr>
              <w:rPr>
                <w:rFonts w:ascii="Arial"/>
                <w:color w:val="auto"/>
                <w:sz w:val="21"/>
                <w:highlight w:val="none"/>
              </w:rPr>
            </w:pPr>
          </w:p>
        </w:tc>
      </w:tr>
    </w:tbl>
    <w:p w14:paraId="00593544">
      <w:pPr>
        <w:rPr>
          <w:rFonts w:ascii="Arial"/>
          <w:color w:val="auto"/>
          <w:sz w:val="21"/>
          <w:highlight w:val="none"/>
        </w:rPr>
      </w:pPr>
    </w:p>
    <w:p w14:paraId="6AB2B0CF">
      <w:pPr>
        <w:rPr>
          <w:rFonts w:ascii="Arial" w:hAnsi="Arial" w:eastAsia="Arial" w:cs="Arial"/>
          <w:color w:val="auto"/>
          <w:sz w:val="21"/>
          <w:szCs w:val="21"/>
          <w:highlight w:val="none"/>
        </w:rPr>
        <w:sectPr>
          <w:footerReference r:id="rId51" w:type="default"/>
          <w:pgSz w:w="16839" w:h="11906"/>
          <w:pgMar w:top="1012" w:right="1530" w:bottom="1297" w:left="1304" w:header="0" w:footer="1067" w:gutter="0"/>
          <w:pgNumType w:fmt="decimal"/>
          <w:cols w:space="720" w:num="1"/>
        </w:sectPr>
      </w:pPr>
    </w:p>
    <w:p w14:paraId="191A6E8F">
      <w:pPr>
        <w:spacing w:before="60" w:line="219" w:lineRule="auto"/>
        <w:ind w:left="2414"/>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（四）近年完成的类似项目情况表</w:t>
      </w:r>
    </w:p>
    <w:p w14:paraId="4E7345CF">
      <w:pPr>
        <w:spacing w:before="10"/>
        <w:rPr>
          <w:color w:val="auto"/>
          <w:highlight w:val="none"/>
        </w:rPr>
      </w:pPr>
    </w:p>
    <w:p w14:paraId="7F670257">
      <w:pPr>
        <w:spacing w:before="9"/>
        <w:rPr>
          <w:color w:val="auto"/>
          <w:highlight w:val="none"/>
        </w:rPr>
      </w:pPr>
    </w:p>
    <w:tbl>
      <w:tblPr>
        <w:tblStyle w:val="22"/>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5C14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14:paraId="6E00C424">
            <w:pPr>
              <w:pStyle w:val="23"/>
              <w:spacing w:before="274" w:line="229" w:lineRule="auto"/>
              <w:ind w:left="769"/>
              <w:rPr>
                <w:color w:val="auto"/>
                <w:highlight w:val="none"/>
              </w:rPr>
            </w:pPr>
            <w:r>
              <w:rPr>
                <w:color w:val="auto"/>
                <w:highlight w:val="none"/>
              </w:rPr>
              <w:t>序</w:t>
            </w:r>
            <w:r>
              <w:rPr>
                <w:color w:val="auto"/>
                <w:spacing w:val="9"/>
                <w:highlight w:val="none"/>
              </w:rPr>
              <w:t xml:space="preserve">    </w:t>
            </w:r>
            <w:r>
              <w:rPr>
                <w:color w:val="auto"/>
                <w:highlight w:val="none"/>
              </w:rPr>
              <w:t>号</w:t>
            </w:r>
          </w:p>
        </w:tc>
        <w:tc>
          <w:tcPr>
            <w:tcW w:w="6525" w:type="dxa"/>
            <w:vAlign w:val="top"/>
          </w:tcPr>
          <w:p w14:paraId="7C079F8D">
            <w:pPr>
              <w:rPr>
                <w:rFonts w:ascii="Arial"/>
                <w:color w:val="auto"/>
                <w:sz w:val="21"/>
                <w:highlight w:val="none"/>
              </w:rPr>
            </w:pPr>
          </w:p>
        </w:tc>
      </w:tr>
      <w:tr w14:paraId="1FDC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3F00F0E">
            <w:pPr>
              <w:pStyle w:val="23"/>
              <w:spacing w:before="270" w:line="228" w:lineRule="auto"/>
              <w:ind w:left="773"/>
              <w:rPr>
                <w:color w:val="auto"/>
                <w:highlight w:val="none"/>
              </w:rPr>
            </w:pPr>
            <w:r>
              <w:rPr>
                <w:color w:val="auto"/>
                <w:spacing w:val="6"/>
                <w:highlight w:val="none"/>
              </w:rPr>
              <w:t>项目名称</w:t>
            </w:r>
          </w:p>
        </w:tc>
        <w:tc>
          <w:tcPr>
            <w:tcW w:w="6525" w:type="dxa"/>
            <w:vAlign w:val="top"/>
          </w:tcPr>
          <w:p w14:paraId="54F566F4">
            <w:pPr>
              <w:rPr>
                <w:rFonts w:ascii="Arial"/>
                <w:color w:val="auto"/>
                <w:sz w:val="21"/>
                <w:highlight w:val="none"/>
              </w:rPr>
            </w:pPr>
          </w:p>
        </w:tc>
      </w:tr>
      <w:tr w14:paraId="61266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C17FB06">
            <w:pPr>
              <w:pStyle w:val="23"/>
              <w:spacing w:before="272" w:line="228" w:lineRule="auto"/>
              <w:ind w:left="670"/>
              <w:rPr>
                <w:color w:val="auto"/>
                <w:highlight w:val="none"/>
              </w:rPr>
            </w:pPr>
            <w:r>
              <w:rPr>
                <w:color w:val="auto"/>
                <w:spacing w:val="7"/>
                <w:highlight w:val="none"/>
              </w:rPr>
              <w:t>项目所在地</w:t>
            </w:r>
          </w:p>
        </w:tc>
        <w:tc>
          <w:tcPr>
            <w:tcW w:w="6525" w:type="dxa"/>
            <w:vAlign w:val="top"/>
          </w:tcPr>
          <w:p w14:paraId="6C57DF8F">
            <w:pPr>
              <w:rPr>
                <w:rFonts w:ascii="Arial"/>
                <w:color w:val="auto"/>
                <w:sz w:val="21"/>
                <w:highlight w:val="none"/>
              </w:rPr>
            </w:pPr>
          </w:p>
        </w:tc>
      </w:tr>
      <w:tr w14:paraId="3AB27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8A2061D">
            <w:pPr>
              <w:pStyle w:val="23"/>
              <w:spacing w:before="271" w:line="229" w:lineRule="auto"/>
              <w:ind w:left="666"/>
              <w:rPr>
                <w:color w:val="auto"/>
                <w:highlight w:val="none"/>
              </w:rPr>
            </w:pPr>
            <w:r>
              <w:rPr>
                <w:color w:val="auto"/>
                <w:spacing w:val="8"/>
                <w:highlight w:val="none"/>
              </w:rPr>
              <w:t>委托人名称</w:t>
            </w:r>
          </w:p>
        </w:tc>
        <w:tc>
          <w:tcPr>
            <w:tcW w:w="6525" w:type="dxa"/>
            <w:vAlign w:val="top"/>
          </w:tcPr>
          <w:p w14:paraId="43E67457">
            <w:pPr>
              <w:rPr>
                <w:rFonts w:ascii="Arial"/>
                <w:color w:val="auto"/>
                <w:sz w:val="21"/>
                <w:highlight w:val="none"/>
              </w:rPr>
            </w:pPr>
          </w:p>
        </w:tc>
      </w:tr>
      <w:tr w14:paraId="7FA5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722E49D">
            <w:pPr>
              <w:pStyle w:val="23"/>
              <w:spacing w:before="272" w:line="229" w:lineRule="auto"/>
              <w:ind w:left="666"/>
              <w:rPr>
                <w:color w:val="auto"/>
                <w:highlight w:val="none"/>
              </w:rPr>
            </w:pPr>
            <w:r>
              <w:rPr>
                <w:color w:val="auto"/>
                <w:spacing w:val="8"/>
                <w:highlight w:val="none"/>
              </w:rPr>
              <w:t>委托人地址</w:t>
            </w:r>
          </w:p>
        </w:tc>
        <w:tc>
          <w:tcPr>
            <w:tcW w:w="6525" w:type="dxa"/>
            <w:vAlign w:val="top"/>
          </w:tcPr>
          <w:p w14:paraId="1B2768E9">
            <w:pPr>
              <w:rPr>
                <w:rFonts w:ascii="Arial"/>
                <w:color w:val="auto"/>
                <w:sz w:val="21"/>
                <w:highlight w:val="none"/>
              </w:rPr>
            </w:pPr>
          </w:p>
        </w:tc>
      </w:tr>
      <w:tr w14:paraId="1F374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52590CA">
            <w:pPr>
              <w:pStyle w:val="23"/>
              <w:spacing w:before="272" w:line="229" w:lineRule="auto"/>
              <w:ind w:left="666"/>
              <w:rPr>
                <w:color w:val="auto"/>
                <w:highlight w:val="none"/>
              </w:rPr>
            </w:pPr>
            <w:r>
              <w:rPr>
                <w:color w:val="auto"/>
                <w:spacing w:val="8"/>
                <w:highlight w:val="none"/>
              </w:rPr>
              <w:t>委托人电话</w:t>
            </w:r>
          </w:p>
        </w:tc>
        <w:tc>
          <w:tcPr>
            <w:tcW w:w="6525" w:type="dxa"/>
            <w:vAlign w:val="top"/>
          </w:tcPr>
          <w:p w14:paraId="04121B64">
            <w:pPr>
              <w:rPr>
                <w:rFonts w:ascii="Arial"/>
                <w:color w:val="auto"/>
                <w:sz w:val="21"/>
                <w:highlight w:val="none"/>
              </w:rPr>
            </w:pPr>
          </w:p>
        </w:tc>
      </w:tr>
      <w:tr w14:paraId="49A7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BFA8A03">
            <w:pPr>
              <w:pStyle w:val="23"/>
              <w:spacing w:before="272" w:line="228" w:lineRule="auto"/>
              <w:ind w:left="773"/>
              <w:rPr>
                <w:color w:val="auto"/>
                <w:highlight w:val="none"/>
              </w:rPr>
            </w:pPr>
            <w:r>
              <w:rPr>
                <w:color w:val="auto"/>
                <w:spacing w:val="6"/>
                <w:highlight w:val="none"/>
              </w:rPr>
              <w:t>项目等级</w:t>
            </w:r>
          </w:p>
        </w:tc>
        <w:tc>
          <w:tcPr>
            <w:tcW w:w="6525" w:type="dxa"/>
            <w:vAlign w:val="top"/>
          </w:tcPr>
          <w:p w14:paraId="233D16F3">
            <w:pPr>
              <w:rPr>
                <w:rFonts w:ascii="Arial"/>
                <w:color w:val="auto"/>
                <w:sz w:val="21"/>
                <w:highlight w:val="none"/>
              </w:rPr>
            </w:pPr>
          </w:p>
        </w:tc>
      </w:tr>
      <w:tr w14:paraId="7307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F6796F1">
            <w:pPr>
              <w:pStyle w:val="23"/>
              <w:spacing w:before="272" w:line="228" w:lineRule="auto"/>
              <w:ind w:left="670"/>
              <w:rPr>
                <w:color w:val="auto"/>
                <w:highlight w:val="none"/>
              </w:rPr>
            </w:pPr>
            <w:r>
              <w:rPr>
                <w:color w:val="auto"/>
                <w:spacing w:val="7"/>
                <w:highlight w:val="none"/>
              </w:rPr>
              <w:t>项目总投资</w:t>
            </w:r>
          </w:p>
        </w:tc>
        <w:tc>
          <w:tcPr>
            <w:tcW w:w="6525" w:type="dxa"/>
            <w:vAlign w:val="top"/>
          </w:tcPr>
          <w:p w14:paraId="7A3CC937">
            <w:pPr>
              <w:rPr>
                <w:rFonts w:ascii="Arial"/>
                <w:color w:val="auto"/>
                <w:sz w:val="21"/>
                <w:highlight w:val="none"/>
              </w:rPr>
            </w:pPr>
          </w:p>
        </w:tc>
      </w:tr>
      <w:tr w14:paraId="6FEA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31B8A9B">
            <w:pPr>
              <w:pStyle w:val="23"/>
              <w:spacing w:before="273" w:line="228" w:lineRule="auto"/>
              <w:ind w:left="667"/>
              <w:rPr>
                <w:color w:val="auto"/>
                <w:highlight w:val="none"/>
              </w:rPr>
            </w:pPr>
            <w:r>
              <w:rPr>
                <w:color w:val="auto"/>
                <w:spacing w:val="7"/>
                <w:highlight w:val="none"/>
              </w:rPr>
              <w:t>监理服务费</w:t>
            </w:r>
          </w:p>
        </w:tc>
        <w:tc>
          <w:tcPr>
            <w:tcW w:w="6525" w:type="dxa"/>
            <w:vAlign w:val="top"/>
          </w:tcPr>
          <w:p w14:paraId="53DCB06D">
            <w:pPr>
              <w:rPr>
                <w:rFonts w:ascii="Arial"/>
                <w:color w:val="auto"/>
                <w:sz w:val="21"/>
                <w:highlight w:val="none"/>
              </w:rPr>
            </w:pPr>
          </w:p>
        </w:tc>
      </w:tr>
      <w:tr w14:paraId="687D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B423A7B">
            <w:pPr>
              <w:pStyle w:val="23"/>
              <w:spacing w:before="273" w:line="228" w:lineRule="auto"/>
              <w:ind w:left="562"/>
              <w:rPr>
                <w:color w:val="auto"/>
                <w:highlight w:val="none"/>
              </w:rPr>
            </w:pPr>
            <w:r>
              <w:rPr>
                <w:color w:val="auto"/>
                <w:spacing w:val="8"/>
                <w:highlight w:val="none"/>
              </w:rPr>
              <w:t>监理服务期限</w:t>
            </w:r>
          </w:p>
        </w:tc>
        <w:tc>
          <w:tcPr>
            <w:tcW w:w="6525" w:type="dxa"/>
            <w:vAlign w:val="top"/>
          </w:tcPr>
          <w:p w14:paraId="63631BBD">
            <w:pPr>
              <w:rPr>
                <w:rFonts w:ascii="Arial"/>
                <w:color w:val="auto"/>
                <w:sz w:val="21"/>
                <w:highlight w:val="none"/>
              </w:rPr>
            </w:pPr>
          </w:p>
        </w:tc>
      </w:tr>
      <w:tr w14:paraId="36E0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24F9D8C6">
            <w:pPr>
              <w:pStyle w:val="23"/>
              <w:spacing w:before="273" w:line="228" w:lineRule="auto"/>
              <w:ind w:left="770"/>
              <w:rPr>
                <w:color w:val="auto"/>
                <w:highlight w:val="none"/>
              </w:rPr>
            </w:pPr>
            <w:r>
              <w:rPr>
                <w:color w:val="auto"/>
                <w:spacing w:val="7"/>
                <w:highlight w:val="none"/>
              </w:rPr>
              <w:t>监理内容</w:t>
            </w:r>
          </w:p>
        </w:tc>
        <w:tc>
          <w:tcPr>
            <w:tcW w:w="6525" w:type="dxa"/>
            <w:vAlign w:val="top"/>
          </w:tcPr>
          <w:p w14:paraId="414D59BF">
            <w:pPr>
              <w:rPr>
                <w:rFonts w:ascii="Arial"/>
                <w:color w:val="auto"/>
                <w:sz w:val="21"/>
                <w:highlight w:val="none"/>
              </w:rPr>
            </w:pPr>
          </w:p>
        </w:tc>
      </w:tr>
      <w:tr w14:paraId="319A5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top"/>
          </w:tcPr>
          <w:p w14:paraId="3C4688C1">
            <w:pPr>
              <w:pStyle w:val="23"/>
              <w:spacing w:before="161" w:line="292" w:lineRule="auto"/>
              <w:ind w:left="771" w:right="134" w:hanging="625"/>
              <w:rPr>
                <w:color w:val="auto"/>
                <w:highlight w:val="none"/>
              </w:rPr>
            </w:pPr>
            <w:r>
              <w:rPr>
                <w:color w:val="auto"/>
                <w:spacing w:val="8"/>
                <w:highlight w:val="none"/>
              </w:rPr>
              <w:t>总监理工程师或驻地监</w:t>
            </w:r>
            <w:r>
              <w:rPr>
                <w:color w:val="auto"/>
                <w:spacing w:val="6"/>
                <w:highlight w:val="none"/>
              </w:rPr>
              <w:t>理工程师</w:t>
            </w:r>
          </w:p>
        </w:tc>
        <w:tc>
          <w:tcPr>
            <w:tcW w:w="6525" w:type="dxa"/>
            <w:vAlign w:val="top"/>
          </w:tcPr>
          <w:p w14:paraId="40AE2298">
            <w:pPr>
              <w:rPr>
                <w:rFonts w:ascii="Arial"/>
                <w:color w:val="auto"/>
                <w:sz w:val="21"/>
                <w:highlight w:val="none"/>
              </w:rPr>
            </w:pPr>
          </w:p>
        </w:tc>
      </w:tr>
      <w:tr w14:paraId="594EF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vAlign w:val="top"/>
          </w:tcPr>
          <w:p w14:paraId="234A6AF5">
            <w:pPr>
              <w:spacing w:line="306" w:lineRule="auto"/>
              <w:rPr>
                <w:rFonts w:ascii="Arial"/>
                <w:color w:val="auto"/>
                <w:sz w:val="21"/>
                <w:highlight w:val="none"/>
              </w:rPr>
            </w:pPr>
          </w:p>
          <w:p w14:paraId="4C6F538F">
            <w:pPr>
              <w:spacing w:line="306" w:lineRule="auto"/>
              <w:rPr>
                <w:rFonts w:ascii="Arial"/>
                <w:color w:val="auto"/>
                <w:sz w:val="21"/>
                <w:highlight w:val="none"/>
              </w:rPr>
            </w:pPr>
          </w:p>
          <w:p w14:paraId="0DB48345">
            <w:pPr>
              <w:pStyle w:val="23"/>
              <w:spacing w:before="65" w:line="228" w:lineRule="auto"/>
              <w:ind w:left="773"/>
              <w:rPr>
                <w:color w:val="auto"/>
                <w:highlight w:val="none"/>
              </w:rPr>
            </w:pPr>
            <w:r>
              <w:rPr>
                <w:color w:val="auto"/>
                <w:spacing w:val="6"/>
                <w:highlight w:val="none"/>
              </w:rPr>
              <w:t>项目描述</w:t>
            </w:r>
          </w:p>
        </w:tc>
        <w:tc>
          <w:tcPr>
            <w:tcW w:w="6525" w:type="dxa"/>
            <w:vAlign w:val="top"/>
          </w:tcPr>
          <w:p w14:paraId="123BBDDF">
            <w:pPr>
              <w:rPr>
                <w:rFonts w:ascii="Arial"/>
                <w:color w:val="auto"/>
                <w:sz w:val="21"/>
                <w:highlight w:val="none"/>
              </w:rPr>
            </w:pPr>
          </w:p>
        </w:tc>
      </w:tr>
      <w:tr w14:paraId="10E61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top"/>
          </w:tcPr>
          <w:p w14:paraId="731CF42A">
            <w:pPr>
              <w:spacing w:line="296" w:lineRule="auto"/>
              <w:rPr>
                <w:rFonts w:ascii="Arial"/>
                <w:color w:val="auto"/>
                <w:sz w:val="21"/>
                <w:highlight w:val="none"/>
              </w:rPr>
            </w:pPr>
          </w:p>
          <w:p w14:paraId="026120B6">
            <w:pPr>
              <w:pStyle w:val="23"/>
              <w:spacing w:before="65" w:line="229" w:lineRule="auto"/>
              <w:ind w:left="983"/>
              <w:rPr>
                <w:color w:val="auto"/>
                <w:highlight w:val="none"/>
              </w:rPr>
            </w:pPr>
            <w:r>
              <w:rPr>
                <w:color w:val="auto"/>
                <w:spacing w:val="3"/>
                <w:highlight w:val="none"/>
              </w:rPr>
              <w:t>备注</w:t>
            </w:r>
          </w:p>
        </w:tc>
        <w:tc>
          <w:tcPr>
            <w:tcW w:w="6525" w:type="dxa"/>
            <w:vAlign w:val="top"/>
          </w:tcPr>
          <w:p w14:paraId="5055BE38">
            <w:pPr>
              <w:rPr>
                <w:rFonts w:ascii="Arial"/>
                <w:color w:val="auto"/>
                <w:sz w:val="21"/>
                <w:highlight w:val="none"/>
              </w:rPr>
            </w:pPr>
          </w:p>
        </w:tc>
      </w:tr>
    </w:tbl>
    <w:p w14:paraId="1D3650E4">
      <w:pPr>
        <w:spacing w:before="30" w:line="228" w:lineRule="auto"/>
        <w:ind w:left="1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注：1.每张表格只填写一个项目，并标明序号，序号应与汇总表中一致。</w:t>
      </w:r>
    </w:p>
    <w:p w14:paraId="62B9B45D">
      <w:pPr>
        <w:spacing w:before="161" w:line="227"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3.5.2</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28142CC8">
      <w:pPr>
        <w:spacing w:before="162" w:line="303" w:lineRule="auto"/>
        <w:ind w:left="706" w:hanging="16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3.如近年来，投标人法人机构发生合法变更或重组或法人名称变更时，应提供相关部门的合法</w:t>
      </w:r>
      <w:r>
        <w:rPr>
          <w:rFonts w:ascii="宋体" w:hAnsi="宋体" w:eastAsia="宋体" w:cs="宋体"/>
          <w:color w:val="auto"/>
          <w:spacing w:val="9"/>
          <w:sz w:val="20"/>
          <w:szCs w:val="20"/>
          <w:highlight w:val="none"/>
        </w:rPr>
        <w:t>批件或其他相关证明材料来证明其所附业绩的继承性。</w:t>
      </w:r>
    </w:p>
    <w:p w14:paraId="582D5469">
      <w:pPr>
        <w:spacing w:before="162" w:line="228" w:lineRule="auto"/>
        <w:ind w:left="5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4.以联合体形式参与投标的，联合体各成员应分别</w:t>
      </w:r>
      <w:r>
        <w:rPr>
          <w:rFonts w:ascii="宋体" w:hAnsi="宋体" w:eastAsia="宋体" w:cs="宋体"/>
          <w:color w:val="auto"/>
          <w:spacing w:val="8"/>
          <w:sz w:val="20"/>
          <w:szCs w:val="20"/>
          <w:highlight w:val="none"/>
        </w:rPr>
        <w:t>填写。</w:t>
      </w:r>
    </w:p>
    <w:p w14:paraId="4EDC86F5">
      <w:pPr>
        <w:spacing w:line="228" w:lineRule="auto"/>
        <w:rPr>
          <w:rFonts w:ascii="宋体" w:hAnsi="宋体" w:eastAsia="宋体" w:cs="宋体"/>
          <w:color w:val="auto"/>
          <w:sz w:val="20"/>
          <w:szCs w:val="20"/>
          <w:highlight w:val="none"/>
        </w:rPr>
        <w:sectPr>
          <w:footerReference r:id="rId52" w:type="default"/>
          <w:pgSz w:w="11906" w:h="16839"/>
          <w:pgMar w:top="1401" w:right="1418" w:bottom="1297" w:left="1304" w:header="0" w:footer="1067" w:gutter="0"/>
          <w:pgNumType w:fmt="decimal"/>
          <w:cols w:space="720" w:num="1"/>
        </w:sectPr>
      </w:pPr>
    </w:p>
    <w:p w14:paraId="22FE08D3">
      <w:pPr>
        <w:spacing w:before="59" w:line="219" w:lineRule="auto"/>
        <w:ind w:left="2865"/>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（五）投标人的信誉情况表</w:t>
      </w:r>
    </w:p>
    <w:p w14:paraId="4E8A8737">
      <w:pPr>
        <w:spacing w:before="214"/>
        <w:rPr>
          <w:color w:val="auto"/>
          <w:highlight w:val="none"/>
        </w:rPr>
      </w:pPr>
    </w:p>
    <w:tbl>
      <w:tblPr>
        <w:tblStyle w:val="2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7A16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vAlign w:val="top"/>
          </w:tcPr>
          <w:p w14:paraId="1F0ED77F">
            <w:pPr>
              <w:spacing w:line="336" w:lineRule="auto"/>
              <w:rPr>
                <w:rFonts w:ascii="Arial"/>
                <w:color w:val="auto"/>
                <w:sz w:val="21"/>
                <w:highlight w:val="none"/>
              </w:rPr>
            </w:pPr>
          </w:p>
          <w:p w14:paraId="4980FDA6">
            <w:pPr>
              <w:pStyle w:val="23"/>
              <w:spacing w:before="62" w:line="229" w:lineRule="auto"/>
              <w:ind w:left="1891"/>
              <w:rPr>
                <w:color w:val="auto"/>
                <w:sz w:val="19"/>
                <w:szCs w:val="19"/>
                <w:highlight w:val="none"/>
              </w:rPr>
            </w:pPr>
            <w:r>
              <w:rPr>
                <w:color w:val="auto"/>
                <w:spacing w:val="-1"/>
                <w:sz w:val="19"/>
                <w:szCs w:val="19"/>
                <w:highlight w:val="none"/>
              </w:rPr>
              <w:t>项</w:t>
            </w:r>
            <w:r>
              <w:rPr>
                <w:color w:val="auto"/>
                <w:spacing w:val="51"/>
                <w:sz w:val="19"/>
                <w:szCs w:val="19"/>
                <w:highlight w:val="none"/>
              </w:rPr>
              <w:t xml:space="preserve"> </w:t>
            </w:r>
            <w:r>
              <w:rPr>
                <w:color w:val="auto"/>
                <w:spacing w:val="-1"/>
                <w:sz w:val="19"/>
                <w:szCs w:val="19"/>
                <w:highlight w:val="none"/>
              </w:rPr>
              <w:t>目</w:t>
            </w:r>
          </w:p>
        </w:tc>
        <w:tc>
          <w:tcPr>
            <w:tcW w:w="4263" w:type="dxa"/>
            <w:vAlign w:val="top"/>
          </w:tcPr>
          <w:p w14:paraId="5D76A842">
            <w:pPr>
              <w:spacing w:line="337" w:lineRule="auto"/>
              <w:rPr>
                <w:rFonts w:ascii="Arial"/>
                <w:color w:val="auto"/>
                <w:sz w:val="21"/>
                <w:highlight w:val="none"/>
              </w:rPr>
            </w:pPr>
          </w:p>
          <w:p w14:paraId="664B7A23">
            <w:pPr>
              <w:pStyle w:val="23"/>
              <w:spacing w:before="61" w:line="228" w:lineRule="auto"/>
              <w:ind w:left="1438"/>
              <w:rPr>
                <w:color w:val="auto"/>
                <w:sz w:val="19"/>
                <w:szCs w:val="19"/>
                <w:highlight w:val="none"/>
              </w:rPr>
            </w:pPr>
            <w:r>
              <w:rPr>
                <w:color w:val="auto"/>
                <w:spacing w:val="8"/>
                <w:sz w:val="19"/>
                <w:szCs w:val="19"/>
                <w:highlight w:val="none"/>
              </w:rPr>
              <w:t>投标人情况说明</w:t>
            </w:r>
          </w:p>
        </w:tc>
      </w:tr>
      <w:tr w14:paraId="42BD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299374D4">
            <w:pPr>
              <w:rPr>
                <w:rFonts w:ascii="Arial"/>
                <w:color w:val="auto"/>
                <w:sz w:val="21"/>
                <w:highlight w:val="none"/>
              </w:rPr>
            </w:pPr>
          </w:p>
        </w:tc>
        <w:tc>
          <w:tcPr>
            <w:tcW w:w="4263" w:type="dxa"/>
            <w:vAlign w:val="top"/>
          </w:tcPr>
          <w:p w14:paraId="42E0C083">
            <w:pPr>
              <w:rPr>
                <w:rFonts w:ascii="Arial"/>
                <w:color w:val="auto"/>
                <w:sz w:val="21"/>
                <w:highlight w:val="none"/>
              </w:rPr>
            </w:pPr>
          </w:p>
        </w:tc>
      </w:tr>
      <w:tr w14:paraId="1993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6F7E7D91">
            <w:pPr>
              <w:rPr>
                <w:rFonts w:ascii="Arial"/>
                <w:color w:val="auto"/>
                <w:sz w:val="21"/>
                <w:highlight w:val="none"/>
              </w:rPr>
            </w:pPr>
          </w:p>
        </w:tc>
        <w:tc>
          <w:tcPr>
            <w:tcW w:w="4263" w:type="dxa"/>
            <w:vAlign w:val="top"/>
          </w:tcPr>
          <w:p w14:paraId="1A3DE7A4">
            <w:pPr>
              <w:rPr>
                <w:rFonts w:ascii="Arial"/>
                <w:color w:val="auto"/>
                <w:sz w:val="21"/>
                <w:highlight w:val="none"/>
              </w:rPr>
            </w:pPr>
          </w:p>
        </w:tc>
      </w:tr>
      <w:tr w14:paraId="649C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2FD0A2EB">
            <w:pPr>
              <w:rPr>
                <w:rFonts w:ascii="Arial"/>
                <w:color w:val="auto"/>
                <w:sz w:val="21"/>
                <w:highlight w:val="none"/>
              </w:rPr>
            </w:pPr>
          </w:p>
        </w:tc>
        <w:tc>
          <w:tcPr>
            <w:tcW w:w="4263" w:type="dxa"/>
            <w:vAlign w:val="top"/>
          </w:tcPr>
          <w:p w14:paraId="54985D8D">
            <w:pPr>
              <w:rPr>
                <w:rFonts w:ascii="Arial"/>
                <w:color w:val="auto"/>
                <w:sz w:val="21"/>
                <w:highlight w:val="none"/>
              </w:rPr>
            </w:pPr>
          </w:p>
        </w:tc>
      </w:tr>
      <w:tr w14:paraId="06B5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vAlign w:val="top"/>
          </w:tcPr>
          <w:p w14:paraId="0F13ECC2">
            <w:pPr>
              <w:rPr>
                <w:rFonts w:ascii="Arial"/>
                <w:color w:val="auto"/>
                <w:sz w:val="21"/>
                <w:highlight w:val="none"/>
              </w:rPr>
            </w:pPr>
          </w:p>
        </w:tc>
        <w:tc>
          <w:tcPr>
            <w:tcW w:w="4263" w:type="dxa"/>
            <w:vAlign w:val="top"/>
          </w:tcPr>
          <w:p w14:paraId="0D400F1E">
            <w:pPr>
              <w:rPr>
                <w:rFonts w:ascii="Arial"/>
                <w:color w:val="auto"/>
                <w:sz w:val="21"/>
                <w:highlight w:val="none"/>
              </w:rPr>
            </w:pPr>
          </w:p>
        </w:tc>
      </w:tr>
      <w:tr w14:paraId="13277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743D8D7D">
            <w:pPr>
              <w:rPr>
                <w:rFonts w:ascii="Arial"/>
                <w:color w:val="auto"/>
                <w:sz w:val="21"/>
                <w:highlight w:val="none"/>
              </w:rPr>
            </w:pPr>
          </w:p>
        </w:tc>
        <w:tc>
          <w:tcPr>
            <w:tcW w:w="4263" w:type="dxa"/>
            <w:vAlign w:val="top"/>
          </w:tcPr>
          <w:p w14:paraId="4BA96897">
            <w:pPr>
              <w:rPr>
                <w:rFonts w:ascii="Arial"/>
                <w:color w:val="auto"/>
                <w:sz w:val="21"/>
                <w:highlight w:val="none"/>
              </w:rPr>
            </w:pPr>
          </w:p>
        </w:tc>
      </w:tr>
      <w:tr w14:paraId="15B32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vAlign w:val="top"/>
          </w:tcPr>
          <w:p w14:paraId="1FC20DBC">
            <w:pPr>
              <w:rPr>
                <w:rFonts w:ascii="Arial"/>
                <w:color w:val="auto"/>
                <w:sz w:val="21"/>
                <w:highlight w:val="none"/>
              </w:rPr>
            </w:pPr>
          </w:p>
        </w:tc>
        <w:tc>
          <w:tcPr>
            <w:tcW w:w="4263" w:type="dxa"/>
            <w:vAlign w:val="top"/>
          </w:tcPr>
          <w:p w14:paraId="23009D2D">
            <w:pPr>
              <w:rPr>
                <w:rFonts w:ascii="Arial"/>
                <w:color w:val="auto"/>
                <w:sz w:val="21"/>
                <w:highlight w:val="none"/>
              </w:rPr>
            </w:pPr>
          </w:p>
        </w:tc>
      </w:tr>
    </w:tbl>
    <w:p w14:paraId="34595D60">
      <w:pPr>
        <w:spacing w:before="303" w:line="377" w:lineRule="auto"/>
        <w:ind w:left="542" w:hanging="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注：1.投标人应按照招标文件第二章“投</w:t>
      </w:r>
      <w:r>
        <w:rPr>
          <w:rFonts w:ascii="宋体" w:hAnsi="宋体" w:eastAsia="宋体" w:cs="宋体"/>
          <w:color w:val="auto"/>
          <w:spacing w:val="8"/>
          <w:sz w:val="20"/>
          <w:szCs w:val="20"/>
          <w:highlight w:val="none"/>
        </w:rPr>
        <w:t>标人须知</w:t>
      </w:r>
      <w:r>
        <w:rPr>
          <w:rFonts w:ascii="宋体" w:hAnsi="宋体" w:eastAsia="宋体" w:cs="宋体"/>
          <w:color w:val="auto"/>
          <w:spacing w:val="-67"/>
          <w:sz w:val="20"/>
          <w:szCs w:val="20"/>
          <w:highlight w:val="none"/>
        </w:rPr>
        <w:t xml:space="preserve"> </w:t>
      </w:r>
      <w:r>
        <w:rPr>
          <w:rFonts w:ascii="宋体" w:hAnsi="宋体" w:eastAsia="宋体" w:cs="宋体"/>
          <w:color w:val="auto"/>
          <w:spacing w:val="8"/>
          <w:sz w:val="20"/>
          <w:szCs w:val="20"/>
          <w:highlight w:val="none"/>
        </w:rPr>
        <w:t>”前附表附录</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和“投标人须知</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”正文第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1.4.4项规定，逐条说明其信誉情况。</w:t>
      </w:r>
    </w:p>
    <w:p w14:paraId="383DB415">
      <w:pPr>
        <w:spacing w:line="226"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20DE3DA5">
      <w:pPr>
        <w:spacing w:before="163" w:line="228" w:lineRule="auto"/>
        <w:ind w:left="5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3.以联合体形式参与投标的，联合体各成员应分别填写。</w:t>
      </w:r>
    </w:p>
    <w:p w14:paraId="270251C3">
      <w:pPr>
        <w:spacing w:line="228" w:lineRule="auto"/>
        <w:rPr>
          <w:rFonts w:ascii="宋体" w:hAnsi="宋体" w:eastAsia="宋体" w:cs="宋体"/>
          <w:color w:val="auto"/>
          <w:sz w:val="20"/>
          <w:szCs w:val="20"/>
          <w:highlight w:val="none"/>
        </w:rPr>
        <w:sectPr>
          <w:footerReference r:id="rId53" w:type="default"/>
          <w:pgSz w:w="11906" w:h="16839"/>
          <w:pgMar w:top="1401" w:right="1419" w:bottom="1297" w:left="1304" w:header="0" w:footer="1069" w:gutter="0"/>
          <w:pgNumType w:fmt="decimal"/>
          <w:cols w:space="720" w:num="1"/>
        </w:sectPr>
      </w:pPr>
    </w:p>
    <w:p w14:paraId="05C341A9">
      <w:pPr>
        <w:spacing w:before="59" w:line="219" w:lineRule="auto"/>
        <w:ind w:left="105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（六）拟委任的总监理工程师或驻地监理工程</w:t>
      </w:r>
      <w:r>
        <w:rPr>
          <w:rFonts w:ascii="宋体" w:hAnsi="宋体" w:eastAsia="宋体" w:cs="宋体"/>
          <w:b/>
          <w:bCs/>
          <w:color w:val="auto"/>
          <w:spacing w:val="-4"/>
          <w:sz w:val="30"/>
          <w:szCs w:val="30"/>
          <w:highlight w:val="none"/>
        </w:rPr>
        <w:t>师资历表</w:t>
      </w:r>
    </w:p>
    <w:p w14:paraId="6FE27D82">
      <w:pPr>
        <w:spacing w:before="147"/>
        <w:rPr>
          <w:color w:val="auto"/>
          <w:highlight w:val="none"/>
        </w:rPr>
      </w:pPr>
    </w:p>
    <w:tbl>
      <w:tblPr>
        <w:tblStyle w:val="22"/>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09ACD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top"/>
          </w:tcPr>
          <w:p w14:paraId="7C71B90D">
            <w:pPr>
              <w:spacing w:line="355" w:lineRule="auto"/>
              <w:rPr>
                <w:rFonts w:ascii="Arial"/>
                <w:color w:val="auto"/>
                <w:sz w:val="21"/>
                <w:highlight w:val="none"/>
              </w:rPr>
            </w:pPr>
          </w:p>
          <w:p w14:paraId="682A1749">
            <w:pPr>
              <w:pStyle w:val="23"/>
              <w:spacing w:before="65" w:line="228" w:lineRule="auto"/>
              <w:ind w:left="205"/>
              <w:rPr>
                <w:color w:val="auto"/>
                <w:highlight w:val="none"/>
              </w:rPr>
            </w:pPr>
            <w:r>
              <w:rPr>
                <w:color w:val="auto"/>
                <w:highlight w:val="none"/>
              </w:rPr>
              <w:t>姓</w:t>
            </w:r>
            <w:r>
              <w:rPr>
                <w:color w:val="auto"/>
                <w:spacing w:val="7"/>
                <w:highlight w:val="none"/>
              </w:rPr>
              <w:t xml:space="preserve">    </w:t>
            </w:r>
            <w:r>
              <w:rPr>
                <w:color w:val="auto"/>
                <w:highlight w:val="none"/>
              </w:rPr>
              <w:t>名</w:t>
            </w:r>
          </w:p>
        </w:tc>
        <w:tc>
          <w:tcPr>
            <w:tcW w:w="1504" w:type="dxa"/>
            <w:gridSpan w:val="3"/>
            <w:vAlign w:val="top"/>
          </w:tcPr>
          <w:p w14:paraId="70A56F56">
            <w:pPr>
              <w:rPr>
                <w:rFonts w:ascii="Arial"/>
                <w:color w:val="auto"/>
                <w:sz w:val="21"/>
                <w:highlight w:val="none"/>
              </w:rPr>
            </w:pPr>
          </w:p>
        </w:tc>
        <w:tc>
          <w:tcPr>
            <w:tcW w:w="1059" w:type="dxa"/>
            <w:vAlign w:val="top"/>
          </w:tcPr>
          <w:p w14:paraId="48FB33AD">
            <w:pPr>
              <w:spacing w:line="355" w:lineRule="auto"/>
              <w:rPr>
                <w:rFonts w:ascii="Arial"/>
                <w:color w:val="auto"/>
                <w:sz w:val="21"/>
                <w:highlight w:val="none"/>
              </w:rPr>
            </w:pPr>
          </w:p>
          <w:p w14:paraId="2AFCA03C">
            <w:pPr>
              <w:pStyle w:val="23"/>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vAlign w:val="top"/>
          </w:tcPr>
          <w:p w14:paraId="2D6AAE70">
            <w:pPr>
              <w:rPr>
                <w:rFonts w:ascii="Arial"/>
                <w:color w:val="auto"/>
                <w:sz w:val="21"/>
                <w:highlight w:val="none"/>
              </w:rPr>
            </w:pPr>
          </w:p>
        </w:tc>
        <w:tc>
          <w:tcPr>
            <w:tcW w:w="1880" w:type="dxa"/>
            <w:gridSpan w:val="2"/>
            <w:vAlign w:val="top"/>
          </w:tcPr>
          <w:p w14:paraId="4CC5BFBA">
            <w:pPr>
              <w:pStyle w:val="23"/>
              <w:spacing w:before="223" w:line="321" w:lineRule="auto"/>
              <w:ind w:left="635" w:right="98" w:hanging="529"/>
              <w:rPr>
                <w:color w:val="auto"/>
                <w:highlight w:val="none"/>
              </w:rPr>
            </w:pPr>
            <w:r>
              <w:rPr>
                <w:color w:val="auto"/>
                <w:spacing w:val="8"/>
                <w:highlight w:val="none"/>
              </w:rPr>
              <w:t>执业或职业资格证</w:t>
            </w:r>
            <w:r>
              <w:rPr>
                <w:color w:val="auto"/>
                <w:spacing w:val="5"/>
                <w:highlight w:val="none"/>
              </w:rPr>
              <w:t>书名称</w:t>
            </w:r>
          </w:p>
        </w:tc>
        <w:tc>
          <w:tcPr>
            <w:tcW w:w="1673" w:type="dxa"/>
            <w:gridSpan w:val="2"/>
            <w:vAlign w:val="top"/>
          </w:tcPr>
          <w:p w14:paraId="1C0ED022">
            <w:pPr>
              <w:rPr>
                <w:rFonts w:ascii="Arial"/>
                <w:color w:val="auto"/>
                <w:sz w:val="21"/>
                <w:highlight w:val="none"/>
              </w:rPr>
            </w:pPr>
          </w:p>
        </w:tc>
      </w:tr>
      <w:tr w14:paraId="06A7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top"/>
          </w:tcPr>
          <w:p w14:paraId="19FED1D1">
            <w:pPr>
              <w:spacing w:line="381" w:lineRule="auto"/>
              <w:rPr>
                <w:rFonts w:ascii="Arial"/>
                <w:color w:val="auto"/>
                <w:sz w:val="21"/>
                <w:highlight w:val="none"/>
              </w:rPr>
            </w:pPr>
          </w:p>
          <w:p w14:paraId="48448FD3">
            <w:pPr>
              <w:pStyle w:val="23"/>
              <w:spacing w:before="65" w:line="228" w:lineRule="auto"/>
              <w:ind w:left="206"/>
              <w:rPr>
                <w:color w:val="auto"/>
                <w:highlight w:val="none"/>
              </w:rPr>
            </w:pPr>
            <w:r>
              <w:rPr>
                <w:color w:val="auto"/>
                <w:spacing w:val="7"/>
                <w:highlight w:val="none"/>
              </w:rPr>
              <w:t>技术职称</w:t>
            </w:r>
          </w:p>
        </w:tc>
        <w:tc>
          <w:tcPr>
            <w:tcW w:w="1504" w:type="dxa"/>
            <w:gridSpan w:val="3"/>
            <w:vAlign w:val="top"/>
          </w:tcPr>
          <w:p w14:paraId="122B5C42">
            <w:pPr>
              <w:rPr>
                <w:rFonts w:ascii="Arial"/>
                <w:color w:val="auto"/>
                <w:sz w:val="21"/>
                <w:highlight w:val="none"/>
              </w:rPr>
            </w:pPr>
          </w:p>
        </w:tc>
        <w:tc>
          <w:tcPr>
            <w:tcW w:w="1059" w:type="dxa"/>
            <w:vAlign w:val="top"/>
          </w:tcPr>
          <w:p w14:paraId="024E70E6">
            <w:pPr>
              <w:spacing w:line="381" w:lineRule="auto"/>
              <w:rPr>
                <w:rFonts w:ascii="Arial"/>
                <w:color w:val="auto"/>
                <w:sz w:val="21"/>
                <w:highlight w:val="none"/>
              </w:rPr>
            </w:pPr>
          </w:p>
          <w:p w14:paraId="33CFAA39">
            <w:pPr>
              <w:pStyle w:val="23"/>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vAlign w:val="top"/>
          </w:tcPr>
          <w:p w14:paraId="771C64B9">
            <w:pPr>
              <w:rPr>
                <w:rFonts w:ascii="Arial"/>
                <w:color w:val="auto"/>
                <w:sz w:val="21"/>
                <w:highlight w:val="none"/>
              </w:rPr>
            </w:pPr>
          </w:p>
        </w:tc>
        <w:tc>
          <w:tcPr>
            <w:tcW w:w="1880" w:type="dxa"/>
            <w:gridSpan w:val="2"/>
            <w:vAlign w:val="top"/>
          </w:tcPr>
          <w:p w14:paraId="193D5DFD">
            <w:pPr>
              <w:pStyle w:val="23"/>
              <w:spacing w:before="222" w:line="347" w:lineRule="auto"/>
              <w:ind w:left="528" w:right="413" w:hanging="108"/>
              <w:rPr>
                <w:color w:val="auto"/>
                <w:highlight w:val="none"/>
              </w:rPr>
            </w:pPr>
            <w:r>
              <w:rPr>
                <w:color w:val="auto"/>
                <w:spacing w:val="8"/>
                <w:highlight w:val="none"/>
              </w:rPr>
              <w:t>拟在本标段</w:t>
            </w:r>
            <w:r>
              <w:rPr>
                <w:color w:val="auto"/>
                <w:spacing w:val="6"/>
                <w:highlight w:val="none"/>
              </w:rPr>
              <w:t>工程任职</w:t>
            </w:r>
          </w:p>
        </w:tc>
        <w:tc>
          <w:tcPr>
            <w:tcW w:w="1673" w:type="dxa"/>
            <w:gridSpan w:val="2"/>
            <w:vAlign w:val="top"/>
          </w:tcPr>
          <w:p w14:paraId="0AB99A43">
            <w:pPr>
              <w:rPr>
                <w:rFonts w:ascii="Arial"/>
                <w:color w:val="auto"/>
                <w:sz w:val="21"/>
                <w:highlight w:val="none"/>
              </w:rPr>
            </w:pPr>
          </w:p>
        </w:tc>
      </w:tr>
      <w:tr w14:paraId="39CF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top"/>
          </w:tcPr>
          <w:p w14:paraId="5DF22BFA">
            <w:pPr>
              <w:rPr>
                <w:rFonts w:ascii="Arial"/>
                <w:color w:val="auto"/>
                <w:sz w:val="21"/>
                <w:highlight w:val="none"/>
              </w:rPr>
            </w:pPr>
          </w:p>
          <w:p w14:paraId="05BEECF0">
            <w:pPr>
              <w:pStyle w:val="23"/>
              <w:spacing w:before="65" w:line="228" w:lineRule="auto"/>
              <w:ind w:left="207"/>
              <w:rPr>
                <w:color w:val="auto"/>
                <w:highlight w:val="none"/>
              </w:rPr>
            </w:pPr>
            <w:r>
              <w:rPr>
                <w:color w:val="auto"/>
                <w:spacing w:val="6"/>
                <w:highlight w:val="none"/>
              </w:rPr>
              <w:t>工作年限</w:t>
            </w:r>
          </w:p>
        </w:tc>
        <w:tc>
          <w:tcPr>
            <w:tcW w:w="3943" w:type="dxa"/>
            <w:gridSpan w:val="5"/>
            <w:vAlign w:val="top"/>
          </w:tcPr>
          <w:p w14:paraId="0FE4D5A9">
            <w:pPr>
              <w:rPr>
                <w:rFonts w:ascii="Arial"/>
                <w:color w:val="auto"/>
                <w:sz w:val="21"/>
                <w:highlight w:val="none"/>
              </w:rPr>
            </w:pPr>
          </w:p>
        </w:tc>
        <w:tc>
          <w:tcPr>
            <w:tcW w:w="1880" w:type="dxa"/>
            <w:gridSpan w:val="2"/>
            <w:vAlign w:val="top"/>
          </w:tcPr>
          <w:p w14:paraId="08573590">
            <w:pPr>
              <w:rPr>
                <w:rFonts w:ascii="Arial"/>
                <w:color w:val="auto"/>
                <w:sz w:val="21"/>
                <w:highlight w:val="none"/>
              </w:rPr>
            </w:pPr>
          </w:p>
          <w:p w14:paraId="3FD2E9B0">
            <w:pPr>
              <w:pStyle w:val="23"/>
              <w:spacing w:before="65" w:line="228" w:lineRule="auto"/>
              <w:ind w:left="109"/>
              <w:rPr>
                <w:color w:val="auto"/>
                <w:highlight w:val="none"/>
              </w:rPr>
            </w:pPr>
            <w:r>
              <w:rPr>
                <w:color w:val="auto"/>
                <w:spacing w:val="8"/>
                <w:highlight w:val="none"/>
              </w:rPr>
              <w:t>从事监理工作年限</w:t>
            </w:r>
          </w:p>
        </w:tc>
        <w:tc>
          <w:tcPr>
            <w:tcW w:w="1673" w:type="dxa"/>
            <w:gridSpan w:val="2"/>
            <w:vAlign w:val="top"/>
          </w:tcPr>
          <w:p w14:paraId="34D4C06E">
            <w:pPr>
              <w:rPr>
                <w:rFonts w:ascii="Arial"/>
                <w:color w:val="auto"/>
                <w:sz w:val="21"/>
                <w:highlight w:val="none"/>
              </w:rPr>
            </w:pPr>
          </w:p>
        </w:tc>
      </w:tr>
      <w:tr w14:paraId="2632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top"/>
          </w:tcPr>
          <w:p w14:paraId="18ABBBEF">
            <w:pPr>
              <w:pStyle w:val="23"/>
              <w:spacing w:before="221" w:line="228" w:lineRule="auto"/>
              <w:ind w:left="209"/>
              <w:rPr>
                <w:color w:val="auto"/>
                <w:highlight w:val="none"/>
              </w:rPr>
            </w:pPr>
            <w:r>
              <w:rPr>
                <w:color w:val="auto"/>
                <w:spacing w:val="6"/>
                <w:highlight w:val="none"/>
              </w:rPr>
              <w:t>毕业学校</w:t>
            </w:r>
          </w:p>
        </w:tc>
        <w:tc>
          <w:tcPr>
            <w:tcW w:w="7496" w:type="dxa"/>
            <w:gridSpan w:val="9"/>
            <w:vAlign w:val="top"/>
          </w:tcPr>
          <w:p w14:paraId="76FA5C48">
            <w:pPr>
              <w:pStyle w:val="23"/>
              <w:spacing w:before="222" w:line="221" w:lineRule="auto"/>
              <w:ind w:left="237"/>
              <w:rPr>
                <w:color w:val="auto"/>
                <w:highlight w:val="none"/>
              </w:rPr>
            </w:pPr>
            <w:r>
              <w:rPr>
                <w:color w:val="auto"/>
                <w:spacing w:val="2"/>
                <w:highlight w:val="none"/>
              </w:rPr>
              <w:t>______年___月毕业于______________学校____________专业，学制______年</w:t>
            </w:r>
          </w:p>
        </w:tc>
      </w:tr>
      <w:tr w14:paraId="0283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49A32BAE">
            <w:pPr>
              <w:pStyle w:val="23"/>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7100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14:paraId="7426990D">
            <w:pPr>
              <w:spacing w:line="354" w:lineRule="auto"/>
              <w:rPr>
                <w:rFonts w:ascii="Arial"/>
                <w:color w:val="auto"/>
                <w:sz w:val="21"/>
                <w:highlight w:val="none"/>
              </w:rPr>
            </w:pPr>
          </w:p>
          <w:p w14:paraId="4D560606">
            <w:pPr>
              <w:pStyle w:val="23"/>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vAlign w:val="top"/>
          </w:tcPr>
          <w:p w14:paraId="338CD24A">
            <w:pPr>
              <w:spacing w:line="354" w:lineRule="auto"/>
              <w:rPr>
                <w:rFonts w:ascii="Arial"/>
                <w:color w:val="auto"/>
                <w:sz w:val="21"/>
                <w:highlight w:val="none"/>
              </w:rPr>
            </w:pPr>
          </w:p>
          <w:p w14:paraId="3C8858AD">
            <w:pPr>
              <w:pStyle w:val="23"/>
              <w:spacing w:before="65" w:line="228" w:lineRule="auto"/>
              <w:ind w:left="861"/>
              <w:rPr>
                <w:color w:val="auto"/>
                <w:highlight w:val="none"/>
              </w:rPr>
            </w:pPr>
            <w:r>
              <w:rPr>
                <w:color w:val="auto"/>
                <w:spacing w:val="8"/>
                <w:highlight w:val="none"/>
              </w:rPr>
              <w:t>参加过的类似工程项目名称</w:t>
            </w:r>
          </w:p>
        </w:tc>
        <w:tc>
          <w:tcPr>
            <w:tcW w:w="1929" w:type="dxa"/>
            <w:gridSpan w:val="2"/>
            <w:vAlign w:val="top"/>
          </w:tcPr>
          <w:p w14:paraId="0950698A">
            <w:pPr>
              <w:spacing w:line="354" w:lineRule="auto"/>
              <w:rPr>
                <w:rFonts w:ascii="Arial"/>
                <w:color w:val="auto"/>
                <w:sz w:val="21"/>
                <w:highlight w:val="none"/>
              </w:rPr>
            </w:pPr>
          </w:p>
          <w:p w14:paraId="73D4548D">
            <w:pPr>
              <w:pStyle w:val="23"/>
              <w:spacing w:before="65" w:line="228" w:lineRule="auto"/>
              <w:ind w:left="552"/>
              <w:rPr>
                <w:color w:val="auto"/>
                <w:highlight w:val="none"/>
              </w:rPr>
            </w:pPr>
            <w:r>
              <w:rPr>
                <w:color w:val="auto"/>
                <w:spacing w:val="7"/>
                <w:highlight w:val="none"/>
              </w:rPr>
              <w:t>担任职务</w:t>
            </w:r>
          </w:p>
        </w:tc>
        <w:tc>
          <w:tcPr>
            <w:tcW w:w="1287" w:type="dxa"/>
            <w:vAlign w:val="top"/>
          </w:tcPr>
          <w:p w14:paraId="1A4556D8">
            <w:pPr>
              <w:pStyle w:val="23"/>
              <w:spacing w:before="220" w:line="320" w:lineRule="auto"/>
              <w:ind w:left="338" w:right="118" w:hanging="216"/>
              <w:rPr>
                <w:color w:val="auto"/>
                <w:highlight w:val="none"/>
              </w:rPr>
            </w:pPr>
            <w:r>
              <w:rPr>
                <w:color w:val="auto"/>
                <w:spacing w:val="8"/>
                <w:highlight w:val="none"/>
              </w:rPr>
              <w:t>委托人及联</w:t>
            </w:r>
            <w:r>
              <w:rPr>
                <w:color w:val="auto"/>
                <w:spacing w:val="5"/>
                <w:highlight w:val="none"/>
              </w:rPr>
              <w:t>系电话</w:t>
            </w:r>
          </w:p>
        </w:tc>
      </w:tr>
      <w:tr w14:paraId="187B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797DDE48">
            <w:pPr>
              <w:rPr>
                <w:rFonts w:ascii="Arial"/>
                <w:color w:val="auto"/>
                <w:sz w:val="21"/>
                <w:highlight w:val="none"/>
              </w:rPr>
            </w:pPr>
          </w:p>
        </w:tc>
        <w:tc>
          <w:tcPr>
            <w:tcW w:w="4229" w:type="dxa"/>
            <w:gridSpan w:val="5"/>
            <w:vAlign w:val="top"/>
          </w:tcPr>
          <w:p w14:paraId="34E24061">
            <w:pPr>
              <w:rPr>
                <w:rFonts w:ascii="Arial"/>
                <w:color w:val="auto"/>
                <w:sz w:val="21"/>
                <w:highlight w:val="none"/>
              </w:rPr>
            </w:pPr>
          </w:p>
        </w:tc>
        <w:tc>
          <w:tcPr>
            <w:tcW w:w="1929" w:type="dxa"/>
            <w:gridSpan w:val="2"/>
            <w:vAlign w:val="top"/>
          </w:tcPr>
          <w:p w14:paraId="6160A829">
            <w:pPr>
              <w:rPr>
                <w:rFonts w:ascii="Arial"/>
                <w:color w:val="auto"/>
                <w:sz w:val="21"/>
                <w:highlight w:val="none"/>
              </w:rPr>
            </w:pPr>
          </w:p>
        </w:tc>
        <w:tc>
          <w:tcPr>
            <w:tcW w:w="1287" w:type="dxa"/>
            <w:vAlign w:val="top"/>
          </w:tcPr>
          <w:p w14:paraId="63487563">
            <w:pPr>
              <w:rPr>
                <w:rFonts w:ascii="Arial"/>
                <w:color w:val="auto"/>
                <w:sz w:val="21"/>
                <w:highlight w:val="none"/>
              </w:rPr>
            </w:pPr>
          </w:p>
        </w:tc>
      </w:tr>
      <w:tr w14:paraId="32E6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2F9933B8">
            <w:pPr>
              <w:rPr>
                <w:rFonts w:ascii="Arial"/>
                <w:color w:val="auto"/>
                <w:sz w:val="21"/>
                <w:highlight w:val="none"/>
              </w:rPr>
            </w:pPr>
          </w:p>
        </w:tc>
        <w:tc>
          <w:tcPr>
            <w:tcW w:w="4229" w:type="dxa"/>
            <w:gridSpan w:val="5"/>
            <w:vAlign w:val="top"/>
          </w:tcPr>
          <w:p w14:paraId="62FF32A8">
            <w:pPr>
              <w:rPr>
                <w:rFonts w:ascii="Arial"/>
                <w:color w:val="auto"/>
                <w:sz w:val="21"/>
                <w:highlight w:val="none"/>
              </w:rPr>
            </w:pPr>
          </w:p>
        </w:tc>
        <w:tc>
          <w:tcPr>
            <w:tcW w:w="1929" w:type="dxa"/>
            <w:gridSpan w:val="2"/>
            <w:vAlign w:val="top"/>
          </w:tcPr>
          <w:p w14:paraId="2EEE7856">
            <w:pPr>
              <w:rPr>
                <w:rFonts w:ascii="Arial"/>
                <w:color w:val="auto"/>
                <w:sz w:val="21"/>
                <w:highlight w:val="none"/>
              </w:rPr>
            </w:pPr>
          </w:p>
        </w:tc>
        <w:tc>
          <w:tcPr>
            <w:tcW w:w="1287" w:type="dxa"/>
            <w:vAlign w:val="top"/>
          </w:tcPr>
          <w:p w14:paraId="495C5206">
            <w:pPr>
              <w:rPr>
                <w:rFonts w:ascii="Arial"/>
                <w:color w:val="auto"/>
                <w:sz w:val="21"/>
                <w:highlight w:val="none"/>
              </w:rPr>
            </w:pPr>
          </w:p>
        </w:tc>
      </w:tr>
      <w:tr w14:paraId="3039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5A44FF7C">
            <w:pPr>
              <w:rPr>
                <w:rFonts w:ascii="Arial"/>
                <w:color w:val="auto"/>
                <w:sz w:val="21"/>
                <w:highlight w:val="none"/>
              </w:rPr>
            </w:pPr>
          </w:p>
        </w:tc>
        <w:tc>
          <w:tcPr>
            <w:tcW w:w="4229" w:type="dxa"/>
            <w:gridSpan w:val="5"/>
            <w:vAlign w:val="top"/>
          </w:tcPr>
          <w:p w14:paraId="17B1AD25">
            <w:pPr>
              <w:rPr>
                <w:rFonts w:ascii="Arial"/>
                <w:color w:val="auto"/>
                <w:sz w:val="21"/>
                <w:highlight w:val="none"/>
              </w:rPr>
            </w:pPr>
          </w:p>
        </w:tc>
        <w:tc>
          <w:tcPr>
            <w:tcW w:w="1929" w:type="dxa"/>
            <w:gridSpan w:val="2"/>
            <w:vAlign w:val="top"/>
          </w:tcPr>
          <w:p w14:paraId="329529D5">
            <w:pPr>
              <w:rPr>
                <w:rFonts w:ascii="Arial"/>
                <w:color w:val="auto"/>
                <w:sz w:val="21"/>
                <w:highlight w:val="none"/>
              </w:rPr>
            </w:pPr>
          </w:p>
        </w:tc>
        <w:tc>
          <w:tcPr>
            <w:tcW w:w="1287" w:type="dxa"/>
            <w:vAlign w:val="top"/>
          </w:tcPr>
          <w:p w14:paraId="168BF804">
            <w:pPr>
              <w:rPr>
                <w:rFonts w:ascii="Arial"/>
                <w:color w:val="auto"/>
                <w:sz w:val="21"/>
                <w:highlight w:val="none"/>
              </w:rPr>
            </w:pPr>
          </w:p>
        </w:tc>
      </w:tr>
      <w:tr w14:paraId="1E24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5E320707">
            <w:pPr>
              <w:rPr>
                <w:rFonts w:ascii="Arial"/>
                <w:color w:val="auto"/>
                <w:sz w:val="21"/>
                <w:highlight w:val="none"/>
              </w:rPr>
            </w:pPr>
          </w:p>
        </w:tc>
        <w:tc>
          <w:tcPr>
            <w:tcW w:w="4229" w:type="dxa"/>
            <w:gridSpan w:val="5"/>
            <w:vAlign w:val="top"/>
          </w:tcPr>
          <w:p w14:paraId="6764B893">
            <w:pPr>
              <w:rPr>
                <w:rFonts w:ascii="Arial"/>
                <w:color w:val="auto"/>
                <w:sz w:val="21"/>
                <w:highlight w:val="none"/>
              </w:rPr>
            </w:pPr>
          </w:p>
        </w:tc>
        <w:tc>
          <w:tcPr>
            <w:tcW w:w="1929" w:type="dxa"/>
            <w:gridSpan w:val="2"/>
            <w:vAlign w:val="top"/>
          </w:tcPr>
          <w:p w14:paraId="40B5DD66">
            <w:pPr>
              <w:rPr>
                <w:rFonts w:ascii="Arial"/>
                <w:color w:val="auto"/>
                <w:sz w:val="21"/>
                <w:highlight w:val="none"/>
              </w:rPr>
            </w:pPr>
          </w:p>
        </w:tc>
        <w:tc>
          <w:tcPr>
            <w:tcW w:w="1287" w:type="dxa"/>
            <w:vAlign w:val="top"/>
          </w:tcPr>
          <w:p w14:paraId="3012EEEB">
            <w:pPr>
              <w:rPr>
                <w:rFonts w:ascii="Arial"/>
                <w:color w:val="auto"/>
                <w:sz w:val="21"/>
                <w:highlight w:val="none"/>
              </w:rPr>
            </w:pPr>
          </w:p>
        </w:tc>
      </w:tr>
      <w:tr w14:paraId="4438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6D1A8D3E">
            <w:pPr>
              <w:rPr>
                <w:rFonts w:ascii="Arial"/>
                <w:color w:val="auto"/>
                <w:sz w:val="21"/>
                <w:highlight w:val="none"/>
              </w:rPr>
            </w:pPr>
          </w:p>
        </w:tc>
        <w:tc>
          <w:tcPr>
            <w:tcW w:w="4229" w:type="dxa"/>
            <w:gridSpan w:val="5"/>
            <w:vAlign w:val="top"/>
          </w:tcPr>
          <w:p w14:paraId="0B496F18">
            <w:pPr>
              <w:rPr>
                <w:rFonts w:ascii="Arial"/>
                <w:color w:val="auto"/>
                <w:sz w:val="21"/>
                <w:highlight w:val="none"/>
              </w:rPr>
            </w:pPr>
          </w:p>
        </w:tc>
        <w:tc>
          <w:tcPr>
            <w:tcW w:w="1929" w:type="dxa"/>
            <w:gridSpan w:val="2"/>
            <w:vAlign w:val="top"/>
          </w:tcPr>
          <w:p w14:paraId="16B393AF">
            <w:pPr>
              <w:rPr>
                <w:rFonts w:ascii="Arial"/>
                <w:color w:val="auto"/>
                <w:sz w:val="21"/>
                <w:highlight w:val="none"/>
              </w:rPr>
            </w:pPr>
          </w:p>
        </w:tc>
        <w:tc>
          <w:tcPr>
            <w:tcW w:w="1287" w:type="dxa"/>
            <w:vAlign w:val="top"/>
          </w:tcPr>
          <w:p w14:paraId="60C5B2B3">
            <w:pPr>
              <w:rPr>
                <w:rFonts w:ascii="Arial"/>
                <w:color w:val="auto"/>
                <w:sz w:val="21"/>
                <w:highlight w:val="none"/>
              </w:rPr>
            </w:pPr>
          </w:p>
        </w:tc>
      </w:tr>
      <w:tr w14:paraId="4650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3DC7CE44">
            <w:pPr>
              <w:rPr>
                <w:rFonts w:ascii="Arial"/>
                <w:color w:val="auto"/>
                <w:sz w:val="21"/>
                <w:highlight w:val="none"/>
              </w:rPr>
            </w:pPr>
          </w:p>
        </w:tc>
        <w:tc>
          <w:tcPr>
            <w:tcW w:w="4229" w:type="dxa"/>
            <w:gridSpan w:val="5"/>
            <w:vAlign w:val="top"/>
          </w:tcPr>
          <w:p w14:paraId="384876B3">
            <w:pPr>
              <w:rPr>
                <w:rFonts w:ascii="Arial"/>
                <w:color w:val="auto"/>
                <w:sz w:val="21"/>
                <w:highlight w:val="none"/>
              </w:rPr>
            </w:pPr>
          </w:p>
        </w:tc>
        <w:tc>
          <w:tcPr>
            <w:tcW w:w="1929" w:type="dxa"/>
            <w:gridSpan w:val="2"/>
            <w:vAlign w:val="top"/>
          </w:tcPr>
          <w:p w14:paraId="14CEE7AE">
            <w:pPr>
              <w:rPr>
                <w:rFonts w:ascii="Arial"/>
                <w:color w:val="auto"/>
                <w:sz w:val="21"/>
                <w:highlight w:val="none"/>
              </w:rPr>
            </w:pPr>
          </w:p>
        </w:tc>
        <w:tc>
          <w:tcPr>
            <w:tcW w:w="1287" w:type="dxa"/>
            <w:vAlign w:val="top"/>
          </w:tcPr>
          <w:p w14:paraId="49DCA370">
            <w:pPr>
              <w:rPr>
                <w:rFonts w:ascii="Arial"/>
                <w:color w:val="auto"/>
                <w:sz w:val="21"/>
                <w:highlight w:val="none"/>
              </w:rPr>
            </w:pPr>
          </w:p>
        </w:tc>
      </w:tr>
      <w:tr w14:paraId="24E9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14:paraId="24478331">
            <w:pPr>
              <w:spacing w:line="242" w:lineRule="auto"/>
              <w:rPr>
                <w:rFonts w:ascii="Arial"/>
                <w:color w:val="auto"/>
                <w:sz w:val="21"/>
                <w:highlight w:val="none"/>
              </w:rPr>
            </w:pPr>
          </w:p>
          <w:p w14:paraId="5C803A5A">
            <w:pPr>
              <w:pStyle w:val="23"/>
              <w:spacing w:before="65" w:line="228" w:lineRule="auto"/>
              <w:ind w:left="811"/>
              <w:rPr>
                <w:color w:val="auto"/>
                <w:highlight w:val="none"/>
              </w:rPr>
            </w:pPr>
            <w:r>
              <w:rPr>
                <w:color w:val="auto"/>
                <w:spacing w:val="6"/>
                <w:highlight w:val="none"/>
              </w:rPr>
              <w:t>获奖情况</w:t>
            </w:r>
          </w:p>
        </w:tc>
        <w:tc>
          <w:tcPr>
            <w:tcW w:w="6294" w:type="dxa"/>
            <w:gridSpan w:val="7"/>
            <w:vAlign w:val="top"/>
          </w:tcPr>
          <w:p w14:paraId="039C0CA1">
            <w:pPr>
              <w:rPr>
                <w:rFonts w:ascii="Arial"/>
                <w:color w:val="auto"/>
                <w:sz w:val="21"/>
                <w:highlight w:val="none"/>
              </w:rPr>
            </w:pPr>
          </w:p>
        </w:tc>
      </w:tr>
      <w:tr w14:paraId="3591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vAlign w:val="top"/>
          </w:tcPr>
          <w:p w14:paraId="5DBC2D53">
            <w:pPr>
              <w:spacing w:line="464" w:lineRule="auto"/>
              <w:rPr>
                <w:rFonts w:ascii="Arial"/>
                <w:color w:val="auto"/>
                <w:sz w:val="21"/>
                <w:highlight w:val="none"/>
              </w:rPr>
            </w:pPr>
          </w:p>
          <w:p w14:paraId="6B2B99C5">
            <w:pPr>
              <w:pStyle w:val="23"/>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vAlign w:val="top"/>
          </w:tcPr>
          <w:p w14:paraId="2FF4C6B6">
            <w:pPr>
              <w:pStyle w:val="23"/>
              <w:spacing w:before="165" w:line="369" w:lineRule="auto"/>
              <w:ind w:left="114" w:right="108"/>
              <w:rPr>
                <w:color w:val="auto"/>
                <w:highlight w:val="none"/>
              </w:rPr>
            </w:pPr>
            <w:r>
              <w:rPr>
                <w:color w:val="auto"/>
                <w:spacing w:val="13"/>
                <w:highlight w:val="none"/>
              </w:rPr>
              <w:t>本人</w:t>
            </w:r>
            <w:r>
              <w:rPr>
                <w:color w:val="auto"/>
                <w:spacing w:val="-91"/>
                <w:highlight w:val="none"/>
              </w:rPr>
              <w:t xml:space="preserve"> </w:t>
            </w:r>
            <w:r>
              <w:rPr>
                <w:color w:val="auto"/>
                <w:spacing w:val="13"/>
                <w:highlight w:val="none"/>
                <w:u w:val="single" w:color="auto"/>
              </w:rPr>
              <w:t xml:space="preserve">             （签名）</w:t>
            </w:r>
            <w:r>
              <w:rPr>
                <w:color w:val="auto"/>
                <w:spacing w:val="13"/>
                <w:highlight w:val="none"/>
              </w:rPr>
              <w:t>知晓为本项目的总监理工程师/驻地</w:t>
            </w:r>
            <w:r>
              <w:rPr>
                <w:color w:val="auto"/>
                <w:spacing w:val="8"/>
                <w:highlight w:val="none"/>
              </w:rPr>
              <w:t>监理工程师，并对其真实性负责。</w:t>
            </w:r>
          </w:p>
        </w:tc>
      </w:tr>
    </w:tbl>
    <w:p w14:paraId="50F4F761">
      <w:pPr>
        <w:spacing w:before="158" w:line="227" w:lineRule="auto"/>
        <w:ind w:left="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注：1.本表应填写总监理工程师（含备选）或驻地监理工程师（含备选）相关情况。</w:t>
      </w:r>
    </w:p>
    <w:p w14:paraId="3533BE12">
      <w:pPr>
        <w:spacing w:before="154" w:line="227"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w:t>
      </w:r>
      <w:r>
        <w:rPr>
          <w:rFonts w:ascii="宋体" w:hAnsi="宋体" w:eastAsia="宋体" w:cs="宋体"/>
          <w:color w:val="auto"/>
          <w:spacing w:val="6"/>
          <w:sz w:val="20"/>
          <w:szCs w:val="20"/>
          <w:highlight w:val="none"/>
        </w:rPr>
        <w:t>明材料。</w:t>
      </w:r>
    </w:p>
    <w:p w14:paraId="62F21DED">
      <w:pPr>
        <w:spacing w:line="227" w:lineRule="auto"/>
        <w:rPr>
          <w:rFonts w:ascii="宋体" w:hAnsi="宋体" w:eastAsia="宋体" w:cs="宋体"/>
          <w:color w:val="auto"/>
          <w:sz w:val="20"/>
          <w:szCs w:val="20"/>
          <w:highlight w:val="none"/>
        </w:rPr>
        <w:sectPr>
          <w:footerReference r:id="rId54" w:type="default"/>
          <w:pgSz w:w="11906" w:h="16839"/>
          <w:pgMar w:top="1401" w:right="1495" w:bottom="1297" w:left="1384" w:header="0" w:footer="1067" w:gutter="0"/>
          <w:pgNumType w:fmt="decimal"/>
          <w:cols w:space="720" w:num="1"/>
        </w:sectPr>
      </w:pPr>
    </w:p>
    <w:p w14:paraId="66403891">
      <w:pPr>
        <w:spacing w:before="59" w:line="218" w:lineRule="auto"/>
        <w:ind w:left="1348"/>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（七）</w:t>
      </w:r>
      <w:r>
        <w:rPr>
          <w:rFonts w:ascii="宋体" w:hAnsi="宋体" w:eastAsia="宋体" w:cs="宋体"/>
          <w:b/>
          <w:bCs/>
          <w:color w:val="auto"/>
          <w:spacing w:val="-4"/>
          <w:sz w:val="30"/>
          <w:szCs w:val="30"/>
          <w:highlight w:val="none"/>
        </w:rPr>
        <w:t>关于使用广东省信用评价等级的申请承诺书</w:t>
      </w:r>
    </w:p>
    <w:p w14:paraId="67172F35">
      <w:pPr>
        <w:spacing w:line="306" w:lineRule="auto"/>
        <w:rPr>
          <w:rFonts w:ascii="Arial"/>
          <w:color w:val="auto"/>
          <w:sz w:val="21"/>
          <w:highlight w:val="none"/>
        </w:rPr>
      </w:pPr>
    </w:p>
    <w:p w14:paraId="244B2CB5">
      <w:pPr>
        <w:spacing w:before="78" w:line="220" w:lineRule="auto"/>
        <w:ind w:left="10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致招标人</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招标人全称）</w:t>
      </w:r>
    </w:p>
    <w:p w14:paraId="16E33215">
      <w:pPr>
        <w:spacing w:before="115" w:line="219" w:lineRule="auto"/>
        <w:ind w:left="5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按照相关要求，现我单位对使用信用等级申请如下：</w:t>
      </w:r>
    </w:p>
    <w:p w14:paraId="7656B86A">
      <w:pPr>
        <w:spacing w:before="114" w:line="308" w:lineRule="auto"/>
        <w:ind w:left="109" w:right="10"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一、我单位在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施工监理</w:t>
      </w:r>
      <w:r>
        <w:rPr>
          <w:rFonts w:ascii="宋体" w:hAnsi="宋体" w:eastAsia="宋体" w:cs="宋体"/>
          <w:color w:val="auto"/>
          <w:spacing w:val="-2"/>
          <w:sz w:val="24"/>
          <w:szCs w:val="24"/>
          <w:highlight w:val="none"/>
        </w:rPr>
        <w:t>招标（第</w:t>
      </w:r>
      <w:r>
        <w:rPr>
          <w:rFonts w:ascii="宋体" w:hAnsi="宋体" w:eastAsia="宋体" w:cs="宋体"/>
          <w:color w:val="auto"/>
          <w:spacing w:val="-2"/>
          <w:sz w:val="24"/>
          <w:szCs w:val="24"/>
          <w:highlight w:val="none"/>
          <w:u w:val="single" w:color="auto"/>
        </w:rPr>
        <w:t xml:space="preserve">      标段）</w:t>
      </w:r>
      <w:r>
        <w:rPr>
          <w:rFonts w:ascii="宋体" w:hAnsi="宋体" w:eastAsia="宋体" w:cs="宋体"/>
          <w:color w:val="auto"/>
          <w:spacing w:val="-2"/>
          <w:sz w:val="24"/>
          <w:szCs w:val="24"/>
          <w:highlight w:val="none"/>
        </w:rPr>
        <w:t>的招标中，</w:t>
      </w:r>
      <w:r>
        <w:rPr>
          <w:rFonts w:ascii="宋体" w:hAnsi="宋体" w:eastAsia="宋体" w:cs="宋体"/>
          <w:b/>
          <w:bCs/>
          <w:color w:val="auto"/>
          <w:spacing w:val="-2"/>
          <w:sz w:val="24"/>
          <w:szCs w:val="24"/>
          <w:highlight w:val="none"/>
        </w:rPr>
        <w:t>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b/>
          <w:bCs/>
          <w:color w:val="auto"/>
          <w:spacing w:val="-2"/>
          <w:sz w:val="24"/>
          <w:szCs w:val="24"/>
          <w:highlight w:val="none"/>
        </w:rPr>
        <w:t>次使用（</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2"/>
          <w:sz w:val="24"/>
          <w:szCs w:val="24"/>
          <w:highlight w:val="none"/>
          <w:u w:val="single" w:color="auto"/>
        </w:rPr>
        <w:t>或不使用</w:t>
      </w:r>
      <w:r>
        <w:rPr>
          <w:rFonts w:ascii="宋体" w:hAnsi="宋体" w:eastAsia="宋体" w:cs="宋体"/>
          <w:b/>
          <w:bCs/>
          <w:color w:val="auto"/>
          <w:spacing w:val="-2"/>
          <w:sz w:val="24"/>
          <w:szCs w:val="24"/>
          <w:highlight w:val="none"/>
        </w:rPr>
        <w:t>）</w:t>
      </w:r>
      <w:r>
        <w:rPr>
          <w:rFonts w:ascii="宋体" w:hAnsi="宋体" w:eastAsia="宋体" w:cs="宋体"/>
          <w:color w:val="auto"/>
          <w:spacing w:val="-2"/>
          <w:sz w:val="24"/>
          <w:szCs w:val="24"/>
          <w:highlight w:val="none"/>
        </w:rPr>
        <w:t>广东省交通运输</w:t>
      </w:r>
      <w:r>
        <w:rPr>
          <w:rFonts w:ascii="宋体" w:hAnsi="宋体" w:eastAsia="宋体" w:cs="宋体"/>
          <w:color w:val="auto"/>
          <w:spacing w:val="-3"/>
          <w:sz w:val="24"/>
          <w:szCs w:val="24"/>
          <w:highlight w:val="none"/>
        </w:rPr>
        <w:t>厅发布的</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年度信用评价</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等级结果</w:t>
      </w:r>
      <w:r>
        <w:rPr>
          <w:rFonts w:ascii="宋体" w:hAnsi="宋体" w:eastAsia="宋体" w:cs="宋体"/>
          <w:color w:val="auto"/>
          <w:spacing w:val="-2"/>
          <w:sz w:val="24"/>
          <w:szCs w:val="24"/>
          <w:highlight w:val="none"/>
        </w:rPr>
        <w:t>和对应等级分值。</w:t>
      </w:r>
    </w:p>
    <w:p w14:paraId="5120EE42">
      <w:pPr>
        <w:spacing w:line="218" w:lineRule="auto"/>
        <w:ind w:left="5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二、我单位承诺，在递交本次申请后，我单位将失去一次使用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pacing w:val="-1"/>
          <w:sz w:val="24"/>
          <w:szCs w:val="24"/>
          <w:highlight w:val="none"/>
        </w:rPr>
        <w:t>等级结果</w:t>
      </w:r>
    </w:p>
    <w:p w14:paraId="69C2BEB0">
      <w:pPr>
        <w:spacing w:before="114" w:line="264" w:lineRule="auto"/>
        <w:ind w:left="110" w:right="180" w:hanging="1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宋体" w:hAnsi="宋体" w:eastAsia="宋体" w:cs="宋体"/>
          <w:b/>
          <w:bCs/>
          <w:color w:val="auto"/>
          <w:spacing w:val="-2"/>
          <w:sz w:val="24"/>
          <w:szCs w:val="24"/>
          <w:highlight w:val="none"/>
          <w:u w:val="single" w:color="auto"/>
        </w:rPr>
        <w:t>不使用时上述填“/</w:t>
      </w:r>
      <w:r>
        <w:rPr>
          <w:rFonts w:ascii="宋体" w:hAnsi="宋体" w:eastAsia="宋体" w:cs="宋体"/>
          <w:color w:val="auto"/>
          <w:spacing w:val="-82"/>
          <w:sz w:val="24"/>
          <w:szCs w:val="24"/>
          <w:highlight w:val="none"/>
          <w:u w:val="single" w:color="auto"/>
        </w:rPr>
        <w:t xml:space="preserve"> </w:t>
      </w:r>
      <w:r>
        <w:rPr>
          <w:rFonts w:ascii="宋体" w:hAnsi="宋体" w:eastAsia="宋体" w:cs="宋体"/>
          <w:b/>
          <w:bCs/>
          <w:color w:val="auto"/>
          <w:spacing w:val="-2"/>
          <w:sz w:val="24"/>
          <w:szCs w:val="24"/>
          <w:highlight w:val="none"/>
          <w:u w:val="single" w:color="auto"/>
        </w:rPr>
        <w:t>”）</w:t>
      </w:r>
      <w:r>
        <w:rPr>
          <w:rFonts w:ascii="宋体" w:hAnsi="宋体" w:eastAsia="宋体" w:cs="宋体"/>
          <w:color w:val="auto"/>
          <w:spacing w:val="-2"/>
          <w:sz w:val="24"/>
          <w:szCs w:val="24"/>
          <w:highlight w:val="none"/>
        </w:rPr>
        <w:t>参与投标的机会。当累计使用超过规定的次数，我单位同意</w:t>
      </w:r>
      <w:r>
        <w:rPr>
          <w:rFonts w:ascii="宋体" w:hAnsi="宋体" w:eastAsia="宋体" w:cs="宋体"/>
          <w:color w:val="auto"/>
          <w:spacing w:val="-1"/>
          <w:sz w:val="24"/>
          <w:szCs w:val="24"/>
          <w:highlight w:val="none"/>
        </w:rPr>
        <w:t>按降低一个信用等级对应分值来认定参与投标评审。</w:t>
      </w:r>
    </w:p>
    <w:p w14:paraId="4CDDD7A8">
      <w:pPr>
        <w:spacing w:before="115" w:line="263" w:lineRule="auto"/>
        <w:ind w:left="111" w:right="19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三、如果我单位发生违反规定使用信用等级结果的情形，</w:t>
      </w:r>
      <w:r>
        <w:rPr>
          <w:rFonts w:ascii="宋体" w:hAnsi="宋体" w:eastAsia="宋体" w:cs="宋体"/>
          <w:color w:val="auto"/>
          <w:spacing w:val="-61"/>
          <w:sz w:val="24"/>
          <w:szCs w:val="24"/>
          <w:highlight w:val="none"/>
        </w:rPr>
        <w:t xml:space="preserve"> </w:t>
      </w:r>
      <w:r>
        <w:rPr>
          <w:rFonts w:ascii="宋体" w:hAnsi="宋体" w:eastAsia="宋体" w:cs="宋体"/>
          <w:color w:val="auto"/>
          <w:spacing w:val="-2"/>
          <w:sz w:val="24"/>
          <w:szCs w:val="24"/>
          <w:highlight w:val="none"/>
        </w:rPr>
        <w:t>自愿接受省级交通运输主管部门的处理。</w:t>
      </w:r>
    </w:p>
    <w:p w14:paraId="737F104D">
      <w:pPr>
        <w:spacing w:before="117" w:line="310" w:lineRule="auto"/>
        <w:ind w:left="589" w:right="312" w:firstLine="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附件：本单位使用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年度广东省公路水运工程从业单位信用等级情况</w:t>
      </w:r>
      <w:r>
        <w:rPr>
          <w:rFonts w:ascii="宋体" w:hAnsi="宋体" w:eastAsia="宋体" w:cs="宋体"/>
          <w:color w:val="auto"/>
          <w:spacing w:val="-2"/>
          <w:sz w:val="24"/>
          <w:szCs w:val="24"/>
          <w:highlight w:val="none"/>
        </w:rPr>
        <w:t>汇总表</w:t>
      </w:r>
      <w:r>
        <w:rPr>
          <w:rFonts w:ascii="宋体" w:hAnsi="宋体" w:eastAsia="宋体" w:cs="宋体"/>
          <w:color w:val="auto"/>
          <w:spacing w:val="-3"/>
          <w:sz w:val="24"/>
          <w:szCs w:val="24"/>
          <w:highlight w:val="none"/>
        </w:rPr>
        <w:t>特此承诺</w:t>
      </w:r>
    </w:p>
    <w:p w14:paraId="6AF30FE4">
      <w:pPr>
        <w:spacing w:before="304" w:line="220" w:lineRule="auto"/>
        <w:ind w:left="224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投标人（单位全称</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19077D54">
      <w:pPr>
        <w:spacing w:line="283" w:lineRule="auto"/>
        <w:rPr>
          <w:rFonts w:ascii="Arial"/>
          <w:color w:val="auto"/>
          <w:sz w:val="21"/>
          <w:highlight w:val="none"/>
        </w:rPr>
      </w:pPr>
    </w:p>
    <w:p w14:paraId="27238E43">
      <w:pPr>
        <w:spacing w:line="283" w:lineRule="auto"/>
        <w:rPr>
          <w:rFonts w:ascii="Arial"/>
          <w:color w:val="auto"/>
          <w:sz w:val="21"/>
          <w:highlight w:val="none"/>
        </w:rPr>
      </w:pPr>
    </w:p>
    <w:p w14:paraId="63BA90D6">
      <w:pPr>
        <w:spacing w:before="79" w:line="219" w:lineRule="auto"/>
        <w:ind w:left="23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投标人的法定代表人或其委托代理人签名：</w:t>
      </w:r>
      <w:r>
        <w:rPr>
          <w:rFonts w:ascii="宋体" w:hAnsi="宋体" w:eastAsia="宋体" w:cs="宋体"/>
          <w:color w:val="auto"/>
          <w:sz w:val="24"/>
          <w:szCs w:val="24"/>
          <w:highlight w:val="none"/>
          <w:u w:val="single" w:color="auto"/>
        </w:rPr>
        <w:t xml:space="preserve">            </w:t>
      </w:r>
    </w:p>
    <w:p w14:paraId="738C64AC">
      <w:pPr>
        <w:spacing w:line="327" w:lineRule="auto"/>
        <w:rPr>
          <w:rFonts w:ascii="Arial"/>
          <w:color w:val="auto"/>
          <w:sz w:val="21"/>
          <w:highlight w:val="none"/>
        </w:rPr>
      </w:pPr>
    </w:p>
    <w:p w14:paraId="578CD81A">
      <w:pPr>
        <w:spacing w:line="328" w:lineRule="auto"/>
        <w:rPr>
          <w:rFonts w:ascii="Arial"/>
          <w:color w:val="auto"/>
          <w:sz w:val="21"/>
          <w:highlight w:val="none"/>
        </w:rPr>
      </w:pPr>
    </w:p>
    <w:p w14:paraId="32930098">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pacing w:val="12"/>
          <w:sz w:val="24"/>
          <w:szCs w:val="24"/>
          <w:highlight w:val="none"/>
        </w:rPr>
        <w:t xml:space="preserve">    </w:t>
      </w:r>
      <w:r>
        <w:rPr>
          <w:rFonts w:ascii="宋体" w:hAnsi="宋体" w:eastAsia="宋体" w:cs="宋体"/>
          <w:color w:val="auto"/>
          <w:spacing w:val="-26"/>
          <w:sz w:val="24"/>
          <w:szCs w:val="24"/>
          <w:highlight w:val="none"/>
        </w:rPr>
        <w:t>日</w:t>
      </w:r>
    </w:p>
    <w:p w14:paraId="714B96BE">
      <w:pPr>
        <w:spacing w:before="163" w:line="230" w:lineRule="auto"/>
        <w:ind w:left="537"/>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备注：</w:t>
      </w:r>
    </w:p>
    <w:p w14:paraId="257F869C">
      <w:pPr>
        <w:spacing w:before="161" w:line="309" w:lineRule="auto"/>
        <w:ind w:left="109" w:right="197" w:firstLine="44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w:t>
      </w:r>
      <w:r>
        <w:rPr>
          <w:rFonts w:ascii="宋体" w:hAnsi="宋体" w:eastAsia="宋体" w:cs="宋体"/>
          <w:color w:val="auto"/>
          <w:sz w:val="19"/>
          <w:szCs w:val="19"/>
          <w:highlight w:val="none"/>
        </w:rPr>
        <w:t>AA</w:t>
      </w:r>
      <w:r>
        <w:rPr>
          <w:rFonts w:ascii="宋体" w:hAnsi="宋体" w:eastAsia="宋体" w:cs="宋体"/>
          <w:color w:val="auto"/>
          <w:spacing w:val="8"/>
          <w:sz w:val="19"/>
          <w:szCs w:val="19"/>
          <w:highlight w:val="none"/>
        </w:rPr>
        <w:t>、A</w:t>
      </w:r>
      <w:r>
        <w:rPr>
          <w:rFonts w:ascii="宋体" w:hAnsi="宋体" w:eastAsia="宋体" w:cs="宋体"/>
          <w:color w:val="auto"/>
          <w:spacing w:val="-16"/>
          <w:sz w:val="19"/>
          <w:szCs w:val="19"/>
          <w:highlight w:val="none"/>
        </w:rPr>
        <w:t xml:space="preserve"> </w:t>
      </w:r>
      <w:r>
        <w:rPr>
          <w:rFonts w:ascii="宋体" w:hAnsi="宋体" w:eastAsia="宋体" w:cs="宋体"/>
          <w:color w:val="auto"/>
          <w:spacing w:val="8"/>
          <w:sz w:val="19"/>
          <w:szCs w:val="19"/>
          <w:highlight w:val="none"/>
        </w:rPr>
        <w:t>级信用等级企业必须填写此申请承诺书；选择“使用</w:t>
      </w:r>
      <w:r>
        <w:rPr>
          <w:rFonts w:ascii="宋体" w:hAnsi="宋体" w:eastAsia="宋体" w:cs="宋体"/>
          <w:color w:val="auto"/>
          <w:spacing w:val="-66"/>
          <w:sz w:val="19"/>
          <w:szCs w:val="19"/>
          <w:highlight w:val="none"/>
        </w:rPr>
        <w:t xml:space="preserve"> </w:t>
      </w:r>
      <w:r>
        <w:rPr>
          <w:rFonts w:ascii="宋体" w:hAnsi="宋体" w:eastAsia="宋体" w:cs="宋体"/>
          <w:color w:val="auto"/>
          <w:spacing w:val="8"/>
          <w:sz w:val="19"/>
          <w:szCs w:val="19"/>
          <w:highlight w:val="none"/>
        </w:rPr>
        <w:t>”时需和附表（情况汇总表）一起</w:t>
      </w:r>
      <w:r>
        <w:rPr>
          <w:rFonts w:ascii="宋体" w:hAnsi="宋体" w:eastAsia="宋体" w:cs="宋体"/>
          <w:color w:val="auto"/>
          <w:spacing w:val="7"/>
          <w:sz w:val="19"/>
          <w:szCs w:val="19"/>
          <w:highlight w:val="none"/>
        </w:rPr>
        <w:t>编入投标文件中。</w:t>
      </w:r>
    </w:p>
    <w:p w14:paraId="690430BF">
      <w:pPr>
        <w:spacing w:before="167" w:line="227" w:lineRule="auto"/>
        <w:ind w:left="53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w:t>
      </w:r>
      <w:r>
        <w:rPr>
          <w:rFonts w:ascii="宋体" w:hAnsi="宋体" w:eastAsia="宋体" w:cs="宋体"/>
          <w:color w:val="auto"/>
          <w:sz w:val="19"/>
          <w:szCs w:val="19"/>
          <w:highlight w:val="none"/>
        </w:rPr>
        <w:t>AA</w:t>
      </w:r>
      <w:r>
        <w:rPr>
          <w:rFonts w:ascii="宋体" w:hAnsi="宋体" w:eastAsia="宋体" w:cs="宋体"/>
          <w:color w:val="auto"/>
          <w:spacing w:val="10"/>
          <w:sz w:val="19"/>
          <w:szCs w:val="19"/>
          <w:highlight w:val="none"/>
        </w:rPr>
        <w:t>、A 级信用等级企业应区分标段、分别填写并提</w:t>
      </w:r>
      <w:r>
        <w:rPr>
          <w:rFonts w:ascii="宋体" w:hAnsi="宋体" w:eastAsia="宋体" w:cs="宋体"/>
          <w:color w:val="auto"/>
          <w:spacing w:val="9"/>
          <w:sz w:val="19"/>
          <w:szCs w:val="19"/>
          <w:highlight w:val="none"/>
        </w:rPr>
        <w:t>交此申请承诺书；如同时对多个标段选择</w:t>
      </w:r>
    </w:p>
    <w:p w14:paraId="39137078">
      <w:pPr>
        <w:spacing w:before="166" w:line="335" w:lineRule="auto"/>
        <w:ind w:left="106" w:right="72" w:hanging="107"/>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“使用</w:t>
      </w:r>
      <w:r>
        <w:rPr>
          <w:rFonts w:ascii="宋体" w:hAnsi="宋体" w:eastAsia="宋体" w:cs="宋体"/>
          <w:color w:val="auto"/>
          <w:spacing w:val="-66"/>
          <w:sz w:val="19"/>
          <w:szCs w:val="19"/>
          <w:highlight w:val="none"/>
        </w:rPr>
        <w:t xml:space="preserve"> </w:t>
      </w:r>
      <w:r>
        <w:rPr>
          <w:rFonts w:ascii="宋体" w:hAnsi="宋体" w:eastAsia="宋体" w:cs="宋体"/>
          <w:color w:val="auto"/>
          <w:spacing w:val="9"/>
          <w:sz w:val="19"/>
          <w:szCs w:val="19"/>
          <w:highlight w:val="none"/>
        </w:rPr>
        <w:t>”时，使用次数应按标段累加（即各</w:t>
      </w:r>
      <w:r>
        <w:rPr>
          <w:rFonts w:ascii="宋体" w:hAnsi="宋体" w:eastAsia="宋体" w:cs="宋体"/>
          <w:color w:val="auto"/>
          <w:spacing w:val="8"/>
          <w:sz w:val="19"/>
          <w:szCs w:val="19"/>
          <w:highlight w:val="none"/>
        </w:rPr>
        <w:t>个标段申请承诺书的使用次数应不一致）</w:t>
      </w:r>
      <w:r>
        <w:rPr>
          <w:rFonts w:ascii="宋体" w:hAnsi="宋体" w:eastAsia="宋体" w:cs="宋体"/>
          <w:color w:val="auto"/>
          <w:spacing w:val="-56"/>
          <w:sz w:val="19"/>
          <w:szCs w:val="19"/>
          <w:highlight w:val="none"/>
        </w:rPr>
        <w:t xml:space="preserve"> </w:t>
      </w:r>
      <w:r>
        <w:rPr>
          <w:rFonts w:ascii="宋体" w:hAnsi="宋体" w:eastAsia="宋体" w:cs="宋体"/>
          <w:color w:val="auto"/>
          <w:spacing w:val="8"/>
          <w:sz w:val="19"/>
          <w:szCs w:val="19"/>
          <w:highlight w:val="none"/>
        </w:rPr>
        <w:t>。如同时对多个标</w:t>
      </w:r>
      <w:r>
        <w:rPr>
          <w:rFonts w:ascii="宋体" w:hAnsi="宋体" w:eastAsia="宋体" w:cs="宋体"/>
          <w:color w:val="auto"/>
          <w:spacing w:val="9"/>
          <w:sz w:val="19"/>
          <w:szCs w:val="19"/>
          <w:highlight w:val="none"/>
        </w:rPr>
        <w:t>段选择“使用</w:t>
      </w:r>
      <w:r>
        <w:rPr>
          <w:rFonts w:ascii="宋体" w:hAnsi="宋体" w:eastAsia="宋体" w:cs="宋体"/>
          <w:color w:val="auto"/>
          <w:spacing w:val="-60"/>
          <w:sz w:val="19"/>
          <w:szCs w:val="19"/>
          <w:highlight w:val="none"/>
        </w:rPr>
        <w:t xml:space="preserve"> </w:t>
      </w:r>
      <w:r>
        <w:rPr>
          <w:rFonts w:ascii="宋体" w:hAnsi="宋体" w:eastAsia="宋体" w:cs="宋体"/>
          <w:color w:val="auto"/>
          <w:spacing w:val="9"/>
          <w:sz w:val="19"/>
          <w:szCs w:val="19"/>
          <w:highlight w:val="none"/>
        </w:rPr>
        <w:t>”而多个标段所附申请承诺书的使用次数为同一次时，多个标段均视为未正确填报申请承诺书，均按不承诺使用对应的信用等级处理。</w:t>
      </w:r>
    </w:p>
    <w:p w14:paraId="5F729740">
      <w:pPr>
        <w:spacing w:before="165" w:line="309" w:lineRule="auto"/>
        <w:ind w:left="108" w:right="144" w:firstLine="43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3、</w:t>
      </w:r>
      <w:r>
        <w:rPr>
          <w:rFonts w:hint="eastAsia" w:ascii="宋体" w:hAnsi="宋体" w:eastAsia="宋体" w:cs="宋体"/>
          <w:color w:val="auto"/>
          <w:spacing w:val="9"/>
          <w:sz w:val="19"/>
          <w:szCs w:val="19"/>
          <w:highlight w:val="none"/>
          <w:lang w:val="en-US" w:eastAsia="zh-CN"/>
        </w:rPr>
        <w:t>定</w:t>
      </w:r>
      <w:r>
        <w:rPr>
          <w:rFonts w:ascii="宋体" w:hAnsi="宋体" w:eastAsia="宋体" w:cs="宋体"/>
          <w:color w:val="auto"/>
          <w:spacing w:val="9"/>
          <w:sz w:val="19"/>
          <w:szCs w:val="19"/>
          <w:highlight w:val="none"/>
        </w:rPr>
        <w:t>标候选人公示将对所有承诺使用最新一年度</w:t>
      </w:r>
      <w:r>
        <w:rPr>
          <w:rFonts w:ascii="宋体" w:hAnsi="宋体" w:eastAsia="宋体" w:cs="宋体"/>
          <w:color w:val="auto"/>
          <w:spacing w:val="-28"/>
          <w:sz w:val="19"/>
          <w:szCs w:val="19"/>
          <w:highlight w:val="none"/>
        </w:rPr>
        <w:t xml:space="preserve"> </w:t>
      </w:r>
      <w:r>
        <w:rPr>
          <w:rFonts w:ascii="宋体" w:hAnsi="宋体" w:eastAsia="宋体" w:cs="宋体"/>
          <w:color w:val="auto"/>
          <w:sz w:val="19"/>
          <w:szCs w:val="19"/>
          <w:highlight w:val="none"/>
        </w:rPr>
        <w:t>AA</w:t>
      </w:r>
      <w:r>
        <w:rPr>
          <w:rFonts w:ascii="宋体" w:hAnsi="宋体" w:eastAsia="宋体" w:cs="宋体"/>
          <w:color w:val="auto"/>
          <w:spacing w:val="9"/>
          <w:sz w:val="19"/>
          <w:szCs w:val="19"/>
          <w:highlight w:val="none"/>
        </w:rPr>
        <w:t>、A</w:t>
      </w:r>
      <w:r>
        <w:rPr>
          <w:rFonts w:ascii="宋体" w:hAnsi="宋体" w:eastAsia="宋体" w:cs="宋体"/>
          <w:color w:val="auto"/>
          <w:spacing w:val="-33"/>
          <w:sz w:val="19"/>
          <w:szCs w:val="19"/>
          <w:highlight w:val="none"/>
        </w:rPr>
        <w:t xml:space="preserve"> </w:t>
      </w:r>
      <w:r>
        <w:rPr>
          <w:rFonts w:ascii="宋体" w:hAnsi="宋体" w:eastAsia="宋体" w:cs="宋体"/>
          <w:color w:val="auto"/>
          <w:spacing w:val="9"/>
          <w:sz w:val="19"/>
          <w:szCs w:val="19"/>
          <w:highlight w:val="none"/>
        </w:rPr>
        <w:t>级投标人的年度信用等级使用情况进行公</w:t>
      </w:r>
      <w:r>
        <w:rPr>
          <w:rFonts w:ascii="宋体" w:hAnsi="宋体" w:eastAsia="宋体" w:cs="宋体"/>
          <w:color w:val="auto"/>
          <w:sz w:val="19"/>
          <w:szCs w:val="19"/>
          <w:highlight w:val="none"/>
        </w:rPr>
        <w:t>开。</w:t>
      </w:r>
    </w:p>
    <w:p w14:paraId="20D919A1">
      <w:pPr>
        <w:spacing w:before="151" w:line="229" w:lineRule="auto"/>
        <w:ind w:left="55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w:t>
      </w:r>
      <w:r>
        <w:rPr>
          <w:rFonts w:ascii="宋体" w:hAnsi="宋体" w:eastAsia="宋体" w:cs="宋体"/>
          <w:color w:val="auto"/>
          <w:spacing w:val="9"/>
          <w:sz w:val="19"/>
          <w:szCs w:val="19"/>
          <w:highlight w:val="none"/>
        </w:rPr>
        <w:t>以联合体形式投标的，联合体各成员应分别填写</w:t>
      </w:r>
      <w:r>
        <w:rPr>
          <w:rFonts w:ascii="宋体" w:hAnsi="宋体" w:eastAsia="宋体" w:cs="宋体"/>
          <w:color w:val="auto"/>
          <w:spacing w:val="9"/>
          <w:sz w:val="20"/>
          <w:szCs w:val="20"/>
          <w:highlight w:val="none"/>
        </w:rPr>
        <w:t>。</w:t>
      </w:r>
    </w:p>
    <w:p w14:paraId="1B2A9715">
      <w:pPr>
        <w:spacing w:line="229" w:lineRule="auto"/>
        <w:rPr>
          <w:rFonts w:ascii="宋体" w:hAnsi="宋体" w:eastAsia="宋体" w:cs="宋体"/>
          <w:color w:val="auto"/>
          <w:sz w:val="20"/>
          <w:szCs w:val="20"/>
          <w:highlight w:val="none"/>
        </w:rPr>
        <w:sectPr>
          <w:footerReference r:id="rId55" w:type="default"/>
          <w:pgSz w:w="11906" w:h="16839"/>
          <w:pgMar w:top="1401" w:right="1417" w:bottom="1297" w:left="1315" w:header="0" w:footer="1067" w:gutter="0"/>
          <w:pgNumType w:fmt="decimal"/>
          <w:cols w:space="720" w:num="1"/>
        </w:sectPr>
      </w:pPr>
    </w:p>
    <w:p w14:paraId="30A3560A">
      <w:pPr>
        <w:spacing w:before="56" w:line="219" w:lineRule="auto"/>
        <w:ind w:left="144"/>
        <w:rPr>
          <w:rFonts w:ascii="宋体" w:hAnsi="宋体" w:eastAsia="宋体" w:cs="宋体"/>
          <w:color w:val="auto"/>
          <w:sz w:val="28"/>
          <w:szCs w:val="28"/>
          <w:highlight w:val="none"/>
        </w:rPr>
      </w:pPr>
      <w:r>
        <w:rPr>
          <w:rFonts w:ascii="宋体" w:hAnsi="宋体" w:eastAsia="宋体" w:cs="宋体"/>
          <w:color w:val="auto"/>
          <w:spacing w:val="-11"/>
          <w:sz w:val="28"/>
          <w:szCs w:val="28"/>
          <w:highlight w:val="none"/>
        </w:rPr>
        <w:t>附表：</w:t>
      </w:r>
    </w:p>
    <w:p w14:paraId="5676E5EF">
      <w:pPr>
        <w:spacing w:line="298" w:lineRule="auto"/>
        <w:rPr>
          <w:rFonts w:ascii="Arial"/>
          <w:color w:val="auto"/>
          <w:sz w:val="21"/>
          <w:highlight w:val="none"/>
        </w:rPr>
      </w:pPr>
    </w:p>
    <w:p w14:paraId="03F9FD55">
      <w:pPr>
        <w:tabs>
          <w:tab w:val="left" w:pos="2338"/>
        </w:tabs>
        <w:spacing w:before="91" w:line="243" w:lineRule="auto"/>
        <w:ind w:left="3397" w:right="793" w:hanging="2600"/>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5"/>
          <w:sz w:val="28"/>
          <w:szCs w:val="28"/>
          <w:highlight w:val="none"/>
        </w:rPr>
        <w:t xml:space="preserve"> </w:t>
      </w:r>
      <w:r>
        <w:rPr>
          <w:rFonts w:ascii="宋体" w:hAnsi="宋体" w:eastAsia="宋体" w:cs="宋体"/>
          <w:color w:val="auto"/>
          <w:spacing w:val="-1"/>
          <w:sz w:val="28"/>
          <w:szCs w:val="28"/>
          <w:highlight w:val="none"/>
        </w:rPr>
        <w:t>单位使用</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28"/>
          <w:sz w:val="28"/>
          <w:szCs w:val="28"/>
          <w:highlight w:val="none"/>
        </w:rPr>
        <w:t xml:space="preserve"> </w:t>
      </w:r>
      <w:r>
        <w:rPr>
          <w:rFonts w:ascii="宋体" w:hAnsi="宋体" w:eastAsia="宋体" w:cs="宋体"/>
          <w:color w:val="auto"/>
          <w:spacing w:val="-1"/>
          <w:sz w:val="28"/>
          <w:szCs w:val="28"/>
          <w:highlight w:val="none"/>
        </w:rPr>
        <w:t>年度广东省公路工程从业单位</w:t>
      </w:r>
      <w:r>
        <w:rPr>
          <w:rFonts w:ascii="宋体" w:hAnsi="宋体" w:eastAsia="宋体" w:cs="宋体"/>
          <w:color w:val="auto"/>
          <w:spacing w:val="-2"/>
          <w:sz w:val="28"/>
          <w:szCs w:val="28"/>
          <w:highlight w:val="none"/>
        </w:rPr>
        <w:t>信用等级情况汇总表</w:t>
      </w:r>
    </w:p>
    <w:p w14:paraId="0AE72757">
      <w:pPr>
        <w:spacing w:before="75"/>
        <w:rPr>
          <w:color w:val="auto"/>
          <w:highlight w:val="none"/>
        </w:rPr>
      </w:pPr>
    </w:p>
    <w:p w14:paraId="0A7C244E">
      <w:pPr>
        <w:spacing w:before="75"/>
        <w:rPr>
          <w:color w:val="auto"/>
          <w:highlight w:val="none"/>
        </w:rPr>
      </w:pPr>
    </w:p>
    <w:p w14:paraId="1FF5DECE">
      <w:pPr>
        <w:spacing w:before="74"/>
        <w:rPr>
          <w:color w:val="auto"/>
          <w:highlight w:val="none"/>
        </w:rPr>
      </w:pPr>
    </w:p>
    <w:tbl>
      <w:tblPr>
        <w:tblStyle w:val="22"/>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171"/>
        <w:gridCol w:w="1547"/>
        <w:gridCol w:w="1720"/>
        <w:gridCol w:w="1671"/>
        <w:gridCol w:w="1254"/>
      </w:tblGrid>
      <w:tr w14:paraId="1B08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25" w:type="dxa"/>
            <w:vAlign w:val="top"/>
          </w:tcPr>
          <w:p w14:paraId="26020997">
            <w:pPr>
              <w:pStyle w:val="23"/>
              <w:spacing w:before="172" w:line="229" w:lineRule="auto"/>
              <w:ind w:left="258"/>
              <w:rPr>
                <w:color w:val="auto"/>
                <w:highlight w:val="none"/>
              </w:rPr>
            </w:pPr>
            <w:r>
              <w:rPr>
                <w:color w:val="auto"/>
                <w:spacing w:val="5"/>
                <w:highlight w:val="none"/>
              </w:rPr>
              <w:t>序号</w:t>
            </w:r>
          </w:p>
        </w:tc>
        <w:tc>
          <w:tcPr>
            <w:tcW w:w="2171" w:type="dxa"/>
            <w:vAlign w:val="top"/>
          </w:tcPr>
          <w:p w14:paraId="1398D6ED">
            <w:pPr>
              <w:pStyle w:val="23"/>
              <w:spacing w:before="172" w:line="228" w:lineRule="auto"/>
              <w:ind w:left="565"/>
              <w:rPr>
                <w:color w:val="auto"/>
                <w:highlight w:val="none"/>
              </w:rPr>
            </w:pPr>
            <w:r>
              <w:rPr>
                <w:color w:val="auto"/>
                <w:spacing w:val="7"/>
                <w:highlight w:val="none"/>
              </w:rPr>
              <w:t>招标人名称</w:t>
            </w:r>
          </w:p>
        </w:tc>
        <w:tc>
          <w:tcPr>
            <w:tcW w:w="1547" w:type="dxa"/>
            <w:vAlign w:val="top"/>
          </w:tcPr>
          <w:p w14:paraId="7B2B0841">
            <w:pPr>
              <w:pStyle w:val="23"/>
              <w:spacing w:before="34" w:line="235" w:lineRule="auto"/>
              <w:ind w:left="570" w:right="162" w:hanging="421"/>
              <w:rPr>
                <w:color w:val="auto"/>
                <w:highlight w:val="none"/>
              </w:rPr>
            </w:pPr>
            <w:r>
              <w:rPr>
                <w:color w:val="auto"/>
                <w:spacing w:val="5"/>
                <w:highlight w:val="none"/>
              </w:rPr>
              <w:t>标段（标类）</w:t>
            </w:r>
            <w:r>
              <w:rPr>
                <w:color w:val="auto"/>
                <w:spacing w:val="3"/>
                <w:highlight w:val="none"/>
              </w:rPr>
              <w:t>名称</w:t>
            </w:r>
          </w:p>
        </w:tc>
        <w:tc>
          <w:tcPr>
            <w:tcW w:w="1720" w:type="dxa"/>
            <w:vAlign w:val="top"/>
          </w:tcPr>
          <w:p w14:paraId="3E608B06">
            <w:pPr>
              <w:pStyle w:val="23"/>
              <w:spacing w:before="34" w:line="235" w:lineRule="auto"/>
              <w:ind w:left="350" w:right="229" w:hanging="114"/>
              <w:rPr>
                <w:color w:val="auto"/>
                <w:highlight w:val="none"/>
              </w:rPr>
            </w:pPr>
            <w:r>
              <w:rPr>
                <w:color w:val="auto"/>
                <w:spacing w:val="8"/>
                <w:highlight w:val="none"/>
              </w:rPr>
              <w:t>递交文件时间</w:t>
            </w:r>
            <w:r>
              <w:rPr>
                <w:color w:val="auto"/>
                <w:spacing w:val="3"/>
                <w:highlight w:val="none"/>
              </w:rPr>
              <w:t>（年月日）</w:t>
            </w:r>
          </w:p>
        </w:tc>
        <w:tc>
          <w:tcPr>
            <w:tcW w:w="1671" w:type="dxa"/>
            <w:vAlign w:val="top"/>
          </w:tcPr>
          <w:p w14:paraId="2DD8437D">
            <w:pPr>
              <w:pStyle w:val="23"/>
              <w:spacing w:before="35" w:line="228" w:lineRule="auto"/>
              <w:ind w:left="213"/>
              <w:rPr>
                <w:color w:val="auto"/>
                <w:highlight w:val="none"/>
              </w:rPr>
            </w:pPr>
            <w:r>
              <w:rPr>
                <w:color w:val="auto"/>
                <w:spacing w:val="8"/>
                <w:highlight w:val="none"/>
              </w:rPr>
              <w:t>使用信用等级</w:t>
            </w:r>
          </w:p>
          <w:p w14:paraId="3460C816">
            <w:pPr>
              <w:pStyle w:val="23"/>
              <w:spacing w:before="26" w:line="217" w:lineRule="auto"/>
              <w:ind w:left="434"/>
              <w:rPr>
                <w:color w:val="auto"/>
                <w:highlight w:val="none"/>
              </w:rPr>
            </w:pPr>
            <w:r>
              <w:rPr>
                <w:color w:val="auto"/>
                <w:spacing w:val="2"/>
                <w:highlight w:val="none"/>
              </w:rPr>
              <w:t>（</w:t>
            </w:r>
            <w:r>
              <w:rPr>
                <w:color w:val="auto"/>
                <w:highlight w:val="none"/>
              </w:rPr>
              <w:t>AA</w:t>
            </w:r>
            <w:r>
              <w:rPr>
                <w:color w:val="auto"/>
                <w:spacing w:val="2"/>
                <w:highlight w:val="none"/>
              </w:rPr>
              <w:t>/A）</w:t>
            </w:r>
          </w:p>
        </w:tc>
        <w:tc>
          <w:tcPr>
            <w:tcW w:w="1254" w:type="dxa"/>
            <w:vAlign w:val="top"/>
          </w:tcPr>
          <w:p w14:paraId="2EC8FE61">
            <w:pPr>
              <w:pStyle w:val="23"/>
              <w:spacing w:before="172" w:line="229" w:lineRule="auto"/>
              <w:ind w:left="425"/>
              <w:rPr>
                <w:color w:val="auto"/>
                <w:highlight w:val="none"/>
              </w:rPr>
            </w:pPr>
            <w:r>
              <w:rPr>
                <w:color w:val="auto"/>
                <w:spacing w:val="3"/>
                <w:highlight w:val="none"/>
              </w:rPr>
              <w:t>备注</w:t>
            </w:r>
          </w:p>
        </w:tc>
      </w:tr>
      <w:tr w14:paraId="10DD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0B75C74E">
            <w:pPr>
              <w:pStyle w:val="23"/>
              <w:spacing w:before="31" w:line="270" w:lineRule="exact"/>
              <w:ind w:left="430"/>
              <w:rPr>
                <w:color w:val="auto"/>
                <w:highlight w:val="none"/>
              </w:rPr>
            </w:pPr>
            <w:r>
              <w:rPr>
                <w:color w:val="auto"/>
                <w:position w:val="1"/>
                <w:highlight w:val="none"/>
              </w:rPr>
              <w:t>1</w:t>
            </w:r>
          </w:p>
        </w:tc>
        <w:tc>
          <w:tcPr>
            <w:tcW w:w="2171" w:type="dxa"/>
            <w:vAlign w:val="top"/>
          </w:tcPr>
          <w:p w14:paraId="34EBFC02">
            <w:pPr>
              <w:rPr>
                <w:rFonts w:ascii="Arial"/>
                <w:color w:val="auto"/>
                <w:sz w:val="21"/>
                <w:highlight w:val="none"/>
              </w:rPr>
            </w:pPr>
          </w:p>
        </w:tc>
        <w:tc>
          <w:tcPr>
            <w:tcW w:w="1547" w:type="dxa"/>
            <w:vAlign w:val="top"/>
          </w:tcPr>
          <w:p w14:paraId="6B911F24">
            <w:pPr>
              <w:rPr>
                <w:rFonts w:ascii="Arial"/>
                <w:color w:val="auto"/>
                <w:sz w:val="21"/>
                <w:highlight w:val="none"/>
              </w:rPr>
            </w:pPr>
          </w:p>
        </w:tc>
        <w:tc>
          <w:tcPr>
            <w:tcW w:w="1720" w:type="dxa"/>
            <w:vAlign w:val="top"/>
          </w:tcPr>
          <w:p w14:paraId="2D30FA19">
            <w:pPr>
              <w:rPr>
                <w:rFonts w:ascii="Arial"/>
                <w:color w:val="auto"/>
                <w:sz w:val="21"/>
                <w:highlight w:val="none"/>
              </w:rPr>
            </w:pPr>
          </w:p>
        </w:tc>
        <w:tc>
          <w:tcPr>
            <w:tcW w:w="1671" w:type="dxa"/>
            <w:vAlign w:val="top"/>
          </w:tcPr>
          <w:p w14:paraId="0603EF76">
            <w:pPr>
              <w:rPr>
                <w:rFonts w:ascii="Arial"/>
                <w:color w:val="auto"/>
                <w:sz w:val="21"/>
                <w:highlight w:val="none"/>
              </w:rPr>
            </w:pPr>
          </w:p>
        </w:tc>
        <w:tc>
          <w:tcPr>
            <w:tcW w:w="1254" w:type="dxa"/>
            <w:vAlign w:val="top"/>
          </w:tcPr>
          <w:p w14:paraId="1165D7EC">
            <w:pPr>
              <w:rPr>
                <w:rFonts w:ascii="Arial"/>
                <w:color w:val="auto"/>
                <w:sz w:val="21"/>
                <w:highlight w:val="none"/>
              </w:rPr>
            </w:pPr>
          </w:p>
        </w:tc>
      </w:tr>
      <w:tr w14:paraId="3B49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6DBCE22E">
            <w:pPr>
              <w:pStyle w:val="23"/>
              <w:spacing w:before="32" w:line="270" w:lineRule="exact"/>
              <w:ind w:left="417"/>
              <w:rPr>
                <w:color w:val="auto"/>
                <w:highlight w:val="none"/>
              </w:rPr>
            </w:pPr>
            <w:r>
              <w:rPr>
                <w:color w:val="auto"/>
                <w:position w:val="1"/>
                <w:highlight w:val="none"/>
              </w:rPr>
              <w:t>2</w:t>
            </w:r>
          </w:p>
        </w:tc>
        <w:tc>
          <w:tcPr>
            <w:tcW w:w="2171" w:type="dxa"/>
            <w:vAlign w:val="top"/>
          </w:tcPr>
          <w:p w14:paraId="227EE758">
            <w:pPr>
              <w:rPr>
                <w:rFonts w:ascii="Arial"/>
                <w:color w:val="auto"/>
                <w:sz w:val="21"/>
                <w:highlight w:val="none"/>
              </w:rPr>
            </w:pPr>
          </w:p>
        </w:tc>
        <w:tc>
          <w:tcPr>
            <w:tcW w:w="1547" w:type="dxa"/>
            <w:vAlign w:val="top"/>
          </w:tcPr>
          <w:p w14:paraId="16335707">
            <w:pPr>
              <w:rPr>
                <w:rFonts w:ascii="Arial"/>
                <w:color w:val="auto"/>
                <w:sz w:val="21"/>
                <w:highlight w:val="none"/>
              </w:rPr>
            </w:pPr>
          </w:p>
        </w:tc>
        <w:tc>
          <w:tcPr>
            <w:tcW w:w="1720" w:type="dxa"/>
            <w:vAlign w:val="top"/>
          </w:tcPr>
          <w:p w14:paraId="29B2E8F6">
            <w:pPr>
              <w:rPr>
                <w:rFonts w:ascii="Arial"/>
                <w:color w:val="auto"/>
                <w:sz w:val="21"/>
                <w:highlight w:val="none"/>
              </w:rPr>
            </w:pPr>
          </w:p>
        </w:tc>
        <w:tc>
          <w:tcPr>
            <w:tcW w:w="1671" w:type="dxa"/>
            <w:vAlign w:val="top"/>
          </w:tcPr>
          <w:p w14:paraId="69815B8C">
            <w:pPr>
              <w:rPr>
                <w:rFonts w:ascii="Arial"/>
                <w:color w:val="auto"/>
                <w:sz w:val="21"/>
                <w:highlight w:val="none"/>
              </w:rPr>
            </w:pPr>
          </w:p>
        </w:tc>
        <w:tc>
          <w:tcPr>
            <w:tcW w:w="1254" w:type="dxa"/>
            <w:vAlign w:val="top"/>
          </w:tcPr>
          <w:p w14:paraId="261FD48C">
            <w:pPr>
              <w:rPr>
                <w:rFonts w:ascii="Arial"/>
                <w:color w:val="auto"/>
                <w:sz w:val="21"/>
                <w:highlight w:val="none"/>
              </w:rPr>
            </w:pPr>
          </w:p>
        </w:tc>
      </w:tr>
      <w:tr w14:paraId="4BF62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7103700A">
            <w:pPr>
              <w:pStyle w:val="23"/>
              <w:spacing w:before="32" w:line="268" w:lineRule="exact"/>
              <w:ind w:left="419"/>
              <w:rPr>
                <w:color w:val="auto"/>
                <w:highlight w:val="none"/>
              </w:rPr>
            </w:pPr>
            <w:r>
              <w:rPr>
                <w:color w:val="auto"/>
                <w:position w:val="1"/>
                <w:highlight w:val="none"/>
              </w:rPr>
              <w:t>3</w:t>
            </w:r>
          </w:p>
        </w:tc>
        <w:tc>
          <w:tcPr>
            <w:tcW w:w="2171" w:type="dxa"/>
            <w:vAlign w:val="top"/>
          </w:tcPr>
          <w:p w14:paraId="5B165453">
            <w:pPr>
              <w:rPr>
                <w:rFonts w:ascii="Arial"/>
                <w:color w:val="auto"/>
                <w:sz w:val="21"/>
                <w:highlight w:val="none"/>
              </w:rPr>
            </w:pPr>
          </w:p>
        </w:tc>
        <w:tc>
          <w:tcPr>
            <w:tcW w:w="1547" w:type="dxa"/>
            <w:vAlign w:val="top"/>
          </w:tcPr>
          <w:p w14:paraId="0F46F0DB">
            <w:pPr>
              <w:rPr>
                <w:rFonts w:ascii="Arial"/>
                <w:color w:val="auto"/>
                <w:sz w:val="21"/>
                <w:highlight w:val="none"/>
              </w:rPr>
            </w:pPr>
          </w:p>
        </w:tc>
        <w:tc>
          <w:tcPr>
            <w:tcW w:w="1720" w:type="dxa"/>
            <w:vAlign w:val="top"/>
          </w:tcPr>
          <w:p w14:paraId="68C4B220">
            <w:pPr>
              <w:rPr>
                <w:rFonts w:ascii="Arial"/>
                <w:color w:val="auto"/>
                <w:sz w:val="21"/>
                <w:highlight w:val="none"/>
              </w:rPr>
            </w:pPr>
          </w:p>
        </w:tc>
        <w:tc>
          <w:tcPr>
            <w:tcW w:w="1671" w:type="dxa"/>
            <w:vAlign w:val="top"/>
          </w:tcPr>
          <w:p w14:paraId="3ADE8F95">
            <w:pPr>
              <w:rPr>
                <w:rFonts w:ascii="Arial"/>
                <w:color w:val="auto"/>
                <w:sz w:val="21"/>
                <w:highlight w:val="none"/>
              </w:rPr>
            </w:pPr>
          </w:p>
        </w:tc>
        <w:tc>
          <w:tcPr>
            <w:tcW w:w="1254" w:type="dxa"/>
            <w:vAlign w:val="top"/>
          </w:tcPr>
          <w:p w14:paraId="117DA8BC">
            <w:pPr>
              <w:rPr>
                <w:rFonts w:ascii="Arial"/>
                <w:color w:val="auto"/>
                <w:sz w:val="21"/>
                <w:highlight w:val="none"/>
              </w:rPr>
            </w:pPr>
          </w:p>
        </w:tc>
      </w:tr>
      <w:tr w14:paraId="5DA4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137F5E43">
            <w:pPr>
              <w:pStyle w:val="23"/>
              <w:spacing w:before="34" w:line="270" w:lineRule="exact"/>
              <w:ind w:left="414"/>
              <w:rPr>
                <w:color w:val="auto"/>
                <w:highlight w:val="none"/>
              </w:rPr>
            </w:pPr>
            <w:r>
              <w:rPr>
                <w:color w:val="auto"/>
                <w:position w:val="1"/>
                <w:highlight w:val="none"/>
              </w:rPr>
              <w:t>4</w:t>
            </w:r>
          </w:p>
        </w:tc>
        <w:tc>
          <w:tcPr>
            <w:tcW w:w="2171" w:type="dxa"/>
            <w:vAlign w:val="top"/>
          </w:tcPr>
          <w:p w14:paraId="6A2735FA">
            <w:pPr>
              <w:rPr>
                <w:rFonts w:ascii="Arial"/>
                <w:color w:val="auto"/>
                <w:sz w:val="21"/>
                <w:highlight w:val="none"/>
              </w:rPr>
            </w:pPr>
          </w:p>
        </w:tc>
        <w:tc>
          <w:tcPr>
            <w:tcW w:w="1547" w:type="dxa"/>
            <w:vAlign w:val="top"/>
          </w:tcPr>
          <w:p w14:paraId="66249A3C">
            <w:pPr>
              <w:rPr>
                <w:rFonts w:ascii="Arial"/>
                <w:color w:val="auto"/>
                <w:sz w:val="21"/>
                <w:highlight w:val="none"/>
              </w:rPr>
            </w:pPr>
          </w:p>
        </w:tc>
        <w:tc>
          <w:tcPr>
            <w:tcW w:w="1720" w:type="dxa"/>
            <w:vAlign w:val="top"/>
          </w:tcPr>
          <w:p w14:paraId="3236336D">
            <w:pPr>
              <w:rPr>
                <w:rFonts w:ascii="Arial"/>
                <w:color w:val="auto"/>
                <w:sz w:val="21"/>
                <w:highlight w:val="none"/>
              </w:rPr>
            </w:pPr>
          </w:p>
        </w:tc>
        <w:tc>
          <w:tcPr>
            <w:tcW w:w="1671" w:type="dxa"/>
            <w:vAlign w:val="top"/>
          </w:tcPr>
          <w:p w14:paraId="47279469">
            <w:pPr>
              <w:rPr>
                <w:rFonts w:ascii="Arial"/>
                <w:color w:val="auto"/>
                <w:sz w:val="21"/>
                <w:highlight w:val="none"/>
              </w:rPr>
            </w:pPr>
          </w:p>
        </w:tc>
        <w:tc>
          <w:tcPr>
            <w:tcW w:w="1254" w:type="dxa"/>
            <w:vAlign w:val="top"/>
          </w:tcPr>
          <w:p w14:paraId="6B59FECA">
            <w:pPr>
              <w:rPr>
                <w:rFonts w:ascii="Arial"/>
                <w:color w:val="auto"/>
                <w:sz w:val="21"/>
                <w:highlight w:val="none"/>
              </w:rPr>
            </w:pPr>
          </w:p>
        </w:tc>
      </w:tr>
      <w:tr w14:paraId="5520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3E50A093">
            <w:pPr>
              <w:pStyle w:val="23"/>
              <w:spacing w:before="33" w:line="269" w:lineRule="exact"/>
              <w:ind w:left="419"/>
              <w:rPr>
                <w:color w:val="auto"/>
                <w:highlight w:val="none"/>
              </w:rPr>
            </w:pPr>
            <w:r>
              <w:rPr>
                <w:color w:val="auto"/>
                <w:position w:val="1"/>
                <w:highlight w:val="none"/>
              </w:rPr>
              <w:t>5</w:t>
            </w:r>
          </w:p>
        </w:tc>
        <w:tc>
          <w:tcPr>
            <w:tcW w:w="2171" w:type="dxa"/>
            <w:vAlign w:val="top"/>
          </w:tcPr>
          <w:p w14:paraId="06CFFA4C">
            <w:pPr>
              <w:rPr>
                <w:rFonts w:ascii="Arial"/>
                <w:color w:val="auto"/>
                <w:sz w:val="21"/>
                <w:highlight w:val="none"/>
              </w:rPr>
            </w:pPr>
          </w:p>
        </w:tc>
        <w:tc>
          <w:tcPr>
            <w:tcW w:w="1547" w:type="dxa"/>
            <w:vAlign w:val="top"/>
          </w:tcPr>
          <w:p w14:paraId="605C3FBD">
            <w:pPr>
              <w:rPr>
                <w:rFonts w:ascii="Arial"/>
                <w:color w:val="auto"/>
                <w:sz w:val="21"/>
                <w:highlight w:val="none"/>
              </w:rPr>
            </w:pPr>
          </w:p>
        </w:tc>
        <w:tc>
          <w:tcPr>
            <w:tcW w:w="1720" w:type="dxa"/>
            <w:vAlign w:val="top"/>
          </w:tcPr>
          <w:p w14:paraId="04BBE887">
            <w:pPr>
              <w:rPr>
                <w:rFonts w:ascii="Arial"/>
                <w:color w:val="auto"/>
                <w:sz w:val="21"/>
                <w:highlight w:val="none"/>
              </w:rPr>
            </w:pPr>
          </w:p>
        </w:tc>
        <w:tc>
          <w:tcPr>
            <w:tcW w:w="1671" w:type="dxa"/>
            <w:vAlign w:val="top"/>
          </w:tcPr>
          <w:p w14:paraId="15A51516">
            <w:pPr>
              <w:rPr>
                <w:rFonts w:ascii="Arial"/>
                <w:color w:val="auto"/>
                <w:sz w:val="21"/>
                <w:highlight w:val="none"/>
              </w:rPr>
            </w:pPr>
          </w:p>
        </w:tc>
        <w:tc>
          <w:tcPr>
            <w:tcW w:w="1254" w:type="dxa"/>
            <w:vAlign w:val="top"/>
          </w:tcPr>
          <w:p w14:paraId="3D8763E9">
            <w:pPr>
              <w:rPr>
                <w:rFonts w:ascii="Arial"/>
                <w:color w:val="auto"/>
                <w:sz w:val="21"/>
                <w:highlight w:val="none"/>
              </w:rPr>
            </w:pPr>
          </w:p>
        </w:tc>
      </w:tr>
      <w:tr w14:paraId="2A6F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6BB7CE37">
            <w:pPr>
              <w:pStyle w:val="23"/>
              <w:spacing w:before="35" w:line="268" w:lineRule="exact"/>
              <w:ind w:left="416"/>
              <w:rPr>
                <w:color w:val="auto"/>
                <w:highlight w:val="none"/>
              </w:rPr>
            </w:pPr>
            <w:r>
              <w:rPr>
                <w:color w:val="auto"/>
                <w:position w:val="1"/>
                <w:highlight w:val="none"/>
              </w:rPr>
              <w:t>6</w:t>
            </w:r>
          </w:p>
        </w:tc>
        <w:tc>
          <w:tcPr>
            <w:tcW w:w="2171" w:type="dxa"/>
            <w:vAlign w:val="top"/>
          </w:tcPr>
          <w:p w14:paraId="1924E7F6">
            <w:pPr>
              <w:rPr>
                <w:rFonts w:ascii="Arial"/>
                <w:color w:val="auto"/>
                <w:sz w:val="21"/>
                <w:highlight w:val="none"/>
              </w:rPr>
            </w:pPr>
          </w:p>
        </w:tc>
        <w:tc>
          <w:tcPr>
            <w:tcW w:w="1547" w:type="dxa"/>
            <w:vAlign w:val="top"/>
          </w:tcPr>
          <w:p w14:paraId="39F35979">
            <w:pPr>
              <w:rPr>
                <w:rFonts w:ascii="Arial"/>
                <w:color w:val="auto"/>
                <w:sz w:val="21"/>
                <w:highlight w:val="none"/>
              </w:rPr>
            </w:pPr>
          </w:p>
        </w:tc>
        <w:tc>
          <w:tcPr>
            <w:tcW w:w="1720" w:type="dxa"/>
            <w:vAlign w:val="top"/>
          </w:tcPr>
          <w:p w14:paraId="5DCD0503">
            <w:pPr>
              <w:rPr>
                <w:rFonts w:ascii="Arial"/>
                <w:color w:val="auto"/>
                <w:sz w:val="21"/>
                <w:highlight w:val="none"/>
              </w:rPr>
            </w:pPr>
          </w:p>
        </w:tc>
        <w:tc>
          <w:tcPr>
            <w:tcW w:w="1671" w:type="dxa"/>
            <w:vAlign w:val="top"/>
          </w:tcPr>
          <w:p w14:paraId="787E3472">
            <w:pPr>
              <w:rPr>
                <w:rFonts w:ascii="Arial"/>
                <w:color w:val="auto"/>
                <w:sz w:val="21"/>
                <w:highlight w:val="none"/>
              </w:rPr>
            </w:pPr>
          </w:p>
        </w:tc>
        <w:tc>
          <w:tcPr>
            <w:tcW w:w="1254" w:type="dxa"/>
            <w:vAlign w:val="top"/>
          </w:tcPr>
          <w:p w14:paraId="08D657E5">
            <w:pPr>
              <w:rPr>
                <w:rFonts w:ascii="Arial"/>
                <w:color w:val="auto"/>
                <w:sz w:val="21"/>
                <w:highlight w:val="none"/>
              </w:rPr>
            </w:pPr>
          </w:p>
        </w:tc>
      </w:tr>
      <w:tr w14:paraId="3CAD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6DBFED11">
            <w:pPr>
              <w:pStyle w:val="23"/>
              <w:spacing w:before="34" w:line="268" w:lineRule="exact"/>
              <w:ind w:left="419"/>
              <w:rPr>
                <w:color w:val="auto"/>
                <w:highlight w:val="none"/>
              </w:rPr>
            </w:pPr>
            <w:r>
              <w:rPr>
                <w:color w:val="auto"/>
                <w:position w:val="1"/>
                <w:highlight w:val="none"/>
              </w:rPr>
              <w:t>7</w:t>
            </w:r>
          </w:p>
        </w:tc>
        <w:tc>
          <w:tcPr>
            <w:tcW w:w="2171" w:type="dxa"/>
            <w:vAlign w:val="top"/>
          </w:tcPr>
          <w:p w14:paraId="3E161F2A">
            <w:pPr>
              <w:rPr>
                <w:rFonts w:ascii="Arial"/>
                <w:color w:val="auto"/>
                <w:sz w:val="21"/>
                <w:highlight w:val="none"/>
              </w:rPr>
            </w:pPr>
          </w:p>
        </w:tc>
        <w:tc>
          <w:tcPr>
            <w:tcW w:w="1547" w:type="dxa"/>
            <w:vAlign w:val="top"/>
          </w:tcPr>
          <w:p w14:paraId="6BAED4D0">
            <w:pPr>
              <w:rPr>
                <w:rFonts w:ascii="Arial"/>
                <w:color w:val="auto"/>
                <w:sz w:val="21"/>
                <w:highlight w:val="none"/>
              </w:rPr>
            </w:pPr>
          </w:p>
        </w:tc>
        <w:tc>
          <w:tcPr>
            <w:tcW w:w="1720" w:type="dxa"/>
            <w:vAlign w:val="top"/>
          </w:tcPr>
          <w:p w14:paraId="1F444636">
            <w:pPr>
              <w:rPr>
                <w:rFonts w:ascii="Arial"/>
                <w:color w:val="auto"/>
                <w:sz w:val="21"/>
                <w:highlight w:val="none"/>
              </w:rPr>
            </w:pPr>
          </w:p>
        </w:tc>
        <w:tc>
          <w:tcPr>
            <w:tcW w:w="1671" w:type="dxa"/>
            <w:vAlign w:val="top"/>
          </w:tcPr>
          <w:p w14:paraId="35DECAA2">
            <w:pPr>
              <w:rPr>
                <w:rFonts w:ascii="Arial"/>
                <w:color w:val="auto"/>
                <w:sz w:val="21"/>
                <w:highlight w:val="none"/>
              </w:rPr>
            </w:pPr>
          </w:p>
        </w:tc>
        <w:tc>
          <w:tcPr>
            <w:tcW w:w="1254" w:type="dxa"/>
            <w:vAlign w:val="top"/>
          </w:tcPr>
          <w:p w14:paraId="545F2C1B">
            <w:pPr>
              <w:rPr>
                <w:rFonts w:ascii="Arial"/>
                <w:color w:val="auto"/>
                <w:sz w:val="21"/>
                <w:highlight w:val="none"/>
              </w:rPr>
            </w:pPr>
          </w:p>
        </w:tc>
      </w:tr>
      <w:tr w14:paraId="1D70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2272DE87">
            <w:pPr>
              <w:pStyle w:val="23"/>
              <w:spacing w:before="34" w:line="268" w:lineRule="exact"/>
              <w:ind w:left="415"/>
              <w:rPr>
                <w:color w:val="auto"/>
                <w:highlight w:val="none"/>
              </w:rPr>
            </w:pPr>
            <w:r>
              <w:rPr>
                <w:color w:val="auto"/>
                <w:position w:val="1"/>
                <w:highlight w:val="none"/>
              </w:rPr>
              <w:t>8</w:t>
            </w:r>
          </w:p>
        </w:tc>
        <w:tc>
          <w:tcPr>
            <w:tcW w:w="2171" w:type="dxa"/>
            <w:vAlign w:val="top"/>
          </w:tcPr>
          <w:p w14:paraId="1D2A4BBE">
            <w:pPr>
              <w:rPr>
                <w:rFonts w:ascii="Arial"/>
                <w:color w:val="auto"/>
                <w:sz w:val="21"/>
                <w:highlight w:val="none"/>
              </w:rPr>
            </w:pPr>
          </w:p>
        </w:tc>
        <w:tc>
          <w:tcPr>
            <w:tcW w:w="1547" w:type="dxa"/>
            <w:vAlign w:val="top"/>
          </w:tcPr>
          <w:p w14:paraId="0D3E2AB1">
            <w:pPr>
              <w:rPr>
                <w:rFonts w:ascii="Arial"/>
                <w:color w:val="auto"/>
                <w:sz w:val="21"/>
                <w:highlight w:val="none"/>
              </w:rPr>
            </w:pPr>
          </w:p>
        </w:tc>
        <w:tc>
          <w:tcPr>
            <w:tcW w:w="1720" w:type="dxa"/>
            <w:vAlign w:val="top"/>
          </w:tcPr>
          <w:p w14:paraId="74181966">
            <w:pPr>
              <w:rPr>
                <w:rFonts w:ascii="Arial"/>
                <w:color w:val="auto"/>
                <w:sz w:val="21"/>
                <w:highlight w:val="none"/>
              </w:rPr>
            </w:pPr>
          </w:p>
        </w:tc>
        <w:tc>
          <w:tcPr>
            <w:tcW w:w="1671" w:type="dxa"/>
            <w:vAlign w:val="top"/>
          </w:tcPr>
          <w:p w14:paraId="69480806">
            <w:pPr>
              <w:rPr>
                <w:rFonts w:ascii="Arial"/>
                <w:color w:val="auto"/>
                <w:sz w:val="21"/>
                <w:highlight w:val="none"/>
              </w:rPr>
            </w:pPr>
          </w:p>
        </w:tc>
        <w:tc>
          <w:tcPr>
            <w:tcW w:w="1254" w:type="dxa"/>
            <w:vAlign w:val="top"/>
          </w:tcPr>
          <w:p w14:paraId="1C3B0A5C">
            <w:pPr>
              <w:rPr>
                <w:rFonts w:ascii="Arial"/>
                <w:color w:val="auto"/>
                <w:sz w:val="21"/>
                <w:highlight w:val="none"/>
              </w:rPr>
            </w:pPr>
          </w:p>
        </w:tc>
      </w:tr>
      <w:tr w14:paraId="388C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25" w:type="dxa"/>
            <w:vAlign w:val="top"/>
          </w:tcPr>
          <w:p w14:paraId="30E7EB40">
            <w:pPr>
              <w:pStyle w:val="23"/>
              <w:spacing w:before="189" w:line="84" w:lineRule="exact"/>
              <w:ind w:left="317"/>
              <w:rPr>
                <w:color w:val="auto"/>
                <w:highlight w:val="none"/>
              </w:rPr>
            </w:pPr>
            <w:r>
              <w:rPr>
                <w:color w:val="auto"/>
                <w:spacing w:val="3"/>
                <w:position w:val="1"/>
                <w:highlight w:val="none"/>
              </w:rPr>
              <w:t>...</w:t>
            </w:r>
          </w:p>
        </w:tc>
        <w:tc>
          <w:tcPr>
            <w:tcW w:w="2171" w:type="dxa"/>
            <w:vAlign w:val="top"/>
          </w:tcPr>
          <w:p w14:paraId="59EB3866">
            <w:pPr>
              <w:rPr>
                <w:rFonts w:ascii="Arial"/>
                <w:color w:val="auto"/>
                <w:sz w:val="21"/>
                <w:highlight w:val="none"/>
              </w:rPr>
            </w:pPr>
          </w:p>
        </w:tc>
        <w:tc>
          <w:tcPr>
            <w:tcW w:w="1547" w:type="dxa"/>
            <w:vAlign w:val="top"/>
          </w:tcPr>
          <w:p w14:paraId="19E23E1B">
            <w:pPr>
              <w:rPr>
                <w:rFonts w:ascii="Arial"/>
                <w:color w:val="auto"/>
                <w:sz w:val="21"/>
                <w:highlight w:val="none"/>
              </w:rPr>
            </w:pPr>
          </w:p>
        </w:tc>
        <w:tc>
          <w:tcPr>
            <w:tcW w:w="1720" w:type="dxa"/>
            <w:vAlign w:val="top"/>
          </w:tcPr>
          <w:p w14:paraId="2772950C">
            <w:pPr>
              <w:rPr>
                <w:rFonts w:ascii="Arial"/>
                <w:color w:val="auto"/>
                <w:sz w:val="21"/>
                <w:highlight w:val="none"/>
              </w:rPr>
            </w:pPr>
          </w:p>
        </w:tc>
        <w:tc>
          <w:tcPr>
            <w:tcW w:w="1671" w:type="dxa"/>
            <w:vAlign w:val="top"/>
          </w:tcPr>
          <w:p w14:paraId="279E72DB">
            <w:pPr>
              <w:rPr>
                <w:rFonts w:ascii="Arial"/>
                <w:color w:val="auto"/>
                <w:sz w:val="21"/>
                <w:highlight w:val="none"/>
              </w:rPr>
            </w:pPr>
          </w:p>
        </w:tc>
        <w:tc>
          <w:tcPr>
            <w:tcW w:w="1254" w:type="dxa"/>
            <w:vAlign w:val="top"/>
          </w:tcPr>
          <w:p w14:paraId="7139F902">
            <w:pPr>
              <w:rPr>
                <w:rFonts w:ascii="Arial"/>
                <w:color w:val="auto"/>
                <w:sz w:val="21"/>
                <w:highlight w:val="none"/>
              </w:rPr>
            </w:pPr>
          </w:p>
        </w:tc>
      </w:tr>
    </w:tbl>
    <w:p w14:paraId="3B154658">
      <w:pPr>
        <w:spacing w:before="30" w:line="226" w:lineRule="auto"/>
        <w:ind w:left="1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备注：1、应如实填报信用评价等级使用情况。</w:t>
      </w:r>
    </w:p>
    <w:p w14:paraId="27C99E25">
      <w:pPr>
        <w:spacing w:before="165" w:line="228" w:lineRule="auto"/>
        <w:ind w:left="75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2、以联合体形式投标的，联合体各成员应</w:t>
      </w:r>
      <w:r>
        <w:rPr>
          <w:rFonts w:ascii="宋体" w:hAnsi="宋体" w:eastAsia="宋体" w:cs="宋体"/>
          <w:color w:val="auto"/>
          <w:spacing w:val="8"/>
          <w:sz w:val="20"/>
          <w:szCs w:val="20"/>
          <w:highlight w:val="none"/>
        </w:rPr>
        <w:t>分别填写。</w:t>
      </w:r>
    </w:p>
    <w:p w14:paraId="000C76E7">
      <w:pPr>
        <w:spacing w:line="228" w:lineRule="auto"/>
        <w:rPr>
          <w:rFonts w:ascii="宋体" w:hAnsi="宋体" w:eastAsia="宋体" w:cs="宋体"/>
          <w:color w:val="auto"/>
          <w:sz w:val="20"/>
          <w:szCs w:val="20"/>
          <w:highlight w:val="none"/>
        </w:rPr>
        <w:sectPr>
          <w:footerReference r:id="rId56" w:type="default"/>
          <w:pgSz w:w="11906" w:h="16839"/>
          <w:pgMar w:top="1402" w:right="1308" w:bottom="1297" w:left="1304" w:header="0" w:footer="1065" w:gutter="0"/>
          <w:pgNumType w:fmt="decimal"/>
          <w:cols w:space="720" w:num="1"/>
        </w:sectPr>
      </w:pPr>
    </w:p>
    <w:p w14:paraId="360D30DD">
      <w:pPr>
        <w:spacing w:before="163" w:line="220" w:lineRule="auto"/>
        <w:ind w:left="3823"/>
        <w:outlineLvl w:val="1"/>
        <w:rPr>
          <w:rFonts w:ascii="宋体" w:hAnsi="宋体" w:eastAsia="宋体" w:cs="宋体"/>
          <w:color w:val="auto"/>
          <w:sz w:val="24"/>
          <w:szCs w:val="24"/>
          <w:highlight w:val="none"/>
        </w:rPr>
      </w:pPr>
      <w:bookmarkStart w:id="809" w:name="_Toc12003"/>
      <w:bookmarkStart w:id="810" w:name="_Toc29810"/>
      <w:bookmarkStart w:id="811" w:name="_Toc10748"/>
      <w:bookmarkStart w:id="812" w:name="_Toc18220"/>
      <w:bookmarkStart w:id="813" w:name="_Toc5688"/>
      <w:bookmarkStart w:id="814" w:name="_Toc12050"/>
      <w:bookmarkStart w:id="815" w:name="_Toc26927"/>
      <w:r>
        <w:rPr>
          <w:rFonts w:ascii="宋体" w:hAnsi="宋体" w:eastAsia="宋体" w:cs="宋体"/>
          <w:b/>
          <w:bCs/>
          <w:color w:val="auto"/>
          <w:spacing w:val="-4"/>
          <w:sz w:val="24"/>
          <w:szCs w:val="24"/>
          <w:highlight w:val="none"/>
        </w:rPr>
        <w:t>六、其他资料</w:t>
      </w:r>
      <w:bookmarkEnd w:id="809"/>
      <w:bookmarkEnd w:id="810"/>
      <w:bookmarkEnd w:id="811"/>
      <w:bookmarkEnd w:id="812"/>
      <w:bookmarkEnd w:id="813"/>
      <w:bookmarkEnd w:id="814"/>
      <w:bookmarkEnd w:id="815"/>
    </w:p>
    <w:p w14:paraId="6715DF4F">
      <w:pPr>
        <w:spacing w:line="250" w:lineRule="auto"/>
        <w:rPr>
          <w:rFonts w:ascii="Arial"/>
          <w:color w:val="auto"/>
          <w:sz w:val="21"/>
          <w:highlight w:val="none"/>
        </w:rPr>
      </w:pPr>
    </w:p>
    <w:p w14:paraId="0379914D">
      <w:pPr>
        <w:spacing w:line="251" w:lineRule="auto"/>
        <w:rPr>
          <w:rFonts w:ascii="Arial"/>
          <w:color w:val="auto"/>
          <w:sz w:val="21"/>
          <w:highlight w:val="none"/>
        </w:rPr>
      </w:pPr>
    </w:p>
    <w:p w14:paraId="2DEE241F">
      <w:pPr>
        <w:spacing w:before="78" w:line="290" w:lineRule="auto"/>
        <w:ind w:left="8" w:firstLine="5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（一）提供最新年度广东省公路工程从业单位信用评价等级（若有</w:t>
      </w:r>
      <w:r>
        <w:rPr>
          <w:rFonts w:ascii="宋体" w:hAnsi="宋体" w:eastAsia="宋体" w:cs="宋体"/>
          <w:color w:val="auto"/>
          <w:spacing w:val="7"/>
          <w:sz w:val="24"/>
          <w:szCs w:val="24"/>
          <w:highlight w:val="none"/>
        </w:rPr>
        <w:t>），</w:t>
      </w:r>
      <w:r>
        <w:rPr>
          <w:rFonts w:ascii="宋体" w:hAnsi="宋体" w:eastAsia="宋体" w:cs="宋体"/>
          <w:color w:val="auto"/>
          <w:spacing w:val="-2"/>
          <w:sz w:val="24"/>
          <w:szCs w:val="24"/>
          <w:highlight w:val="none"/>
        </w:rPr>
        <w:t>并标识单位所在位置；</w:t>
      </w:r>
    </w:p>
    <w:p w14:paraId="2DD1F445">
      <w:pPr>
        <w:spacing w:before="181" w:line="288" w:lineRule="auto"/>
        <w:ind w:left="9"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（二）初次进入且无广东省最新年度信用评价等级的，但在最新一年度的全国综合评价结果为</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级或</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D</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级的，提供最新一年度的全国综</w:t>
      </w:r>
      <w:r>
        <w:rPr>
          <w:rFonts w:ascii="宋体" w:hAnsi="宋体" w:eastAsia="宋体" w:cs="宋体"/>
          <w:color w:val="auto"/>
          <w:spacing w:val="-2"/>
          <w:sz w:val="24"/>
          <w:szCs w:val="24"/>
          <w:highlight w:val="none"/>
        </w:rPr>
        <w:t>合评价结果单位查询所在页；</w:t>
      </w:r>
    </w:p>
    <w:p w14:paraId="02157925">
      <w:pPr>
        <w:spacing w:before="182" w:line="289" w:lineRule="auto"/>
        <w:ind w:left="9"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（三）如上一年度有信用评价而最新年度在广东省无信用等级的需提供上一年度</w:t>
      </w:r>
      <w:r>
        <w:rPr>
          <w:rFonts w:ascii="宋体" w:hAnsi="宋体" w:eastAsia="宋体" w:cs="宋体"/>
          <w:color w:val="auto"/>
          <w:spacing w:val="-2"/>
          <w:sz w:val="24"/>
          <w:szCs w:val="24"/>
          <w:highlight w:val="none"/>
        </w:rPr>
        <w:t>有信用评价（若有</w:t>
      </w:r>
      <w:r>
        <w:rPr>
          <w:rFonts w:ascii="宋体" w:hAnsi="宋体" w:eastAsia="宋体" w:cs="宋体"/>
          <w:color w:val="auto"/>
          <w:spacing w:val="12"/>
          <w:sz w:val="24"/>
          <w:szCs w:val="24"/>
          <w:highlight w:val="none"/>
        </w:rPr>
        <w:t>），</w:t>
      </w:r>
      <w:r>
        <w:rPr>
          <w:rFonts w:ascii="宋体" w:hAnsi="宋体" w:eastAsia="宋体" w:cs="宋体"/>
          <w:color w:val="auto"/>
          <w:spacing w:val="-2"/>
          <w:sz w:val="24"/>
          <w:szCs w:val="24"/>
          <w:highlight w:val="none"/>
        </w:rPr>
        <w:t>并标识单位所在位置。</w:t>
      </w:r>
    </w:p>
    <w:p w14:paraId="6368A5B7">
      <w:pPr>
        <w:spacing w:before="185" w:line="310" w:lineRule="auto"/>
        <w:ind w:left="11" w:right="39" w:firstLine="53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（四）详细说明投标人因供应公路工程（含附属设施）施工监理原因导致质量、</w:t>
      </w:r>
      <w:r>
        <w:rPr>
          <w:rFonts w:ascii="宋体" w:hAnsi="宋体" w:eastAsia="宋体" w:cs="宋体"/>
          <w:color w:val="auto"/>
          <w:sz w:val="24"/>
          <w:szCs w:val="24"/>
          <w:highlight w:val="none"/>
        </w:rPr>
        <w:t>安全事故被交通运输部、广东省交通运输厅、</w:t>
      </w:r>
      <w:r>
        <w:rPr>
          <w:rFonts w:ascii="宋体" w:hAnsi="宋体" w:eastAsia="宋体" w:cs="宋体"/>
          <w:color w:val="auto"/>
          <w:sz w:val="24"/>
          <w:szCs w:val="24"/>
          <w:highlight w:val="none"/>
          <w:u w:val="single" w:color="auto"/>
        </w:rPr>
        <w:t>（项目</w:t>
      </w:r>
      <w:r>
        <w:rPr>
          <w:rFonts w:ascii="宋体" w:hAnsi="宋体" w:eastAsia="宋体" w:cs="宋体"/>
          <w:color w:val="auto"/>
          <w:spacing w:val="-1"/>
          <w:sz w:val="24"/>
          <w:szCs w:val="24"/>
          <w:highlight w:val="none"/>
          <w:u w:val="single" w:color="auto"/>
        </w:rPr>
        <w:t>涉及各地级以上市）市交通运输局行政处罚</w:t>
      </w:r>
      <w:r>
        <w:rPr>
          <w:rFonts w:ascii="宋体" w:hAnsi="宋体" w:eastAsia="宋体" w:cs="宋体"/>
          <w:color w:val="auto"/>
          <w:spacing w:val="-1"/>
          <w:sz w:val="24"/>
          <w:szCs w:val="24"/>
          <w:highlight w:val="none"/>
        </w:rPr>
        <w:t>且在处罚信息公示期内的情况，并附相关文件。</w:t>
      </w:r>
    </w:p>
    <w:p w14:paraId="3F0577E8">
      <w:pPr>
        <w:spacing w:before="189" w:line="219" w:lineRule="auto"/>
        <w:ind w:left="547"/>
        <w:rPr>
          <w:rFonts w:ascii="宋体" w:hAnsi="宋体" w:eastAsia="宋体" w:cs="宋体"/>
          <w:color w:val="auto"/>
          <w:sz w:val="24"/>
          <w:szCs w:val="24"/>
          <w:highlight w:val="none"/>
        </w:rPr>
      </w:pPr>
      <w:bookmarkStart w:id="816" w:name="bookmark161"/>
      <w:bookmarkEnd w:id="816"/>
      <w:r>
        <w:rPr>
          <w:rFonts w:ascii="宋体" w:hAnsi="宋体" w:eastAsia="宋体" w:cs="宋体"/>
          <w:color w:val="auto"/>
          <w:spacing w:val="-1"/>
          <w:sz w:val="24"/>
          <w:szCs w:val="24"/>
          <w:highlight w:val="none"/>
        </w:rPr>
        <w:t>（五）投标人认为需要的其他内容（如体现技术能力的相关证明材料）。</w:t>
      </w:r>
    </w:p>
    <w:p w14:paraId="5BF12409">
      <w:pPr>
        <w:spacing w:line="247" w:lineRule="auto"/>
        <w:rPr>
          <w:rFonts w:ascii="Arial"/>
          <w:color w:val="auto"/>
          <w:sz w:val="21"/>
          <w:highlight w:val="none"/>
        </w:rPr>
      </w:pPr>
    </w:p>
    <w:p w14:paraId="530490DD">
      <w:pPr>
        <w:spacing w:line="247" w:lineRule="auto"/>
        <w:rPr>
          <w:rFonts w:ascii="Arial"/>
          <w:color w:val="auto"/>
          <w:sz w:val="21"/>
          <w:highlight w:val="none"/>
        </w:rPr>
      </w:pPr>
    </w:p>
    <w:p w14:paraId="344DF233">
      <w:pPr>
        <w:spacing w:line="247" w:lineRule="auto"/>
        <w:rPr>
          <w:rFonts w:ascii="Arial"/>
          <w:color w:val="auto"/>
          <w:sz w:val="21"/>
          <w:highlight w:val="none"/>
        </w:rPr>
      </w:pPr>
    </w:p>
    <w:p w14:paraId="5C3D7243">
      <w:pPr>
        <w:spacing w:line="247" w:lineRule="auto"/>
        <w:rPr>
          <w:rFonts w:ascii="Arial"/>
          <w:color w:val="auto"/>
          <w:sz w:val="21"/>
          <w:highlight w:val="none"/>
        </w:rPr>
      </w:pPr>
    </w:p>
    <w:p w14:paraId="1ECBEAA5">
      <w:pPr>
        <w:spacing w:line="247" w:lineRule="auto"/>
        <w:rPr>
          <w:rFonts w:ascii="Arial"/>
          <w:color w:val="auto"/>
          <w:sz w:val="21"/>
          <w:highlight w:val="none"/>
        </w:rPr>
      </w:pPr>
    </w:p>
    <w:p w14:paraId="360FFEA2">
      <w:pPr>
        <w:spacing w:line="247" w:lineRule="auto"/>
        <w:rPr>
          <w:rFonts w:ascii="Arial"/>
          <w:color w:val="auto"/>
          <w:sz w:val="21"/>
          <w:highlight w:val="none"/>
        </w:rPr>
      </w:pPr>
    </w:p>
    <w:p w14:paraId="77FC8880">
      <w:pPr>
        <w:spacing w:line="247" w:lineRule="auto"/>
        <w:rPr>
          <w:rFonts w:ascii="Arial"/>
          <w:color w:val="auto"/>
          <w:sz w:val="21"/>
          <w:highlight w:val="none"/>
        </w:rPr>
      </w:pPr>
    </w:p>
    <w:p w14:paraId="2DC3C969">
      <w:pPr>
        <w:spacing w:line="247" w:lineRule="auto"/>
        <w:rPr>
          <w:rFonts w:ascii="Arial"/>
          <w:color w:val="auto"/>
          <w:sz w:val="21"/>
          <w:highlight w:val="none"/>
        </w:rPr>
      </w:pPr>
    </w:p>
    <w:p w14:paraId="1C65B4C6">
      <w:pPr>
        <w:spacing w:line="247" w:lineRule="auto"/>
        <w:rPr>
          <w:rFonts w:ascii="Arial"/>
          <w:color w:val="auto"/>
          <w:sz w:val="21"/>
          <w:highlight w:val="none"/>
        </w:rPr>
      </w:pPr>
    </w:p>
    <w:p w14:paraId="31370D66">
      <w:pPr>
        <w:spacing w:line="247" w:lineRule="auto"/>
        <w:rPr>
          <w:rFonts w:ascii="Arial"/>
          <w:color w:val="auto"/>
          <w:sz w:val="21"/>
          <w:highlight w:val="none"/>
        </w:rPr>
      </w:pPr>
    </w:p>
    <w:p w14:paraId="156A047E">
      <w:pPr>
        <w:spacing w:line="247" w:lineRule="auto"/>
        <w:rPr>
          <w:rFonts w:ascii="Arial"/>
          <w:color w:val="auto"/>
          <w:sz w:val="21"/>
          <w:highlight w:val="none"/>
        </w:rPr>
      </w:pPr>
    </w:p>
    <w:p w14:paraId="4243A309">
      <w:pPr>
        <w:spacing w:line="247" w:lineRule="auto"/>
        <w:rPr>
          <w:rFonts w:ascii="Arial"/>
          <w:color w:val="auto"/>
          <w:sz w:val="21"/>
          <w:highlight w:val="none"/>
        </w:rPr>
      </w:pPr>
    </w:p>
    <w:p w14:paraId="44E05B11">
      <w:pPr>
        <w:spacing w:line="247" w:lineRule="auto"/>
        <w:rPr>
          <w:rFonts w:ascii="Arial"/>
          <w:color w:val="auto"/>
          <w:sz w:val="21"/>
          <w:highlight w:val="none"/>
        </w:rPr>
      </w:pPr>
    </w:p>
    <w:p w14:paraId="69F81134">
      <w:pPr>
        <w:spacing w:line="247" w:lineRule="auto"/>
        <w:rPr>
          <w:rFonts w:ascii="Arial"/>
          <w:color w:val="auto"/>
          <w:sz w:val="21"/>
          <w:highlight w:val="none"/>
        </w:rPr>
      </w:pPr>
    </w:p>
    <w:p w14:paraId="1206F5AC">
      <w:pPr>
        <w:spacing w:line="247" w:lineRule="auto"/>
        <w:rPr>
          <w:rFonts w:ascii="Arial"/>
          <w:color w:val="auto"/>
          <w:sz w:val="21"/>
          <w:highlight w:val="none"/>
        </w:rPr>
      </w:pPr>
    </w:p>
    <w:p w14:paraId="594CF581">
      <w:pPr>
        <w:spacing w:line="247" w:lineRule="auto"/>
        <w:rPr>
          <w:rFonts w:ascii="Arial"/>
          <w:color w:val="auto"/>
          <w:sz w:val="21"/>
          <w:highlight w:val="none"/>
        </w:rPr>
      </w:pPr>
    </w:p>
    <w:p w14:paraId="5344864E">
      <w:pPr>
        <w:spacing w:line="247" w:lineRule="auto"/>
        <w:rPr>
          <w:rFonts w:ascii="Arial"/>
          <w:color w:val="auto"/>
          <w:sz w:val="21"/>
          <w:highlight w:val="none"/>
        </w:rPr>
      </w:pPr>
    </w:p>
    <w:p w14:paraId="3A247D9D">
      <w:pPr>
        <w:spacing w:line="247" w:lineRule="auto"/>
        <w:rPr>
          <w:rFonts w:ascii="Arial"/>
          <w:color w:val="auto"/>
          <w:sz w:val="21"/>
          <w:highlight w:val="none"/>
        </w:rPr>
      </w:pPr>
    </w:p>
    <w:p w14:paraId="5C8BB640">
      <w:pPr>
        <w:spacing w:line="247" w:lineRule="auto"/>
        <w:rPr>
          <w:rFonts w:ascii="Arial"/>
          <w:color w:val="auto"/>
          <w:sz w:val="21"/>
          <w:highlight w:val="none"/>
        </w:rPr>
      </w:pPr>
    </w:p>
    <w:p w14:paraId="4655E0AC">
      <w:pPr>
        <w:spacing w:line="247" w:lineRule="auto"/>
        <w:rPr>
          <w:rFonts w:ascii="Arial"/>
          <w:color w:val="auto"/>
          <w:sz w:val="21"/>
          <w:highlight w:val="none"/>
        </w:rPr>
      </w:pPr>
    </w:p>
    <w:p w14:paraId="1FFBF0CC">
      <w:pPr>
        <w:spacing w:line="247" w:lineRule="auto"/>
        <w:rPr>
          <w:rFonts w:ascii="Arial"/>
          <w:color w:val="auto"/>
          <w:sz w:val="21"/>
          <w:highlight w:val="none"/>
        </w:rPr>
      </w:pPr>
    </w:p>
    <w:p w14:paraId="629BFFF7">
      <w:pPr>
        <w:spacing w:line="247" w:lineRule="auto"/>
        <w:rPr>
          <w:rFonts w:ascii="Arial"/>
          <w:color w:val="auto"/>
          <w:sz w:val="21"/>
          <w:highlight w:val="none"/>
        </w:rPr>
      </w:pPr>
    </w:p>
    <w:p w14:paraId="7BBC7BAA">
      <w:pPr>
        <w:spacing w:line="247" w:lineRule="auto"/>
        <w:rPr>
          <w:rFonts w:ascii="Arial"/>
          <w:color w:val="auto"/>
          <w:sz w:val="21"/>
          <w:highlight w:val="none"/>
        </w:rPr>
      </w:pPr>
    </w:p>
    <w:p w14:paraId="6436257D">
      <w:pPr>
        <w:spacing w:line="247" w:lineRule="auto"/>
        <w:rPr>
          <w:rFonts w:ascii="Arial"/>
          <w:color w:val="auto"/>
          <w:sz w:val="21"/>
          <w:highlight w:val="none"/>
        </w:rPr>
      </w:pPr>
    </w:p>
    <w:p w14:paraId="2C4DD328">
      <w:pPr>
        <w:spacing w:line="247" w:lineRule="auto"/>
        <w:rPr>
          <w:rFonts w:ascii="Arial"/>
          <w:color w:val="auto"/>
          <w:sz w:val="21"/>
          <w:highlight w:val="none"/>
        </w:rPr>
      </w:pPr>
    </w:p>
    <w:p w14:paraId="0F80E955">
      <w:pPr>
        <w:spacing w:line="247" w:lineRule="auto"/>
        <w:rPr>
          <w:rFonts w:ascii="Arial"/>
          <w:color w:val="auto"/>
          <w:sz w:val="21"/>
          <w:highlight w:val="none"/>
        </w:rPr>
      </w:pPr>
    </w:p>
    <w:p w14:paraId="7A921B72">
      <w:pPr>
        <w:spacing w:line="247" w:lineRule="auto"/>
        <w:rPr>
          <w:rFonts w:ascii="Arial"/>
          <w:color w:val="auto"/>
          <w:sz w:val="21"/>
          <w:highlight w:val="none"/>
        </w:rPr>
      </w:pPr>
    </w:p>
    <w:p w14:paraId="7DE7EF0E">
      <w:pPr>
        <w:spacing w:line="247" w:lineRule="auto"/>
        <w:rPr>
          <w:rFonts w:ascii="Arial"/>
          <w:color w:val="auto"/>
          <w:sz w:val="21"/>
          <w:highlight w:val="none"/>
        </w:rPr>
      </w:pPr>
    </w:p>
    <w:p w14:paraId="62D2D198">
      <w:pPr>
        <w:spacing w:line="247" w:lineRule="auto"/>
        <w:rPr>
          <w:rFonts w:ascii="Arial"/>
          <w:color w:val="auto"/>
          <w:sz w:val="21"/>
          <w:highlight w:val="none"/>
        </w:rPr>
      </w:pPr>
    </w:p>
    <w:p w14:paraId="1ACB99B0">
      <w:pPr>
        <w:spacing w:line="247" w:lineRule="auto"/>
        <w:rPr>
          <w:rFonts w:ascii="Arial"/>
          <w:color w:val="auto"/>
          <w:sz w:val="21"/>
          <w:highlight w:val="none"/>
        </w:rPr>
      </w:pPr>
    </w:p>
    <w:p w14:paraId="75C7FEC9">
      <w:pPr>
        <w:spacing w:line="217" w:lineRule="auto"/>
        <w:rPr>
          <w:rFonts w:ascii="宋体" w:hAnsi="宋体" w:eastAsia="宋体" w:cs="宋体"/>
          <w:color w:val="auto"/>
          <w:sz w:val="18"/>
          <w:szCs w:val="18"/>
          <w:highlight w:val="none"/>
        </w:rPr>
        <w:sectPr>
          <w:footerReference r:id="rId57" w:type="default"/>
          <w:pgSz w:w="11906" w:h="16839"/>
          <w:pgMar w:top="1431" w:right="1562" w:bottom="1297" w:left="1417" w:header="0" w:footer="1067" w:gutter="0"/>
          <w:pgNumType w:fmt="decimal"/>
          <w:cols w:space="720" w:num="1"/>
        </w:sectPr>
      </w:pPr>
    </w:p>
    <w:p w14:paraId="10F56275">
      <w:pPr>
        <w:spacing w:before="64" w:line="225" w:lineRule="auto"/>
        <w:ind w:left="273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（一）投标人的自评分表</w:t>
      </w:r>
    </w:p>
    <w:p w14:paraId="4281D2FF">
      <w:pPr>
        <w:spacing w:line="194" w:lineRule="exact"/>
        <w:rPr>
          <w:color w:val="auto"/>
          <w:highlight w:val="none"/>
        </w:rPr>
      </w:pPr>
    </w:p>
    <w:tbl>
      <w:tblPr>
        <w:tblStyle w:val="22"/>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60A5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top"/>
          </w:tcPr>
          <w:p w14:paraId="4CBD1616">
            <w:pPr>
              <w:spacing w:line="366" w:lineRule="auto"/>
              <w:rPr>
                <w:rFonts w:ascii="Arial"/>
                <w:color w:val="auto"/>
                <w:sz w:val="21"/>
                <w:highlight w:val="none"/>
              </w:rPr>
            </w:pPr>
          </w:p>
          <w:p w14:paraId="1B474DDC">
            <w:pPr>
              <w:pStyle w:val="23"/>
              <w:spacing w:before="65" w:line="229" w:lineRule="auto"/>
              <w:ind w:left="113"/>
              <w:rPr>
                <w:color w:val="auto"/>
                <w:highlight w:val="none"/>
              </w:rPr>
            </w:pPr>
            <w:r>
              <w:rPr>
                <w:color w:val="auto"/>
                <w:spacing w:val="5"/>
                <w:highlight w:val="none"/>
              </w:rPr>
              <w:t>序号</w:t>
            </w:r>
          </w:p>
        </w:tc>
        <w:tc>
          <w:tcPr>
            <w:tcW w:w="1359" w:type="dxa"/>
            <w:vAlign w:val="top"/>
          </w:tcPr>
          <w:p w14:paraId="6D4604F5">
            <w:pPr>
              <w:spacing w:line="365" w:lineRule="auto"/>
              <w:rPr>
                <w:rFonts w:ascii="Arial"/>
                <w:color w:val="auto"/>
                <w:sz w:val="21"/>
                <w:highlight w:val="none"/>
              </w:rPr>
            </w:pPr>
          </w:p>
          <w:p w14:paraId="23BFBB5F">
            <w:pPr>
              <w:pStyle w:val="23"/>
              <w:spacing w:before="65" w:line="228" w:lineRule="auto"/>
              <w:ind w:left="263"/>
              <w:rPr>
                <w:color w:val="auto"/>
                <w:highlight w:val="none"/>
              </w:rPr>
            </w:pPr>
            <w:r>
              <w:rPr>
                <w:color w:val="auto"/>
                <w:spacing w:val="7"/>
                <w:highlight w:val="none"/>
              </w:rPr>
              <w:t>评分因素</w:t>
            </w:r>
          </w:p>
        </w:tc>
        <w:tc>
          <w:tcPr>
            <w:tcW w:w="911" w:type="dxa"/>
            <w:vAlign w:val="top"/>
          </w:tcPr>
          <w:p w14:paraId="048FB564">
            <w:pPr>
              <w:spacing w:line="365" w:lineRule="auto"/>
              <w:rPr>
                <w:rFonts w:ascii="Arial"/>
                <w:color w:val="auto"/>
                <w:sz w:val="21"/>
                <w:highlight w:val="none"/>
              </w:rPr>
            </w:pPr>
          </w:p>
          <w:p w14:paraId="363F245B">
            <w:pPr>
              <w:pStyle w:val="23"/>
              <w:spacing w:before="65" w:line="228" w:lineRule="auto"/>
              <w:ind w:left="249"/>
              <w:rPr>
                <w:color w:val="auto"/>
                <w:highlight w:val="none"/>
              </w:rPr>
            </w:pPr>
            <w:r>
              <w:rPr>
                <w:color w:val="auto"/>
                <w:spacing w:val="4"/>
                <w:highlight w:val="none"/>
              </w:rPr>
              <w:t>满分</w:t>
            </w:r>
          </w:p>
        </w:tc>
        <w:tc>
          <w:tcPr>
            <w:tcW w:w="1679" w:type="dxa"/>
            <w:vAlign w:val="top"/>
          </w:tcPr>
          <w:p w14:paraId="544A1200">
            <w:pPr>
              <w:spacing w:line="366" w:lineRule="auto"/>
              <w:rPr>
                <w:rFonts w:ascii="Arial"/>
                <w:color w:val="auto"/>
                <w:sz w:val="21"/>
                <w:highlight w:val="none"/>
              </w:rPr>
            </w:pPr>
          </w:p>
          <w:p w14:paraId="4743F7F1">
            <w:pPr>
              <w:pStyle w:val="23"/>
              <w:spacing w:before="65" w:line="228" w:lineRule="auto"/>
              <w:ind w:left="424"/>
              <w:rPr>
                <w:color w:val="auto"/>
                <w:highlight w:val="none"/>
              </w:rPr>
            </w:pPr>
            <w:r>
              <w:rPr>
                <w:color w:val="auto"/>
                <w:spacing w:val="7"/>
                <w:highlight w:val="none"/>
              </w:rPr>
              <w:t>评分标准</w:t>
            </w:r>
          </w:p>
        </w:tc>
        <w:tc>
          <w:tcPr>
            <w:tcW w:w="1221" w:type="dxa"/>
            <w:vAlign w:val="top"/>
          </w:tcPr>
          <w:p w14:paraId="0924A429">
            <w:pPr>
              <w:spacing w:line="366" w:lineRule="auto"/>
              <w:rPr>
                <w:rFonts w:ascii="Arial"/>
                <w:color w:val="auto"/>
                <w:sz w:val="21"/>
                <w:highlight w:val="none"/>
              </w:rPr>
            </w:pPr>
          </w:p>
          <w:p w14:paraId="3326ECBD">
            <w:pPr>
              <w:pStyle w:val="23"/>
              <w:spacing w:before="65" w:line="228" w:lineRule="auto"/>
              <w:ind w:left="336"/>
              <w:rPr>
                <w:color w:val="auto"/>
                <w:highlight w:val="none"/>
              </w:rPr>
            </w:pPr>
            <w:r>
              <w:rPr>
                <w:color w:val="auto"/>
                <w:spacing w:val="-5"/>
                <w:highlight w:val="none"/>
              </w:rPr>
              <w:t>自评分</w:t>
            </w:r>
          </w:p>
        </w:tc>
        <w:tc>
          <w:tcPr>
            <w:tcW w:w="1392" w:type="dxa"/>
            <w:vAlign w:val="top"/>
          </w:tcPr>
          <w:p w14:paraId="68A412DE">
            <w:pPr>
              <w:pStyle w:val="23"/>
              <w:spacing w:before="229" w:line="378" w:lineRule="auto"/>
              <w:ind w:left="616" w:right="168" w:hanging="440"/>
              <w:rPr>
                <w:color w:val="auto"/>
                <w:highlight w:val="none"/>
              </w:rPr>
            </w:pPr>
            <w:r>
              <w:rPr>
                <w:color w:val="auto"/>
                <w:spacing w:val="8"/>
                <w:highlight w:val="none"/>
              </w:rPr>
              <w:t>评分情况说</w:t>
            </w:r>
            <w:r>
              <w:rPr>
                <w:color w:val="auto"/>
                <w:highlight w:val="none"/>
              </w:rPr>
              <w:t>明</w:t>
            </w:r>
          </w:p>
        </w:tc>
        <w:tc>
          <w:tcPr>
            <w:tcW w:w="1569" w:type="dxa"/>
            <w:vAlign w:val="top"/>
          </w:tcPr>
          <w:p w14:paraId="7BA7BD15">
            <w:pPr>
              <w:spacing w:line="366" w:lineRule="auto"/>
              <w:rPr>
                <w:rFonts w:ascii="Arial"/>
                <w:color w:val="auto"/>
                <w:sz w:val="21"/>
                <w:highlight w:val="none"/>
              </w:rPr>
            </w:pPr>
          </w:p>
          <w:p w14:paraId="085EA925">
            <w:pPr>
              <w:pStyle w:val="23"/>
              <w:spacing w:before="65" w:line="228" w:lineRule="auto"/>
              <w:ind w:left="374"/>
              <w:rPr>
                <w:color w:val="auto"/>
                <w:highlight w:val="none"/>
              </w:rPr>
            </w:pPr>
            <w:r>
              <w:rPr>
                <w:color w:val="auto"/>
                <w:spacing w:val="6"/>
                <w:highlight w:val="none"/>
              </w:rPr>
              <w:t>页码索引</w:t>
            </w:r>
          </w:p>
        </w:tc>
      </w:tr>
      <w:tr w14:paraId="1D54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2C0B0104">
            <w:pPr>
              <w:rPr>
                <w:rFonts w:ascii="Arial"/>
                <w:color w:val="auto"/>
                <w:sz w:val="21"/>
                <w:highlight w:val="none"/>
              </w:rPr>
            </w:pPr>
          </w:p>
        </w:tc>
        <w:tc>
          <w:tcPr>
            <w:tcW w:w="1359" w:type="dxa"/>
            <w:vAlign w:val="top"/>
          </w:tcPr>
          <w:p w14:paraId="62A79025">
            <w:pPr>
              <w:rPr>
                <w:rFonts w:ascii="Arial"/>
                <w:color w:val="auto"/>
                <w:sz w:val="21"/>
                <w:highlight w:val="none"/>
              </w:rPr>
            </w:pPr>
          </w:p>
        </w:tc>
        <w:tc>
          <w:tcPr>
            <w:tcW w:w="911" w:type="dxa"/>
            <w:vAlign w:val="top"/>
          </w:tcPr>
          <w:p w14:paraId="6C7F675C">
            <w:pPr>
              <w:rPr>
                <w:rFonts w:ascii="Arial"/>
                <w:color w:val="auto"/>
                <w:sz w:val="21"/>
                <w:highlight w:val="none"/>
              </w:rPr>
            </w:pPr>
          </w:p>
        </w:tc>
        <w:tc>
          <w:tcPr>
            <w:tcW w:w="1679" w:type="dxa"/>
            <w:vAlign w:val="top"/>
          </w:tcPr>
          <w:p w14:paraId="4D911E71">
            <w:pPr>
              <w:pStyle w:val="23"/>
              <w:spacing w:before="30" w:line="360" w:lineRule="auto"/>
              <w:ind w:left="533" w:right="209" w:hanging="315"/>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43C4D9E3">
            <w:pPr>
              <w:rPr>
                <w:rFonts w:ascii="Arial"/>
                <w:color w:val="auto"/>
                <w:sz w:val="21"/>
                <w:highlight w:val="none"/>
              </w:rPr>
            </w:pPr>
          </w:p>
        </w:tc>
        <w:tc>
          <w:tcPr>
            <w:tcW w:w="1392" w:type="dxa"/>
            <w:vAlign w:val="top"/>
          </w:tcPr>
          <w:p w14:paraId="1EF5A464">
            <w:pPr>
              <w:rPr>
                <w:rFonts w:ascii="Arial"/>
                <w:color w:val="auto"/>
                <w:sz w:val="21"/>
                <w:highlight w:val="none"/>
              </w:rPr>
            </w:pPr>
          </w:p>
        </w:tc>
        <w:tc>
          <w:tcPr>
            <w:tcW w:w="1569" w:type="dxa"/>
            <w:vAlign w:val="top"/>
          </w:tcPr>
          <w:p w14:paraId="32E546E9">
            <w:pPr>
              <w:rPr>
                <w:rFonts w:ascii="Arial"/>
                <w:color w:val="auto"/>
                <w:sz w:val="21"/>
                <w:highlight w:val="none"/>
              </w:rPr>
            </w:pPr>
          </w:p>
        </w:tc>
      </w:tr>
      <w:tr w14:paraId="1621A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6E8E4541">
            <w:pPr>
              <w:rPr>
                <w:rFonts w:ascii="Arial"/>
                <w:color w:val="auto"/>
                <w:sz w:val="21"/>
                <w:highlight w:val="none"/>
              </w:rPr>
            </w:pPr>
          </w:p>
        </w:tc>
        <w:tc>
          <w:tcPr>
            <w:tcW w:w="1359" w:type="dxa"/>
            <w:vAlign w:val="top"/>
          </w:tcPr>
          <w:p w14:paraId="3DCE0846">
            <w:pPr>
              <w:rPr>
                <w:rFonts w:ascii="Arial"/>
                <w:color w:val="auto"/>
                <w:sz w:val="21"/>
                <w:highlight w:val="none"/>
              </w:rPr>
            </w:pPr>
          </w:p>
        </w:tc>
        <w:tc>
          <w:tcPr>
            <w:tcW w:w="911" w:type="dxa"/>
            <w:vAlign w:val="top"/>
          </w:tcPr>
          <w:p w14:paraId="56436D86">
            <w:pPr>
              <w:rPr>
                <w:rFonts w:ascii="Arial"/>
                <w:color w:val="auto"/>
                <w:sz w:val="21"/>
                <w:highlight w:val="none"/>
              </w:rPr>
            </w:pPr>
          </w:p>
        </w:tc>
        <w:tc>
          <w:tcPr>
            <w:tcW w:w="1679" w:type="dxa"/>
            <w:vAlign w:val="top"/>
          </w:tcPr>
          <w:p w14:paraId="36DC14B1">
            <w:pPr>
              <w:pStyle w:val="23"/>
              <w:spacing w:before="33" w:line="359" w:lineRule="auto"/>
              <w:ind w:left="533" w:right="157" w:hanging="262"/>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72E788CC">
            <w:pPr>
              <w:rPr>
                <w:rFonts w:ascii="Arial"/>
                <w:color w:val="auto"/>
                <w:sz w:val="21"/>
                <w:highlight w:val="none"/>
              </w:rPr>
            </w:pPr>
          </w:p>
        </w:tc>
        <w:tc>
          <w:tcPr>
            <w:tcW w:w="1392" w:type="dxa"/>
            <w:vAlign w:val="top"/>
          </w:tcPr>
          <w:p w14:paraId="5473065F">
            <w:pPr>
              <w:rPr>
                <w:rFonts w:ascii="Arial"/>
                <w:color w:val="auto"/>
                <w:sz w:val="21"/>
                <w:highlight w:val="none"/>
              </w:rPr>
            </w:pPr>
          </w:p>
        </w:tc>
        <w:tc>
          <w:tcPr>
            <w:tcW w:w="1569" w:type="dxa"/>
            <w:vAlign w:val="top"/>
          </w:tcPr>
          <w:p w14:paraId="1B79C4B5">
            <w:pPr>
              <w:rPr>
                <w:rFonts w:ascii="Arial"/>
                <w:color w:val="auto"/>
                <w:sz w:val="21"/>
                <w:highlight w:val="none"/>
              </w:rPr>
            </w:pPr>
          </w:p>
        </w:tc>
      </w:tr>
      <w:tr w14:paraId="0C76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top"/>
          </w:tcPr>
          <w:p w14:paraId="1BE39306">
            <w:pPr>
              <w:rPr>
                <w:rFonts w:ascii="Arial"/>
                <w:color w:val="auto"/>
                <w:sz w:val="21"/>
                <w:highlight w:val="none"/>
              </w:rPr>
            </w:pPr>
          </w:p>
        </w:tc>
        <w:tc>
          <w:tcPr>
            <w:tcW w:w="1359" w:type="dxa"/>
            <w:vAlign w:val="top"/>
          </w:tcPr>
          <w:p w14:paraId="65A12C90">
            <w:pPr>
              <w:rPr>
                <w:rFonts w:ascii="Arial"/>
                <w:color w:val="auto"/>
                <w:sz w:val="21"/>
                <w:highlight w:val="none"/>
              </w:rPr>
            </w:pPr>
          </w:p>
        </w:tc>
        <w:tc>
          <w:tcPr>
            <w:tcW w:w="911" w:type="dxa"/>
            <w:vAlign w:val="top"/>
          </w:tcPr>
          <w:p w14:paraId="57B7D7E0">
            <w:pPr>
              <w:rPr>
                <w:rFonts w:ascii="Arial"/>
                <w:color w:val="auto"/>
                <w:sz w:val="21"/>
                <w:highlight w:val="none"/>
              </w:rPr>
            </w:pPr>
          </w:p>
        </w:tc>
        <w:tc>
          <w:tcPr>
            <w:tcW w:w="1679" w:type="dxa"/>
            <w:vAlign w:val="top"/>
          </w:tcPr>
          <w:p w14:paraId="51102DCB">
            <w:pPr>
              <w:pStyle w:val="23"/>
              <w:spacing w:before="74" w:line="378" w:lineRule="auto"/>
              <w:ind w:left="533" w:right="205" w:hanging="310"/>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7CC59153">
            <w:pPr>
              <w:rPr>
                <w:rFonts w:ascii="Arial"/>
                <w:color w:val="auto"/>
                <w:sz w:val="21"/>
                <w:highlight w:val="none"/>
              </w:rPr>
            </w:pPr>
          </w:p>
        </w:tc>
        <w:tc>
          <w:tcPr>
            <w:tcW w:w="1392" w:type="dxa"/>
            <w:vAlign w:val="top"/>
          </w:tcPr>
          <w:p w14:paraId="75D84070">
            <w:pPr>
              <w:rPr>
                <w:rFonts w:ascii="Arial"/>
                <w:color w:val="auto"/>
                <w:sz w:val="21"/>
                <w:highlight w:val="none"/>
              </w:rPr>
            </w:pPr>
          </w:p>
        </w:tc>
        <w:tc>
          <w:tcPr>
            <w:tcW w:w="1569" w:type="dxa"/>
            <w:vAlign w:val="top"/>
          </w:tcPr>
          <w:p w14:paraId="20E0D244">
            <w:pPr>
              <w:rPr>
                <w:rFonts w:ascii="Arial"/>
                <w:color w:val="auto"/>
                <w:sz w:val="21"/>
                <w:highlight w:val="none"/>
              </w:rPr>
            </w:pPr>
          </w:p>
        </w:tc>
      </w:tr>
      <w:tr w14:paraId="0211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4113BC31">
            <w:pPr>
              <w:rPr>
                <w:rFonts w:ascii="Arial"/>
                <w:color w:val="auto"/>
                <w:sz w:val="21"/>
                <w:highlight w:val="none"/>
              </w:rPr>
            </w:pPr>
          </w:p>
        </w:tc>
        <w:tc>
          <w:tcPr>
            <w:tcW w:w="1359" w:type="dxa"/>
            <w:vAlign w:val="top"/>
          </w:tcPr>
          <w:p w14:paraId="05C38860">
            <w:pPr>
              <w:rPr>
                <w:rFonts w:ascii="Arial"/>
                <w:color w:val="auto"/>
                <w:sz w:val="21"/>
                <w:highlight w:val="none"/>
              </w:rPr>
            </w:pPr>
          </w:p>
        </w:tc>
        <w:tc>
          <w:tcPr>
            <w:tcW w:w="911" w:type="dxa"/>
            <w:vAlign w:val="top"/>
          </w:tcPr>
          <w:p w14:paraId="00BEA982">
            <w:pPr>
              <w:rPr>
                <w:rFonts w:ascii="Arial"/>
                <w:color w:val="auto"/>
                <w:sz w:val="21"/>
                <w:highlight w:val="none"/>
              </w:rPr>
            </w:pPr>
          </w:p>
        </w:tc>
        <w:tc>
          <w:tcPr>
            <w:tcW w:w="1679" w:type="dxa"/>
            <w:vAlign w:val="top"/>
          </w:tcPr>
          <w:p w14:paraId="07570E58">
            <w:pPr>
              <w:pStyle w:val="23"/>
              <w:spacing w:before="35" w:line="358" w:lineRule="auto"/>
              <w:ind w:left="533" w:right="209" w:hanging="315"/>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22973C2E">
            <w:pPr>
              <w:rPr>
                <w:rFonts w:ascii="Arial"/>
                <w:color w:val="auto"/>
                <w:sz w:val="21"/>
                <w:highlight w:val="none"/>
              </w:rPr>
            </w:pPr>
          </w:p>
        </w:tc>
        <w:tc>
          <w:tcPr>
            <w:tcW w:w="1392" w:type="dxa"/>
            <w:vAlign w:val="top"/>
          </w:tcPr>
          <w:p w14:paraId="00118133">
            <w:pPr>
              <w:rPr>
                <w:rFonts w:ascii="Arial"/>
                <w:color w:val="auto"/>
                <w:sz w:val="21"/>
                <w:highlight w:val="none"/>
              </w:rPr>
            </w:pPr>
          </w:p>
        </w:tc>
        <w:tc>
          <w:tcPr>
            <w:tcW w:w="1569" w:type="dxa"/>
            <w:vAlign w:val="top"/>
          </w:tcPr>
          <w:p w14:paraId="04C49241">
            <w:pPr>
              <w:rPr>
                <w:rFonts w:ascii="Arial"/>
                <w:color w:val="auto"/>
                <w:sz w:val="21"/>
                <w:highlight w:val="none"/>
              </w:rPr>
            </w:pPr>
          </w:p>
        </w:tc>
      </w:tr>
      <w:tr w14:paraId="2E7F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15" w:type="dxa"/>
            <w:tcBorders>
              <w:right w:val="nil"/>
            </w:tcBorders>
            <w:vAlign w:val="top"/>
          </w:tcPr>
          <w:p w14:paraId="2436858F">
            <w:pPr>
              <w:rPr>
                <w:rFonts w:ascii="Arial"/>
                <w:color w:val="auto"/>
                <w:sz w:val="21"/>
                <w:highlight w:val="none"/>
              </w:rPr>
            </w:pPr>
          </w:p>
        </w:tc>
        <w:tc>
          <w:tcPr>
            <w:tcW w:w="1359" w:type="dxa"/>
            <w:tcBorders>
              <w:left w:val="nil"/>
            </w:tcBorders>
            <w:vAlign w:val="top"/>
          </w:tcPr>
          <w:p w14:paraId="46521FFB">
            <w:pPr>
              <w:spacing w:line="246" w:lineRule="auto"/>
              <w:rPr>
                <w:rFonts w:ascii="Arial"/>
                <w:color w:val="auto"/>
                <w:sz w:val="21"/>
                <w:highlight w:val="none"/>
              </w:rPr>
            </w:pPr>
          </w:p>
          <w:p w14:paraId="754E55AC">
            <w:pPr>
              <w:pStyle w:val="23"/>
              <w:spacing w:before="65" w:line="229" w:lineRule="auto"/>
              <w:ind w:left="71"/>
              <w:rPr>
                <w:color w:val="auto"/>
                <w:highlight w:val="none"/>
              </w:rPr>
            </w:pPr>
            <w:r>
              <w:rPr>
                <w:color w:val="auto"/>
                <w:spacing w:val="4"/>
                <w:highlight w:val="none"/>
              </w:rPr>
              <w:t>合计</w:t>
            </w:r>
          </w:p>
        </w:tc>
        <w:tc>
          <w:tcPr>
            <w:tcW w:w="911" w:type="dxa"/>
            <w:vAlign w:val="top"/>
          </w:tcPr>
          <w:p w14:paraId="3F887237">
            <w:pPr>
              <w:rPr>
                <w:rFonts w:ascii="Arial"/>
                <w:color w:val="auto"/>
                <w:sz w:val="21"/>
                <w:highlight w:val="none"/>
              </w:rPr>
            </w:pPr>
          </w:p>
        </w:tc>
        <w:tc>
          <w:tcPr>
            <w:tcW w:w="1679" w:type="dxa"/>
            <w:vAlign w:val="top"/>
          </w:tcPr>
          <w:p w14:paraId="666F0164">
            <w:pPr>
              <w:spacing w:line="343" w:lineRule="auto"/>
              <w:rPr>
                <w:rFonts w:ascii="Arial"/>
                <w:color w:val="auto"/>
                <w:sz w:val="21"/>
                <w:highlight w:val="none"/>
              </w:rPr>
            </w:pPr>
          </w:p>
          <w:p w14:paraId="7B3FF07F">
            <w:pPr>
              <w:pStyle w:val="23"/>
              <w:spacing w:before="65" w:line="136" w:lineRule="exact"/>
              <w:ind w:left="793"/>
              <w:rPr>
                <w:color w:val="auto"/>
                <w:highlight w:val="none"/>
              </w:rPr>
            </w:pPr>
            <w:r>
              <w:rPr>
                <w:color w:val="auto"/>
                <w:position w:val="-3"/>
                <w:highlight w:val="none"/>
              </w:rPr>
              <w:t>-</w:t>
            </w:r>
          </w:p>
        </w:tc>
        <w:tc>
          <w:tcPr>
            <w:tcW w:w="1221" w:type="dxa"/>
            <w:vAlign w:val="top"/>
          </w:tcPr>
          <w:p w14:paraId="10AF7246">
            <w:pPr>
              <w:rPr>
                <w:rFonts w:ascii="Arial"/>
                <w:color w:val="auto"/>
                <w:sz w:val="21"/>
                <w:highlight w:val="none"/>
              </w:rPr>
            </w:pPr>
          </w:p>
        </w:tc>
        <w:tc>
          <w:tcPr>
            <w:tcW w:w="1392" w:type="dxa"/>
            <w:tcBorders>
              <w:right w:val="nil"/>
            </w:tcBorders>
            <w:vAlign w:val="top"/>
          </w:tcPr>
          <w:p w14:paraId="031DB535">
            <w:pPr>
              <w:rPr>
                <w:rFonts w:ascii="Arial"/>
                <w:color w:val="auto"/>
                <w:sz w:val="21"/>
                <w:highlight w:val="none"/>
              </w:rPr>
            </w:pPr>
          </w:p>
        </w:tc>
        <w:tc>
          <w:tcPr>
            <w:tcW w:w="1569" w:type="dxa"/>
            <w:tcBorders>
              <w:left w:val="nil"/>
            </w:tcBorders>
            <w:vAlign w:val="top"/>
          </w:tcPr>
          <w:p w14:paraId="2E663DA6">
            <w:pPr>
              <w:spacing w:line="343" w:lineRule="auto"/>
              <w:rPr>
                <w:rFonts w:ascii="Arial"/>
                <w:color w:val="auto"/>
                <w:sz w:val="21"/>
                <w:highlight w:val="none"/>
              </w:rPr>
            </w:pPr>
          </w:p>
          <w:p w14:paraId="460400D7">
            <w:pPr>
              <w:pStyle w:val="23"/>
              <w:spacing w:before="65" w:line="136" w:lineRule="exact"/>
              <w:ind w:left="41"/>
              <w:rPr>
                <w:color w:val="auto"/>
                <w:highlight w:val="none"/>
              </w:rPr>
            </w:pPr>
            <w:r>
              <w:rPr>
                <w:color w:val="auto"/>
                <w:position w:val="-3"/>
                <w:highlight w:val="none"/>
              </w:rPr>
              <w:t>-</w:t>
            </w:r>
          </w:p>
        </w:tc>
      </w:tr>
    </w:tbl>
    <w:p w14:paraId="5F22B257">
      <w:pPr>
        <w:spacing w:line="373" w:lineRule="auto"/>
        <w:rPr>
          <w:rFonts w:ascii="Arial"/>
          <w:color w:val="auto"/>
          <w:sz w:val="21"/>
          <w:highlight w:val="none"/>
        </w:rPr>
      </w:pPr>
    </w:p>
    <w:p w14:paraId="2C899801">
      <w:pPr>
        <w:spacing w:before="65" w:line="227" w:lineRule="auto"/>
        <w:ind w:left="42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投标人：</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(盖单位章)</w:t>
      </w:r>
    </w:p>
    <w:p w14:paraId="18FB11E3">
      <w:pPr>
        <w:spacing w:line="250" w:lineRule="auto"/>
        <w:rPr>
          <w:rFonts w:ascii="Arial"/>
          <w:color w:val="auto"/>
          <w:sz w:val="21"/>
          <w:highlight w:val="none"/>
        </w:rPr>
      </w:pPr>
    </w:p>
    <w:p w14:paraId="53C0622F">
      <w:pPr>
        <w:spacing w:line="251" w:lineRule="auto"/>
        <w:rPr>
          <w:rFonts w:ascii="Arial"/>
          <w:color w:val="auto"/>
          <w:sz w:val="21"/>
          <w:highlight w:val="none"/>
        </w:rPr>
      </w:pPr>
    </w:p>
    <w:p w14:paraId="5E2C8EBF">
      <w:pPr>
        <w:spacing w:before="65" w:line="228" w:lineRule="auto"/>
        <w:ind w:left="4200"/>
        <w:outlineLvl w:val="1"/>
        <w:rPr>
          <w:rFonts w:ascii="宋体" w:hAnsi="宋体" w:eastAsia="宋体" w:cs="宋体"/>
          <w:color w:val="auto"/>
          <w:sz w:val="20"/>
          <w:szCs w:val="20"/>
          <w:highlight w:val="none"/>
        </w:rPr>
      </w:pPr>
      <w:bookmarkStart w:id="817" w:name="_Toc21754"/>
      <w:bookmarkStart w:id="818" w:name="_Toc31050"/>
      <w:bookmarkStart w:id="819" w:name="_Toc28833"/>
      <w:bookmarkStart w:id="820" w:name="_Toc31403"/>
      <w:bookmarkStart w:id="821" w:name="_Toc32392"/>
      <w:bookmarkStart w:id="822" w:name="_Toc29051"/>
      <w:bookmarkStart w:id="823" w:name="_Toc11736"/>
      <w:r>
        <w:rPr>
          <w:rFonts w:ascii="宋体" w:hAnsi="宋体" w:eastAsia="宋体" w:cs="宋体"/>
          <w:color w:val="auto"/>
          <w:spacing w:val="9"/>
          <w:sz w:val="20"/>
          <w:szCs w:val="20"/>
          <w:highlight w:val="none"/>
        </w:rPr>
        <w:t>法定代表人（或被授权人）签名：</w:t>
      </w:r>
      <w:bookmarkEnd w:id="817"/>
      <w:bookmarkEnd w:id="818"/>
      <w:bookmarkEnd w:id="819"/>
      <w:bookmarkEnd w:id="820"/>
      <w:bookmarkEnd w:id="821"/>
      <w:bookmarkEnd w:id="822"/>
      <w:bookmarkEnd w:id="823"/>
      <w:r>
        <w:rPr>
          <w:rFonts w:ascii="宋体" w:hAnsi="宋体" w:eastAsia="宋体" w:cs="宋体"/>
          <w:color w:val="auto"/>
          <w:sz w:val="20"/>
          <w:szCs w:val="20"/>
          <w:highlight w:val="none"/>
          <w:u w:val="single" w:color="auto"/>
        </w:rPr>
        <w:t xml:space="preserve">            </w:t>
      </w:r>
    </w:p>
    <w:p w14:paraId="0D3A36E5">
      <w:pPr>
        <w:spacing w:line="228" w:lineRule="auto"/>
        <w:rPr>
          <w:rFonts w:ascii="宋体" w:hAnsi="宋体" w:eastAsia="宋体" w:cs="宋体"/>
          <w:color w:val="auto"/>
          <w:sz w:val="20"/>
          <w:szCs w:val="20"/>
          <w:highlight w:val="none"/>
        </w:rPr>
        <w:sectPr>
          <w:footerReference r:id="rId58" w:type="default"/>
          <w:pgSz w:w="11906" w:h="16839"/>
          <w:pgMar w:top="1403" w:right="1477" w:bottom="1297" w:left="1477" w:header="0" w:footer="1067" w:gutter="0"/>
          <w:pgNumType w:fmt="decimal"/>
          <w:cols w:space="720" w:num="1"/>
        </w:sectPr>
      </w:pPr>
    </w:p>
    <w:p w14:paraId="198C8380">
      <w:pPr>
        <w:spacing w:before="163" w:line="219" w:lineRule="auto"/>
        <w:ind w:left="369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七、技术建议书</w:t>
      </w:r>
    </w:p>
    <w:p w14:paraId="41DB4372">
      <w:pPr>
        <w:spacing w:line="260" w:lineRule="auto"/>
        <w:rPr>
          <w:rFonts w:ascii="Arial"/>
          <w:color w:val="auto"/>
          <w:sz w:val="21"/>
          <w:highlight w:val="none"/>
        </w:rPr>
      </w:pPr>
    </w:p>
    <w:p w14:paraId="0D8CA2F5">
      <w:pPr>
        <w:spacing w:line="261" w:lineRule="auto"/>
        <w:rPr>
          <w:rFonts w:ascii="Arial"/>
          <w:color w:val="auto"/>
          <w:sz w:val="21"/>
          <w:highlight w:val="none"/>
        </w:rPr>
      </w:pPr>
    </w:p>
    <w:p w14:paraId="48893D33">
      <w:pPr>
        <w:spacing w:line="261" w:lineRule="auto"/>
        <w:rPr>
          <w:rFonts w:ascii="Arial"/>
          <w:color w:val="auto"/>
          <w:sz w:val="21"/>
          <w:highlight w:val="none"/>
        </w:rPr>
      </w:pPr>
    </w:p>
    <w:p w14:paraId="0FFC0936">
      <w:pPr>
        <w:spacing w:before="78"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工程概述：主要对拟投监理标段的工程总体概况进行简单描述。</w:t>
      </w:r>
    </w:p>
    <w:p w14:paraId="488BC670">
      <w:pPr>
        <w:spacing w:before="153" w:line="279" w:lineRule="auto"/>
        <w:ind w:lef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监理工作范围：依据监理合同中约定的监</w:t>
      </w:r>
      <w:r>
        <w:rPr>
          <w:rFonts w:ascii="宋体" w:hAnsi="宋体" w:eastAsia="宋体" w:cs="宋体"/>
          <w:color w:val="auto"/>
          <w:spacing w:val="1"/>
          <w:sz w:val="24"/>
          <w:szCs w:val="24"/>
          <w:highlight w:val="none"/>
        </w:rPr>
        <w:t>理服务的要求和范围，对拟投监理标</w:t>
      </w:r>
      <w:r>
        <w:rPr>
          <w:rFonts w:ascii="宋体" w:hAnsi="宋体" w:eastAsia="宋体" w:cs="宋体"/>
          <w:color w:val="auto"/>
          <w:spacing w:val="-1"/>
          <w:sz w:val="24"/>
          <w:szCs w:val="24"/>
          <w:highlight w:val="none"/>
        </w:rPr>
        <w:t>段的监理工作安排、主要监理人员的岗位职责进行必要的阐述。</w:t>
      </w:r>
    </w:p>
    <w:p w14:paraId="4285CD53">
      <w:pPr>
        <w:spacing w:before="157" w:line="279" w:lineRule="auto"/>
        <w:ind w:left="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现场监理机构设置与人员安排：通过</w:t>
      </w:r>
      <w:r>
        <w:rPr>
          <w:rFonts w:ascii="宋体" w:hAnsi="宋体" w:eastAsia="宋体" w:cs="宋体"/>
          <w:color w:val="auto"/>
          <w:spacing w:val="1"/>
          <w:sz w:val="24"/>
          <w:szCs w:val="24"/>
          <w:highlight w:val="none"/>
        </w:rPr>
        <w:t>框图形式，明确拟投监理标段的组织机构</w:t>
      </w:r>
      <w:r>
        <w:rPr>
          <w:rFonts w:ascii="宋体" w:hAnsi="宋体" w:eastAsia="宋体" w:cs="宋体"/>
          <w:color w:val="auto"/>
          <w:spacing w:val="-5"/>
          <w:sz w:val="24"/>
          <w:szCs w:val="24"/>
          <w:highlight w:val="none"/>
        </w:rPr>
        <w:t>设置。</w:t>
      </w:r>
    </w:p>
    <w:p w14:paraId="43C41D7E">
      <w:pPr>
        <w:spacing w:before="152" w:line="279" w:lineRule="auto"/>
        <w:ind w:left="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 监理仪器、设备和设施的配备：投标人根据拟投监</w:t>
      </w:r>
      <w:r>
        <w:rPr>
          <w:rFonts w:ascii="宋体" w:hAnsi="宋体" w:eastAsia="宋体" w:cs="宋体"/>
          <w:color w:val="auto"/>
          <w:spacing w:val="1"/>
          <w:sz w:val="24"/>
          <w:szCs w:val="24"/>
          <w:highlight w:val="none"/>
        </w:rPr>
        <w:t>理标段的现场工作需要，对</w:t>
      </w:r>
      <w:r>
        <w:rPr>
          <w:rFonts w:ascii="宋体" w:hAnsi="宋体" w:eastAsia="宋体" w:cs="宋体"/>
          <w:color w:val="auto"/>
          <w:spacing w:val="-1"/>
          <w:sz w:val="24"/>
          <w:szCs w:val="24"/>
          <w:highlight w:val="none"/>
        </w:rPr>
        <w:t>其拟投入本工程的监理仪器、设备和设施的配备等情况作简要介绍。</w:t>
      </w:r>
    </w:p>
    <w:p w14:paraId="665D88A3">
      <w:pPr>
        <w:spacing w:before="153" w:line="299" w:lineRule="auto"/>
        <w:ind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监理工作程序：结合监理工作的阶段</w:t>
      </w:r>
      <w:r>
        <w:rPr>
          <w:rFonts w:ascii="宋体" w:hAnsi="宋体" w:eastAsia="宋体" w:cs="宋体"/>
          <w:color w:val="auto"/>
          <w:spacing w:val="1"/>
          <w:sz w:val="24"/>
          <w:szCs w:val="24"/>
          <w:highlight w:val="none"/>
        </w:rPr>
        <w:t>划分，对工程质量控制、进度控制、施工</w:t>
      </w:r>
      <w:r>
        <w:rPr>
          <w:rFonts w:ascii="宋体" w:hAnsi="宋体" w:eastAsia="宋体" w:cs="宋体"/>
          <w:color w:val="auto"/>
          <w:spacing w:val="5"/>
          <w:sz w:val="24"/>
          <w:szCs w:val="24"/>
          <w:highlight w:val="none"/>
        </w:rPr>
        <w:t>安全控制、施工环境保护、费用控制、合同及其他事项管理、文件资料管理等方</w:t>
      </w:r>
      <w:r>
        <w:rPr>
          <w:rFonts w:ascii="宋体" w:hAnsi="宋体" w:eastAsia="宋体" w:cs="宋体"/>
          <w:color w:val="auto"/>
          <w:spacing w:val="4"/>
          <w:sz w:val="24"/>
          <w:szCs w:val="24"/>
          <w:highlight w:val="none"/>
        </w:rPr>
        <w:t>面，</w:t>
      </w:r>
      <w:r>
        <w:rPr>
          <w:rFonts w:ascii="宋体" w:hAnsi="宋体" w:eastAsia="宋体" w:cs="宋体"/>
          <w:color w:val="auto"/>
          <w:spacing w:val="-1"/>
          <w:sz w:val="24"/>
          <w:szCs w:val="24"/>
          <w:highlight w:val="none"/>
        </w:rPr>
        <w:t>进行监理工作的方法与流程的简要阐述。</w:t>
      </w:r>
    </w:p>
    <w:p w14:paraId="607C4817">
      <w:pPr>
        <w:spacing w:before="154" w:line="279" w:lineRule="auto"/>
        <w:ind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 监理大纲（或监理方案）和措施（包含《广</w:t>
      </w:r>
      <w:r>
        <w:rPr>
          <w:rFonts w:ascii="宋体" w:hAnsi="宋体" w:eastAsia="宋体" w:cs="宋体"/>
          <w:color w:val="auto"/>
          <w:spacing w:val="1"/>
          <w:sz w:val="24"/>
          <w:szCs w:val="24"/>
          <w:highlight w:val="none"/>
        </w:rPr>
        <w:t>东省公路工程施工标准化指南》中</w:t>
      </w:r>
      <w:r>
        <w:rPr>
          <w:rFonts w:ascii="宋体" w:hAnsi="宋体" w:eastAsia="宋体" w:cs="宋体"/>
          <w:color w:val="auto"/>
          <w:spacing w:val="-1"/>
          <w:sz w:val="24"/>
          <w:szCs w:val="24"/>
          <w:highlight w:val="none"/>
        </w:rPr>
        <w:t>对监理的要求执行方案）。</w:t>
      </w:r>
    </w:p>
    <w:p w14:paraId="1E74285C">
      <w:pPr>
        <w:spacing w:before="156" w:line="279" w:lineRule="auto"/>
        <w:ind w:left="4"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 本工程监理工作的重点与难点分析：根据招标文件及现场考察，对本工程监理</w:t>
      </w:r>
      <w:r>
        <w:rPr>
          <w:rFonts w:ascii="宋体" w:hAnsi="宋体" w:eastAsia="宋体" w:cs="宋体"/>
          <w:color w:val="auto"/>
          <w:spacing w:val="-1"/>
          <w:sz w:val="24"/>
          <w:szCs w:val="24"/>
          <w:highlight w:val="none"/>
        </w:rPr>
        <w:t>工作需要特别给予重视的问题逐一论述并给出解决方法。</w:t>
      </w:r>
    </w:p>
    <w:p w14:paraId="15EFB7F7">
      <w:pPr>
        <w:spacing w:before="154" w:line="279" w:lineRule="auto"/>
        <w:ind w:right="58"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8. 对本工程建议：为更好地完成本工程的监理工作，监理人可根据以往的经验，</w:t>
      </w:r>
      <w:r>
        <w:rPr>
          <w:rFonts w:ascii="宋体" w:hAnsi="宋体" w:eastAsia="宋体" w:cs="宋体"/>
          <w:color w:val="auto"/>
          <w:spacing w:val="-1"/>
          <w:sz w:val="24"/>
          <w:szCs w:val="24"/>
          <w:highlight w:val="none"/>
        </w:rPr>
        <w:t>对本工程监理工作提出建议。</w:t>
      </w:r>
    </w:p>
    <w:p w14:paraId="4112D416">
      <w:pPr>
        <w:spacing w:line="279" w:lineRule="auto"/>
        <w:rPr>
          <w:rFonts w:ascii="宋体" w:hAnsi="宋体" w:eastAsia="宋体" w:cs="宋体"/>
          <w:color w:val="auto"/>
          <w:sz w:val="24"/>
          <w:szCs w:val="24"/>
          <w:highlight w:val="none"/>
        </w:rPr>
        <w:sectPr>
          <w:footerReference r:id="rId59" w:type="default"/>
          <w:pgSz w:w="11906" w:h="16839"/>
          <w:pgMar w:top="1431" w:right="1418" w:bottom="1297" w:left="1423" w:header="0" w:footer="1066" w:gutter="0"/>
          <w:pgNumType w:fmt="decimal"/>
          <w:cols w:space="720" w:num="1"/>
        </w:sectPr>
      </w:pPr>
    </w:p>
    <w:p w14:paraId="35CBE454">
      <w:pPr>
        <w:spacing w:line="316" w:lineRule="auto"/>
        <w:rPr>
          <w:rFonts w:ascii="Arial"/>
          <w:color w:val="auto"/>
          <w:sz w:val="21"/>
          <w:highlight w:val="none"/>
        </w:rPr>
      </w:pPr>
    </w:p>
    <w:p w14:paraId="0BF9BD41">
      <w:pPr>
        <w:spacing w:line="316" w:lineRule="auto"/>
        <w:rPr>
          <w:rFonts w:ascii="Arial"/>
          <w:color w:val="auto"/>
          <w:sz w:val="21"/>
          <w:highlight w:val="none"/>
        </w:rPr>
      </w:pPr>
    </w:p>
    <w:p w14:paraId="421F6AF8">
      <w:pPr>
        <w:spacing w:before="130" w:line="220" w:lineRule="auto"/>
        <w:ind w:left="3581"/>
        <w:rPr>
          <w:rFonts w:ascii="宋体" w:hAnsi="宋体" w:eastAsia="宋体" w:cs="宋体"/>
          <w:color w:val="auto"/>
          <w:sz w:val="40"/>
          <w:szCs w:val="40"/>
          <w:highlight w:val="none"/>
        </w:rPr>
      </w:pPr>
      <w:r>
        <w:rPr>
          <w:rFonts w:ascii="宋体" w:hAnsi="宋体" w:eastAsia="宋体" w:cs="宋体"/>
          <w:color w:val="auto"/>
          <w:spacing w:val="-5"/>
          <w:sz w:val="40"/>
          <w:szCs w:val="40"/>
          <w:highlight w:val="none"/>
        </w:rPr>
        <w:t>广东省</w:t>
      </w:r>
    </w:p>
    <w:p w14:paraId="511CCABF">
      <w:pPr>
        <w:spacing w:line="364" w:lineRule="auto"/>
        <w:rPr>
          <w:rFonts w:ascii="Arial"/>
          <w:color w:val="auto"/>
          <w:sz w:val="21"/>
          <w:highlight w:val="none"/>
        </w:rPr>
      </w:pPr>
    </w:p>
    <w:p w14:paraId="5A5E5B75">
      <w:pPr>
        <w:tabs>
          <w:tab w:val="left" w:pos="1593"/>
        </w:tabs>
        <w:spacing w:before="130" w:line="221" w:lineRule="auto"/>
        <w:ind w:left="1367"/>
        <w:rPr>
          <w:rFonts w:ascii="宋体" w:hAnsi="宋体" w:eastAsia="宋体" w:cs="宋体"/>
          <w:color w:val="auto"/>
          <w:sz w:val="40"/>
          <w:szCs w:val="40"/>
          <w:highlight w:val="none"/>
        </w:rPr>
      </w:pPr>
      <w:r>
        <w:rPr>
          <w:rFonts w:ascii="宋体" w:hAnsi="宋体" w:eastAsia="宋体" w:cs="宋体"/>
          <w:color w:val="auto"/>
          <w:sz w:val="40"/>
          <w:szCs w:val="40"/>
          <w:highlight w:val="none"/>
          <w:u w:val="single" w:color="auto"/>
        </w:rPr>
        <w:tab/>
      </w:r>
      <w:r>
        <w:rPr>
          <w:rFonts w:ascii="宋体" w:hAnsi="宋体" w:eastAsia="宋体" w:cs="宋体"/>
          <w:color w:val="auto"/>
          <w:spacing w:val="-16"/>
          <w:sz w:val="40"/>
          <w:szCs w:val="40"/>
          <w:highlight w:val="none"/>
          <w:u w:val="single" w:color="auto"/>
        </w:rPr>
        <w:t xml:space="preserve">（项目名称）  </w:t>
      </w:r>
      <w:r>
        <w:rPr>
          <w:rFonts w:ascii="宋体" w:hAnsi="宋体" w:eastAsia="宋体" w:cs="宋体"/>
          <w:color w:val="auto"/>
          <w:spacing w:val="-172"/>
          <w:sz w:val="40"/>
          <w:szCs w:val="40"/>
          <w:highlight w:val="none"/>
        </w:rPr>
        <w:t xml:space="preserve"> </w:t>
      </w:r>
      <w:r>
        <w:rPr>
          <w:rFonts w:ascii="宋体" w:hAnsi="宋体" w:eastAsia="宋体" w:cs="宋体"/>
          <w:color w:val="auto"/>
          <w:spacing w:val="-16"/>
          <w:sz w:val="40"/>
          <w:szCs w:val="40"/>
          <w:highlight w:val="none"/>
        </w:rPr>
        <w:t>标段施工监理招标</w:t>
      </w:r>
    </w:p>
    <w:p w14:paraId="40056E23">
      <w:pPr>
        <w:spacing w:line="272" w:lineRule="auto"/>
        <w:rPr>
          <w:rFonts w:ascii="Arial"/>
          <w:color w:val="auto"/>
          <w:sz w:val="21"/>
          <w:highlight w:val="none"/>
        </w:rPr>
      </w:pPr>
    </w:p>
    <w:p w14:paraId="1A48E1C3">
      <w:pPr>
        <w:spacing w:line="272" w:lineRule="auto"/>
        <w:rPr>
          <w:rFonts w:ascii="Arial"/>
          <w:color w:val="auto"/>
          <w:sz w:val="21"/>
          <w:highlight w:val="none"/>
        </w:rPr>
      </w:pPr>
    </w:p>
    <w:p w14:paraId="34C35526">
      <w:pPr>
        <w:spacing w:line="272" w:lineRule="auto"/>
        <w:rPr>
          <w:rFonts w:ascii="Arial"/>
          <w:color w:val="auto"/>
          <w:sz w:val="21"/>
          <w:highlight w:val="none"/>
        </w:rPr>
      </w:pPr>
    </w:p>
    <w:p w14:paraId="33938029">
      <w:pPr>
        <w:spacing w:line="272" w:lineRule="auto"/>
        <w:rPr>
          <w:rFonts w:ascii="Arial"/>
          <w:color w:val="auto"/>
          <w:sz w:val="21"/>
          <w:highlight w:val="none"/>
        </w:rPr>
      </w:pPr>
    </w:p>
    <w:p w14:paraId="2E4E1B6D">
      <w:pPr>
        <w:spacing w:line="272" w:lineRule="auto"/>
        <w:rPr>
          <w:rFonts w:ascii="Arial"/>
          <w:color w:val="auto"/>
          <w:sz w:val="21"/>
          <w:highlight w:val="none"/>
        </w:rPr>
      </w:pPr>
    </w:p>
    <w:p w14:paraId="5EDABE08">
      <w:pPr>
        <w:spacing w:line="272" w:lineRule="auto"/>
        <w:rPr>
          <w:rFonts w:ascii="Arial"/>
          <w:color w:val="auto"/>
          <w:sz w:val="21"/>
          <w:highlight w:val="none"/>
        </w:rPr>
      </w:pPr>
    </w:p>
    <w:p w14:paraId="1B3E529E">
      <w:pPr>
        <w:spacing w:before="139" w:line="223" w:lineRule="auto"/>
        <w:ind w:left="2642"/>
        <w:rPr>
          <w:rFonts w:ascii="宋体" w:hAnsi="宋体" w:eastAsia="宋体" w:cs="宋体"/>
          <w:color w:val="auto"/>
          <w:sz w:val="43"/>
          <w:szCs w:val="43"/>
          <w:highlight w:val="none"/>
        </w:rPr>
      </w:pPr>
      <w:r>
        <w:rPr>
          <w:rFonts w:ascii="宋体" w:hAnsi="宋体" w:eastAsia="宋体" w:cs="宋体"/>
          <w:b/>
          <w:bCs/>
          <w:color w:val="auto"/>
          <w:spacing w:val="-14"/>
          <w:sz w:val="43"/>
          <w:szCs w:val="43"/>
          <w:highlight w:val="none"/>
        </w:rPr>
        <w:t>投</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标</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文</w:t>
      </w:r>
      <w:r>
        <w:rPr>
          <w:rFonts w:ascii="宋体" w:hAnsi="宋体" w:eastAsia="宋体" w:cs="宋体"/>
          <w:color w:val="auto"/>
          <w:spacing w:val="15"/>
          <w:sz w:val="43"/>
          <w:szCs w:val="43"/>
          <w:highlight w:val="none"/>
        </w:rPr>
        <w:t xml:space="preserve">  </w:t>
      </w:r>
      <w:r>
        <w:rPr>
          <w:rFonts w:ascii="宋体" w:hAnsi="宋体" w:eastAsia="宋体" w:cs="宋体"/>
          <w:b/>
          <w:bCs/>
          <w:color w:val="auto"/>
          <w:spacing w:val="-14"/>
          <w:sz w:val="43"/>
          <w:szCs w:val="43"/>
          <w:highlight w:val="none"/>
        </w:rPr>
        <w:t>件</w:t>
      </w:r>
    </w:p>
    <w:p w14:paraId="4BFA5743">
      <w:pPr>
        <w:spacing w:before="320" w:line="223" w:lineRule="auto"/>
        <w:ind w:left="3229"/>
        <w:outlineLvl w:val="0"/>
        <w:rPr>
          <w:rFonts w:ascii="宋体" w:hAnsi="宋体" w:eastAsia="宋体" w:cs="宋体"/>
          <w:color w:val="auto"/>
          <w:sz w:val="31"/>
          <w:szCs w:val="31"/>
          <w:highlight w:val="none"/>
        </w:rPr>
      </w:pPr>
      <w:bookmarkStart w:id="824" w:name="_Toc6888"/>
      <w:bookmarkStart w:id="825" w:name="_Toc4172"/>
      <w:bookmarkStart w:id="826" w:name="_Toc24729"/>
      <w:bookmarkStart w:id="827" w:name="_Toc2989"/>
      <w:bookmarkStart w:id="828" w:name="_Toc2015"/>
      <w:bookmarkStart w:id="829" w:name="_Toc12916"/>
      <w:bookmarkStart w:id="830" w:name="_Toc21957"/>
      <w:r>
        <w:rPr>
          <w:rFonts w:ascii="宋体" w:hAnsi="宋体" w:eastAsia="宋体" w:cs="宋体"/>
          <w:b/>
          <w:bCs/>
          <w:color w:val="auto"/>
          <w:spacing w:val="1"/>
          <w:sz w:val="31"/>
          <w:szCs w:val="31"/>
          <w:highlight w:val="none"/>
        </w:rPr>
        <w:t>（报价文件）</w:t>
      </w:r>
      <w:bookmarkEnd w:id="824"/>
      <w:bookmarkEnd w:id="825"/>
      <w:bookmarkEnd w:id="826"/>
      <w:bookmarkEnd w:id="827"/>
      <w:bookmarkEnd w:id="828"/>
      <w:bookmarkEnd w:id="829"/>
      <w:bookmarkEnd w:id="830"/>
    </w:p>
    <w:p w14:paraId="3A5D58FA">
      <w:pPr>
        <w:spacing w:line="241" w:lineRule="auto"/>
        <w:rPr>
          <w:rFonts w:ascii="Arial"/>
          <w:color w:val="auto"/>
          <w:sz w:val="21"/>
          <w:highlight w:val="none"/>
        </w:rPr>
      </w:pPr>
    </w:p>
    <w:p w14:paraId="1F5E517B">
      <w:pPr>
        <w:spacing w:line="241" w:lineRule="auto"/>
        <w:rPr>
          <w:rFonts w:ascii="Arial"/>
          <w:color w:val="auto"/>
          <w:sz w:val="21"/>
          <w:highlight w:val="none"/>
        </w:rPr>
      </w:pPr>
    </w:p>
    <w:p w14:paraId="79A09161">
      <w:pPr>
        <w:spacing w:line="241" w:lineRule="auto"/>
        <w:rPr>
          <w:rFonts w:ascii="Arial"/>
          <w:color w:val="auto"/>
          <w:sz w:val="21"/>
          <w:highlight w:val="none"/>
        </w:rPr>
      </w:pPr>
    </w:p>
    <w:p w14:paraId="02E83BAD">
      <w:pPr>
        <w:spacing w:line="241" w:lineRule="auto"/>
        <w:rPr>
          <w:rFonts w:ascii="Arial"/>
          <w:color w:val="auto"/>
          <w:sz w:val="21"/>
          <w:highlight w:val="none"/>
        </w:rPr>
      </w:pPr>
    </w:p>
    <w:p w14:paraId="27FE00E8">
      <w:pPr>
        <w:spacing w:line="241" w:lineRule="auto"/>
        <w:rPr>
          <w:rFonts w:ascii="Arial"/>
          <w:color w:val="auto"/>
          <w:sz w:val="21"/>
          <w:highlight w:val="none"/>
        </w:rPr>
      </w:pPr>
    </w:p>
    <w:p w14:paraId="44AF2C6F">
      <w:pPr>
        <w:spacing w:line="241" w:lineRule="auto"/>
        <w:rPr>
          <w:rFonts w:ascii="Arial"/>
          <w:color w:val="auto"/>
          <w:sz w:val="21"/>
          <w:highlight w:val="none"/>
        </w:rPr>
      </w:pPr>
    </w:p>
    <w:p w14:paraId="6742304A">
      <w:pPr>
        <w:spacing w:line="241" w:lineRule="auto"/>
        <w:rPr>
          <w:rFonts w:ascii="Arial"/>
          <w:color w:val="auto"/>
          <w:sz w:val="21"/>
          <w:highlight w:val="none"/>
        </w:rPr>
      </w:pPr>
    </w:p>
    <w:p w14:paraId="606CCF1F">
      <w:pPr>
        <w:spacing w:line="241" w:lineRule="auto"/>
        <w:rPr>
          <w:rFonts w:ascii="Arial"/>
          <w:color w:val="auto"/>
          <w:sz w:val="21"/>
          <w:highlight w:val="none"/>
        </w:rPr>
      </w:pPr>
    </w:p>
    <w:p w14:paraId="3A32D4F2">
      <w:pPr>
        <w:spacing w:line="241" w:lineRule="auto"/>
        <w:rPr>
          <w:rFonts w:ascii="Arial"/>
          <w:color w:val="auto"/>
          <w:sz w:val="21"/>
          <w:highlight w:val="none"/>
        </w:rPr>
      </w:pPr>
    </w:p>
    <w:p w14:paraId="4358D3F4">
      <w:pPr>
        <w:spacing w:line="241" w:lineRule="auto"/>
        <w:rPr>
          <w:rFonts w:ascii="Arial"/>
          <w:color w:val="auto"/>
          <w:sz w:val="21"/>
          <w:highlight w:val="none"/>
        </w:rPr>
      </w:pPr>
    </w:p>
    <w:p w14:paraId="629F7628">
      <w:pPr>
        <w:spacing w:line="241" w:lineRule="auto"/>
        <w:rPr>
          <w:rFonts w:ascii="Arial"/>
          <w:color w:val="auto"/>
          <w:sz w:val="21"/>
          <w:highlight w:val="none"/>
        </w:rPr>
      </w:pPr>
    </w:p>
    <w:p w14:paraId="4FEE99EF">
      <w:pPr>
        <w:spacing w:line="241" w:lineRule="auto"/>
        <w:rPr>
          <w:rFonts w:ascii="Arial"/>
          <w:color w:val="auto"/>
          <w:sz w:val="21"/>
          <w:highlight w:val="none"/>
        </w:rPr>
      </w:pPr>
    </w:p>
    <w:p w14:paraId="13B324CA">
      <w:pPr>
        <w:spacing w:line="241" w:lineRule="auto"/>
        <w:rPr>
          <w:rFonts w:ascii="Arial"/>
          <w:color w:val="auto"/>
          <w:sz w:val="21"/>
          <w:highlight w:val="none"/>
        </w:rPr>
      </w:pPr>
    </w:p>
    <w:p w14:paraId="65AE8817">
      <w:pPr>
        <w:spacing w:line="241" w:lineRule="auto"/>
        <w:rPr>
          <w:rFonts w:ascii="Arial"/>
          <w:color w:val="auto"/>
          <w:sz w:val="21"/>
          <w:highlight w:val="none"/>
        </w:rPr>
      </w:pPr>
    </w:p>
    <w:p w14:paraId="10B50A31">
      <w:pPr>
        <w:spacing w:line="241" w:lineRule="auto"/>
        <w:rPr>
          <w:rFonts w:ascii="Arial"/>
          <w:color w:val="auto"/>
          <w:sz w:val="21"/>
          <w:highlight w:val="none"/>
        </w:rPr>
      </w:pPr>
    </w:p>
    <w:p w14:paraId="1D1465F6">
      <w:pPr>
        <w:spacing w:line="242" w:lineRule="auto"/>
        <w:rPr>
          <w:rFonts w:ascii="Arial"/>
          <w:color w:val="auto"/>
          <w:sz w:val="21"/>
          <w:highlight w:val="none"/>
        </w:rPr>
      </w:pPr>
    </w:p>
    <w:p w14:paraId="0BE6218B">
      <w:pPr>
        <w:spacing w:line="242" w:lineRule="auto"/>
        <w:rPr>
          <w:rFonts w:ascii="Arial"/>
          <w:color w:val="auto"/>
          <w:sz w:val="21"/>
          <w:highlight w:val="none"/>
        </w:rPr>
      </w:pPr>
    </w:p>
    <w:p w14:paraId="30738FBA">
      <w:pPr>
        <w:spacing w:line="242" w:lineRule="auto"/>
        <w:rPr>
          <w:rFonts w:ascii="Arial"/>
          <w:color w:val="auto"/>
          <w:sz w:val="21"/>
          <w:highlight w:val="none"/>
        </w:rPr>
      </w:pPr>
    </w:p>
    <w:p w14:paraId="72689E3F">
      <w:pPr>
        <w:spacing w:line="242" w:lineRule="auto"/>
        <w:rPr>
          <w:rFonts w:ascii="Arial"/>
          <w:color w:val="auto"/>
          <w:sz w:val="21"/>
          <w:highlight w:val="none"/>
        </w:rPr>
      </w:pPr>
    </w:p>
    <w:p w14:paraId="58A40160">
      <w:pPr>
        <w:spacing w:line="242" w:lineRule="auto"/>
        <w:rPr>
          <w:rFonts w:ascii="Arial"/>
          <w:color w:val="auto"/>
          <w:sz w:val="21"/>
          <w:highlight w:val="none"/>
        </w:rPr>
      </w:pPr>
    </w:p>
    <w:p w14:paraId="30E675FC">
      <w:pPr>
        <w:spacing w:line="242" w:lineRule="auto"/>
        <w:rPr>
          <w:rFonts w:ascii="Arial"/>
          <w:color w:val="auto"/>
          <w:sz w:val="21"/>
          <w:highlight w:val="none"/>
        </w:rPr>
      </w:pPr>
    </w:p>
    <w:p w14:paraId="7857FC0F">
      <w:pPr>
        <w:spacing w:line="242" w:lineRule="auto"/>
        <w:rPr>
          <w:rFonts w:ascii="Arial"/>
          <w:color w:val="auto"/>
          <w:sz w:val="21"/>
          <w:highlight w:val="none"/>
        </w:rPr>
      </w:pPr>
    </w:p>
    <w:p w14:paraId="3011A061">
      <w:pPr>
        <w:spacing w:line="242" w:lineRule="auto"/>
        <w:rPr>
          <w:rFonts w:ascii="Arial"/>
          <w:color w:val="auto"/>
          <w:sz w:val="21"/>
          <w:highlight w:val="none"/>
        </w:rPr>
      </w:pPr>
    </w:p>
    <w:p w14:paraId="234E4B81">
      <w:pPr>
        <w:spacing w:line="242" w:lineRule="auto"/>
        <w:rPr>
          <w:rFonts w:ascii="Arial"/>
          <w:color w:val="auto"/>
          <w:sz w:val="21"/>
          <w:highlight w:val="none"/>
        </w:rPr>
      </w:pPr>
    </w:p>
    <w:p w14:paraId="417F810E">
      <w:pPr>
        <w:spacing w:line="242" w:lineRule="auto"/>
        <w:rPr>
          <w:rFonts w:ascii="Arial"/>
          <w:color w:val="auto"/>
          <w:sz w:val="21"/>
          <w:highlight w:val="none"/>
        </w:rPr>
      </w:pPr>
    </w:p>
    <w:p w14:paraId="1F214C46">
      <w:pPr>
        <w:spacing w:line="242" w:lineRule="auto"/>
        <w:rPr>
          <w:rFonts w:ascii="Arial"/>
          <w:color w:val="auto"/>
          <w:sz w:val="21"/>
          <w:highlight w:val="none"/>
        </w:rPr>
      </w:pPr>
    </w:p>
    <w:p w14:paraId="195FE551">
      <w:pPr>
        <w:spacing w:before="92" w:line="219" w:lineRule="auto"/>
        <w:ind w:left="542"/>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投标人：</w:t>
      </w:r>
      <w:r>
        <w:rPr>
          <w:rFonts w:ascii="宋体" w:hAnsi="宋体" w:eastAsia="宋体" w:cs="宋体"/>
          <w:color w:val="auto"/>
          <w:spacing w:val="-5"/>
          <w:sz w:val="28"/>
          <w:szCs w:val="28"/>
          <w:highlight w:val="none"/>
          <w:u w:val="single" w:color="auto"/>
        </w:rPr>
        <w:t xml:space="preserve">                                   </w:t>
      </w:r>
      <w:r>
        <w:rPr>
          <w:rFonts w:ascii="宋体" w:hAnsi="宋体" w:eastAsia="宋体" w:cs="宋体"/>
          <w:color w:val="auto"/>
          <w:spacing w:val="-70"/>
          <w:sz w:val="28"/>
          <w:szCs w:val="28"/>
          <w:highlight w:val="none"/>
        </w:rPr>
        <w:t xml:space="preserve"> </w:t>
      </w:r>
      <w:r>
        <w:rPr>
          <w:rFonts w:ascii="宋体" w:hAnsi="宋体" w:eastAsia="宋体" w:cs="宋体"/>
          <w:color w:val="auto"/>
          <w:spacing w:val="-5"/>
          <w:sz w:val="28"/>
          <w:szCs w:val="28"/>
          <w:highlight w:val="none"/>
        </w:rPr>
        <w:t>(盖单位章)</w:t>
      </w:r>
    </w:p>
    <w:p w14:paraId="6C24E902">
      <w:pPr>
        <w:spacing w:line="452" w:lineRule="auto"/>
        <w:rPr>
          <w:rFonts w:ascii="Arial"/>
          <w:color w:val="auto"/>
          <w:sz w:val="21"/>
          <w:highlight w:val="none"/>
        </w:rPr>
      </w:pPr>
    </w:p>
    <w:p w14:paraId="10C8CCC1">
      <w:pPr>
        <w:tabs>
          <w:tab w:val="left" w:pos="3117"/>
        </w:tabs>
        <w:spacing w:before="91" w:line="220" w:lineRule="auto"/>
        <w:ind w:left="1996"/>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7"/>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pacing w:val="19"/>
          <w:sz w:val="28"/>
          <w:szCs w:val="28"/>
          <w:highlight w:val="none"/>
          <w:u w:val="single" w:color="auto"/>
        </w:rPr>
        <w:t xml:space="preserve">       </w:t>
      </w:r>
      <w:r>
        <w:rPr>
          <w:rFonts w:ascii="宋体" w:hAnsi="宋体" w:eastAsia="宋体" w:cs="宋体"/>
          <w:color w:val="auto"/>
          <w:spacing w:val="-117"/>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10"/>
          <w:sz w:val="28"/>
          <w:szCs w:val="28"/>
          <w:highlight w:val="none"/>
        </w:rPr>
        <w:t>日</w:t>
      </w:r>
    </w:p>
    <w:p w14:paraId="4DD9B2EA">
      <w:pPr>
        <w:spacing w:line="220" w:lineRule="auto"/>
        <w:rPr>
          <w:rFonts w:ascii="宋体" w:hAnsi="宋体" w:eastAsia="宋体" w:cs="宋体"/>
          <w:color w:val="auto"/>
          <w:sz w:val="28"/>
          <w:szCs w:val="28"/>
          <w:highlight w:val="none"/>
        </w:rPr>
        <w:sectPr>
          <w:footerReference r:id="rId60" w:type="default"/>
          <w:pgSz w:w="11906" w:h="16839"/>
          <w:pgMar w:top="1431" w:right="1785" w:bottom="1297" w:left="1785" w:header="0" w:footer="1067" w:gutter="0"/>
          <w:pgNumType w:fmt="decimal"/>
          <w:cols w:space="720" w:num="1"/>
        </w:sectPr>
      </w:pPr>
    </w:p>
    <w:p w14:paraId="36E80DDA">
      <w:pPr>
        <w:spacing w:line="252" w:lineRule="auto"/>
        <w:rPr>
          <w:rFonts w:ascii="Arial"/>
          <w:color w:val="auto"/>
          <w:sz w:val="21"/>
          <w:highlight w:val="none"/>
        </w:rPr>
      </w:pPr>
    </w:p>
    <w:p w14:paraId="59074D29">
      <w:pPr>
        <w:spacing w:line="253" w:lineRule="auto"/>
        <w:rPr>
          <w:rFonts w:ascii="Arial"/>
          <w:color w:val="auto"/>
          <w:sz w:val="21"/>
          <w:highlight w:val="none"/>
        </w:rPr>
      </w:pPr>
    </w:p>
    <w:p w14:paraId="487D7BCB">
      <w:pPr>
        <w:spacing w:line="253" w:lineRule="auto"/>
        <w:rPr>
          <w:rFonts w:ascii="Arial"/>
          <w:color w:val="auto"/>
          <w:sz w:val="21"/>
          <w:highlight w:val="none"/>
        </w:rPr>
      </w:pPr>
    </w:p>
    <w:p w14:paraId="2542500D">
      <w:pPr>
        <w:spacing w:before="100" w:line="227" w:lineRule="auto"/>
        <w:ind w:left="3759"/>
        <w:rPr>
          <w:rFonts w:ascii="宋体" w:hAnsi="宋体" w:eastAsia="宋体" w:cs="宋体"/>
          <w:color w:val="auto"/>
          <w:sz w:val="31"/>
          <w:szCs w:val="31"/>
          <w:highlight w:val="none"/>
        </w:rPr>
      </w:pPr>
      <w:r>
        <w:rPr>
          <w:rFonts w:ascii="宋体" w:hAnsi="宋体" w:eastAsia="宋体" w:cs="宋体"/>
          <w:color w:val="auto"/>
          <w:spacing w:val="-33"/>
          <w:sz w:val="31"/>
          <w:szCs w:val="31"/>
          <w:highlight w:val="none"/>
        </w:rPr>
        <w:t>目</w:t>
      </w:r>
      <w:r>
        <w:rPr>
          <w:rFonts w:ascii="宋体" w:hAnsi="宋体" w:eastAsia="宋体" w:cs="宋体"/>
          <w:color w:val="auto"/>
          <w:spacing w:val="13"/>
          <w:sz w:val="31"/>
          <w:szCs w:val="31"/>
          <w:highlight w:val="none"/>
        </w:rPr>
        <w:t xml:space="preserve">  </w:t>
      </w:r>
      <w:r>
        <w:rPr>
          <w:rFonts w:ascii="宋体" w:hAnsi="宋体" w:eastAsia="宋体" w:cs="宋体"/>
          <w:color w:val="auto"/>
          <w:spacing w:val="-33"/>
          <w:sz w:val="31"/>
          <w:szCs w:val="31"/>
          <w:highlight w:val="none"/>
        </w:rPr>
        <w:t>录</w:t>
      </w:r>
    </w:p>
    <w:p w14:paraId="598DAAF2">
      <w:pPr>
        <w:spacing w:line="271" w:lineRule="auto"/>
        <w:rPr>
          <w:rFonts w:ascii="Arial"/>
          <w:color w:val="auto"/>
          <w:sz w:val="21"/>
          <w:highlight w:val="none"/>
        </w:rPr>
      </w:pPr>
    </w:p>
    <w:p w14:paraId="1948704C">
      <w:pPr>
        <w:spacing w:before="91" w:line="221" w:lineRule="auto"/>
        <w:ind w:left="70"/>
        <w:outlineLvl w:val="1"/>
        <w:rPr>
          <w:rFonts w:ascii="宋体" w:hAnsi="宋体" w:eastAsia="宋体" w:cs="宋体"/>
          <w:color w:val="auto"/>
          <w:sz w:val="28"/>
          <w:szCs w:val="28"/>
          <w:highlight w:val="none"/>
        </w:rPr>
      </w:pPr>
      <w:bookmarkStart w:id="831" w:name="_Toc6687"/>
      <w:bookmarkStart w:id="832" w:name="_Toc6027"/>
      <w:bookmarkStart w:id="833" w:name="_Toc26072"/>
      <w:bookmarkStart w:id="834" w:name="_Toc32037"/>
      <w:bookmarkStart w:id="835" w:name="_Toc15450"/>
      <w:bookmarkStart w:id="836" w:name="_Toc3956"/>
      <w:bookmarkStart w:id="837" w:name="_Toc32568"/>
      <w:r>
        <w:rPr>
          <w:rFonts w:ascii="宋体" w:hAnsi="宋体" w:eastAsia="宋体" w:cs="宋体"/>
          <w:color w:val="auto"/>
          <w:spacing w:val="-3"/>
          <w:sz w:val="28"/>
          <w:szCs w:val="28"/>
          <w:highlight w:val="none"/>
        </w:rPr>
        <w:t>一、投标函</w:t>
      </w:r>
      <w:bookmarkEnd w:id="831"/>
      <w:bookmarkEnd w:id="832"/>
      <w:bookmarkEnd w:id="833"/>
      <w:bookmarkEnd w:id="834"/>
      <w:bookmarkEnd w:id="835"/>
      <w:bookmarkEnd w:id="836"/>
      <w:bookmarkEnd w:id="837"/>
    </w:p>
    <w:p w14:paraId="5A206FCE">
      <w:pPr>
        <w:spacing w:line="273" w:lineRule="auto"/>
        <w:rPr>
          <w:rFonts w:ascii="Arial"/>
          <w:color w:val="auto"/>
          <w:sz w:val="21"/>
          <w:highlight w:val="none"/>
        </w:rPr>
      </w:pPr>
    </w:p>
    <w:p w14:paraId="3ED35F8E">
      <w:pPr>
        <w:spacing w:before="91" w:line="220" w:lineRule="auto"/>
        <w:ind w:left="7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二、监理服务费用清单</w:t>
      </w:r>
    </w:p>
    <w:p w14:paraId="70A08A87">
      <w:pPr>
        <w:spacing w:line="220" w:lineRule="auto"/>
        <w:rPr>
          <w:rFonts w:ascii="宋体" w:hAnsi="宋体" w:eastAsia="宋体" w:cs="宋体"/>
          <w:color w:val="auto"/>
          <w:sz w:val="28"/>
          <w:szCs w:val="28"/>
          <w:highlight w:val="none"/>
        </w:rPr>
        <w:sectPr>
          <w:footerReference r:id="rId61" w:type="default"/>
          <w:pgSz w:w="11906" w:h="16839"/>
          <w:pgMar w:top="1431" w:right="1785" w:bottom="1297" w:left="1785" w:header="0" w:footer="1069" w:gutter="0"/>
          <w:pgNumType w:fmt="decimal"/>
          <w:cols w:space="720" w:num="1"/>
        </w:sectPr>
      </w:pPr>
    </w:p>
    <w:p w14:paraId="32C552B7">
      <w:pPr>
        <w:spacing w:before="163" w:line="220" w:lineRule="auto"/>
        <w:ind w:left="394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0FBBFB87">
      <w:pPr>
        <w:spacing w:line="320" w:lineRule="auto"/>
        <w:rPr>
          <w:rFonts w:ascii="Arial"/>
          <w:color w:val="auto"/>
          <w:sz w:val="21"/>
          <w:highlight w:val="none"/>
        </w:rPr>
      </w:pPr>
    </w:p>
    <w:p w14:paraId="0A323A37">
      <w:pPr>
        <w:tabs>
          <w:tab w:val="left" w:pos="2997"/>
        </w:tabs>
        <w:spacing w:before="78" w:line="220" w:lineRule="auto"/>
        <w:ind w:left="11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（招标人名称）：</w:t>
      </w:r>
    </w:p>
    <w:p w14:paraId="3AC8D143">
      <w:pPr>
        <w:spacing w:before="232" w:line="286" w:lineRule="auto"/>
        <w:ind w:left="9" w:firstLine="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1．我方已仔细研究</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（项目名称）</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3"/>
          <w:sz w:val="24"/>
          <w:szCs w:val="24"/>
          <w:highlight w:val="none"/>
        </w:rPr>
        <w:t>标段</w:t>
      </w:r>
      <w:r>
        <w:rPr>
          <w:rFonts w:ascii="宋体" w:hAnsi="宋体" w:eastAsia="宋体" w:cs="宋体"/>
          <w:color w:val="auto"/>
          <w:spacing w:val="2"/>
          <w:sz w:val="24"/>
          <w:szCs w:val="24"/>
          <w:highlight w:val="none"/>
        </w:rPr>
        <w:t>施工监理招</w:t>
      </w:r>
      <w:r>
        <w:rPr>
          <w:rFonts w:ascii="宋体" w:hAnsi="宋体" w:eastAsia="宋体" w:cs="宋体"/>
          <w:color w:val="auto"/>
          <w:spacing w:val="23"/>
          <w:sz w:val="24"/>
          <w:szCs w:val="24"/>
          <w:highlight w:val="none"/>
        </w:rPr>
        <w:t>标文件的全部内容（含补遗书</w:t>
      </w:r>
      <w:r>
        <w:rPr>
          <w:rFonts w:ascii="宋体" w:hAnsi="宋体" w:eastAsia="宋体" w:cs="宋体"/>
          <w:color w:val="auto"/>
          <w:spacing w:val="4"/>
          <w:sz w:val="24"/>
          <w:szCs w:val="24"/>
          <w:highlight w:val="none"/>
        </w:rPr>
        <w:t>）</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23"/>
          <w:sz w:val="24"/>
          <w:szCs w:val="24"/>
          <w:highlight w:val="none"/>
        </w:rPr>
        <w:t>在考察工程现场后</w:t>
      </w:r>
      <w:r>
        <w:rPr>
          <w:rFonts w:ascii="宋体" w:hAnsi="宋体" w:eastAsia="宋体" w:cs="宋体"/>
          <w:color w:val="auto"/>
          <w:spacing w:val="-62"/>
          <w:sz w:val="24"/>
          <w:szCs w:val="24"/>
          <w:highlight w:val="none"/>
        </w:rPr>
        <w:t xml:space="preserve"> </w:t>
      </w:r>
      <w:r>
        <w:rPr>
          <w:rFonts w:ascii="宋体" w:hAnsi="宋体" w:eastAsia="宋体" w:cs="宋体"/>
          <w:color w:val="auto"/>
          <w:spacing w:val="23"/>
          <w:sz w:val="24"/>
          <w:szCs w:val="24"/>
          <w:highlight w:val="none"/>
        </w:rPr>
        <w:t>，愿意以人民币（大</w:t>
      </w:r>
      <w:r>
        <w:rPr>
          <w:rFonts w:ascii="宋体" w:hAnsi="宋体" w:eastAsia="宋体" w:cs="宋体"/>
          <w:color w:val="auto"/>
          <w:spacing w:val="22"/>
          <w:sz w:val="24"/>
          <w:szCs w:val="24"/>
          <w:highlight w:val="none"/>
        </w:rPr>
        <w:t>写）</w:t>
      </w:r>
      <w:r>
        <w:rPr>
          <w:rFonts w:ascii="宋体" w:hAnsi="宋体" w:eastAsia="宋体" w:cs="宋体"/>
          <w:color w:val="auto"/>
          <w:sz w:val="24"/>
          <w:szCs w:val="24"/>
          <w:highlight w:val="none"/>
        </w:rPr>
        <w:t>元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的投标总报价（或</w:t>
      </w:r>
      <w:r>
        <w:rPr>
          <w:rFonts w:ascii="宋体" w:hAnsi="宋体" w:eastAsia="宋体" w:cs="宋体"/>
          <w:color w:val="auto"/>
          <w:spacing w:val="-1"/>
          <w:sz w:val="24"/>
          <w:szCs w:val="24"/>
          <w:highlight w:val="none"/>
        </w:rPr>
        <w:t>根据招标文件规定修正核实后确定的另一金额，其中，增值税税率为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按合同约定完成施工监理工作。</w:t>
      </w:r>
    </w:p>
    <w:p w14:paraId="282DF0D5">
      <w:pPr>
        <w:spacing w:before="115" w:line="263" w:lineRule="auto"/>
        <w:ind w:left="8"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2．在合同协议书正式签署生效之前，本投标函连</w:t>
      </w:r>
      <w:r>
        <w:rPr>
          <w:rFonts w:ascii="宋体" w:hAnsi="宋体" w:eastAsia="宋体" w:cs="宋体"/>
          <w:color w:val="auto"/>
          <w:spacing w:val="1"/>
          <w:sz w:val="24"/>
          <w:szCs w:val="24"/>
          <w:highlight w:val="none"/>
        </w:rPr>
        <w:t>同你方的中标通知书将构成我们</w:t>
      </w:r>
      <w:r>
        <w:rPr>
          <w:rFonts w:ascii="宋体" w:hAnsi="宋体" w:eastAsia="宋体" w:cs="宋体"/>
          <w:color w:val="auto"/>
          <w:spacing w:val="-1"/>
          <w:sz w:val="24"/>
          <w:szCs w:val="24"/>
          <w:highlight w:val="none"/>
        </w:rPr>
        <w:t>双方之间共同遵守的文件，对双方具有约束力。</w:t>
      </w:r>
    </w:p>
    <w:p w14:paraId="51296547">
      <w:pPr>
        <w:spacing w:before="116"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其他补充说明）。</w:t>
      </w:r>
    </w:p>
    <w:p w14:paraId="70FCC513">
      <w:pPr>
        <w:spacing w:line="309" w:lineRule="auto"/>
        <w:rPr>
          <w:rFonts w:ascii="Arial"/>
          <w:color w:val="auto"/>
          <w:sz w:val="21"/>
          <w:highlight w:val="none"/>
        </w:rPr>
      </w:pPr>
    </w:p>
    <w:p w14:paraId="76C25A7E">
      <w:pPr>
        <w:spacing w:before="79" w:line="342" w:lineRule="auto"/>
        <w:ind w:left="3431"/>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投 标 人</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9"/>
          <w:sz w:val="24"/>
          <w:szCs w:val="24"/>
          <w:highlight w:val="none"/>
        </w:rPr>
        <w:t>（</w:t>
      </w:r>
      <w:r>
        <w:rPr>
          <w:rFonts w:ascii="宋体" w:hAnsi="宋体" w:eastAsia="宋体" w:cs="宋体"/>
          <w:color w:val="auto"/>
          <w:spacing w:val="4"/>
          <w:sz w:val="24"/>
          <w:szCs w:val="24"/>
          <w:highlight w:val="none"/>
        </w:rPr>
        <w:t>盖单位章）</w:t>
      </w:r>
    </w:p>
    <w:p w14:paraId="307FB82D">
      <w:pPr>
        <w:spacing w:before="81" w:line="219" w:lineRule="auto"/>
        <w:ind w:left="342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65C9D6C7">
      <w:pPr>
        <w:spacing w:before="115" w:line="229" w:lineRule="auto"/>
        <w:ind w:left="34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71605C61">
      <w:pPr>
        <w:spacing w:before="101" w:line="224" w:lineRule="auto"/>
        <w:ind w:left="3447"/>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网址：</w:t>
      </w:r>
      <w:r>
        <w:rPr>
          <w:rFonts w:ascii="宋体" w:hAnsi="宋体" w:eastAsia="宋体" w:cs="宋体"/>
          <w:color w:val="auto"/>
          <w:sz w:val="24"/>
          <w:szCs w:val="24"/>
          <w:highlight w:val="none"/>
          <w:u w:val="single" w:color="auto"/>
        </w:rPr>
        <w:t xml:space="preserve">                                     </w:t>
      </w:r>
    </w:p>
    <w:p w14:paraId="0D0F4223">
      <w:pPr>
        <w:spacing w:before="110" w:line="221" w:lineRule="auto"/>
        <w:ind w:left="345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1A624B34">
      <w:pPr>
        <w:spacing w:before="113" w:line="219" w:lineRule="auto"/>
        <w:ind w:left="34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5E2F38B8">
      <w:pPr>
        <w:spacing w:before="114" w:line="219" w:lineRule="auto"/>
        <w:ind w:left="344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79F73CF8">
      <w:pPr>
        <w:spacing w:line="345" w:lineRule="auto"/>
        <w:rPr>
          <w:rFonts w:ascii="Arial"/>
          <w:color w:val="auto"/>
          <w:sz w:val="21"/>
          <w:highlight w:val="none"/>
        </w:rPr>
      </w:pPr>
    </w:p>
    <w:p w14:paraId="48259979">
      <w:pPr>
        <w:tabs>
          <w:tab w:val="left" w:pos="6670"/>
        </w:tabs>
        <w:spacing w:before="79" w:line="219" w:lineRule="auto"/>
        <w:ind w:left="5590"/>
        <w:outlineLvl w:val="1"/>
        <w:rPr>
          <w:rFonts w:ascii="宋体" w:hAnsi="宋体" w:eastAsia="宋体" w:cs="宋体"/>
          <w:color w:val="auto"/>
          <w:sz w:val="24"/>
          <w:szCs w:val="24"/>
          <w:highlight w:val="none"/>
        </w:rPr>
      </w:pPr>
      <w:bookmarkStart w:id="838" w:name="bookmark162"/>
      <w:bookmarkEnd w:id="838"/>
      <w:r>
        <w:rPr>
          <w:rFonts w:ascii="宋体" w:hAnsi="宋体" w:eastAsia="宋体" w:cs="宋体"/>
          <w:color w:val="auto"/>
          <w:sz w:val="24"/>
          <w:szCs w:val="24"/>
          <w:highlight w:val="none"/>
          <w:u w:val="single" w:color="auto"/>
        </w:rPr>
        <w:tab/>
      </w:r>
      <w:r>
        <w:rPr>
          <w:rFonts w:ascii="宋体" w:hAnsi="宋体" w:eastAsia="宋体" w:cs="宋体"/>
          <w:color w:val="auto"/>
          <w:spacing w:val="-108"/>
          <w:sz w:val="24"/>
          <w:szCs w:val="24"/>
          <w:highlight w:val="none"/>
        </w:rPr>
        <w:t xml:space="preserve"> </w:t>
      </w:r>
      <w:bookmarkStart w:id="839" w:name="_Toc19932"/>
      <w:bookmarkStart w:id="840" w:name="_Toc16024"/>
      <w:bookmarkStart w:id="841" w:name="_Toc11909"/>
      <w:bookmarkStart w:id="842" w:name="_Toc1007"/>
      <w:bookmarkStart w:id="843" w:name="_Toc3174"/>
      <w:bookmarkStart w:id="844" w:name="_Toc19658"/>
      <w:bookmarkStart w:id="845" w:name="_Toc29290"/>
      <w:r>
        <w:rPr>
          <w:rFonts w:ascii="宋体" w:hAnsi="宋体" w:eastAsia="宋体" w:cs="宋体"/>
          <w:color w:val="auto"/>
          <w:spacing w:val="-26"/>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26"/>
          <w:sz w:val="24"/>
          <w:szCs w:val="24"/>
          <w:highlight w:val="none"/>
        </w:rPr>
        <w:t>日</w:t>
      </w:r>
      <w:bookmarkEnd w:id="839"/>
      <w:bookmarkEnd w:id="840"/>
      <w:bookmarkEnd w:id="841"/>
      <w:bookmarkEnd w:id="842"/>
      <w:bookmarkEnd w:id="843"/>
      <w:bookmarkEnd w:id="844"/>
      <w:bookmarkEnd w:id="845"/>
    </w:p>
    <w:p w14:paraId="062E72DD">
      <w:pPr>
        <w:spacing w:line="248" w:lineRule="auto"/>
        <w:rPr>
          <w:rFonts w:ascii="Arial"/>
          <w:color w:val="auto"/>
          <w:sz w:val="21"/>
          <w:highlight w:val="none"/>
        </w:rPr>
      </w:pPr>
    </w:p>
    <w:p w14:paraId="4057F2C3">
      <w:pPr>
        <w:spacing w:line="248" w:lineRule="auto"/>
        <w:rPr>
          <w:rFonts w:ascii="Arial"/>
          <w:color w:val="auto"/>
          <w:sz w:val="21"/>
          <w:highlight w:val="none"/>
        </w:rPr>
      </w:pPr>
    </w:p>
    <w:p w14:paraId="0487C1CF">
      <w:pPr>
        <w:spacing w:line="248" w:lineRule="auto"/>
        <w:rPr>
          <w:rFonts w:ascii="Arial"/>
          <w:color w:val="auto"/>
          <w:sz w:val="21"/>
          <w:highlight w:val="none"/>
        </w:rPr>
      </w:pPr>
    </w:p>
    <w:p w14:paraId="48A9CBA4">
      <w:pPr>
        <w:spacing w:line="248" w:lineRule="auto"/>
        <w:rPr>
          <w:rFonts w:ascii="Arial"/>
          <w:color w:val="auto"/>
          <w:sz w:val="21"/>
          <w:highlight w:val="none"/>
        </w:rPr>
      </w:pPr>
    </w:p>
    <w:p w14:paraId="23364FB3">
      <w:pPr>
        <w:spacing w:line="249" w:lineRule="auto"/>
        <w:rPr>
          <w:rFonts w:ascii="Arial"/>
          <w:color w:val="auto"/>
          <w:sz w:val="21"/>
          <w:highlight w:val="none"/>
        </w:rPr>
      </w:pPr>
    </w:p>
    <w:p w14:paraId="2BD5C4AD">
      <w:pPr>
        <w:spacing w:line="249" w:lineRule="auto"/>
        <w:rPr>
          <w:rFonts w:ascii="Arial"/>
          <w:color w:val="auto"/>
          <w:sz w:val="21"/>
          <w:highlight w:val="none"/>
        </w:rPr>
      </w:pPr>
    </w:p>
    <w:p w14:paraId="3FF74F94">
      <w:pPr>
        <w:spacing w:line="249" w:lineRule="auto"/>
        <w:rPr>
          <w:rFonts w:ascii="Arial"/>
          <w:color w:val="auto"/>
          <w:sz w:val="21"/>
          <w:highlight w:val="none"/>
        </w:rPr>
      </w:pPr>
    </w:p>
    <w:p w14:paraId="435EED4A">
      <w:pPr>
        <w:spacing w:line="249" w:lineRule="auto"/>
        <w:rPr>
          <w:rFonts w:ascii="Arial"/>
          <w:color w:val="auto"/>
          <w:sz w:val="21"/>
          <w:highlight w:val="none"/>
        </w:rPr>
      </w:pPr>
    </w:p>
    <w:p w14:paraId="7AD13B5C">
      <w:pPr>
        <w:spacing w:line="249" w:lineRule="auto"/>
        <w:rPr>
          <w:rFonts w:ascii="Arial"/>
          <w:color w:val="auto"/>
          <w:sz w:val="21"/>
          <w:highlight w:val="none"/>
        </w:rPr>
      </w:pPr>
    </w:p>
    <w:p w14:paraId="1ACEC46D">
      <w:pPr>
        <w:spacing w:line="249" w:lineRule="auto"/>
        <w:rPr>
          <w:rFonts w:ascii="Arial"/>
          <w:color w:val="auto"/>
          <w:sz w:val="21"/>
          <w:highlight w:val="none"/>
        </w:rPr>
      </w:pPr>
    </w:p>
    <w:p w14:paraId="56FE2F8E">
      <w:pPr>
        <w:spacing w:line="249" w:lineRule="auto"/>
        <w:rPr>
          <w:rFonts w:ascii="Arial"/>
          <w:color w:val="auto"/>
          <w:sz w:val="21"/>
          <w:highlight w:val="none"/>
        </w:rPr>
      </w:pPr>
    </w:p>
    <w:p w14:paraId="731159E2">
      <w:pPr>
        <w:spacing w:line="249" w:lineRule="auto"/>
        <w:rPr>
          <w:rFonts w:ascii="Arial"/>
          <w:color w:val="auto"/>
          <w:sz w:val="21"/>
          <w:highlight w:val="none"/>
        </w:rPr>
      </w:pPr>
    </w:p>
    <w:p w14:paraId="5F38CC4C">
      <w:pPr>
        <w:spacing w:line="249" w:lineRule="auto"/>
        <w:rPr>
          <w:rFonts w:ascii="Arial"/>
          <w:color w:val="auto"/>
          <w:sz w:val="21"/>
          <w:highlight w:val="none"/>
        </w:rPr>
      </w:pPr>
    </w:p>
    <w:p w14:paraId="3E9425E3">
      <w:pPr>
        <w:spacing w:line="249" w:lineRule="auto"/>
        <w:rPr>
          <w:rFonts w:ascii="Arial"/>
          <w:color w:val="auto"/>
          <w:sz w:val="21"/>
          <w:highlight w:val="none"/>
        </w:rPr>
      </w:pPr>
    </w:p>
    <w:p w14:paraId="6BD6F792">
      <w:pPr>
        <w:spacing w:line="249" w:lineRule="auto"/>
        <w:rPr>
          <w:rFonts w:ascii="Arial"/>
          <w:color w:val="auto"/>
          <w:sz w:val="21"/>
          <w:highlight w:val="none"/>
        </w:rPr>
      </w:pPr>
    </w:p>
    <w:p w14:paraId="16E99FB9">
      <w:pPr>
        <w:spacing w:line="249" w:lineRule="auto"/>
        <w:rPr>
          <w:rFonts w:ascii="Arial"/>
          <w:color w:val="auto"/>
          <w:sz w:val="21"/>
          <w:highlight w:val="none"/>
        </w:rPr>
      </w:pPr>
    </w:p>
    <w:p w14:paraId="053D889B">
      <w:pPr>
        <w:spacing w:line="249" w:lineRule="auto"/>
        <w:rPr>
          <w:rFonts w:ascii="Arial"/>
          <w:color w:val="auto"/>
          <w:sz w:val="21"/>
          <w:highlight w:val="none"/>
        </w:rPr>
      </w:pPr>
    </w:p>
    <w:p w14:paraId="3184CE99">
      <w:pPr>
        <w:spacing w:line="249" w:lineRule="auto"/>
        <w:rPr>
          <w:rFonts w:ascii="Arial"/>
          <w:color w:val="auto"/>
          <w:sz w:val="21"/>
          <w:highlight w:val="none"/>
        </w:rPr>
      </w:pPr>
    </w:p>
    <w:p w14:paraId="2EF7ED54">
      <w:pPr>
        <w:spacing w:line="249" w:lineRule="auto"/>
        <w:rPr>
          <w:rFonts w:ascii="Arial"/>
          <w:color w:val="auto"/>
          <w:sz w:val="21"/>
          <w:highlight w:val="none"/>
        </w:rPr>
      </w:pPr>
    </w:p>
    <w:p w14:paraId="1918285A">
      <w:pPr>
        <w:spacing w:line="249" w:lineRule="auto"/>
        <w:rPr>
          <w:rFonts w:ascii="Arial"/>
          <w:color w:val="auto"/>
          <w:sz w:val="21"/>
          <w:highlight w:val="none"/>
        </w:rPr>
      </w:pPr>
    </w:p>
    <w:p w14:paraId="053BB758">
      <w:pPr>
        <w:spacing w:line="249" w:lineRule="auto"/>
        <w:rPr>
          <w:rFonts w:ascii="Arial"/>
          <w:color w:val="auto"/>
          <w:sz w:val="21"/>
          <w:highlight w:val="none"/>
        </w:rPr>
      </w:pPr>
    </w:p>
    <w:p w14:paraId="2FC30FE0">
      <w:pPr>
        <w:spacing w:line="217" w:lineRule="auto"/>
        <w:rPr>
          <w:rFonts w:ascii="宋体" w:hAnsi="宋体" w:eastAsia="宋体" w:cs="宋体"/>
          <w:color w:val="auto"/>
          <w:sz w:val="18"/>
          <w:szCs w:val="18"/>
          <w:highlight w:val="none"/>
        </w:rPr>
        <w:sectPr>
          <w:footerReference r:id="rId62" w:type="default"/>
          <w:pgSz w:w="11906" w:h="16839"/>
          <w:pgMar w:top="1431" w:right="1417" w:bottom="1297" w:left="1417" w:header="0" w:footer="1067" w:gutter="0"/>
          <w:pgNumType w:fmt="decimal"/>
          <w:cols w:space="720" w:num="1"/>
        </w:sectPr>
      </w:pPr>
    </w:p>
    <w:p w14:paraId="7E94FE06">
      <w:pPr>
        <w:spacing w:before="164" w:line="219" w:lineRule="auto"/>
        <w:ind w:left="333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二、监理服务费用清单</w:t>
      </w:r>
    </w:p>
    <w:p w14:paraId="241C93C1">
      <w:pPr>
        <w:spacing w:before="326" w:line="223" w:lineRule="auto"/>
        <w:ind w:left="310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（一）报价清单说明</w:t>
      </w:r>
    </w:p>
    <w:p w14:paraId="7BBD6F17">
      <w:pPr>
        <w:spacing w:before="302" w:line="274" w:lineRule="auto"/>
        <w:ind w:left="3"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本报价表中各表项目和数量由投标人根据工程需要填写，除此之外，还应在每</w:t>
      </w:r>
      <w:r>
        <w:rPr>
          <w:rFonts w:ascii="宋体" w:hAnsi="宋体" w:eastAsia="宋体" w:cs="宋体"/>
          <w:color w:val="auto"/>
          <w:spacing w:val="5"/>
          <w:sz w:val="24"/>
          <w:szCs w:val="24"/>
          <w:highlight w:val="none"/>
        </w:rPr>
        <w:t>张报价表后附报价计算说明。如折旧费计算说明中应指出每种监理设施</w:t>
      </w:r>
      <w:r>
        <w:rPr>
          <w:rFonts w:ascii="宋体" w:hAnsi="宋体" w:eastAsia="宋体" w:cs="宋体"/>
          <w:color w:val="auto"/>
          <w:spacing w:val="4"/>
          <w:sz w:val="24"/>
          <w:szCs w:val="24"/>
          <w:highlight w:val="none"/>
        </w:rPr>
        <w:t>折旧寿命、折</w:t>
      </w:r>
      <w:r>
        <w:rPr>
          <w:rFonts w:ascii="宋体" w:hAnsi="宋体" w:eastAsia="宋体" w:cs="宋体"/>
          <w:color w:val="auto"/>
          <w:spacing w:val="5"/>
          <w:sz w:val="24"/>
          <w:szCs w:val="24"/>
          <w:highlight w:val="none"/>
        </w:rPr>
        <w:t>旧期、年折旧费等，使用、维修、管理费等计算说明中应指出每年各项</w:t>
      </w:r>
      <w:r>
        <w:rPr>
          <w:rFonts w:ascii="宋体" w:hAnsi="宋体" w:eastAsia="宋体" w:cs="宋体"/>
          <w:color w:val="auto"/>
          <w:spacing w:val="4"/>
          <w:sz w:val="24"/>
          <w:szCs w:val="24"/>
          <w:highlight w:val="none"/>
        </w:rPr>
        <w:t>费用情况、计</w:t>
      </w:r>
      <w:r>
        <w:rPr>
          <w:rFonts w:ascii="宋体" w:hAnsi="宋体" w:eastAsia="宋体" w:cs="宋体"/>
          <w:color w:val="auto"/>
          <w:spacing w:val="-3"/>
          <w:sz w:val="24"/>
          <w:szCs w:val="24"/>
          <w:highlight w:val="none"/>
        </w:rPr>
        <w:t>算公式等。</w:t>
      </w:r>
    </w:p>
    <w:p w14:paraId="5764A210">
      <w:pPr>
        <w:spacing w:before="95" w:line="256" w:lineRule="auto"/>
        <w:ind w:left="2"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监理人员配备数量应根据招标文件的要求、投标人编</w:t>
      </w:r>
      <w:r>
        <w:rPr>
          <w:rFonts w:ascii="宋体" w:hAnsi="宋体" w:eastAsia="宋体" w:cs="宋体"/>
          <w:color w:val="auto"/>
          <w:spacing w:val="1"/>
          <w:sz w:val="24"/>
          <w:szCs w:val="24"/>
          <w:highlight w:val="none"/>
        </w:rPr>
        <w:t>写的技术建议书并参考投</w:t>
      </w:r>
      <w:r>
        <w:rPr>
          <w:rFonts w:ascii="宋体" w:hAnsi="宋体" w:eastAsia="宋体" w:cs="宋体"/>
          <w:color w:val="auto"/>
          <w:spacing w:val="-1"/>
          <w:sz w:val="24"/>
          <w:szCs w:val="24"/>
          <w:highlight w:val="none"/>
        </w:rPr>
        <w:t>标人以往监理工作经验填报。</w:t>
      </w:r>
    </w:p>
    <w:p w14:paraId="4158EDEC">
      <w:pPr>
        <w:spacing w:before="95" w:line="274" w:lineRule="auto"/>
        <w:ind w:left="2" w:righ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投标人必须配备施工监理所需的监理办公</w:t>
      </w:r>
      <w:r>
        <w:rPr>
          <w:rFonts w:ascii="宋体" w:hAnsi="宋体" w:eastAsia="宋体" w:cs="宋体"/>
          <w:color w:val="auto"/>
          <w:spacing w:val="1"/>
          <w:sz w:val="24"/>
          <w:szCs w:val="24"/>
          <w:highlight w:val="none"/>
        </w:rPr>
        <w:t>设施(含通讯设施)、试验检测设施、</w:t>
      </w:r>
      <w:r>
        <w:rPr>
          <w:rFonts w:ascii="宋体" w:hAnsi="宋体" w:eastAsia="宋体" w:cs="宋体"/>
          <w:color w:val="auto"/>
          <w:spacing w:val="5"/>
          <w:sz w:val="24"/>
          <w:szCs w:val="24"/>
          <w:highlight w:val="none"/>
        </w:rPr>
        <w:t>交通设施、生活设施等。监理办公设施(含通讯设施)、试验检</w:t>
      </w:r>
      <w:r>
        <w:rPr>
          <w:rFonts w:ascii="宋体" w:hAnsi="宋体" w:eastAsia="宋体" w:cs="宋体"/>
          <w:color w:val="auto"/>
          <w:spacing w:val="4"/>
          <w:sz w:val="24"/>
          <w:szCs w:val="24"/>
          <w:highlight w:val="none"/>
        </w:rPr>
        <w:t>测设施、交通设施、生</w:t>
      </w:r>
      <w:r>
        <w:rPr>
          <w:rFonts w:ascii="宋体" w:hAnsi="宋体" w:eastAsia="宋体" w:cs="宋体"/>
          <w:color w:val="auto"/>
          <w:spacing w:val="5"/>
          <w:sz w:val="24"/>
          <w:szCs w:val="24"/>
          <w:highlight w:val="none"/>
        </w:rPr>
        <w:t>活设施等应根据招标文件的要求、投标人编写的技术建议书并参考投标人</w:t>
      </w:r>
      <w:r>
        <w:rPr>
          <w:rFonts w:ascii="宋体" w:hAnsi="宋体" w:eastAsia="宋体" w:cs="宋体"/>
          <w:color w:val="auto"/>
          <w:spacing w:val="4"/>
          <w:sz w:val="24"/>
          <w:szCs w:val="24"/>
          <w:highlight w:val="none"/>
        </w:rPr>
        <w:t>以往监理工</w:t>
      </w:r>
      <w:r>
        <w:rPr>
          <w:rFonts w:ascii="宋体" w:hAnsi="宋体" w:eastAsia="宋体" w:cs="宋体"/>
          <w:color w:val="auto"/>
          <w:spacing w:val="-2"/>
          <w:sz w:val="24"/>
          <w:szCs w:val="24"/>
          <w:highlight w:val="none"/>
        </w:rPr>
        <w:t>作经验配置。</w:t>
      </w:r>
    </w:p>
    <w:p w14:paraId="28B88294">
      <w:pPr>
        <w:spacing w:before="92" w:line="256" w:lineRule="auto"/>
        <w:ind w:left="2"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 监理工程师的驻地设施及配备的设备，如交通、通讯工具及燃</w:t>
      </w:r>
      <w:r>
        <w:rPr>
          <w:rFonts w:ascii="宋体" w:hAnsi="宋体" w:eastAsia="宋体" w:cs="宋体"/>
          <w:color w:val="auto"/>
          <w:spacing w:val="1"/>
          <w:sz w:val="24"/>
          <w:szCs w:val="24"/>
          <w:highlight w:val="none"/>
        </w:rPr>
        <w:t>料消耗、维护等</w:t>
      </w:r>
      <w:r>
        <w:rPr>
          <w:rFonts w:ascii="宋体" w:hAnsi="宋体" w:eastAsia="宋体" w:cs="宋体"/>
          <w:color w:val="auto"/>
          <w:spacing w:val="-1"/>
          <w:sz w:val="24"/>
          <w:szCs w:val="24"/>
          <w:highlight w:val="none"/>
        </w:rPr>
        <w:t>均由投标人按规定列入投标报价中。</w:t>
      </w:r>
    </w:p>
    <w:p w14:paraId="7016E11F">
      <w:pPr>
        <w:spacing w:before="95"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5.投标人在填报监理服务费用时应综合考虑下列因素：</w:t>
      </w:r>
    </w:p>
    <w:p w14:paraId="739165B3">
      <w:pPr>
        <w:spacing w:before="97" w:line="256" w:lineRule="auto"/>
        <w:ind w:left="2" w:right="2"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（1）监理人所提供的各级监理人员、试验检测仪器、车辆均应满足委托人在专用</w:t>
      </w:r>
      <w:r>
        <w:rPr>
          <w:rFonts w:ascii="宋体" w:hAnsi="宋体" w:eastAsia="宋体" w:cs="宋体"/>
          <w:color w:val="auto"/>
          <w:spacing w:val="-1"/>
          <w:sz w:val="24"/>
          <w:szCs w:val="24"/>
          <w:highlight w:val="none"/>
        </w:rPr>
        <w:t>合同条款中提出的最低限度要求。</w:t>
      </w:r>
    </w:p>
    <w:p w14:paraId="70FA0601">
      <w:pPr>
        <w:spacing w:before="94" w:line="255" w:lineRule="auto"/>
        <w:ind w:left="1" w:right="2" w:firstLine="489"/>
        <w:rPr>
          <w:rFonts w:ascii="宋体" w:hAnsi="宋体" w:eastAsia="宋体" w:cs="宋体"/>
          <w:color w:val="auto"/>
          <w:sz w:val="24"/>
          <w:szCs w:val="24"/>
          <w:highlight w:val="none"/>
        </w:rPr>
      </w:pPr>
      <w:r>
        <w:rPr>
          <w:rFonts w:ascii="宋体" w:hAnsi="宋体" w:eastAsia="宋体" w:cs="宋体"/>
          <w:color w:val="auto"/>
          <w:sz w:val="24"/>
          <w:szCs w:val="24"/>
          <w:highlight w:val="none"/>
        </w:rPr>
        <w:t>（2）除合同条款第</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8</w:t>
      </w:r>
      <w:r>
        <w:rPr>
          <w:rFonts w:ascii="宋体" w:hAnsi="宋体" w:eastAsia="宋体" w:cs="宋体"/>
          <w:color w:val="auto"/>
          <w:spacing w:val="-46"/>
          <w:sz w:val="24"/>
          <w:szCs w:val="24"/>
          <w:highlight w:val="none"/>
        </w:rPr>
        <w:t xml:space="preserve"> </w:t>
      </w:r>
      <w:r>
        <w:rPr>
          <w:rFonts w:ascii="宋体" w:hAnsi="宋体" w:eastAsia="宋体" w:cs="宋体"/>
          <w:color w:val="auto"/>
          <w:sz w:val="24"/>
          <w:szCs w:val="24"/>
          <w:highlight w:val="none"/>
        </w:rPr>
        <w:t>条约定的变更情形和项目专用合同条款第</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9.1.1</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项约</w:t>
      </w:r>
      <w:r>
        <w:rPr>
          <w:rFonts w:ascii="宋体" w:hAnsi="宋体" w:eastAsia="宋体" w:cs="宋体"/>
          <w:color w:val="auto"/>
          <w:spacing w:val="-1"/>
          <w:sz w:val="24"/>
          <w:szCs w:val="24"/>
          <w:highlight w:val="none"/>
        </w:rPr>
        <w:t>定的其</w:t>
      </w:r>
      <w:r>
        <w:rPr>
          <w:rFonts w:ascii="宋体" w:hAnsi="宋体" w:eastAsia="宋体" w:cs="宋体"/>
          <w:color w:val="auto"/>
          <w:sz w:val="24"/>
          <w:szCs w:val="24"/>
          <w:highlight w:val="none"/>
        </w:rPr>
        <w:t>他情形外，本监理合同的监理服务费用在合同</w:t>
      </w:r>
      <w:r>
        <w:rPr>
          <w:rFonts w:ascii="宋体" w:hAnsi="宋体" w:eastAsia="宋体" w:cs="宋体"/>
          <w:color w:val="auto"/>
          <w:spacing w:val="-1"/>
          <w:sz w:val="24"/>
          <w:szCs w:val="24"/>
          <w:highlight w:val="none"/>
        </w:rPr>
        <w:t>实施期间一律不予调整。</w:t>
      </w:r>
    </w:p>
    <w:p w14:paraId="260A530E">
      <w:pPr>
        <w:spacing w:before="97" w:line="255" w:lineRule="auto"/>
        <w:ind w:right="2"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6.投标人因完成本项目施工监理服务需缴纳的一切税费均由投标人承担，并包含</w:t>
      </w:r>
      <w:r>
        <w:rPr>
          <w:rFonts w:ascii="宋体" w:hAnsi="宋体" w:eastAsia="宋体" w:cs="宋体"/>
          <w:color w:val="auto"/>
          <w:spacing w:val="-1"/>
          <w:sz w:val="24"/>
          <w:szCs w:val="24"/>
          <w:highlight w:val="none"/>
        </w:rPr>
        <w:t>在所报的单价或总额价内，委托人不单独支付。</w:t>
      </w:r>
    </w:p>
    <w:p w14:paraId="483637A4">
      <w:pPr>
        <w:spacing w:before="95" w:line="268" w:lineRule="auto"/>
        <w:ind w:left="1" w:right="2"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7.投标人应认真填写报价清单中所列的监理服务费用各细目的单价和总额价</w:t>
      </w:r>
      <w:r>
        <w:rPr>
          <w:rFonts w:ascii="宋体" w:hAnsi="宋体" w:eastAsia="宋体" w:cs="宋体"/>
          <w:color w:val="auto"/>
          <w:spacing w:val="4"/>
          <w:sz w:val="24"/>
          <w:szCs w:val="24"/>
          <w:highlight w:val="none"/>
        </w:rPr>
        <w:t>。投</w:t>
      </w:r>
      <w:r>
        <w:rPr>
          <w:rFonts w:ascii="宋体" w:hAnsi="宋体" w:eastAsia="宋体" w:cs="宋体"/>
          <w:color w:val="auto"/>
          <w:spacing w:val="5"/>
          <w:sz w:val="24"/>
          <w:szCs w:val="24"/>
          <w:highlight w:val="none"/>
        </w:rPr>
        <w:t>标人没有填入单价或总额价的工程细目委托人将不予支付，并认为该细目的</w:t>
      </w:r>
      <w:r>
        <w:rPr>
          <w:rFonts w:ascii="宋体" w:hAnsi="宋体" w:eastAsia="宋体" w:cs="宋体"/>
          <w:color w:val="auto"/>
          <w:spacing w:val="4"/>
          <w:sz w:val="24"/>
          <w:szCs w:val="24"/>
          <w:highlight w:val="none"/>
        </w:rPr>
        <w:t>价款已包</w:t>
      </w:r>
      <w:r>
        <w:rPr>
          <w:rFonts w:ascii="宋体" w:hAnsi="宋体" w:eastAsia="宋体" w:cs="宋体"/>
          <w:color w:val="auto"/>
          <w:spacing w:val="-1"/>
          <w:sz w:val="24"/>
          <w:szCs w:val="24"/>
          <w:highlight w:val="none"/>
        </w:rPr>
        <w:t>括在报价清单其他细目的单价或总额价中。</w:t>
      </w:r>
    </w:p>
    <w:p w14:paraId="41B75A37">
      <w:pPr>
        <w:spacing w:before="95" w:line="256" w:lineRule="auto"/>
        <w:ind w:left="5" w:right="2" w:firstLine="47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8.在表</w:t>
      </w:r>
      <w:r>
        <w:rPr>
          <w:rFonts w:ascii="宋体" w:hAnsi="宋体" w:eastAsia="宋体" w:cs="宋体"/>
          <w:color w:val="auto"/>
          <w:spacing w:val="-31"/>
          <w:sz w:val="24"/>
          <w:szCs w:val="24"/>
          <w:highlight w:val="none"/>
        </w:rPr>
        <w:t xml:space="preserve"> </w:t>
      </w:r>
      <w:r>
        <w:rPr>
          <w:rFonts w:ascii="宋体" w:hAnsi="宋体" w:eastAsia="宋体" w:cs="宋体"/>
          <w:color w:val="auto"/>
          <w:spacing w:val="3"/>
          <w:sz w:val="24"/>
          <w:szCs w:val="24"/>
          <w:highlight w:val="none"/>
        </w:rPr>
        <w:t>2</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监理人员服务费报价表和表</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4</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监理工程师交通设施费报价表后应附相应</w:t>
      </w:r>
      <w:r>
        <w:rPr>
          <w:rFonts w:ascii="宋体" w:hAnsi="宋体" w:eastAsia="宋体" w:cs="宋体"/>
          <w:color w:val="auto"/>
          <w:spacing w:val="-2"/>
          <w:sz w:val="24"/>
          <w:szCs w:val="24"/>
          <w:highlight w:val="none"/>
        </w:rPr>
        <w:t>项目的单价分析表。</w:t>
      </w:r>
    </w:p>
    <w:p w14:paraId="64A923BA">
      <w:pPr>
        <w:spacing w:before="95" w:line="268" w:lineRule="auto"/>
        <w:ind w:left="2" w:right="2" w:firstLine="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9.投标人在表</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2</w:t>
      </w:r>
      <w:r>
        <w:rPr>
          <w:rFonts w:ascii="宋体" w:hAnsi="宋体" w:eastAsia="宋体" w:cs="宋体"/>
          <w:color w:val="auto"/>
          <w:spacing w:val="-24"/>
          <w:sz w:val="24"/>
          <w:szCs w:val="24"/>
          <w:highlight w:val="none"/>
        </w:rPr>
        <w:t xml:space="preserve"> </w:t>
      </w:r>
      <w:r>
        <w:rPr>
          <w:rFonts w:ascii="宋体" w:hAnsi="宋体" w:eastAsia="宋体" w:cs="宋体"/>
          <w:color w:val="auto"/>
          <w:spacing w:val="4"/>
          <w:sz w:val="24"/>
          <w:szCs w:val="24"/>
          <w:highlight w:val="none"/>
        </w:rPr>
        <w:t>中填报的各类监理人员的人月</w:t>
      </w:r>
      <w:r>
        <w:rPr>
          <w:rFonts w:ascii="宋体" w:hAnsi="宋体" w:eastAsia="宋体" w:cs="宋体"/>
          <w:color w:val="auto"/>
          <w:spacing w:val="3"/>
          <w:sz w:val="24"/>
          <w:szCs w:val="24"/>
          <w:highlight w:val="none"/>
        </w:rPr>
        <w:t>单价应包括监理人员的工资、加班</w:t>
      </w:r>
      <w:r>
        <w:rPr>
          <w:rFonts w:ascii="宋体" w:hAnsi="宋体" w:eastAsia="宋体" w:cs="宋体"/>
          <w:color w:val="auto"/>
          <w:spacing w:val="5"/>
          <w:sz w:val="24"/>
          <w:szCs w:val="24"/>
          <w:highlight w:val="none"/>
        </w:rPr>
        <w:t>费、生活伙食费、奖金及各种补贴等一切费用在内。若监理人员因履行正</w:t>
      </w:r>
      <w:r>
        <w:rPr>
          <w:rFonts w:ascii="宋体" w:hAnsi="宋体" w:eastAsia="宋体" w:cs="宋体"/>
          <w:color w:val="auto"/>
          <w:spacing w:val="4"/>
          <w:sz w:val="24"/>
          <w:szCs w:val="24"/>
          <w:highlight w:val="none"/>
        </w:rPr>
        <w:t>常监理服务</w:t>
      </w:r>
      <w:r>
        <w:rPr>
          <w:rFonts w:ascii="宋体" w:hAnsi="宋体" w:eastAsia="宋体" w:cs="宋体"/>
          <w:color w:val="auto"/>
          <w:sz w:val="24"/>
          <w:szCs w:val="24"/>
          <w:highlight w:val="none"/>
        </w:rPr>
        <w:t>而加班，委托人将不考虑另行支付监理人员的加班费用。</w:t>
      </w:r>
      <w:r>
        <w:rPr>
          <w:rFonts w:ascii="宋体" w:hAnsi="宋体" w:eastAsia="宋体" w:cs="宋体"/>
          <w:color w:val="auto"/>
          <w:spacing w:val="-1"/>
          <w:sz w:val="24"/>
          <w:szCs w:val="24"/>
          <w:highlight w:val="none"/>
        </w:rPr>
        <w:t>投标报价中应考虑加班费。</w:t>
      </w:r>
    </w:p>
    <w:p w14:paraId="3695F219">
      <w:pPr>
        <w:spacing w:before="96" w:line="268" w:lineRule="auto"/>
        <w:ind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10.对于同一设施或物品，投标人不能重复填报监理服务费用，一经发现，委托人</w:t>
      </w:r>
      <w:r>
        <w:rPr>
          <w:rFonts w:ascii="宋体" w:hAnsi="宋体" w:eastAsia="宋体" w:cs="宋体"/>
          <w:color w:val="auto"/>
          <w:spacing w:val="5"/>
          <w:sz w:val="24"/>
          <w:szCs w:val="24"/>
          <w:highlight w:val="none"/>
        </w:rPr>
        <w:t>将有权从投标价中扣除多报的费用，投标人对此应予确认，否则，委托人有权取</w:t>
      </w:r>
      <w:r>
        <w:rPr>
          <w:rFonts w:ascii="宋体" w:hAnsi="宋体" w:eastAsia="宋体" w:cs="宋体"/>
          <w:color w:val="auto"/>
          <w:spacing w:val="4"/>
          <w:sz w:val="24"/>
          <w:szCs w:val="24"/>
          <w:highlight w:val="none"/>
        </w:rPr>
        <w:t>消其</w:t>
      </w:r>
      <w:r>
        <w:rPr>
          <w:rFonts w:ascii="宋体" w:hAnsi="宋体" w:eastAsia="宋体" w:cs="宋体"/>
          <w:color w:val="auto"/>
          <w:spacing w:val="-2"/>
          <w:sz w:val="24"/>
          <w:szCs w:val="24"/>
          <w:highlight w:val="none"/>
        </w:rPr>
        <w:t>中标资格。</w:t>
      </w:r>
    </w:p>
    <w:p w14:paraId="35404F8A">
      <w:pPr>
        <w:spacing w:line="268" w:lineRule="auto"/>
        <w:rPr>
          <w:rFonts w:ascii="宋体" w:hAnsi="宋体" w:eastAsia="宋体" w:cs="宋体"/>
          <w:color w:val="auto"/>
          <w:sz w:val="24"/>
          <w:szCs w:val="24"/>
          <w:highlight w:val="none"/>
        </w:rPr>
        <w:sectPr>
          <w:footerReference r:id="rId63" w:type="default"/>
          <w:pgSz w:w="11906" w:h="16839"/>
          <w:pgMar w:top="1431" w:right="1415" w:bottom="1297" w:left="1423" w:header="0" w:footer="1067" w:gutter="0"/>
          <w:pgNumType w:fmt="decimal"/>
          <w:cols w:space="720" w:num="1"/>
        </w:sectPr>
      </w:pPr>
    </w:p>
    <w:p w14:paraId="62127A22">
      <w:pPr>
        <w:spacing w:before="64" w:line="223" w:lineRule="auto"/>
        <w:ind w:left="242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（二）监理服务费报价表</w:t>
      </w:r>
    </w:p>
    <w:p w14:paraId="7534E9BF">
      <w:pPr>
        <w:spacing w:before="32"/>
        <w:rPr>
          <w:color w:val="auto"/>
          <w:highlight w:val="none"/>
        </w:rPr>
      </w:pPr>
    </w:p>
    <w:p w14:paraId="0A8F2C51">
      <w:pPr>
        <w:spacing w:before="32"/>
        <w:rPr>
          <w:color w:val="auto"/>
          <w:highlight w:val="none"/>
        </w:rPr>
      </w:pPr>
    </w:p>
    <w:p w14:paraId="6858210C">
      <w:pPr>
        <w:spacing w:before="32"/>
        <w:rPr>
          <w:color w:val="auto"/>
          <w:highlight w:val="none"/>
        </w:rPr>
      </w:pPr>
    </w:p>
    <w:tbl>
      <w:tblPr>
        <w:tblStyle w:val="22"/>
        <w:tblW w:w="3771" w:type="dxa"/>
        <w:tblInd w:w="47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0"/>
        <w:gridCol w:w="3281"/>
      </w:tblGrid>
      <w:tr w14:paraId="7BED8E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2" w:hRule="atLeast"/>
        </w:trPr>
        <w:tc>
          <w:tcPr>
            <w:tcW w:w="490" w:type="dxa"/>
            <w:vAlign w:val="top"/>
          </w:tcPr>
          <w:p w14:paraId="3DABAFE6">
            <w:pPr>
              <w:pStyle w:val="23"/>
              <w:spacing w:before="1" w:line="220" w:lineRule="auto"/>
              <w:rPr>
                <w:color w:val="auto"/>
                <w:sz w:val="24"/>
                <w:szCs w:val="24"/>
                <w:highlight w:val="none"/>
              </w:rPr>
            </w:pPr>
            <w:r>
              <w:rPr>
                <w:color w:val="auto"/>
                <w:spacing w:val="-5"/>
                <w:sz w:val="24"/>
                <w:szCs w:val="24"/>
                <w:highlight w:val="none"/>
              </w:rPr>
              <w:t>表</w:t>
            </w:r>
            <w:r>
              <w:rPr>
                <w:color w:val="auto"/>
                <w:spacing w:val="-33"/>
                <w:sz w:val="24"/>
                <w:szCs w:val="24"/>
                <w:highlight w:val="none"/>
              </w:rPr>
              <w:t xml:space="preserve"> </w:t>
            </w:r>
            <w:r>
              <w:rPr>
                <w:color w:val="auto"/>
                <w:spacing w:val="-5"/>
                <w:sz w:val="24"/>
                <w:szCs w:val="24"/>
                <w:highlight w:val="none"/>
              </w:rPr>
              <w:t>1</w:t>
            </w:r>
          </w:p>
        </w:tc>
        <w:tc>
          <w:tcPr>
            <w:tcW w:w="3281" w:type="dxa"/>
            <w:vAlign w:val="top"/>
          </w:tcPr>
          <w:p w14:paraId="4F392426">
            <w:pPr>
              <w:pStyle w:val="23"/>
              <w:spacing w:before="1" w:line="217" w:lineRule="auto"/>
              <w:ind w:left="171"/>
              <w:rPr>
                <w:color w:val="auto"/>
                <w:sz w:val="24"/>
                <w:szCs w:val="24"/>
                <w:highlight w:val="none"/>
              </w:rPr>
            </w:pPr>
            <w:r>
              <w:rPr>
                <w:color w:val="auto"/>
                <w:spacing w:val="-1"/>
                <w:sz w:val="24"/>
                <w:szCs w:val="24"/>
                <w:highlight w:val="none"/>
              </w:rPr>
              <w:t>监理服务费用报价汇总表</w:t>
            </w:r>
          </w:p>
        </w:tc>
      </w:tr>
      <w:tr w14:paraId="6AC7B9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33902219">
            <w:pPr>
              <w:pStyle w:val="23"/>
              <w:spacing w:before="173" w:line="221" w:lineRule="auto"/>
              <w:rPr>
                <w:color w:val="auto"/>
                <w:sz w:val="24"/>
                <w:szCs w:val="24"/>
                <w:highlight w:val="none"/>
              </w:rPr>
            </w:pPr>
            <w:r>
              <w:rPr>
                <w:color w:val="auto"/>
                <w:spacing w:val="-5"/>
                <w:sz w:val="24"/>
                <w:szCs w:val="24"/>
                <w:highlight w:val="none"/>
              </w:rPr>
              <w:t>表</w:t>
            </w:r>
            <w:r>
              <w:rPr>
                <w:color w:val="auto"/>
                <w:spacing w:val="-48"/>
                <w:sz w:val="24"/>
                <w:szCs w:val="24"/>
                <w:highlight w:val="none"/>
              </w:rPr>
              <w:t xml:space="preserve"> </w:t>
            </w:r>
            <w:r>
              <w:rPr>
                <w:color w:val="auto"/>
                <w:spacing w:val="-5"/>
                <w:sz w:val="24"/>
                <w:szCs w:val="24"/>
                <w:highlight w:val="none"/>
              </w:rPr>
              <w:t>2</w:t>
            </w:r>
          </w:p>
        </w:tc>
        <w:tc>
          <w:tcPr>
            <w:tcW w:w="3281" w:type="dxa"/>
            <w:vAlign w:val="top"/>
          </w:tcPr>
          <w:p w14:paraId="4AFD5088">
            <w:pPr>
              <w:pStyle w:val="23"/>
              <w:spacing w:before="173" w:line="218" w:lineRule="auto"/>
              <w:ind w:left="171"/>
              <w:rPr>
                <w:color w:val="auto"/>
                <w:sz w:val="24"/>
                <w:szCs w:val="24"/>
                <w:highlight w:val="none"/>
              </w:rPr>
            </w:pPr>
            <w:r>
              <w:rPr>
                <w:color w:val="auto"/>
                <w:spacing w:val="-2"/>
                <w:sz w:val="24"/>
                <w:szCs w:val="24"/>
                <w:highlight w:val="none"/>
              </w:rPr>
              <w:t>监理人员服务费报价表</w:t>
            </w:r>
          </w:p>
        </w:tc>
      </w:tr>
      <w:tr w14:paraId="13AFC6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33033ADB">
            <w:pPr>
              <w:pStyle w:val="23"/>
              <w:spacing w:before="174" w:line="221" w:lineRule="auto"/>
              <w:rPr>
                <w:color w:val="auto"/>
                <w:sz w:val="24"/>
                <w:szCs w:val="24"/>
                <w:highlight w:val="none"/>
              </w:rPr>
            </w:pPr>
            <w:r>
              <w:rPr>
                <w:color w:val="auto"/>
                <w:spacing w:val="-5"/>
                <w:sz w:val="24"/>
                <w:szCs w:val="24"/>
                <w:highlight w:val="none"/>
              </w:rPr>
              <w:t>表</w:t>
            </w:r>
            <w:r>
              <w:rPr>
                <w:color w:val="auto"/>
                <w:spacing w:val="-46"/>
                <w:sz w:val="24"/>
                <w:szCs w:val="24"/>
                <w:highlight w:val="none"/>
              </w:rPr>
              <w:t xml:space="preserve"> </w:t>
            </w:r>
            <w:r>
              <w:rPr>
                <w:color w:val="auto"/>
                <w:spacing w:val="-5"/>
                <w:sz w:val="24"/>
                <w:szCs w:val="24"/>
                <w:highlight w:val="none"/>
              </w:rPr>
              <w:t>3</w:t>
            </w:r>
          </w:p>
        </w:tc>
        <w:tc>
          <w:tcPr>
            <w:tcW w:w="3281" w:type="dxa"/>
            <w:vAlign w:val="top"/>
          </w:tcPr>
          <w:p w14:paraId="05C57500">
            <w:pPr>
              <w:pStyle w:val="23"/>
              <w:spacing w:before="174" w:line="218" w:lineRule="auto"/>
              <w:jc w:val="right"/>
              <w:rPr>
                <w:color w:val="auto"/>
                <w:sz w:val="24"/>
                <w:szCs w:val="24"/>
                <w:highlight w:val="none"/>
              </w:rPr>
            </w:pPr>
            <w:r>
              <w:rPr>
                <w:color w:val="auto"/>
                <w:spacing w:val="-1"/>
                <w:sz w:val="24"/>
                <w:szCs w:val="24"/>
                <w:highlight w:val="none"/>
              </w:rPr>
              <w:t>监理工程师办公设施费报价表</w:t>
            </w:r>
          </w:p>
        </w:tc>
      </w:tr>
      <w:tr w14:paraId="7ACD0D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5" w:hRule="atLeast"/>
        </w:trPr>
        <w:tc>
          <w:tcPr>
            <w:tcW w:w="490" w:type="dxa"/>
            <w:vAlign w:val="top"/>
          </w:tcPr>
          <w:p w14:paraId="0C3ADE7C">
            <w:pPr>
              <w:pStyle w:val="23"/>
              <w:spacing w:before="172" w:line="221" w:lineRule="auto"/>
              <w:rPr>
                <w:color w:val="auto"/>
                <w:sz w:val="24"/>
                <w:szCs w:val="24"/>
                <w:highlight w:val="none"/>
              </w:rPr>
            </w:pPr>
            <w:r>
              <w:rPr>
                <w:color w:val="auto"/>
                <w:spacing w:val="-5"/>
                <w:sz w:val="24"/>
                <w:szCs w:val="24"/>
                <w:highlight w:val="none"/>
              </w:rPr>
              <w:t>表</w:t>
            </w:r>
            <w:r>
              <w:rPr>
                <w:color w:val="auto"/>
                <w:spacing w:val="-51"/>
                <w:sz w:val="24"/>
                <w:szCs w:val="24"/>
                <w:highlight w:val="none"/>
              </w:rPr>
              <w:t xml:space="preserve"> </w:t>
            </w:r>
            <w:r>
              <w:rPr>
                <w:color w:val="auto"/>
                <w:spacing w:val="-5"/>
                <w:sz w:val="24"/>
                <w:szCs w:val="24"/>
                <w:highlight w:val="none"/>
              </w:rPr>
              <w:t>4</w:t>
            </w:r>
          </w:p>
        </w:tc>
        <w:tc>
          <w:tcPr>
            <w:tcW w:w="3281" w:type="dxa"/>
            <w:vAlign w:val="top"/>
          </w:tcPr>
          <w:p w14:paraId="2B8B6334">
            <w:pPr>
              <w:pStyle w:val="23"/>
              <w:spacing w:before="173" w:line="218" w:lineRule="auto"/>
              <w:jc w:val="right"/>
              <w:rPr>
                <w:color w:val="auto"/>
                <w:sz w:val="24"/>
                <w:szCs w:val="24"/>
                <w:highlight w:val="none"/>
              </w:rPr>
            </w:pPr>
            <w:r>
              <w:rPr>
                <w:color w:val="auto"/>
                <w:spacing w:val="-1"/>
                <w:sz w:val="24"/>
                <w:szCs w:val="24"/>
                <w:highlight w:val="none"/>
              </w:rPr>
              <w:t>监理工程师交通设施费报价表</w:t>
            </w:r>
          </w:p>
        </w:tc>
      </w:tr>
      <w:tr w14:paraId="59F969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490" w:type="dxa"/>
            <w:vAlign w:val="top"/>
          </w:tcPr>
          <w:p w14:paraId="5C878EAF">
            <w:pPr>
              <w:pStyle w:val="23"/>
              <w:spacing w:before="173" w:line="221" w:lineRule="auto"/>
              <w:rPr>
                <w:color w:val="auto"/>
                <w:sz w:val="24"/>
                <w:szCs w:val="24"/>
                <w:highlight w:val="none"/>
              </w:rPr>
            </w:pPr>
            <w:r>
              <w:rPr>
                <w:color w:val="auto"/>
                <w:spacing w:val="-5"/>
                <w:sz w:val="24"/>
                <w:szCs w:val="24"/>
                <w:highlight w:val="none"/>
              </w:rPr>
              <w:t>表</w:t>
            </w:r>
            <w:r>
              <w:rPr>
                <w:color w:val="auto"/>
                <w:spacing w:val="-46"/>
                <w:sz w:val="24"/>
                <w:szCs w:val="24"/>
                <w:highlight w:val="none"/>
              </w:rPr>
              <w:t xml:space="preserve"> </w:t>
            </w:r>
            <w:r>
              <w:rPr>
                <w:color w:val="auto"/>
                <w:spacing w:val="-5"/>
                <w:sz w:val="24"/>
                <w:szCs w:val="24"/>
                <w:highlight w:val="none"/>
              </w:rPr>
              <w:t>5</w:t>
            </w:r>
          </w:p>
        </w:tc>
        <w:tc>
          <w:tcPr>
            <w:tcW w:w="3281" w:type="dxa"/>
            <w:vAlign w:val="top"/>
          </w:tcPr>
          <w:p w14:paraId="40FF5FDE">
            <w:pPr>
              <w:pStyle w:val="23"/>
              <w:spacing w:before="173" w:line="218" w:lineRule="auto"/>
              <w:ind w:left="171"/>
              <w:rPr>
                <w:color w:val="auto"/>
                <w:sz w:val="24"/>
                <w:szCs w:val="24"/>
                <w:highlight w:val="none"/>
              </w:rPr>
            </w:pPr>
            <w:r>
              <w:rPr>
                <w:color w:val="auto"/>
                <w:spacing w:val="-2"/>
                <w:sz w:val="24"/>
                <w:szCs w:val="24"/>
                <w:highlight w:val="none"/>
              </w:rPr>
              <w:t>监理试验设施费报价表</w:t>
            </w:r>
          </w:p>
        </w:tc>
      </w:tr>
      <w:tr w14:paraId="4801D0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8" w:hRule="atLeast"/>
        </w:trPr>
        <w:tc>
          <w:tcPr>
            <w:tcW w:w="490" w:type="dxa"/>
            <w:vAlign w:val="top"/>
          </w:tcPr>
          <w:p w14:paraId="2F87E93E">
            <w:pPr>
              <w:pStyle w:val="23"/>
              <w:spacing w:before="175" w:line="221" w:lineRule="auto"/>
              <w:rPr>
                <w:color w:val="auto"/>
                <w:sz w:val="24"/>
                <w:szCs w:val="24"/>
                <w:highlight w:val="none"/>
              </w:rPr>
            </w:pPr>
            <w:r>
              <w:rPr>
                <w:color w:val="auto"/>
                <w:spacing w:val="-5"/>
                <w:sz w:val="24"/>
                <w:szCs w:val="24"/>
                <w:highlight w:val="none"/>
              </w:rPr>
              <w:t>表</w:t>
            </w:r>
            <w:r>
              <w:rPr>
                <w:color w:val="auto"/>
                <w:spacing w:val="-49"/>
                <w:sz w:val="24"/>
                <w:szCs w:val="24"/>
                <w:highlight w:val="none"/>
              </w:rPr>
              <w:t xml:space="preserve"> </w:t>
            </w:r>
            <w:r>
              <w:rPr>
                <w:color w:val="auto"/>
                <w:spacing w:val="-5"/>
                <w:sz w:val="24"/>
                <w:szCs w:val="24"/>
                <w:highlight w:val="none"/>
              </w:rPr>
              <w:t>6</w:t>
            </w:r>
          </w:p>
        </w:tc>
        <w:tc>
          <w:tcPr>
            <w:tcW w:w="3281" w:type="dxa"/>
            <w:vAlign w:val="top"/>
          </w:tcPr>
          <w:p w14:paraId="50B34C64">
            <w:pPr>
              <w:pStyle w:val="23"/>
              <w:spacing w:before="175" w:line="218" w:lineRule="auto"/>
              <w:jc w:val="right"/>
              <w:rPr>
                <w:color w:val="auto"/>
                <w:sz w:val="24"/>
                <w:szCs w:val="24"/>
                <w:highlight w:val="none"/>
              </w:rPr>
            </w:pPr>
            <w:r>
              <w:rPr>
                <w:color w:val="auto"/>
                <w:spacing w:val="-1"/>
                <w:sz w:val="24"/>
                <w:szCs w:val="24"/>
                <w:highlight w:val="none"/>
              </w:rPr>
              <w:t>监理工程师生活设施费报价表</w:t>
            </w:r>
          </w:p>
        </w:tc>
      </w:tr>
      <w:tr w14:paraId="1E8CC7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3C073B74">
            <w:pPr>
              <w:pStyle w:val="23"/>
              <w:spacing w:before="175" w:line="221" w:lineRule="auto"/>
              <w:rPr>
                <w:color w:val="auto"/>
                <w:sz w:val="24"/>
                <w:szCs w:val="24"/>
                <w:highlight w:val="none"/>
              </w:rPr>
            </w:pPr>
            <w:r>
              <w:rPr>
                <w:color w:val="auto"/>
                <w:spacing w:val="-5"/>
                <w:sz w:val="24"/>
                <w:szCs w:val="24"/>
                <w:highlight w:val="none"/>
              </w:rPr>
              <w:t>表</w:t>
            </w:r>
            <w:r>
              <w:rPr>
                <w:color w:val="auto"/>
                <w:spacing w:val="-45"/>
                <w:sz w:val="24"/>
                <w:szCs w:val="24"/>
                <w:highlight w:val="none"/>
              </w:rPr>
              <w:t xml:space="preserve"> </w:t>
            </w:r>
            <w:r>
              <w:rPr>
                <w:color w:val="auto"/>
                <w:spacing w:val="-5"/>
                <w:sz w:val="24"/>
                <w:szCs w:val="24"/>
                <w:highlight w:val="none"/>
              </w:rPr>
              <w:t>7</w:t>
            </w:r>
          </w:p>
        </w:tc>
        <w:tc>
          <w:tcPr>
            <w:tcW w:w="3281" w:type="dxa"/>
            <w:vAlign w:val="top"/>
          </w:tcPr>
          <w:p w14:paraId="5C26D68C">
            <w:pPr>
              <w:pStyle w:val="23"/>
              <w:spacing w:before="175" w:line="218" w:lineRule="auto"/>
              <w:ind w:left="171"/>
              <w:rPr>
                <w:color w:val="auto"/>
                <w:sz w:val="24"/>
                <w:szCs w:val="24"/>
                <w:highlight w:val="none"/>
              </w:rPr>
            </w:pPr>
            <w:r>
              <w:rPr>
                <w:color w:val="auto"/>
                <w:spacing w:val="-2"/>
                <w:sz w:val="24"/>
                <w:szCs w:val="24"/>
                <w:highlight w:val="none"/>
              </w:rPr>
              <w:t>其他费用报价表</w:t>
            </w:r>
          </w:p>
        </w:tc>
      </w:tr>
      <w:tr w14:paraId="7669F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4" w:hRule="atLeast"/>
        </w:trPr>
        <w:tc>
          <w:tcPr>
            <w:tcW w:w="490" w:type="dxa"/>
            <w:vAlign w:val="top"/>
          </w:tcPr>
          <w:p w14:paraId="3589969F">
            <w:pPr>
              <w:pStyle w:val="23"/>
              <w:spacing w:before="173" w:line="177" w:lineRule="auto"/>
              <w:rPr>
                <w:color w:val="auto"/>
                <w:sz w:val="24"/>
                <w:szCs w:val="24"/>
                <w:highlight w:val="none"/>
              </w:rPr>
            </w:pPr>
            <w:r>
              <w:rPr>
                <w:color w:val="auto"/>
                <w:spacing w:val="-5"/>
                <w:sz w:val="24"/>
                <w:szCs w:val="24"/>
                <w:highlight w:val="none"/>
              </w:rPr>
              <w:t>表</w:t>
            </w:r>
            <w:r>
              <w:rPr>
                <w:color w:val="auto"/>
                <w:spacing w:val="-50"/>
                <w:sz w:val="24"/>
                <w:szCs w:val="24"/>
                <w:highlight w:val="none"/>
              </w:rPr>
              <w:t xml:space="preserve"> </w:t>
            </w:r>
            <w:r>
              <w:rPr>
                <w:color w:val="auto"/>
                <w:spacing w:val="-5"/>
                <w:sz w:val="24"/>
                <w:szCs w:val="24"/>
                <w:highlight w:val="none"/>
              </w:rPr>
              <w:t>8</w:t>
            </w:r>
          </w:p>
        </w:tc>
        <w:tc>
          <w:tcPr>
            <w:tcW w:w="3281" w:type="dxa"/>
            <w:vAlign w:val="top"/>
          </w:tcPr>
          <w:p w14:paraId="2C5684F1">
            <w:pPr>
              <w:pStyle w:val="23"/>
              <w:spacing w:before="173" w:line="177" w:lineRule="auto"/>
              <w:ind w:left="171"/>
              <w:rPr>
                <w:color w:val="auto"/>
                <w:sz w:val="24"/>
                <w:szCs w:val="24"/>
                <w:highlight w:val="none"/>
              </w:rPr>
            </w:pPr>
            <w:r>
              <w:rPr>
                <w:color w:val="auto"/>
                <w:spacing w:val="-2"/>
                <w:sz w:val="24"/>
                <w:szCs w:val="24"/>
                <w:highlight w:val="none"/>
              </w:rPr>
              <w:t>监理费用支付估算表</w:t>
            </w:r>
          </w:p>
        </w:tc>
      </w:tr>
    </w:tbl>
    <w:p w14:paraId="15D67704">
      <w:pPr>
        <w:spacing w:line="269" w:lineRule="auto"/>
        <w:rPr>
          <w:rFonts w:ascii="Arial"/>
          <w:color w:val="auto"/>
          <w:sz w:val="21"/>
          <w:highlight w:val="none"/>
        </w:rPr>
      </w:pPr>
    </w:p>
    <w:p w14:paraId="480BEE48">
      <w:pPr>
        <w:spacing w:before="78" w:line="452" w:lineRule="auto"/>
        <w:ind w:left="498" w:right="444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附件</w:t>
      </w:r>
      <w:r>
        <w:rPr>
          <w:rFonts w:ascii="宋体" w:hAnsi="宋体" w:eastAsia="宋体" w:cs="宋体"/>
          <w:color w:val="auto"/>
          <w:spacing w:val="-30"/>
          <w:sz w:val="24"/>
          <w:szCs w:val="24"/>
          <w:highlight w:val="none"/>
        </w:rPr>
        <w:t xml:space="preserve"> </w:t>
      </w:r>
      <w:r>
        <w:rPr>
          <w:rFonts w:ascii="宋体" w:hAnsi="宋体" w:eastAsia="宋体" w:cs="宋体"/>
          <w:color w:val="auto"/>
          <w:spacing w:val="-4"/>
          <w:sz w:val="24"/>
          <w:szCs w:val="24"/>
          <w:highlight w:val="none"/>
        </w:rPr>
        <w:t>1 监理人员工作计划安排表</w:t>
      </w:r>
      <w:r>
        <w:rPr>
          <w:rFonts w:ascii="宋体" w:hAnsi="宋体" w:eastAsia="宋体" w:cs="宋体"/>
          <w:color w:val="auto"/>
          <w:spacing w:val="-3"/>
          <w:sz w:val="24"/>
          <w:szCs w:val="24"/>
          <w:highlight w:val="none"/>
        </w:rPr>
        <w:t>附件</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2 监理设施进出场时间表</w:t>
      </w:r>
    </w:p>
    <w:p w14:paraId="0CEBFE84">
      <w:pPr>
        <w:spacing w:line="452" w:lineRule="auto"/>
        <w:rPr>
          <w:rFonts w:ascii="宋体" w:hAnsi="宋体" w:eastAsia="宋体" w:cs="宋体"/>
          <w:color w:val="auto"/>
          <w:sz w:val="24"/>
          <w:szCs w:val="24"/>
          <w:highlight w:val="none"/>
        </w:rPr>
        <w:sectPr>
          <w:footerReference r:id="rId64" w:type="default"/>
          <w:pgSz w:w="11906" w:h="16839"/>
          <w:pgMar w:top="1403" w:right="1785" w:bottom="1297" w:left="1785" w:header="0" w:footer="1067" w:gutter="0"/>
          <w:pgNumType w:fmt="decimal"/>
          <w:cols w:space="720" w:num="1"/>
        </w:sectPr>
      </w:pPr>
    </w:p>
    <w:p w14:paraId="3CE6F940">
      <w:pPr>
        <w:spacing w:line="352" w:lineRule="auto"/>
        <w:rPr>
          <w:rFonts w:ascii="Arial"/>
          <w:color w:val="auto"/>
          <w:sz w:val="21"/>
          <w:highlight w:val="none"/>
        </w:rPr>
      </w:pPr>
    </w:p>
    <w:p w14:paraId="4983055C">
      <w:pPr>
        <w:spacing w:before="91" w:line="219" w:lineRule="auto"/>
        <w:ind w:left="5187"/>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表</w:t>
      </w:r>
      <w:r>
        <w:rPr>
          <w:rFonts w:ascii="宋体" w:hAnsi="宋体" w:eastAsia="宋体" w:cs="宋体"/>
          <w:color w:val="auto"/>
          <w:spacing w:val="-28"/>
          <w:sz w:val="28"/>
          <w:szCs w:val="28"/>
          <w:highlight w:val="none"/>
        </w:rPr>
        <w:t xml:space="preserve"> </w:t>
      </w:r>
      <w:r>
        <w:rPr>
          <w:rFonts w:ascii="宋体" w:hAnsi="宋体" w:eastAsia="宋体" w:cs="宋体"/>
          <w:b/>
          <w:bCs/>
          <w:color w:val="auto"/>
          <w:spacing w:val="-5"/>
          <w:sz w:val="28"/>
          <w:szCs w:val="28"/>
          <w:highlight w:val="none"/>
        </w:rPr>
        <w:t>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监理服务费用报价汇总表</w:t>
      </w:r>
    </w:p>
    <w:p w14:paraId="6AF845A1">
      <w:pPr>
        <w:spacing w:before="114" w:line="212" w:lineRule="auto"/>
        <w:ind w:left="1244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 人民币元</w:t>
      </w:r>
    </w:p>
    <w:tbl>
      <w:tblPr>
        <w:tblStyle w:val="22"/>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3812"/>
        <w:gridCol w:w="2874"/>
        <w:gridCol w:w="2874"/>
        <w:gridCol w:w="3657"/>
      </w:tblGrid>
      <w:tr w14:paraId="22774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01" w:type="dxa"/>
            <w:vAlign w:val="top"/>
          </w:tcPr>
          <w:p w14:paraId="0E5067F6">
            <w:pPr>
              <w:pStyle w:val="23"/>
              <w:spacing w:before="180" w:line="229" w:lineRule="auto"/>
              <w:ind w:left="295"/>
              <w:rPr>
                <w:color w:val="auto"/>
                <w:highlight w:val="none"/>
              </w:rPr>
            </w:pPr>
            <w:r>
              <w:rPr>
                <w:color w:val="auto"/>
                <w:spacing w:val="5"/>
                <w:highlight w:val="none"/>
              </w:rPr>
              <w:t>序号</w:t>
            </w:r>
          </w:p>
        </w:tc>
        <w:tc>
          <w:tcPr>
            <w:tcW w:w="3812" w:type="dxa"/>
            <w:vAlign w:val="top"/>
          </w:tcPr>
          <w:p w14:paraId="616B313B">
            <w:pPr>
              <w:pStyle w:val="23"/>
              <w:spacing w:before="180" w:line="228" w:lineRule="auto"/>
              <w:ind w:left="1598"/>
              <w:rPr>
                <w:color w:val="auto"/>
                <w:highlight w:val="none"/>
              </w:rPr>
            </w:pPr>
            <w:r>
              <w:rPr>
                <w:color w:val="auto"/>
                <w:spacing w:val="-2"/>
                <w:highlight w:val="none"/>
              </w:rPr>
              <w:t>项</w:t>
            </w:r>
            <w:r>
              <w:rPr>
                <w:color w:val="auto"/>
                <w:spacing w:val="29"/>
                <w:highlight w:val="none"/>
              </w:rPr>
              <w:t xml:space="preserve">  </w:t>
            </w:r>
            <w:r>
              <w:rPr>
                <w:color w:val="auto"/>
                <w:spacing w:val="-2"/>
                <w:highlight w:val="none"/>
              </w:rPr>
              <w:t>目</w:t>
            </w:r>
          </w:p>
        </w:tc>
        <w:tc>
          <w:tcPr>
            <w:tcW w:w="2874" w:type="dxa"/>
            <w:vAlign w:val="top"/>
          </w:tcPr>
          <w:p w14:paraId="40D32946">
            <w:pPr>
              <w:pStyle w:val="23"/>
              <w:spacing w:before="180" w:line="228" w:lineRule="auto"/>
              <w:ind w:left="1125"/>
              <w:rPr>
                <w:color w:val="auto"/>
                <w:highlight w:val="none"/>
              </w:rPr>
            </w:pPr>
            <w:r>
              <w:rPr>
                <w:color w:val="auto"/>
                <w:spacing w:val="7"/>
                <w:highlight w:val="none"/>
              </w:rPr>
              <w:t>施工期</w:t>
            </w:r>
          </w:p>
        </w:tc>
        <w:tc>
          <w:tcPr>
            <w:tcW w:w="2874" w:type="dxa"/>
            <w:vAlign w:val="top"/>
          </w:tcPr>
          <w:p w14:paraId="0CA69342">
            <w:pPr>
              <w:pStyle w:val="23"/>
              <w:spacing w:before="180" w:line="228" w:lineRule="auto"/>
              <w:ind w:left="918"/>
              <w:rPr>
                <w:color w:val="auto"/>
                <w:highlight w:val="none"/>
              </w:rPr>
            </w:pPr>
            <w:r>
              <w:rPr>
                <w:color w:val="auto"/>
                <w:spacing w:val="8"/>
                <w:highlight w:val="none"/>
              </w:rPr>
              <w:t>缺陷责任期</w:t>
            </w:r>
          </w:p>
        </w:tc>
        <w:tc>
          <w:tcPr>
            <w:tcW w:w="3657" w:type="dxa"/>
            <w:vAlign w:val="top"/>
          </w:tcPr>
          <w:p w14:paraId="0128B0BA">
            <w:pPr>
              <w:pStyle w:val="23"/>
              <w:spacing w:before="180" w:line="228" w:lineRule="auto"/>
              <w:ind w:left="1419"/>
              <w:rPr>
                <w:color w:val="auto"/>
                <w:highlight w:val="none"/>
              </w:rPr>
            </w:pPr>
            <w:r>
              <w:rPr>
                <w:color w:val="auto"/>
                <w:spacing w:val="5"/>
                <w:highlight w:val="none"/>
              </w:rPr>
              <w:t>小计金额</w:t>
            </w:r>
          </w:p>
        </w:tc>
      </w:tr>
      <w:tr w14:paraId="6FF5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79B2ABB6">
            <w:pPr>
              <w:pStyle w:val="23"/>
              <w:spacing w:before="174" w:line="270" w:lineRule="exact"/>
              <w:ind w:left="468"/>
              <w:rPr>
                <w:color w:val="auto"/>
                <w:highlight w:val="none"/>
              </w:rPr>
            </w:pPr>
            <w:r>
              <w:rPr>
                <w:color w:val="auto"/>
                <w:position w:val="1"/>
                <w:highlight w:val="none"/>
              </w:rPr>
              <w:t>1</w:t>
            </w:r>
          </w:p>
        </w:tc>
        <w:tc>
          <w:tcPr>
            <w:tcW w:w="3812" w:type="dxa"/>
            <w:vAlign w:val="top"/>
          </w:tcPr>
          <w:p w14:paraId="2734B8C2">
            <w:pPr>
              <w:pStyle w:val="23"/>
              <w:spacing w:before="174" w:line="228" w:lineRule="auto"/>
              <w:ind w:left="1175"/>
              <w:rPr>
                <w:color w:val="auto"/>
                <w:highlight w:val="none"/>
              </w:rPr>
            </w:pPr>
            <w:r>
              <w:rPr>
                <w:color w:val="auto"/>
                <w:spacing w:val="8"/>
                <w:highlight w:val="none"/>
              </w:rPr>
              <w:t>监理人员服务费</w:t>
            </w:r>
          </w:p>
        </w:tc>
        <w:tc>
          <w:tcPr>
            <w:tcW w:w="2874" w:type="dxa"/>
            <w:vAlign w:val="top"/>
          </w:tcPr>
          <w:p w14:paraId="10BD6192">
            <w:pPr>
              <w:rPr>
                <w:rFonts w:ascii="Arial"/>
                <w:color w:val="auto"/>
                <w:sz w:val="21"/>
                <w:highlight w:val="none"/>
              </w:rPr>
            </w:pPr>
          </w:p>
        </w:tc>
        <w:tc>
          <w:tcPr>
            <w:tcW w:w="2874" w:type="dxa"/>
            <w:vAlign w:val="top"/>
          </w:tcPr>
          <w:p w14:paraId="68982D5A">
            <w:pPr>
              <w:rPr>
                <w:rFonts w:ascii="Arial"/>
                <w:color w:val="auto"/>
                <w:sz w:val="21"/>
                <w:highlight w:val="none"/>
              </w:rPr>
            </w:pPr>
          </w:p>
        </w:tc>
        <w:tc>
          <w:tcPr>
            <w:tcW w:w="3657" w:type="dxa"/>
            <w:vAlign w:val="top"/>
          </w:tcPr>
          <w:p w14:paraId="5B90DDF5">
            <w:pPr>
              <w:rPr>
                <w:rFonts w:ascii="Arial"/>
                <w:color w:val="auto"/>
                <w:sz w:val="21"/>
                <w:highlight w:val="none"/>
              </w:rPr>
            </w:pPr>
          </w:p>
        </w:tc>
      </w:tr>
      <w:tr w14:paraId="514D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3A833778">
            <w:pPr>
              <w:pStyle w:val="23"/>
              <w:spacing w:before="176" w:line="270" w:lineRule="exact"/>
              <w:ind w:left="455"/>
              <w:rPr>
                <w:color w:val="auto"/>
                <w:highlight w:val="none"/>
              </w:rPr>
            </w:pPr>
            <w:r>
              <w:rPr>
                <w:color w:val="auto"/>
                <w:position w:val="1"/>
                <w:highlight w:val="none"/>
              </w:rPr>
              <w:t>2</w:t>
            </w:r>
          </w:p>
        </w:tc>
        <w:tc>
          <w:tcPr>
            <w:tcW w:w="3812" w:type="dxa"/>
            <w:vAlign w:val="top"/>
          </w:tcPr>
          <w:p w14:paraId="01DBB3BE">
            <w:pPr>
              <w:pStyle w:val="23"/>
              <w:spacing w:before="176" w:line="228" w:lineRule="auto"/>
              <w:ind w:left="1175"/>
              <w:rPr>
                <w:color w:val="auto"/>
                <w:highlight w:val="none"/>
              </w:rPr>
            </w:pPr>
            <w:r>
              <w:rPr>
                <w:color w:val="auto"/>
                <w:spacing w:val="8"/>
                <w:highlight w:val="none"/>
              </w:rPr>
              <w:t>监理办公设施费</w:t>
            </w:r>
          </w:p>
        </w:tc>
        <w:tc>
          <w:tcPr>
            <w:tcW w:w="2874" w:type="dxa"/>
            <w:vAlign w:val="top"/>
          </w:tcPr>
          <w:p w14:paraId="10EF2A5F">
            <w:pPr>
              <w:rPr>
                <w:rFonts w:ascii="Arial"/>
                <w:color w:val="auto"/>
                <w:sz w:val="21"/>
                <w:highlight w:val="none"/>
              </w:rPr>
            </w:pPr>
          </w:p>
        </w:tc>
        <w:tc>
          <w:tcPr>
            <w:tcW w:w="2874" w:type="dxa"/>
            <w:vAlign w:val="top"/>
          </w:tcPr>
          <w:p w14:paraId="7E922AF7">
            <w:pPr>
              <w:rPr>
                <w:rFonts w:ascii="Arial"/>
                <w:color w:val="auto"/>
                <w:sz w:val="21"/>
                <w:highlight w:val="none"/>
              </w:rPr>
            </w:pPr>
          </w:p>
        </w:tc>
        <w:tc>
          <w:tcPr>
            <w:tcW w:w="3657" w:type="dxa"/>
            <w:vAlign w:val="top"/>
          </w:tcPr>
          <w:p w14:paraId="1286DD5B">
            <w:pPr>
              <w:rPr>
                <w:rFonts w:ascii="Arial"/>
                <w:color w:val="auto"/>
                <w:sz w:val="21"/>
                <w:highlight w:val="none"/>
              </w:rPr>
            </w:pPr>
          </w:p>
        </w:tc>
      </w:tr>
      <w:tr w14:paraId="5DF6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7AA84AE5">
            <w:pPr>
              <w:pStyle w:val="23"/>
              <w:spacing w:before="178" w:line="268" w:lineRule="exact"/>
              <w:ind w:left="456"/>
              <w:rPr>
                <w:color w:val="auto"/>
                <w:highlight w:val="none"/>
              </w:rPr>
            </w:pPr>
            <w:r>
              <w:rPr>
                <w:color w:val="auto"/>
                <w:position w:val="1"/>
                <w:highlight w:val="none"/>
              </w:rPr>
              <w:t>3</w:t>
            </w:r>
          </w:p>
        </w:tc>
        <w:tc>
          <w:tcPr>
            <w:tcW w:w="3812" w:type="dxa"/>
            <w:vAlign w:val="top"/>
          </w:tcPr>
          <w:p w14:paraId="4393C689">
            <w:pPr>
              <w:pStyle w:val="23"/>
              <w:spacing w:before="178" w:line="228" w:lineRule="auto"/>
              <w:ind w:left="1175"/>
              <w:rPr>
                <w:color w:val="auto"/>
                <w:highlight w:val="none"/>
              </w:rPr>
            </w:pPr>
            <w:r>
              <w:rPr>
                <w:color w:val="auto"/>
                <w:spacing w:val="8"/>
                <w:highlight w:val="none"/>
              </w:rPr>
              <w:t>监理交通设施费</w:t>
            </w:r>
          </w:p>
        </w:tc>
        <w:tc>
          <w:tcPr>
            <w:tcW w:w="2874" w:type="dxa"/>
            <w:vAlign w:val="top"/>
          </w:tcPr>
          <w:p w14:paraId="3FF401C8">
            <w:pPr>
              <w:rPr>
                <w:rFonts w:ascii="Arial"/>
                <w:color w:val="auto"/>
                <w:sz w:val="21"/>
                <w:highlight w:val="none"/>
              </w:rPr>
            </w:pPr>
          </w:p>
        </w:tc>
        <w:tc>
          <w:tcPr>
            <w:tcW w:w="2874" w:type="dxa"/>
            <w:vAlign w:val="top"/>
          </w:tcPr>
          <w:p w14:paraId="1CCD755C">
            <w:pPr>
              <w:rPr>
                <w:rFonts w:ascii="Arial"/>
                <w:color w:val="auto"/>
                <w:sz w:val="21"/>
                <w:highlight w:val="none"/>
              </w:rPr>
            </w:pPr>
          </w:p>
        </w:tc>
        <w:tc>
          <w:tcPr>
            <w:tcW w:w="3657" w:type="dxa"/>
            <w:vAlign w:val="top"/>
          </w:tcPr>
          <w:p w14:paraId="5A931A94">
            <w:pPr>
              <w:rPr>
                <w:rFonts w:ascii="Arial"/>
                <w:color w:val="auto"/>
                <w:sz w:val="21"/>
                <w:highlight w:val="none"/>
              </w:rPr>
            </w:pPr>
          </w:p>
        </w:tc>
      </w:tr>
      <w:tr w14:paraId="12F5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7C3A72C3">
            <w:pPr>
              <w:pStyle w:val="23"/>
              <w:spacing w:before="177" w:line="270" w:lineRule="exact"/>
              <w:ind w:left="451"/>
              <w:rPr>
                <w:color w:val="auto"/>
                <w:highlight w:val="none"/>
              </w:rPr>
            </w:pPr>
            <w:r>
              <w:rPr>
                <w:color w:val="auto"/>
                <w:position w:val="1"/>
                <w:highlight w:val="none"/>
              </w:rPr>
              <w:t>4</w:t>
            </w:r>
          </w:p>
        </w:tc>
        <w:tc>
          <w:tcPr>
            <w:tcW w:w="3812" w:type="dxa"/>
            <w:vAlign w:val="top"/>
          </w:tcPr>
          <w:p w14:paraId="7D08BBAA">
            <w:pPr>
              <w:pStyle w:val="23"/>
              <w:spacing w:before="177" w:line="228" w:lineRule="auto"/>
              <w:ind w:left="544"/>
              <w:rPr>
                <w:color w:val="auto"/>
                <w:highlight w:val="none"/>
              </w:rPr>
            </w:pPr>
            <w:r>
              <w:rPr>
                <w:color w:val="auto"/>
                <w:spacing w:val="8"/>
                <w:highlight w:val="none"/>
              </w:rPr>
              <w:t>监理试验设施费（常规检测）</w:t>
            </w:r>
          </w:p>
        </w:tc>
        <w:tc>
          <w:tcPr>
            <w:tcW w:w="2874" w:type="dxa"/>
            <w:vAlign w:val="top"/>
          </w:tcPr>
          <w:p w14:paraId="37456EC1">
            <w:pPr>
              <w:rPr>
                <w:rFonts w:ascii="Arial"/>
                <w:color w:val="auto"/>
                <w:sz w:val="21"/>
                <w:highlight w:val="none"/>
              </w:rPr>
            </w:pPr>
          </w:p>
        </w:tc>
        <w:tc>
          <w:tcPr>
            <w:tcW w:w="2874" w:type="dxa"/>
            <w:vAlign w:val="top"/>
          </w:tcPr>
          <w:p w14:paraId="45F5B332">
            <w:pPr>
              <w:rPr>
                <w:rFonts w:ascii="Arial"/>
                <w:color w:val="auto"/>
                <w:sz w:val="21"/>
                <w:highlight w:val="none"/>
              </w:rPr>
            </w:pPr>
          </w:p>
        </w:tc>
        <w:tc>
          <w:tcPr>
            <w:tcW w:w="3657" w:type="dxa"/>
            <w:vAlign w:val="top"/>
          </w:tcPr>
          <w:p w14:paraId="76DFAF16">
            <w:pPr>
              <w:rPr>
                <w:rFonts w:ascii="Arial"/>
                <w:color w:val="auto"/>
                <w:sz w:val="21"/>
                <w:highlight w:val="none"/>
              </w:rPr>
            </w:pPr>
          </w:p>
        </w:tc>
      </w:tr>
      <w:tr w14:paraId="574F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57254866">
            <w:pPr>
              <w:pStyle w:val="23"/>
              <w:spacing w:before="179" w:line="269" w:lineRule="exact"/>
              <w:ind w:left="456"/>
              <w:rPr>
                <w:color w:val="auto"/>
                <w:highlight w:val="none"/>
              </w:rPr>
            </w:pPr>
            <w:r>
              <w:rPr>
                <w:color w:val="auto"/>
                <w:position w:val="1"/>
                <w:highlight w:val="none"/>
              </w:rPr>
              <w:t>5</w:t>
            </w:r>
          </w:p>
        </w:tc>
        <w:tc>
          <w:tcPr>
            <w:tcW w:w="3812" w:type="dxa"/>
            <w:vAlign w:val="top"/>
          </w:tcPr>
          <w:p w14:paraId="088D64E4">
            <w:pPr>
              <w:pStyle w:val="23"/>
              <w:spacing w:before="180" w:line="228" w:lineRule="auto"/>
              <w:ind w:left="1175"/>
              <w:rPr>
                <w:color w:val="auto"/>
                <w:highlight w:val="none"/>
              </w:rPr>
            </w:pPr>
            <w:r>
              <w:rPr>
                <w:color w:val="auto"/>
                <w:spacing w:val="8"/>
                <w:highlight w:val="none"/>
              </w:rPr>
              <w:t>监理生活设施费</w:t>
            </w:r>
          </w:p>
        </w:tc>
        <w:tc>
          <w:tcPr>
            <w:tcW w:w="2874" w:type="dxa"/>
            <w:vAlign w:val="top"/>
          </w:tcPr>
          <w:p w14:paraId="48F83C4A">
            <w:pPr>
              <w:rPr>
                <w:rFonts w:ascii="Arial"/>
                <w:color w:val="auto"/>
                <w:sz w:val="21"/>
                <w:highlight w:val="none"/>
              </w:rPr>
            </w:pPr>
          </w:p>
        </w:tc>
        <w:tc>
          <w:tcPr>
            <w:tcW w:w="2874" w:type="dxa"/>
            <w:vAlign w:val="top"/>
          </w:tcPr>
          <w:p w14:paraId="46976A8B">
            <w:pPr>
              <w:rPr>
                <w:rFonts w:ascii="Arial"/>
                <w:color w:val="auto"/>
                <w:sz w:val="21"/>
                <w:highlight w:val="none"/>
              </w:rPr>
            </w:pPr>
          </w:p>
        </w:tc>
        <w:tc>
          <w:tcPr>
            <w:tcW w:w="3657" w:type="dxa"/>
            <w:vAlign w:val="top"/>
          </w:tcPr>
          <w:p w14:paraId="0B8BB0C7">
            <w:pPr>
              <w:rPr>
                <w:rFonts w:ascii="Arial"/>
                <w:color w:val="auto"/>
                <w:sz w:val="21"/>
                <w:highlight w:val="none"/>
              </w:rPr>
            </w:pPr>
          </w:p>
        </w:tc>
      </w:tr>
      <w:tr w14:paraId="7EF4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2207B322">
            <w:pPr>
              <w:pStyle w:val="23"/>
              <w:spacing w:before="180" w:line="268" w:lineRule="exact"/>
              <w:ind w:left="454"/>
              <w:rPr>
                <w:color w:val="auto"/>
                <w:highlight w:val="none"/>
              </w:rPr>
            </w:pPr>
            <w:r>
              <w:rPr>
                <w:color w:val="auto"/>
                <w:position w:val="1"/>
                <w:highlight w:val="none"/>
              </w:rPr>
              <w:t>6</w:t>
            </w:r>
          </w:p>
        </w:tc>
        <w:tc>
          <w:tcPr>
            <w:tcW w:w="3812" w:type="dxa"/>
            <w:vAlign w:val="top"/>
          </w:tcPr>
          <w:p w14:paraId="3407ACBC">
            <w:pPr>
              <w:pStyle w:val="23"/>
              <w:spacing w:before="180" w:line="228" w:lineRule="auto"/>
              <w:ind w:left="1490"/>
              <w:rPr>
                <w:color w:val="auto"/>
                <w:highlight w:val="none"/>
              </w:rPr>
            </w:pPr>
            <w:r>
              <w:rPr>
                <w:color w:val="auto"/>
                <w:spacing w:val="7"/>
                <w:highlight w:val="none"/>
              </w:rPr>
              <w:t>其他费用</w:t>
            </w:r>
          </w:p>
        </w:tc>
        <w:tc>
          <w:tcPr>
            <w:tcW w:w="2874" w:type="dxa"/>
            <w:vAlign w:val="top"/>
          </w:tcPr>
          <w:p w14:paraId="57DB9BD7">
            <w:pPr>
              <w:rPr>
                <w:rFonts w:ascii="Arial"/>
                <w:color w:val="auto"/>
                <w:sz w:val="21"/>
                <w:highlight w:val="none"/>
              </w:rPr>
            </w:pPr>
          </w:p>
        </w:tc>
        <w:tc>
          <w:tcPr>
            <w:tcW w:w="2874" w:type="dxa"/>
            <w:vAlign w:val="top"/>
          </w:tcPr>
          <w:p w14:paraId="0020E274">
            <w:pPr>
              <w:rPr>
                <w:rFonts w:ascii="Arial"/>
                <w:color w:val="auto"/>
                <w:sz w:val="21"/>
                <w:highlight w:val="none"/>
              </w:rPr>
            </w:pPr>
          </w:p>
        </w:tc>
        <w:tc>
          <w:tcPr>
            <w:tcW w:w="3657" w:type="dxa"/>
            <w:vAlign w:val="top"/>
          </w:tcPr>
          <w:p w14:paraId="040AA099">
            <w:pPr>
              <w:rPr>
                <w:rFonts w:ascii="Arial"/>
                <w:color w:val="auto"/>
                <w:sz w:val="21"/>
                <w:highlight w:val="none"/>
              </w:rPr>
            </w:pPr>
          </w:p>
        </w:tc>
      </w:tr>
      <w:tr w14:paraId="552A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6348A5A1">
            <w:pPr>
              <w:pStyle w:val="23"/>
              <w:spacing w:before="178" w:line="269" w:lineRule="exact"/>
              <w:ind w:left="457"/>
              <w:rPr>
                <w:color w:val="auto"/>
                <w:highlight w:val="none"/>
              </w:rPr>
            </w:pPr>
            <w:r>
              <w:rPr>
                <w:color w:val="auto"/>
                <w:position w:val="1"/>
                <w:highlight w:val="none"/>
              </w:rPr>
              <w:t>7</w:t>
            </w:r>
          </w:p>
        </w:tc>
        <w:tc>
          <w:tcPr>
            <w:tcW w:w="9560" w:type="dxa"/>
            <w:gridSpan w:val="3"/>
            <w:vAlign w:val="top"/>
          </w:tcPr>
          <w:p w14:paraId="08BE3FE7">
            <w:pPr>
              <w:pStyle w:val="23"/>
              <w:spacing w:before="178" w:line="229" w:lineRule="auto"/>
              <w:ind w:left="3683"/>
              <w:rPr>
                <w:color w:val="auto"/>
                <w:highlight w:val="none"/>
              </w:rPr>
            </w:pPr>
            <w:r>
              <w:rPr>
                <w:color w:val="auto"/>
                <w:spacing w:val="5"/>
                <w:highlight w:val="none"/>
              </w:rPr>
              <w:t>合  计（1+2+3+4+5+6）</w:t>
            </w:r>
          </w:p>
        </w:tc>
        <w:tc>
          <w:tcPr>
            <w:tcW w:w="3657" w:type="dxa"/>
            <w:vAlign w:val="top"/>
          </w:tcPr>
          <w:p w14:paraId="78F919B7">
            <w:pPr>
              <w:rPr>
                <w:rFonts w:ascii="Arial"/>
                <w:color w:val="auto"/>
                <w:sz w:val="21"/>
                <w:highlight w:val="none"/>
              </w:rPr>
            </w:pPr>
          </w:p>
        </w:tc>
      </w:tr>
      <w:tr w14:paraId="79924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27D7E378">
            <w:pPr>
              <w:pStyle w:val="23"/>
              <w:spacing w:before="179" w:line="269" w:lineRule="exact"/>
              <w:ind w:left="453"/>
              <w:rPr>
                <w:color w:val="auto"/>
                <w:highlight w:val="none"/>
              </w:rPr>
            </w:pPr>
            <w:r>
              <w:rPr>
                <w:color w:val="auto"/>
                <w:position w:val="1"/>
                <w:highlight w:val="none"/>
              </w:rPr>
              <w:t>8</w:t>
            </w:r>
          </w:p>
        </w:tc>
        <w:tc>
          <w:tcPr>
            <w:tcW w:w="9560" w:type="dxa"/>
            <w:gridSpan w:val="3"/>
            <w:vAlign w:val="top"/>
          </w:tcPr>
          <w:p w14:paraId="70304885">
            <w:pPr>
              <w:pStyle w:val="23"/>
              <w:spacing w:before="152" w:line="228" w:lineRule="auto"/>
              <w:ind w:left="3795"/>
              <w:rPr>
                <w:color w:val="auto"/>
                <w:highlight w:val="none"/>
              </w:rPr>
            </w:pPr>
            <w:r>
              <w:rPr>
                <w:color w:val="auto"/>
                <w:spacing w:val="5"/>
                <w:highlight w:val="none"/>
              </w:rPr>
              <w:t>暂列金额（7×</w:t>
            </w:r>
            <w:r>
              <w:rPr>
                <w:color w:val="auto"/>
                <w:spacing w:val="5"/>
                <w:highlight w:val="none"/>
                <w:u w:val="single" w:color="auto"/>
              </w:rPr>
              <w:t xml:space="preserve">   </w:t>
            </w:r>
            <w:r>
              <w:rPr>
                <w:color w:val="auto"/>
                <w:spacing w:val="-92"/>
                <w:highlight w:val="none"/>
              </w:rPr>
              <w:t xml:space="preserve"> </w:t>
            </w:r>
            <w:r>
              <w:rPr>
                <w:color w:val="auto"/>
                <w:spacing w:val="5"/>
                <w:highlight w:val="none"/>
              </w:rPr>
              <w:t>%）</w:t>
            </w:r>
          </w:p>
        </w:tc>
        <w:tc>
          <w:tcPr>
            <w:tcW w:w="3657" w:type="dxa"/>
            <w:vAlign w:val="top"/>
          </w:tcPr>
          <w:p w14:paraId="396FBD01">
            <w:pPr>
              <w:rPr>
                <w:rFonts w:ascii="Arial"/>
                <w:color w:val="auto"/>
                <w:sz w:val="21"/>
                <w:highlight w:val="none"/>
              </w:rPr>
            </w:pPr>
          </w:p>
        </w:tc>
      </w:tr>
      <w:tr w14:paraId="7458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7CE4EB0F">
            <w:pPr>
              <w:pStyle w:val="23"/>
              <w:spacing w:before="180" w:line="268" w:lineRule="exact"/>
              <w:ind w:left="453"/>
              <w:rPr>
                <w:color w:val="auto"/>
                <w:highlight w:val="none"/>
              </w:rPr>
            </w:pPr>
            <w:r>
              <w:rPr>
                <w:color w:val="auto"/>
                <w:position w:val="1"/>
                <w:highlight w:val="none"/>
              </w:rPr>
              <w:t>9</w:t>
            </w:r>
          </w:p>
        </w:tc>
        <w:tc>
          <w:tcPr>
            <w:tcW w:w="9560" w:type="dxa"/>
            <w:gridSpan w:val="3"/>
            <w:vAlign w:val="top"/>
          </w:tcPr>
          <w:p w14:paraId="0D3880FC">
            <w:pPr>
              <w:pStyle w:val="23"/>
              <w:spacing w:before="154" w:line="228" w:lineRule="auto"/>
              <w:ind w:left="3789"/>
              <w:rPr>
                <w:color w:val="auto"/>
                <w:highlight w:val="none"/>
              </w:rPr>
            </w:pPr>
            <w:r>
              <w:rPr>
                <w:color w:val="auto"/>
                <w:spacing w:val="6"/>
                <w:highlight w:val="none"/>
              </w:rPr>
              <w:t>监理奖金（7×</w:t>
            </w:r>
            <w:r>
              <w:rPr>
                <w:color w:val="auto"/>
                <w:spacing w:val="6"/>
                <w:highlight w:val="none"/>
                <w:u w:val="single" w:color="auto"/>
              </w:rPr>
              <w:t xml:space="preserve">   </w:t>
            </w:r>
            <w:r>
              <w:rPr>
                <w:color w:val="auto"/>
                <w:spacing w:val="-97"/>
                <w:highlight w:val="none"/>
              </w:rPr>
              <w:t xml:space="preserve"> </w:t>
            </w:r>
            <w:r>
              <w:rPr>
                <w:color w:val="auto"/>
                <w:spacing w:val="6"/>
                <w:highlight w:val="none"/>
              </w:rPr>
              <w:t>%）</w:t>
            </w:r>
          </w:p>
        </w:tc>
        <w:tc>
          <w:tcPr>
            <w:tcW w:w="3657" w:type="dxa"/>
            <w:vAlign w:val="top"/>
          </w:tcPr>
          <w:p w14:paraId="25BED7C7">
            <w:pPr>
              <w:rPr>
                <w:rFonts w:ascii="Arial"/>
                <w:color w:val="auto"/>
                <w:sz w:val="21"/>
                <w:highlight w:val="none"/>
              </w:rPr>
            </w:pPr>
          </w:p>
        </w:tc>
      </w:tr>
      <w:tr w14:paraId="7E8F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01" w:type="dxa"/>
            <w:vAlign w:val="top"/>
          </w:tcPr>
          <w:p w14:paraId="0AA3574C">
            <w:pPr>
              <w:pStyle w:val="23"/>
              <w:spacing w:before="178" w:line="269" w:lineRule="exact"/>
              <w:ind w:left="415"/>
              <w:rPr>
                <w:color w:val="auto"/>
                <w:highlight w:val="none"/>
              </w:rPr>
            </w:pPr>
            <w:r>
              <w:rPr>
                <w:color w:val="auto"/>
                <w:spacing w:val="-7"/>
                <w:position w:val="1"/>
                <w:highlight w:val="none"/>
              </w:rPr>
              <w:t>10</w:t>
            </w:r>
          </w:p>
        </w:tc>
        <w:tc>
          <w:tcPr>
            <w:tcW w:w="9560" w:type="dxa"/>
            <w:gridSpan w:val="3"/>
            <w:vAlign w:val="top"/>
          </w:tcPr>
          <w:p w14:paraId="17F42489">
            <w:pPr>
              <w:pStyle w:val="23"/>
              <w:spacing w:before="179" w:line="226" w:lineRule="auto"/>
              <w:ind w:left="3738"/>
              <w:rPr>
                <w:color w:val="auto"/>
                <w:highlight w:val="none"/>
              </w:rPr>
            </w:pPr>
            <w:r>
              <w:rPr>
                <w:color w:val="auto"/>
                <w:spacing w:val="2"/>
                <w:highlight w:val="none"/>
              </w:rPr>
              <w:t>投标报价总计</w:t>
            </w:r>
            <w:r>
              <w:rPr>
                <w:color w:val="auto"/>
                <w:spacing w:val="61"/>
                <w:highlight w:val="none"/>
              </w:rPr>
              <w:t xml:space="preserve"> </w:t>
            </w:r>
            <w:r>
              <w:rPr>
                <w:color w:val="auto"/>
                <w:spacing w:val="2"/>
                <w:highlight w:val="none"/>
              </w:rPr>
              <w:t>(7+8+9)</w:t>
            </w:r>
          </w:p>
        </w:tc>
        <w:tc>
          <w:tcPr>
            <w:tcW w:w="3657" w:type="dxa"/>
            <w:vAlign w:val="top"/>
          </w:tcPr>
          <w:p w14:paraId="68205B3A">
            <w:pPr>
              <w:rPr>
                <w:rFonts w:ascii="Arial"/>
                <w:color w:val="auto"/>
                <w:sz w:val="21"/>
                <w:highlight w:val="none"/>
              </w:rPr>
            </w:pPr>
          </w:p>
        </w:tc>
      </w:tr>
    </w:tbl>
    <w:p w14:paraId="08B2B28F">
      <w:pPr>
        <w:rPr>
          <w:rFonts w:ascii="Arial"/>
          <w:color w:val="auto"/>
          <w:sz w:val="21"/>
          <w:highlight w:val="none"/>
        </w:rPr>
      </w:pPr>
    </w:p>
    <w:p w14:paraId="50E6CC3B">
      <w:pPr>
        <w:rPr>
          <w:rFonts w:ascii="Arial" w:hAnsi="Arial" w:eastAsia="Arial" w:cs="Arial"/>
          <w:color w:val="auto"/>
          <w:sz w:val="21"/>
          <w:szCs w:val="21"/>
          <w:highlight w:val="none"/>
        </w:rPr>
        <w:sectPr>
          <w:footerReference r:id="rId65" w:type="default"/>
          <w:pgSz w:w="16839" w:h="11906"/>
          <w:pgMar w:top="1012" w:right="1307" w:bottom="1297" w:left="1307" w:header="0" w:footer="1067" w:gutter="0"/>
          <w:pgNumType w:fmt="decimal"/>
          <w:cols w:space="720" w:num="1"/>
        </w:sectPr>
      </w:pPr>
    </w:p>
    <w:p w14:paraId="4FF96A94">
      <w:pPr>
        <w:spacing w:line="353" w:lineRule="auto"/>
        <w:rPr>
          <w:rFonts w:ascii="Arial"/>
          <w:color w:val="auto"/>
          <w:sz w:val="21"/>
          <w:highlight w:val="none"/>
        </w:rPr>
      </w:pPr>
    </w:p>
    <w:p w14:paraId="6F011C17">
      <w:pPr>
        <w:spacing w:before="91" w:line="212" w:lineRule="auto"/>
        <w:ind w:left="533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4"/>
          <w:sz w:val="28"/>
          <w:szCs w:val="28"/>
          <w:highlight w:val="none"/>
        </w:rPr>
        <w:t>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监理人员服务费报价表</w:t>
      </w:r>
    </w:p>
    <w:tbl>
      <w:tblPr>
        <w:tblStyle w:val="22"/>
        <w:tblW w:w="142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73"/>
        <w:gridCol w:w="1746"/>
        <w:gridCol w:w="1746"/>
        <w:gridCol w:w="1751"/>
        <w:gridCol w:w="1747"/>
        <w:gridCol w:w="1746"/>
        <w:gridCol w:w="1759"/>
      </w:tblGrid>
      <w:tr w14:paraId="4D76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3" w:type="dxa"/>
            <w:vMerge w:val="restart"/>
            <w:tcBorders>
              <w:bottom w:val="nil"/>
            </w:tcBorders>
            <w:vAlign w:val="top"/>
          </w:tcPr>
          <w:p w14:paraId="6657FBD0">
            <w:pPr>
              <w:spacing w:line="350" w:lineRule="auto"/>
              <w:rPr>
                <w:rFonts w:ascii="Arial"/>
                <w:color w:val="auto"/>
                <w:sz w:val="21"/>
                <w:highlight w:val="none"/>
              </w:rPr>
            </w:pPr>
          </w:p>
          <w:p w14:paraId="1EAACB58">
            <w:pPr>
              <w:pStyle w:val="23"/>
              <w:spacing w:before="65" w:line="229" w:lineRule="auto"/>
              <w:ind w:left="121"/>
              <w:rPr>
                <w:color w:val="auto"/>
                <w:highlight w:val="none"/>
              </w:rPr>
            </w:pPr>
            <w:r>
              <w:rPr>
                <w:color w:val="auto"/>
                <w:spacing w:val="5"/>
                <w:highlight w:val="none"/>
              </w:rPr>
              <w:t>序号</w:t>
            </w:r>
          </w:p>
        </w:tc>
        <w:tc>
          <w:tcPr>
            <w:tcW w:w="3073" w:type="dxa"/>
            <w:vMerge w:val="restart"/>
            <w:tcBorders>
              <w:bottom w:val="nil"/>
            </w:tcBorders>
            <w:vAlign w:val="top"/>
          </w:tcPr>
          <w:p w14:paraId="7A13FD4B">
            <w:pPr>
              <w:pStyle w:val="23"/>
              <w:spacing w:before="297" w:line="229" w:lineRule="auto"/>
              <w:ind w:left="1330"/>
              <w:rPr>
                <w:color w:val="auto"/>
                <w:highlight w:val="none"/>
              </w:rPr>
            </w:pPr>
            <w:r>
              <w:rPr>
                <w:color w:val="auto"/>
                <w:spacing w:val="3"/>
                <w:highlight w:val="none"/>
              </w:rPr>
              <w:t>人员</w:t>
            </w:r>
          </w:p>
        </w:tc>
        <w:tc>
          <w:tcPr>
            <w:tcW w:w="5243" w:type="dxa"/>
            <w:gridSpan w:val="3"/>
            <w:vAlign w:val="top"/>
          </w:tcPr>
          <w:p w14:paraId="55D24A70">
            <w:pPr>
              <w:pStyle w:val="23"/>
              <w:spacing w:before="141" w:line="228" w:lineRule="auto"/>
              <w:ind w:left="2311"/>
              <w:rPr>
                <w:color w:val="auto"/>
                <w:highlight w:val="none"/>
              </w:rPr>
            </w:pPr>
            <w:r>
              <w:rPr>
                <w:color w:val="auto"/>
                <w:spacing w:val="7"/>
                <w:highlight w:val="none"/>
              </w:rPr>
              <w:t>施工期</w:t>
            </w:r>
          </w:p>
        </w:tc>
        <w:tc>
          <w:tcPr>
            <w:tcW w:w="5252" w:type="dxa"/>
            <w:gridSpan w:val="3"/>
            <w:vAlign w:val="top"/>
          </w:tcPr>
          <w:p w14:paraId="2F1246D7">
            <w:pPr>
              <w:pStyle w:val="23"/>
              <w:spacing w:before="140" w:line="228" w:lineRule="auto"/>
              <w:ind w:left="2125"/>
              <w:rPr>
                <w:color w:val="auto"/>
                <w:highlight w:val="none"/>
              </w:rPr>
            </w:pPr>
            <w:r>
              <w:rPr>
                <w:color w:val="auto"/>
                <w:spacing w:val="8"/>
                <w:highlight w:val="none"/>
              </w:rPr>
              <w:t>缺陷责任期</w:t>
            </w:r>
          </w:p>
        </w:tc>
      </w:tr>
      <w:tr w14:paraId="3170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3" w:type="dxa"/>
            <w:vMerge w:val="continue"/>
            <w:tcBorders>
              <w:top w:val="nil"/>
            </w:tcBorders>
            <w:vAlign w:val="top"/>
          </w:tcPr>
          <w:p w14:paraId="7F1D7EC5">
            <w:pPr>
              <w:rPr>
                <w:rFonts w:ascii="Arial"/>
                <w:color w:val="auto"/>
                <w:sz w:val="21"/>
                <w:highlight w:val="none"/>
              </w:rPr>
            </w:pPr>
          </w:p>
        </w:tc>
        <w:tc>
          <w:tcPr>
            <w:tcW w:w="3073" w:type="dxa"/>
            <w:vMerge w:val="continue"/>
            <w:tcBorders>
              <w:top w:val="nil"/>
            </w:tcBorders>
            <w:vAlign w:val="top"/>
          </w:tcPr>
          <w:p w14:paraId="1ABDD7FF">
            <w:pPr>
              <w:rPr>
                <w:rFonts w:ascii="Arial"/>
                <w:color w:val="auto"/>
                <w:sz w:val="21"/>
                <w:highlight w:val="none"/>
              </w:rPr>
            </w:pPr>
          </w:p>
        </w:tc>
        <w:tc>
          <w:tcPr>
            <w:tcW w:w="1746" w:type="dxa"/>
            <w:vAlign w:val="top"/>
          </w:tcPr>
          <w:p w14:paraId="775A2416">
            <w:pPr>
              <w:pStyle w:val="23"/>
              <w:spacing w:before="168" w:line="228" w:lineRule="auto"/>
              <w:ind w:left="667"/>
              <w:rPr>
                <w:color w:val="auto"/>
                <w:highlight w:val="none"/>
              </w:rPr>
            </w:pPr>
            <w:r>
              <w:rPr>
                <w:color w:val="auto"/>
                <w:spacing w:val="3"/>
                <w:highlight w:val="none"/>
              </w:rPr>
              <w:t>数量</w:t>
            </w:r>
          </w:p>
        </w:tc>
        <w:tc>
          <w:tcPr>
            <w:tcW w:w="1746" w:type="dxa"/>
            <w:vAlign w:val="top"/>
          </w:tcPr>
          <w:p w14:paraId="6321734C">
            <w:pPr>
              <w:pStyle w:val="23"/>
              <w:spacing w:before="31" w:line="226" w:lineRule="auto"/>
              <w:ind w:left="668"/>
              <w:rPr>
                <w:color w:val="auto"/>
                <w:highlight w:val="none"/>
              </w:rPr>
            </w:pPr>
            <w:r>
              <w:rPr>
                <w:color w:val="auto"/>
                <w:spacing w:val="3"/>
                <w:highlight w:val="none"/>
              </w:rPr>
              <w:t>单价</w:t>
            </w:r>
          </w:p>
          <w:p w14:paraId="6B82B008">
            <w:pPr>
              <w:pStyle w:val="23"/>
              <w:spacing w:before="28" w:line="216" w:lineRule="auto"/>
              <w:ind w:left="415"/>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51" w:type="dxa"/>
            <w:vAlign w:val="top"/>
          </w:tcPr>
          <w:p w14:paraId="7DF7AA2B">
            <w:pPr>
              <w:pStyle w:val="23"/>
              <w:spacing w:before="168" w:line="228" w:lineRule="auto"/>
              <w:ind w:left="463"/>
              <w:rPr>
                <w:color w:val="auto"/>
                <w:highlight w:val="none"/>
              </w:rPr>
            </w:pPr>
            <w:r>
              <w:rPr>
                <w:color w:val="auto"/>
                <w:spacing w:val="5"/>
                <w:highlight w:val="none"/>
              </w:rPr>
              <w:t>金额(元)</w:t>
            </w:r>
          </w:p>
        </w:tc>
        <w:tc>
          <w:tcPr>
            <w:tcW w:w="1747" w:type="dxa"/>
            <w:vAlign w:val="top"/>
          </w:tcPr>
          <w:p w14:paraId="0B8BE56B">
            <w:pPr>
              <w:pStyle w:val="23"/>
              <w:spacing w:before="168" w:line="228" w:lineRule="auto"/>
              <w:ind w:left="670"/>
              <w:rPr>
                <w:color w:val="auto"/>
                <w:highlight w:val="none"/>
              </w:rPr>
            </w:pPr>
            <w:r>
              <w:rPr>
                <w:color w:val="auto"/>
                <w:spacing w:val="3"/>
                <w:highlight w:val="none"/>
              </w:rPr>
              <w:t>数量</w:t>
            </w:r>
          </w:p>
        </w:tc>
        <w:tc>
          <w:tcPr>
            <w:tcW w:w="1746" w:type="dxa"/>
            <w:vAlign w:val="top"/>
          </w:tcPr>
          <w:p w14:paraId="1EABFB88">
            <w:pPr>
              <w:pStyle w:val="23"/>
              <w:spacing w:before="31" w:line="226" w:lineRule="auto"/>
              <w:ind w:left="671"/>
              <w:rPr>
                <w:color w:val="auto"/>
                <w:highlight w:val="none"/>
              </w:rPr>
            </w:pPr>
            <w:r>
              <w:rPr>
                <w:color w:val="auto"/>
                <w:spacing w:val="3"/>
                <w:highlight w:val="none"/>
              </w:rPr>
              <w:t>单价</w:t>
            </w:r>
          </w:p>
          <w:p w14:paraId="2C241F1B">
            <w:pPr>
              <w:pStyle w:val="23"/>
              <w:spacing w:before="28" w:line="216" w:lineRule="auto"/>
              <w:ind w:left="418"/>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59" w:type="dxa"/>
            <w:vAlign w:val="top"/>
          </w:tcPr>
          <w:p w14:paraId="1A15BA87">
            <w:pPr>
              <w:pStyle w:val="23"/>
              <w:spacing w:before="168" w:line="228" w:lineRule="auto"/>
              <w:ind w:left="487"/>
              <w:rPr>
                <w:color w:val="auto"/>
                <w:highlight w:val="none"/>
              </w:rPr>
            </w:pPr>
            <w:r>
              <w:rPr>
                <w:color w:val="auto"/>
                <w:spacing w:val="5"/>
                <w:highlight w:val="none"/>
              </w:rPr>
              <w:t>金额(元)</w:t>
            </w:r>
          </w:p>
        </w:tc>
      </w:tr>
      <w:tr w14:paraId="5B72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04E7296">
            <w:pPr>
              <w:pStyle w:val="23"/>
              <w:spacing w:before="135" w:line="270" w:lineRule="exact"/>
              <w:ind w:left="293"/>
              <w:rPr>
                <w:color w:val="auto"/>
                <w:highlight w:val="none"/>
              </w:rPr>
            </w:pPr>
            <w:r>
              <w:rPr>
                <w:color w:val="auto"/>
                <w:position w:val="1"/>
                <w:highlight w:val="none"/>
              </w:rPr>
              <w:t>1</w:t>
            </w:r>
          </w:p>
        </w:tc>
        <w:tc>
          <w:tcPr>
            <w:tcW w:w="3073" w:type="dxa"/>
            <w:vAlign w:val="top"/>
          </w:tcPr>
          <w:p w14:paraId="4BC94812">
            <w:pPr>
              <w:pStyle w:val="23"/>
              <w:spacing w:before="134" w:line="228" w:lineRule="auto"/>
              <w:ind w:left="914"/>
              <w:rPr>
                <w:color w:val="auto"/>
                <w:highlight w:val="none"/>
              </w:rPr>
            </w:pPr>
            <w:r>
              <w:rPr>
                <w:color w:val="auto"/>
                <w:spacing w:val="7"/>
                <w:highlight w:val="none"/>
              </w:rPr>
              <w:t>总监理工程师</w:t>
            </w:r>
          </w:p>
        </w:tc>
        <w:tc>
          <w:tcPr>
            <w:tcW w:w="1746" w:type="dxa"/>
            <w:vAlign w:val="top"/>
          </w:tcPr>
          <w:p w14:paraId="23502D58">
            <w:pPr>
              <w:rPr>
                <w:rFonts w:ascii="Arial"/>
                <w:color w:val="auto"/>
                <w:sz w:val="21"/>
                <w:highlight w:val="none"/>
              </w:rPr>
            </w:pPr>
          </w:p>
        </w:tc>
        <w:tc>
          <w:tcPr>
            <w:tcW w:w="1746" w:type="dxa"/>
            <w:vAlign w:val="top"/>
          </w:tcPr>
          <w:p w14:paraId="20405F4A">
            <w:pPr>
              <w:rPr>
                <w:rFonts w:ascii="Arial"/>
                <w:color w:val="auto"/>
                <w:sz w:val="21"/>
                <w:highlight w:val="none"/>
              </w:rPr>
            </w:pPr>
          </w:p>
        </w:tc>
        <w:tc>
          <w:tcPr>
            <w:tcW w:w="1751" w:type="dxa"/>
            <w:vAlign w:val="top"/>
          </w:tcPr>
          <w:p w14:paraId="5227C155">
            <w:pPr>
              <w:rPr>
                <w:rFonts w:ascii="Arial"/>
                <w:color w:val="auto"/>
                <w:sz w:val="21"/>
                <w:highlight w:val="none"/>
              </w:rPr>
            </w:pPr>
          </w:p>
        </w:tc>
        <w:tc>
          <w:tcPr>
            <w:tcW w:w="1747" w:type="dxa"/>
            <w:vAlign w:val="top"/>
          </w:tcPr>
          <w:p w14:paraId="50BA4F66">
            <w:pPr>
              <w:rPr>
                <w:rFonts w:ascii="Arial"/>
                <w:color w:val="auto"/>
                <w:sz w:val="21"/>
                <w:highlight w:val="none"/>
              </w:rPr>
            </w:pPr>
          </w:p>
        </w:tc>
        <w:tc>
          <w:tcPr>
            <w:tcW w:w="1746" w:type="dxa"/>
            <w:vAlign w:val="top"/>
          </w:tcPr>
          <w:p w14:paraId="05C232BF">
            <w:pPr>
              <w:rPr>
                <w:rFonts w:ascii="Arial"/>
                <w:color w:val="auto"/>
                <w:sz w:val="21"/>
                <w:highlight w:val="none"/>
              </w:rPr>
            </w:pPr>
          </w:p>
        </w:tc>
        <w:tc>
          <w:tcPr>
            <w:tcW w:w="1759" w:type="dxa"/>
            <w:vAlign w:val="top"/>
          </w:tcPr>
          <w:p w14:paraId="6DDF930A">
            <w:pPr>
              <w:rPr>
                <w:rFonts w:ascii="Arial"/>
                <w:color w:val="auto"/>
                <w:sz w:val="21"/>
                <w:highlight w:val="none"/>
              </w:rPr>
            </w:pPr>
          </w:p>
        </w:tc>
      </w:tr>
      <w:tr w14:paraId="3498D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59472C30">
            <w:pPr>
              <w:pStyle w:val="23"/>
              <w:spacing w:before="135" w:line="270" w:lineRule="exact"/>
              <w:ind w:left="280"/>
              <w:rPr>
                <w:color w:val="auto"/>
                <w:highlight w:val="none"/>
              </w:rPr>
            </w:pPr>
            <w:r>
              <w:rPr>
                <w:color w:val="auto"/>
                <w:position w:val="1"/>
                <w:highlight w:val="none"/>
              </w:rPr>
              <w:t>2</w:t>
            </w:r>
          </w:p>
        </w:tc>
        <w:tc>
          <w:tcPr>
            <w:tcW w:w="3073" w:type="dxa"/>
            <w:vAlign w:val="top"/>
          </w:tcPr>
          <w:p w14:paraId="3DF3B8DB">
            <w:pPr>
              <w:pStyle w:val="23"/>
              <w:spacing w:before="101" w:line="228" w:lineRule="auto"/>
              <w:ind w:left="699"/>
              <w:rPr>
                <w:color w:val="auto"/>
                <w:highlight w:val="none"/>
              </w:rPr>
            </w:pPr>
            <w:r>
              <w:rPr>
                <w:color w:val="auto"/>
                <w:spacing w:val="7"/>
                <w:highlight w:val="none"/>
              </w:rPr>
              <w:t>**专业监理工程师</w:t>
            </w:r>
          </w:p>
        </w:tc>
        <w:tc>
          <w:tcPr>
            <w:tcW w:w="1746" w:type="dxa"/>
            <w:vAlign w:val="top"/>
          </w:tcPr>
          <w:p w14:paraId="0F2CCE46">
            <w:pPr>
              <w:rPr>
                <w:rFonts w:ascii="Arial"/>
                <w:color w:val="auto"/>
                <w:sz w:val="21"/>
                <w:highlight w:val="none"/>
              </w:rPr>
            </w:pPr>
          </w:p>
        </w:tc>
        <w:tc>
          <w:tcPr>
            <w:tcW w:w="1746" w:type="dxa"/>
            <w:vAlign w:val="top"/>
          </w:tcPr>
          <w:p w14:paraId="5954D49D">
            <w:pPr>
              <w:rPr>
                <w:rFonts w:ascii="Arial"/>
                <w:color w:val="auto"/>
                <w:sz w:val="21"/>
                <w:highlight w:val="none"/>
              </w:rPr>
            </w:pPr>
          </w:p>
        </w:tc>
        <w:tc>
          <w:tcPr>
            <w:tcW w:w="1751" w:type="dxa"/>
            <w:vAlign w:val="top"/>
          </w:tcPr>
          <w:p w14:paraId="70B8B112">
            <w:pPr>
              <w:rPr>
                <w:rFonts w:ascii="Arial"/>
                <w:color w:val="auto"/>
                <w:sz w:val="21"/>
                <w:highlight w:val="none"/>
              </w:rPr>
            </w:pPr>
          </w:p>
        </w:tc>
        <w:tc>
          <w:tcPr>
            <w:tcW w:w="1747" w:type="dxa"/>
            <w:vAlign w:val="top"/>
          </w:tcPr>
          <w:p w14:paraId="63B2F77C">
            <w:pPr>
              <w:rPr>
                <w:rFonts w:ascii="Arial"/>
                <w:color w:val="auto"/>
                <w:sz w:val="21"/>
                <w:highlight w:val="none"/>
              </w:rPr>
            </w:pPr>
          </w:p>
        </w:tc>
        <w:tc>
          <w:tcPr>
            <w:tcW w:w="1746" w:type="dxa"/>
            <w:vAlign w:val="top"/>
          </w:tcPr>
          <w:p w14:paraId="5835E37E">
            <w:pPr>
              <w:rPr>
                <w:rFonts w:ascii="Arial"/>
                <w:color w:val="auto"/>
                <w:sz w:val="21"/>
                <w:highlight w:val="none"/>
              </w:rPr>
            </w:pPr>
          </w:p>
        </w:tc>
        <w:tc>
          <w:tcPr>
            <w:tcW w:w="1759" w:type="dxa"/>
            <w:vAlign w:val="top"/>
          </w:tcPr>
          <w:p w14:paraId="7F430698">
            <w:pPr>
              <w:rPr>
                <w:rFonts w:ascii="Arial"/>
                <w:color w:val="auto"/>
                <w:sz w:val="21"/>
                <w:highlight w:val="none"/>
              </w:rPr>
            </w:pPr>
          </w:p>
        </w:tc>
      </w:tr>
      <w:tr w14:paraId="146B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2F0206F">
            <w:pPr>
              <w:pStyle w:val="23"/>
              <w:spacing w:before="136" w:line="268" w:lineRule="exact"/>
              <w:ind w:left="282"/>
              <w:rPr>
                <w:color w:val="auto"/>
                <w:highlight w:val="none"/>
              </w:rPr>
            </w:pPr>
            <w:r>
              <w:rPr>
                <w:color w:val="auto"/>
                <w:position w:val="1"/>
                <w:highlight w:val="none"/>
              </w:rPr>
              <w:t>3</w:t>
            </w:r>
          </w:p>
        </w:tc>
        <w:tc>
          <w:tcPr>
            <w:tcW w:w="3073" w:type="dxa"/>
            <w:vAlign w:val="top"/>
          </w:tcPr>
          <w:p w14:paraId="320D09AB">
            <w:pPr>
              <w:pStyle w:val="23"/>
              <w:spacing w:before="135" w:line="228" w:lineRule="auto"/>
              <w:ind w:left="699"/>
              <w:rPr>
                <w:color w:val="auto"/>
                <w:highlight w:val="none"/>
              </w:rPr>
            </w:pPr>
            <w:r>
              <w:rPr>
                <w:color w:val="auto"/>
                <w:spacing w:val="7"/>
                <w:highlight w:val="none"/>
              </w:rPr>
              <w:t>**专业监理工程师</w:t>
            </w:r>
          </w:p>
        </w:tc>
        <w:tc>
          <w:tcPr>
            <w:tcW w:w="1746" w:type="dxa"/>
            <w:vAlign w:val="top"/>
          </w:tcPr>
          <w:p w14:paraId="3F0D35F1">
            <w:pPr>
              <w:rPr>
                <w:rFonts w:ascii="Arial"/>
                <w:color w:val="auto"/>
                <w:sz w:val="21"/>
                <w:highlight w:val="none"/>
              </w:rPr>
            </w:pPr>
          </w:p>
        </w:tc>
        <w:tc>
          <w:tcPr>
            <w:tcW w:w="1746" w:type="dxa"/>
            <w:vAlign w:val="top"/>
          </w:tcPr>
          <w:p w14:paraId="4E3116C7">
            <w:pPr>
              <w:rPr>
                <w:rFonts w:ascii="Arial"/>
                <w:color w:val="auto"/>
                <w:sz w:val="21"/>
                <w:highlight w:val="none"/>
              </w:rPr>
            </w:pPr>
          </w:p>
        </w:tc>
        <w:tc>
          <w:tcPr>
            <w:tcW w:w="1751" w:type="dxa"/>
            <w:vAlign w:val="top"/>
          </w:tcPr>
          <w:p w14:paraId="5A26F229">
            <w:pPr>
              <w:rPr>
                <w:rFonts w:ascii="Arial"/>
                <w:color w:val="auto"/>
                <w:sz w:val="21"/>
                <w:highlight w:val="none"/>
              </w:rPr>
            </w:pPr>
          </w:p>
        </w:tc>
        <w:tc>
          <w:tcPr>
            <w:tcW w:w="1747" w:type="dxa"/>
            <w:vAlign w:val="top"/>
          </w:tcPr>
          <w:p w14:paraId="36148114">
            <w:pPr>
              <w:rPr>
                <w:rFonts w:ascii="Arial"/>
                <w:color w:val="auto"/>
                <w:sz w:val="21"/>
                <w:highlight w:val="none"/>
              </w:rPr>
            </w:pPr>
          </w:p>
        </w:tc>
        <w:tc>
          <w:tcPr>
            <w:tcW w:w="1746" w:type="dxa"/>
            <w:vAlign w:val="top"/>
          </w:tcPr>
          <w:p w14:paraId="2E66F514">
            <w:pPr>
              <w:rPr>
                <w:rFonts w:ascii="Arial"/>
                <w:color w:val="auto"/>
                <w:sz w:val="21"/>
                <w:highlight w:val="none"/>
              </w:rPr>
            </w:pPr>
          </w:p>
        </w:tc>
        <w:tc>
          <w:tcPr>
            <w:tcW w:w="1759" w:type="dxa"/>
            <w:vAlign w:val="top"/>
          </w:tcPr>
          <w:p w14:paraId="2CD1738C">
            <w:pPr>
              <w:rPr>
                <w:rFonts w:ascii="Arial"/>
                <w:color w:val="auto"/>
                <w:sz w:val="21"/>
                <w:highlight w:val="none"/>
              </w:rPr>
            </w:pPr>
          </w:p>
        </w:tc>
      </w:tr>
      <w:tr w14:paraId="7945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08F6D902">
            <w:pPr>
              <w:pStyle w:val="23"/>
              <w:spacing w:before="136" w:line="270" w:lineRule="exact"/>
              <w:ind w:left="277"/>
              <w:rPr>
                <w:color w:val="auto"/>
                <w:highlight w:val="none"/>
              </w:rPr>
            </w:pPr>
            <w:r>
              <w:rPr>
                <w:color w:val="auto"/>
                <w:position w:val="1"/>
                <w:highlight w:val="none"/>
              </w:rPr>
              <w:t>4</w:t>
            </w:r>
          </w:p>
        </w:tc>
        <w:tc>
          <w:tcPr>
            <w:tcW w:w="3073" w:type="dxa"/>
            <w:vAlign w:val="top"/>
          </w:tcPr>
          <w:p w14:paraId="349B7C69">
            <w:pPr>
              <w:pStyle w:val="23"/>
              <w:spacing w:before="135" w:line="228" w:lineRule="auto"/>
              <w:ind w:left="699"/>
              <w:rPr>
                <w:color w:val="auto"/>
                <w:highlight w:val="none"/>
              </w:rPr>
            </w:pPr>
            <w:r>
              <w:rPr>
                <w:color w:val="auto"/>
                <w:spacing w:val="7"/>
                <w:highlight w:val="none"/>
              </w:rPr>
              <w:t>**专业监理工程师</w:t>
            </w:r>
          </w:p>
        </w:tc>
        <w:tc>
          <w:tcPr>
            <w:tcW w:w="1746" w:type="dxa"/>
            <w:vAlign w:val="top"/>
          </w:tcPr>
          <w:p w14:paraId="16BEC4E4">
            <w:pPr>
              <w:rPr>
                <w:rFonts w:ascii="Arial"/>
                <w:color w:val="auto"/>
                <w:sz w:val="21"/>
                <w:highlight w:val="none"/>
              </w:rPr>
            </w:pPr>
          </w:p>
        </w:tc>
        <w:tc>
          <w:tcPr>
            <w:tcW w:w="1746" w:type="dxa"/>
            <w:vAlign w:val="top"/>
          </w:tcPr>
          <w:p w14:paraId="2633F7C1">
            <w:pPr>
              <w:rPr>
                <w:rFonts w:ascii="Arial"/>
                <w:color w:val="auto"/>
                <w:sz w:val="21"/>
                <w:highlight w:val="none"/>
              </w:rPr>
            </w:pPr>
          </w:p>
        </w:tc>
        <w:tc>
          <w:tcPr>
            <w:tcW w:w="1751" w:type="dxa"/>
            <w:vAlign w:val="top"/>
          </w:tcPr>
          <w:p w14:paraId="2461C82D">
            <w:pPr>
              <w:rPr>
                <w:rFonts w:ascii="Arial"/>
                <w:color w:val="auto"/>
                <w:sz w:val="21"/>
                <w:highlight w:val="none"/>
              </w:rPr>
            </w:pPr>
          </w:p>
        </w:tc>
        <w:tc>
          <w:tcPr>
            <w:tcW w:w="1747" w:type="dxa"/>
            <w:vAlign w:val="top"/>
          </w:tcPr>
          <w:p w14:paraId="0E1DA14A">
            <w:pPr>
              <w:rPr>
                <w:rFonts w:ascii="Arial"/>
                <w:color w:val="auto"/>
                <w:sz w:val="21"/>
                <w:highlight w:val="none"/>
              </w:rPr>
            </w:pPr>
          </w:p>
        </w:tc>
        <w:tc>
          <w:tcPr>
            <w:tcW w:w="1746" w:type="dxa"/>
            <w:vAlign w:val="top"/>
          </w:tcPr>
          <w:p w14:paraId="5C2D0353">
            <w:pPr>
              <w:rPr>
                <w:rFonts w:ascii="Arial"/>
                <w:color w:val="auto"/>
                <w:sz w:val="21"/>
                <w:highlight w:val="none"/>
              </w:rPr>
            </w:pPr>
          </w:p>
        </w:tc>
        <w:tc>
          <w:tcPr>
            <w:tcW w:w="1759" w:type="dxa"/>
            <w:vAlign w:val="top"/>
          </w:tcPr>
          <w:p w14:paraId="2E2BDE77">
            <w:pPr>
              <w:rPr>
                <w:rFonts w:ascii="Arial"/>
                <w:color w:val="auto"/>
                <w:sz w:val="21"/>
                <w:highlight w:val="none"/>
              </w:rPr>
            </w:pPr>
          </w:p>
        </w:tc>
      </w:tr>
      <w:tr w14:paraId="12D8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62E556F1">
            <w:pPr>
              <w:pStyle w:val="23"/>
              <w:spacing w:before="137" w:line="268" w:lineRule="exact"/>
              <w:ind w:left="282"/>
              <w:rPr>
                <w:color w:val="auto"/>
                <w:highlight w:val="none"/>
              </w:rPr>
            </w:pPr>
            <w:r>
              <w:rPr>
                <w:color w:val="auto"/>
                <w:position w:val="1"/>
                <w:highlight w:val="none"/>
              </w:rPr>
              <w:t>5</w:t>
            </w:r>
          </w:p>
        </w:tc>
        <w:tc>
          <w:tcPr>
            <w:tcW w:w="3073" w:type="dxa"/>
            <w:vAlign w:val="top"/>
          </w:tcPr>
          <w:p w14:paraId="4A078DAB">
            <w:pPr>
              <w:pStyle w:val="23"/>
              <w:spacing w:before="136" w:line="228" w:lineRule="auto"/>
              <w:ind w:left="699"/>
              <w:rPr>
                <w:color w:val="auto"/>
                <w:highlight w:val="none"/>
              </w:rPr>
            </w:pPr>
            <w:r>
              <w:rPr>
                <w:color w:val="auto"/>
                <w:spacing w:val="7"/>
                <w:highlight w:val="none"/>
              </w:rPr>
              <w:t>**专业监理工程师</w:t>
            </w:r>
          </w:p>
        </w:tc>
        <w:tc>
          <w:tcPr>
            <w:tcW w:w="1746" w:type="dxa"/>
            <w:vAlign w:val="top"/>
          </w:tcPr>
          <w:p w14:paraId="33205431">
            <w:pPr>
              <w:rPr>
                <w:rFonts w:ascii="Arial"/>
                <w:color w:val="auto"/>
                <w:sz w:val="21"/>
                <w:highlight w:val="none"/>
              </w:rPr>
            </w:pPr>
          </w:p>
        </w:tc>
        <w:tc>
          <w:tcPr>
            <w:tcW w:w="1746" w:type="dxa"/>
            <w:vAlign w:val="top"/>
          </w:tcPr>
          <w:p w14:paraId="527CA12B">
            <w:pPr>
              <w:rPr>
                <w:rFonts w:ascii="Arial"/>
                <w:color w:val="auto"/>
                <w:sz w:val="21"/>
                <w:highlight w:val="none"/>
              </w:rPr>
            </w:pPr>
          </w:p>
        </w:tc>
        <w:tc>
          <w:tcPr>
            <w:tcW w:w="1751" w:type="dxa"/>
            <w:vAlign w:val="top"/>
          </w:tcPr>
          <w:p w14:paraId="785107ED">
            <w:pPr>
              <w:rPr>
                <w:rFonts w:ascii="Arial"/>
                <w:color w:val="auto"/>
                <w:sz w:val="21"/>
                <w:highlight w:val="none"/>
              </w:rPr>
            </w:pPr>
          </w:p>
        </w:tc>
        <w:tc>
          <w:tcPr>
            <w:tcW w:w="1747" w:type="dxa"/>
            <w:vAlign w:val="top"/>
          </w:tcPr>
          <w:p w14:paraId="6F2F1A75">
            <w:pPr>
              <w:rPr>
                <w:rFonts w:ascii="Arial"/>
                <w:color w:val="auto"/>
                <w:sz w:val="21"/>
                <w:highlight w:val="none"/>
              </w:rPr>
            </w:pPr>
          </w:p>
        </w:tc>
        <w:tc>
          <w:tcPr>
            <w:tcW w:w="1746" w:type="dxa"/>
            <w:vAlign w:val="top"/>
          </w:tcPr>
          <w:p w14:paraId="35815A24">
            <w:pPr>
              <w:rPr>
                <w:rFonts w:ascii="Arial"/>
                <w:color w:val="auto"/>
                <w:sz w:val="21"/>
                <w:highlight w:val="none"/>
              </w:rPr>
            </w:pPr>
          </w:p>
        </w:tc>
        <w:tc>
          <w:tcPr>
            <w:tcW w:w="1759" w:type="dxa"/>
            <w:vAlign w:val="top"/>
          </w:tcPr>
          <w:p w14:paraId="4DE17B85">
            <w:pPr>
              <w:rPr>
                <w:rFonts w:ascii="Arial"/>
                <w:color w:val="auto"/>
                <w:sz w:val="21"/>
                <w:highlight w:val="none"/>
              </w:rPr>
            </w:pPr>
          </w:p>
        </w:tc>
      </w:tr>
      <w:tr w14:paraId="71E1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7A85C9F3">
            <w:pPr>
              <w:pStyle w:val="23"/>
              <w:spacing w:before="137" w:line="268" w:lineRule="exact"/>
              <w:ind w:left="279"/>
              <w:rPr>
                <w:color w:val="auto"/>
                <w:highlight w:val="none"/>
              </w:rPr>
            </w:pPr>
            <w:r>
              <w:rPr>
                <w:color w:val="auto"/>
                <w:position w:val="1"/>
                <w:highlight w:val="none"/>
              </w:rPr>
              <w:t>6</w:t>
            </w:r>
          </w:p>
        </w:tc>
        <w:tc>
          <w:tcPr>
            <w:tcW w:w="3073" w:type="dxa"/>
            <w:vAlign w:val="top"/>
          </w:tcPr>
          <w:p w14:paraId="28E1DA17">
            <w:pPr>
              <w:pStyle w:val="23"/>
              <w:spacing w:before="136" w:line="228" w:lineRule="auto"/>
              <w:ind w:left="699"/>
              <w:rPr>
                <w:color w:val="auto"/>
                <w:highlight w:val="none"/>
              </w:rPr>
            </w:pPr>
            <w:r>
              <w:rPr>
                <w:color w:val="auto"/>
                <w:spacing w:val="7"/>
                <w:highlight w:val="none"/>
              </w:rPr>
              <w:t>**专业监理工程师</w:t>
            </w:r>
          </w:p>
        </w:tc>
        <w:tc>
          <w:tcPr>
            <w:tcW w:w="1746" w:type="dxa"/>
            <w:vAlign w:val="top"/>
          </w:tcPr>
          <w:p w14:paraId="130A12CC">
            <w:pPr>
              <w:rPr>
                <w:rFonts w:ascii="Arial"/>
                <w:color w:val="auto"/>
                <w:sz w:val="21"/>
                <w:highlight w:val="none"/>
              </w:rPr>
            </w:pPr>
          </w:p>
        </w:tc>
        <w:tc>
          <w:tcPr>
            <w:tcW w:w="1746" w:type="dxa"/>
            <w:vAlign w:val="top"/>
          </w:tcPr>
          <w:p w14:paraId="0CBCEDBB">
            <w:pPr>
              <w:rPr>
                <w:rFonts w:ascii="Arial"/>
                <w:color w:val="auto"/>
                <w:sz w:val="21"/>
                <w:highlight w:val="none"/>
              </w:rPr>
            </w:pPr>
          </w:p>
        </w:tc>
        <w:tc>
          <w:tcPr>
            <w:tcW w:w="1751" w:type="dxa"/>
            <w:vAlign w:val="top"/>
          </w:tcPr>
          <w:p w14:paraId="11C46444">
            <w:pPr>
              <w:rPr>
                <w:rFonts w:ascii="Arial"/>
                <w:color w:val="auto"/>
                <w:sz w:val="21"/>
                <w:highlight w:val="none"/>
              </w:rPr>
            </w:pPr>
          </w:p>
        </w:tc>
        <w:tc>
          <w:tcPr>
            <w:tcW w:w="1747" w:type="dxa"/>
            <w:vAlign w:val="top"/>
          </w:tcPr>
          <w:p w14:paraId="2FABC1D7">
            <w:pPr>
              <w:rPr>
                <w:rFonts w:ascii="Arial"/>
                <w:color w:val="auto"/>
                <w:sz w:val="21"/>
                <w:highlight w:val="none"/>
              </w:rPr>
            </w:pPr>
          </w:p>
        </w:tc>
        <w:tc>
          <w:tcPr>
            <w:tcW w:w="1746" w:type="dxa"/>
            <w:vAlign w:val="top"/>
          </w:tcPr>
          <w:p w14:paraId="2C38D60D">
            <w:pPr>
              <w:rPr>
                <w:rFonts w:ascii="Arial"/>
                <w:color w:val="auto"/>
                <w:sz w:val="21"/>
                <w:highlight w:val="none"/>
              </w:rPr>
            </w:pPr>
          </w:p>
        </w:tc>
        <w:tc>
          <w:tcPr>
            <w:tcW w:w="1759" w:type="dxa"/>
            <w:vAlign w:val="top"/>
          </w:tcPr>
          <w:p w14:paraId="76552536">
            <w:pPr>
              <w:rPr>
                <w:rFonts w:ascii="Arial"/>
                <w:color w:val="auto"/>
                <w:sz w:val="21"/>
                <w:highlight w:val="none"/>
              </w:rPr>
            </w:pPr>
          </w:p>
        </w:tc>
      </w:tr>
      <w:tr w14:paraId="239A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13612C56">
            <w:pPr>
              <w:pStyle w:val="23"/>
              <w:spacing w:before="137" w:line="268" w:lineRule="exact"/>
              <w:ind w:left="283"/>
              <w:rPr>
                <w:color w:val="auto"/>
                <w:highlight w:val="none"/>
              </w:rPr>
            </w:pPr>
            <w:r>
              <w:rPr>
                <w:color w:val="auto"/>
                <w:position w:val="1"/>
                <w:highlight w:val="none"/>
              </w:rPr>
              <w:t>7</w:t>
            </w:r>
          </w:p>
        </w:tc>
        <w:tc>
          <w:tcPr>
            <w:tcW w:w="3073" w:type="dxa"/>
            <w:vAlign w:val="top"/>
          </w:tcPr>
          <w:p w14:paraId="628C6595">
            <w:pPr>
              <w:pStyle w:val="23"/>
              <w:spacing w:before="136" w:line="228" w:lineRule="auto"/>
              <w:ind w:left="699"/>
              <w:rPr>
                <w:color w:val="auto"/>
                <w:highlight w:val="none"/>
              </w:rPr>
            </w:pPr>
            <w:r>
              <w:rPr>
                <w:color w:val="auto"/>
                <w:spacing w:val="7"/>
                <w:highlight w:val="none"/>
              </w:rPr>
              <w:t>**专业监理工程师</w:t>
            </w:r>
          </w:p>
        </w:tc>
        <w:tc>
          <w:tcPr>
            <w:tcW w:w="1746" w:type="dxa"/>
            <w:vAlign w:val="top"/>
          </w:tcPr>
          <w:p w14:paraId="2460284A">
            <w:pPr>
              <w:rPr>
                <w:rFonts w:ascii="Arial"/>
                <w:color w:val="auto"/>
                <w:sz w:val="21"/>
                <w:highlight w:val="none"/>
              </w:rPr>
            </w:pPr>
          </w:p>
        </w:tc>
        <w:tc>
          <w:tcPr>
            <w:tcW w:w="1746" w:type="dxa"/>
            <w:vAlign w:val="top"/>
          </w:tcPr>
          <w:p w14:paraId="42A9F6C2">
            <w:pPr>
              <w:rPr>
                <w:rFonts w:ascii="Arial"/>
                <w:color w:val="auto"/>
                <w:sz w:val="21"/>
                <w:highlight w:val="none"/>
              </w:rPr>
            </w:pPr>
          </w:p>
        </w:tc>
        <w:tc>
          <w:tcPr>
            <w:tcW w:w="1751" w:type="dxa"/>
            <w:vAlign w:val="top"/>
          </w:tcPr>
          <w:p w14:paraId="65C33948">
            <w:pPr>
              <w:rPr>
                <w:rFonts w:ascii="Arial"/>
                <w:color w:val="auto"/>
                <w:sz w:val="21"/>
                <w:highlight w:val="none"/>
              </w:rPr>
            </w:pPr>
          </w:p>
        </w:tc>
        <w:tc>
          <w:tcPr>
            <w:tcW w:w="1747" w:type="dxa"/>
            <w:vAlign w:val="top"/>
          </w:tcPr>
          <w:p w14:paraId="263C1E89">
            <w:pPr>
              <w:rPr>
                <w:rFonts w:ascii="Arial"/>
                <w:color w:val="auto"/>
                <w:sz w:val="21"/>
                <w:highlight w:val="none"/>
              </w:rPr>
            </w:pPr>
          </w:p>
        </w:tc>
        <w:tc>
          <w:tcPr>
            <w:tcW w:w="1746" w:type="dxa"/>
            <w:vAlign w:val="top"/>
          </w:tcPr>
          <w:p w14:paraId="663B7476">
            <w:pPr>
              <w:rPr>
                <w:rFonts w:ascii="Arial"/>
                <w:color w:val="auto"/>
                <w:sz w:val="21"/>
                <w:highlight w:val="none"/>
              </w:rPr>
            </w:pPr>
          </w:p>
        </w:tc>
        <w:tc>
          <w:tcPr>
            <w:tcW w:w="1759" w:type="dxa"/>
            <w:vAlign w:val="top"/>
          </w:tcPr>
          <w:p w14:paraId="1B5AC5BA">
            <w:pPr>
              <w:rPr>
                <w:rFonts w:ascii="Arial"/>
                <w:color w:val="auto"/>
                <w:sz w:val="21"/>
                <w:highlight w:val="none"/>
              </w:rPr>
            </w:pPr>
          </w:p>
        </w:tc>
      </w:tr>
      <w:tr w14:paraId="7DDC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49882A2E">
            <w:pPr>
              <w:pStyle w:val="23"/>
              <w:spacing w:before="137" w:line="268" w:lineRule="exact"/>
              <w:ind w:left="278"/>
              <w:rPr>
                <w:color w:val="auto"/>
                <w:highlight w:val="none"/>
              </w:rPr>
            </w:pPr>
            <w:r>
              <w:rPr>
                <w:color w:val="auto"/>
                <w:position w:val="1"/>
                <w:highlight w:val="none"/>
              </w:rPr>
              <w:t>8</w:t>
            </w:r>
          </w:p>
        </w:tc>
        <w:tc>
          <w:tcPr>
            <w:tcW w:w="3073" w:type="dxa"/>
            <w:vAlign w:val="top"/>
          </w:tcPr>
          <w:p w14:paraId="4E256893">
            <w:pPr>
              <w:pStyle w:val="23"/>
              <w:spacing w:before="136" w:line="228" w:lineRule="auto"/>
              <w:ind w:left="699"/>
              <w:rPr>
                <w:color w:val="auto"/>
                <w:highlight w:val="none"/>
              </w:rPr>
            </w:pPr>
            <w:r>
              <w:rPr>
                <w:color w:val="auto"/>
                <w:spacing w:val="7"/>
                <w:highlight w:val="none"/>
              </w:rPr>
              <w:t>**专业监理工程师</w:t>
            </w:r>
          </w:p>
        </w:tc>
        <w:tc>
          <w:tcPr>
            <w:tcW w:w="1746" w:type="dxa"/>
            <w:vAlign w:val="top"/>
          </w:tcPr>
          <w:p w14:paraId="1FEE575D">
            <w:pPr>
              <w:rPr>
                <w:rFonts w:ascii="Arial"/>
                <w:color w:val="auto"/>
                <w:sz w:val="21"/>
                <w:highlight w:val="none"/>
              </w:rPr>
            </w:pPr>
          </w:p>
        </w:tc>
        <w:tc>
          <w:tcPr>
            <w:tcW w:w="1746" w:type="dxa"/>
            <w:vAlign w:val="top"/>
          </w:tcPr>
          <w:p w14:paraId="50633FD1">
            <w:pPr>
              <w:rPr>
                <w:rFonts w:ascii="Arial"/>
                <w:color w:val="auto"/>
                <w:sz w:val="21"/>
                <w:highlight w:val="none"/>
              </w:rPr>
            </w:pPr>
          </w:p>
        </w:tc>
        <w:tc>
          <w:tcPr>
            <w:tcW w:w="1751" w:type="dxa"/>
            <w:vAlign w:val="top"/>
          </w:tcPr>
          <w:p w14:paraId="682D6392">
            <w:pPr>
              <w:rPr>
                <w:rFonts w:ascii="Arial"/>
                <w:color w:val="auto"/>
                <w:sz w:val="21"/>
                <w:highlight w:val="none"/>
              </w:rPr>
            </w:pPr>
          </w:p>
        </w:tc>
        <w:tc>
          <w:tcPr>
            <w:tcW w:w="1747" w:type="dxa"/>
            <w:vAlign w:val="top"/>
          </w:tcPr>
          <w:p w14:paraId="629E3934">
            <w:pPr>
              <w:rPr>
                <w:rFonts w:ascii="Arial"/>
                <w:color w:val="auto"/>
                <w:sz w:val="21"/>
                <w:highlight w:val="none"/>
              </w:rPr>
            </w:pPr>
          </w:p>
        </w:tc>
        <w:tc>
          <w:tcPr>
            <w:tcW w:w="1746" w:type="dxa"/>
            <w:vAlign w:val="top"/>
          </w:tcPr>
          <w:p w14:paraId="31A71535">
            <w:pPr>
              <w:rPr>
                <w:rFonts w:ascii="Arial"/>
                <w:color w:val="auto"/>
                <w:sz w:val="21"/>
                <w:highlight w:val="none"/>
              </w:rPr>
            </w:pPr>
          </w:p>
        </w:tc>
        <w:tc>
          <w:tcPr>
            <w:tcW w:w="1759" w:type="dxa"/>
            <w:vAlign w:val="top"/>
          </w:tcPr>
          <w:p w14:paraId="4C4A1E43">
            <w:pPr>
              <w:rPr>
                <w:rFonts w:ascii="Arial"/>
                <w:color w:val="auto"/>
                <w:sz w:val="21"/>
                <w:highlight w:val="none"/>
              </w:rPr>
            </w:pPr>
          </w:p>
        </w:tc>
      </w:tr>
      <w:tr w14:paraId="10A0D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7470DA69">
            <w:pPr>
              <w:pStyle w:val="23"/>
              <w:spacing w:before="138" w:line="268" w:lineRule="exact"/>
              <w:ind w:left="278"/>
              <w:rPr>
                <w:color w:val="auto"/>
                <w:highlight w:val="none"/>
              </w:rPr>
            </w:pPr>
            <w:r>
              <w:rPr>
                <w:color w:val="auto"/>
                <w:position w:val="1"/>
                <w:highlight w:val="none"/>
              </w:rPr>
              <w:t>9</w:t>
            </w:r>
          </w:p>
        </w:tc>
        <w:tc>
          <w:tcPr>
            <w:tcW w:w="3073" w:type="dxa"/>
            <w:vAlign w:val="top"/>
          </w:tcPr>
          <w:p w14:paraId="0E179E64">
            <w:pPr>
              <w:pStyle w:val="23"/>
              <w:spacing w:before="137" w:line="228" w:lineRule="auto"/>
              <w:ind w:left="699"/>
              <w:rPr>
                <w:color w:val="auto"/>
                <w:highlight w:val="none"/>
              </w:rPr>
            </w:pPr>
            <w:r>
              <w:rPr>
                <w:color w:val="auto"/>
                <w:spacing w:val="7"/>
                <w:highlight w:val="none"/>
              </w:rPr>
              <w:t>**专业监理工程师</w:t>
            </w:r>
          </w:p>
        </w:tc>
        <w:tc>
          <w:tcPr>
            <w:tcW w:w="1746" w:type="dxa"/>
            <w:vAlign w:val="top"/>
          </w:tcPr>
          <w:p w14:paraId="0C0C5FBC">
            <w:pPr>
              <w:rPr>
                <w:rFonts w:ascii="Arial"/>
                <w:color w:val="auto"/>
                <w:sz w:val="21"/>
                <w:highlight w:val="none"/>
              </w:rPr>
            </w:pPr>
          </w:p>
        </w:tc>
        <w:tc>
          <w:tcPr>
            <w:tcW w:w="1746" w:type="dxa"/>
            <w:vAlign w:val="top"/>
          </w:tcPr>
          <w:p w14:paraId="51854342">
            <w:pPr>
              <w:rPr>
                <w:rFonts w:ascii="Arial"/>
                <w:color w:val="auto"/>
                <w:sz w:val="21"/>
                <w:highlight w:val="none"/>
              </w:rPr>
            </w:pPr>
          </w:p>
        </w:tc>
        <w:tc>
          <w:tcPr>
            <w:tcW w:w="1751" w:type="dxa"/>
            <w:vAlign w:val="top"/>
          </w:tcPr>
          <w:p w14:paraId="089BCA41">
            <w:pPr>
              <w:rPr>
                <w:rFonts w:ascii="Arial"/>
                <w:color w:val="auto"/>
                <w:sz w:val="21"/>
                <w:highlight w:val="none"/>
              </w:rPr>
            </w:pPr>
          </w:p>
        </w:tc>
        <w:tc>
          <w:tcPr>
            <w:tcW w:w="1747" w:type="dxa"/>
            <w:vAlign w:val="top"/>
          </w:tcPr>
          <w:p w14:paraId="28646117">
            <w:pPr>
              <w:rPr>
                <w:rFonts w:ascii="Arial"/>
                <w:color w:val="auto"/>
                <w:sz w:val="21"/>
                <w:highlight w:val="none"/>
              </w:rPr>
            </w:pPr>
          </w:p>
        </w:tc>
        <w:tc>
          <w:tcPr>
            <w:tcW w:w="1746" w:type="dxa"/>
            <w:vAlign w:val="top"/>
          </w:tcPr>
          <w:p w14:paraId="32FB592F">
            <w:pPr>
              <w:rPr>
                <w:rFonts w:ascii="Arial"/>
                <w:color w:val="auto"/>
                <w:sz w:val="21"/>
                <w:highlight w:val="none"/>
              </w:rPr>
            </w:pPr>
          </w:p>
        </w:tc>
        <w:tc>
          <w:tcPr>
            <w:tcW w:w="1759" w:type="dxa"/>
            <w:vAlign w:val="top"/>
          </w:tcPr>
          <w:p w14:paraId="0C06945B">
            <w:pPr>
              <w:rPr>
                <w:rFonts w:ascii="Arial"/>
                <w:color w:val="auto"/>
                <w:sz w:val="21"/>
                <w:highlight w:val="none"/>
              </w:rPr>
            </w:pPr>
          </w:p>
        </w:tc>
      </w:tr>
      <w:tr w14:paraId="66847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0A689A17">
            <w:pPr>
              <w:pStyle w:val="23"/>
              <w:spacing w:before="138" w:line="268" w:lineRule="exact"/>
              <w:ind w:left="243"/>
              <w:rPr>
                <w:color w:val="auto"/>
                <w:highlight w:val="none"/>
              </w:rPr>
            </w:pPr>
            <w:r>
              <w:rPr>
                <w:color w:val="auto"/>
                <w:spacing w:val="-7"/>
                <w:position w:val="1"/>
                <w:highlight w:val="none"/>
              </w:rPr>
              <w:t>10</w:t>
            </w:r>
          </w:p>
        </w:tc>
        <w:tc>
          <w:tcPr>
            <w:tcW w:w="3073" w:type="dxa"/>
            <w:vAlign w:val="top"/>
          </w:tcPr>
          <w:p w14:paraId="77FC4E3E">
            <w:pPr>
              <w:pStyle w:val="23"/>
              <w:spacing w:before="138" w:line="324" w:lineRule="exact"/>
              <w:ind w:left="1342"/>
              <w:rPr>
                <w:color w:val="auto"/>
                <w:highlight w:val="none"/>
              </w:rPr>
            </w:pPr>
            <w:r>
              <w:rPr>
                <w:color w:val="auto"/>
                <w:spacing w:val="-2"/>
                <w:position w:val="2"/>
                <w:highlight w:val="none"/>
              </w:rPr>
              <w:t>……</w:t>
            </w:r>
          </w:p>
        </w:tc>
        <w:tc>
          <w:tcPr>
            <w:tcW w:w="1746" w:type="dxa"/>
            <w:vAlign w:val="top"/>
          </w:tcPr>
          <w:p w14:paraId="1DF8C1D5">
            <w:pPr>
              <w:rPr>
                <w:rFonts w:ascii="Arial"/>
                <w:color w:val="auto"/>
                <w:sz w:val="21"/>
                <w:highlight w:val="none"/>
              </w:rPr>
            </w:pPr>
          </w:p>
        </w:tc>
        <w:tc>
          <w:tcPr>
            <w:tcW w:w="1746" w:type="dxa"/>
            <w:vAlign w:val="top"/>
          </w:tcPr>
          <w:p w14:paraId="2F8EBA89">
            <w:pPr>
              <w:rPr>
                <w:rFonts w:ascii="Arial"/>
                <w:color w:val="auto"/>
                <w:sz w:val="21"/>
                <w:highlight w:val="none"/>
              </w:rPr>
            </w:pPr>
          </w:p>
        </w:tc>
        <w:tc>
          <w:tcPr>
            <w:tcW w:w="1751" w:type="dxa"/>
            <w:vAlign w:val="top"/>
          </w:tcPr>
          <w:p w14:paraId="1B742544">
            <w:pPr>
              <w:rPr>
                <w:rFonts w:ascii="Arial"/>
                <w:color w:val="auto"/>
                <w:sz w:val="21"/>
                <w:highlight w:val="none"/>
              </w:rPr>
            </w:pPr>
          </w:p>
        </w:tc>
        <w:tc>
          <w:tcPr>
            <w:tcW w:w="1747" w:type="dxa"/>
            <w:vAlign w:val="top"/>
          </w:tcPr>
          <w:p w14:paraId="4C0A8723">
            <w:pPr>
              <w:rPr>
                <w:rFonts w:ascii="Arial"/>
                <w:color w:val="auto"/>
                <w:sz w:val="21"/>
                <w:highlight w:val="none"/>
              </w:rPr>
            </w:pPr>
          </w:p>
        </w:tc>
        <w:tc>
          <w:tcPr>
            <w:tcW w:w="1746" w:type="dxa"/>
            <w:vAlign w:val="top"/>
          </w:tcPr>
          <w:p w14:paraId="2ED703B7">
            <w:pPr>
              <w:rPr>
                <w:rFonts w:ascii="Arial"/>
                <w:color w:val="auto"/>
                <w:sz w:val="21"/>
                <w:highlight w:val="none"/>
              </w:rPr>
            </w:pPr>
          </w:p>
        </w:tc>
        <w:tc>
          <w:tcPr>
            <w:tcW w:w="1759" w:type="dxa"/>
            <w:vAlign w:val="top"/>
          </w:tcPr>
          <w:p w14:paraId="6C2760DC">
            <w:pPr>
              <w:rPr>
                <w:rFonts w:ascii="Arial"/>
                <w:color w:val="auto"/>
                <w:sz w:val="21"/>
                <w:highlight w:val="none"/>
              </w:rPr>
            </w:pPr>
          </w:p>
        </w:tc>
      </w:tr>
      <w:tr w14:paraId="3337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69A1AB4">
            <w:pPr>
              <w:pStyle w:val="23"/>
              <w:spacing w:before="138" w:line="270" w:lineRule="exact"/>
              <w:ind w:left="243"/>
              <w:rPr>
                <w:color w:val="auto"/>
                <w:highlight w:val="none"/>
              </w:rPr>
            </w:pPr>
            <w:r>
              <w:rPr>
                <w:color w:val="auto"/>
                <w:spacing w:val="-7"/>
                <w:position w:val="1"/>
                <w:highlight w:val="none"/>
              </w:rPr>
              <w:t>11</w:t>
            </w:r>
          </w:p>
        </w:tc>
        <w:tc>
          <w:tcPr>
            <w:tcW w:w="3073" w:type="dxa"/>
            <w:vAlign w:val="top"/>
          </w:tcPr>
          <w:p w14:paraId="3C9CFCC6">
            <w:pPr>
              <w:pStyle w:val="23"/>
              <w:spacing w:before="138" w:line="324" w:lineRule="exact"/>
              <w:ind w:left="1342"/>
              <w:rPr>
                <w:color w:val="auto"/>
                <w:highlight w:val="none"/>
              </w:rPr>
            </w:pPr>
            <w:r>
              <w:rPr>
                <w:color w:val="auto"/>
                <w:spacing w:val="-2"/>
                <w:position w:val="2"/>
                <w:highlight w:val="none"/>
              </w:rPr>
              <w:t>……</w:t>
            </w:r>
          </w:p>
        </w:tc>
        <w:tc>
          <w:tcPr>
            <w:tcW w:w="1746" w:type="dxa"/>
            <w:vAlign w:val="top"/>
          </w:tcPr>
          <w:p w14:paraId="2F86B63C">
            <w:pPr>
              <w:rPr>
                <w:rFonts w:ascii="Arial"/>
                <w:color w:val="auto"/>
                <w:sz w:val="21"/>
                <w:highlight w:val="none"/>
              </w:rPr>
            </w:pPr>
          </w:p>
        </w:tc>
        <w:tc>
          <w:tcPr>
            <w:tcW w:w="1746" w:type="dxa"/>
            <w:vAlign w:val="top"/>
          </w:tcPr>
          <w:p w14:paraId="0F6E16A9">
            <w:pPr>
              <w:rPr>
                <w:rFonts w:ascii="Arial"/>
                <w:color w:val="auto"/>
                <w:sz w:val="21"/>
                <w:highlight w:val="none"/>
              </w:rPr>
            </w:pPr>
          </w:p>
        </w:tc>
        <w:tc>
          <w:tcPr>
            <w:tcW w:w="1751" w:type="dxa"/>
            <w:vAlign w:val="top"/>
          </w:tcPr>
          <w:p w14:paraId="66A70B91">
            <w:pPr>
              <w:rPr>
                <w:rFonts w:ascii="Arial"/>
                <w:color w:val="auto"/>
                <w:sz w:val="21"/>
                <w:highlight w:val="none"/>
              </w:rPr>
            </w:pPr>
          </w:p>
        </w:tc>
        <w:tc>
          <w:tcPr>
            <w:tcW w:w="1747" w:type="dxa"/>
            <w:vAlign w:val="top"/>
          </w:tcPr>
          <w:p w14:paraId="559B48DB">
            <w:pPr>
              <w:rPr>
                <w:rFonts w:ascii="Arial"/>
                <w:color w:val="auto"/>
                <w:sz w:val="21"/>
                <w:highlight w:val="none"/>
              </w:rPr>
            </w:pPr>
          </w:p>
        </w:tc>
        <w:tc>
          <w:tcPr>
            <w:tcW w:w="1746" w:type="dxa"/>
            <w:vAlign w:val="top"/>
          </w:tcPr>
          <w:p w14:paraId="2574EB4E">
            <w:pPr>
              <w:rPr>
                <w:rFonts w:ascii="Arial"/>
                <w:color w:val="auto"/>
                <w:sz w:val="21"/>
                <w:highlight w:val="none"/>
              </w:rPr>
            </w:pPr>
          </w:p>
        </w:tc>
        <w:tc>
          <w:tcPr>
            <w:tcW w:w="1759" w:type="dxa"/>
            <w:vAlign w:val="top"/>
          </w:tcPr>
          <w:p w14:paraId="2626C19F">
            <w:pPr>
              <w:rPr>
                <w:rFonts w:ascii="Arial"/>
                <w:color w:val="auto"/>
                <w:sz w:val="21"/>
                <w:highlight w:val="none"/>
              </w:rPr>
            </w:pPr>
          </w:p>
        </w:tc>
      </w:tr>
      <w:tr w14:paraId="55890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E582A11">
            <w:pPr>
              <w:pStyle w:val="23"/>
              <w:spacing w:before="138" w:line="270" w:lineRule="exact"/>
              <w:ind w:left="243"/>
              <w:rPr>
                <w:color w:val="auto"/>
                <w:highlight w:val="none"/>
              </w:rPr>
            </w:pPr>
            <w:r>
              <w:rPr>
                <w:color w:val="auto"/>
                <w:spacing w:val="-7"/>
                <w:position w:val="1"/>
                <w:highlight w:val="none"/>
              </w:rPr>
              <w:t>12</w:t>
            </w:r>
          </w:p>
        </w:tc>
        <w:tc>
          <w:tcPr>
            <w:tcW w:w="3073" w:type="dxa"/>
            <w:vAlign w:val="top"/>
          </w:tcPr>
          <w:p w14:paraId="6A81CAB6">
            <w:pPr>
              <w:pStyle w:val="23"/>
              <w:spacing w:before="138" w:line="324" w:lineRule="exact"/>
              <w:ind w:left="1342"/>
              <w:rPr>
                <w:color w:val="auto"/>
                <w:highlight w:val="none"/>
              </w:rPr>
            </w:pPr>
            <w:r>
              <w:rPr>
                <w:color w:val="auto"/>
                <w:spacing w:val="-2"/>
                <w:position w:val="2"/>
                <w:highlight w:val="none"/>
              </w:rPr>
              <w:t>……</w:t>
            </w:r>
          </w:p>
        </w:tc>
        <w:tc>
          <w:tcPr>
            <w:tcW w:w="1746" w:type="dxa"/>
            <w:vAlign w:val="top"/>
          </w:tcPr>
          <w:p w14:paraId="14AE815C">
            <w:pPr>
              <w:rPr>
                <w:rFonts w:ascii="Arial"/>
                <w:color w:val="auto"/>
                <w:sz w:val="21"/>
                <w:highlight w:val="none"/>
              </w:rPr>
            </w:pPr>
          </w:p>
        </w:tc>
        <w:tc>
          <w:tcPr>
            <w:tcW w:w="1746" w:type="dxa"/>
            <w:vAlign w:val="top"/>
          </w:tcPr>
          <w:p w14:paraId="0903C766">
            <w:pPr>
              <w:rPr>
                <w:rFonts w:ascii="Arial"/>
                <w:color w:val="auto"/>
                <w:sz w:val="21"/>
                <w:highlight w:val="none"/>
              </w:rPr>
            </w:pPr>
          </w:p>
        </w:tc>
        <w:tc>
          <w:tcPr>
            <w:tcW w:w="1751" w:type="dxa"/>
            <w:vAlign w:val="top"/>
          </w:tcPr>
          <w:p w14:paraId="0507EC3F">
            <w:pPr>
              <w:rPr>
                <w:rFonts w:ascii="Arial"/>
                <w:color w:val="auto"/>
                <w:sz w:val="21"/>
                <w:highlight w:val="none"/>
              </w:rPr>
            </w:pPr>
          </w:p>
        </w:tc>
        <w:tc>
          <w:tcPr>
            <w:tcW w:w="1747" w:type="dxa"/>
            <w:vAlign w:val="top"/>
          </w:tcPr>
          <w:p w14:paraId="1EDA4BDC">
            <w:pPr>
              <w:rPr>
                <w:rFonts w:ascii="Arial"/>
                <w:color w:val="auto"/>
                <w:sz w:val="21"/>
                <w:highlight w:val="none"/>
              </w:rPr>
            </w:pPr>
          </w:p>
        </w:tc>
        <w:tc>
          <w:tcPr>
            <w:tcW w:w="1746" w:type="dxa"/>
            <w:vAlign w:val="top"/>
          </w:tcPr>
          <w:p w14:paraId="32A7BD8F">
            <w:pPr>
              <w:rPr>
                <w:rFonts w:ascii="Arial"/>
                <w:color w:val="auto"/>
                <w:sz w:val="21"/>
                <w:highlight w:val="none"/>
              </w:rPr>
            </w:pPr>
          </w:p>
        </w:tc>
        <w:tc>
          <w:tcPr>
            <w:tcW w:w="1759" w:type="dxa"/>
            <w:vAlign w:val="top"/>
          </w:tcPr>
          <w:p w14:paraId="6D72A84D">
            <w:pPr>
              <w:rPr>
                <w:rFonts w:ascii="Arial"/>
                <w:color w:val="auto"/>
                <w:sz w:val="21"/>
                <w:highlight w:val="none"/>
              </w:rPr>
            </w:pPr>
          </w:p>
        </w:tc>
      </w:tr>
      <w:tr w14:paraId="445B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3" w:type="dxa"/>
            <w:tcBorders>
              <w:right w:val="nil"/>
            </w:tcBorders>
            <w:vAlign w:val="top"/>
          </w:tcPr>
          <w:p w14:paraId="471ACA45">
            <w:pPr>
              <w:rPr>
                <w:rFonts w:ascii="Arial"/>
                <w:color w:val="auto"/>
                <w:sz w:val="21"/>
                <w:highlight w:val="none"/>
              </w:rPr>
            </w:pPr>
          </w:p>
        </w:tc>
        <w:tc>
          <w:tcPr>
            <w:tcW w:w="3073" w:type="dxa"/>
            <w:tcBorders>
              <w:left w:val="nil"/>
            </w:tcBorders>
            <w:vAlign w:val="top"/>
          </w:tcPr>
          <w:p w14:paraId="48E9EE91">
            <w:pPr>
              <w:pStyle w:val="23"/>
              <w:spacing w:before="138" w:line="228" w:lineRule="auto"/>
              <w:ind w:left="694"/>
              <w:rPr>
                <w:color w:val="auto"/>
                <w:highlight w:val="none"/>
              </w:rPr>
            </w:pPr>
            <w:r>
              <w:rPr>
                <w:color w:val="auto"/>
                <w:spacing w:val="5"/>
                <w:highlight w:val="none"/>
              </w:rPr>
              <w:t>合计（元）</w:t>
            </w:r>
          </w:p>
        </w:tc>
        <w:tc>
          <w:tcPr>
            <w:tcW w:w="1746" w:type="dxa"/>
            <w:vAlign w:val="top"/>
          </w:tcPr>
          <w:p w14:paraId="6FC20F8C">
            <w:pPr>
              <w:rPr>
                <w:rFonts w:ascii="Arial"/>
                <w:color w:val="auto"/>
                <w:sz w:val="21"/>
                <w:highlight w:val="none"/>
              </w:rPr>
            </w:pPr>
          </w:p>
        </w:tc>
        <w:tc>
          <w:tcPr>
            <w:tcW w:w="1746" w:type="dxa"/>
            <w:vAlign w:val="top"/>
          </w:tcPr>
          <w:p w14:paraId="75DC139F">
            <w:pPr>
              <w:rPr>
                <w:rFonts w:ascii="Arial"/>
                <w:color w:val="auto"/>
                <w:sz w:val="21"/>
                <w:highlight w:val="none"/>
              </w:rPr>
            </w:pPr>
          </w:p>
        </w:tc>
        <w:tc>
          <w:tcPr>
            <w:tcW w:w="1751" w:type="dxa"/>
            <w:vAlign w:val="top"/>
          </w:tcPr>
          <w:p w14:paraId="6806A770">
            <w:pPr>
              <w:rPr>
                <w:rFonts w:ascii="Arial"/>
                <w:color w:val="auto"/>
                <w:sz w:val="21"/>
                <w:highlight w:val="none"/>
              </w:rPr>
            </w:pPr>
          </w:p>
        </w:tc>
        <w:tc>
          <w:tcPr>
            <w:tcW w:w="1747" w:type="dxa"/>
            <w:vAlign w:val="top"/>
          </w:tcPr>
          <w:p w14:paraId="77A77708">
            <w:pPr>
              <w:rPr>
                <w:rFonts w:ascii="Arial"/>
                <w:color w:val="auto"/>
                <w:sz w:val="21"/>
                <w:highlight w:val="none"/>
              </w:rPr>
            </w:pPr>
          </w:p>
        </w:tc>
        <w:tc>
          <w:tcPr>
            <w:tcW w:w="1746" w:type="dxa"/>
            <w:vAlign w:val="top"/>
          </w:tcPr>
          <w:p w14:paraId="73EB1D61">
            <w:pPr>
              <w:rPr>
                <w:rFonts w:ascii="Arial"/>
                <w:color w:val="auto"/>
                <w:sz w:val="21"/>
                <w:highlight w:val="none"/>
              </w:rPr>
            </w:pPr>
          </w:p>
        </w:tc>
        <w:tc>
          <w:tcPr>
            <w:tcW w:w="1759" w:type="dxa"/>
            <w:vAlign w:val="top"/>
          </w:tcPr>
          <w:p w14:paraId="1538A5B0">
            <w:pPr>
              <w:rPr>
                <w:rFonts w:ascii="Arial"/>
                <w:color w:val="auto"/>
                <w:sz w:val="21"/>
                <w:highlight w:val="none"/>
              </w:rPr>
            </w:pPr>
          </w:p>
        </w:tc>
      </w:tr>
    </w:tbl>
    <w:p w14:paraId="4F5E5938">
      <w:pPr>
        <w:rPr>
          <w:rFonts w:ascii="Arial"/>
          <w:color w:val="auto"/>
          <w:sz w:val="21"/>
          <w:highlight w:val="none"/>
        </w:rPr>
      </w:pPr>
    </w:p>
    <w:p w14:paraId="423BCB95">
      <w:pPr>
        <w:rPr>
          <w:rFonts w:ascii="Arial" w:hAnsi="Arial" w:eastAsia="Arial" w:cs="Arial"/>
          <w:color w:val="auto"/>
          <w:sz w:val="21"/>
          <w:szCs w:val="21"/>
          <w:highlight w:val="none"/>
        </w:rPr>
        <w:sectPr>
          <w:footerReference r:id="rId66" w:type="default"/>
          <w:pgSz w:w="16839" w:h="11906"/>
          <w:pgMar w:top="1012" w:right="1307" w:bottom="1297" w:left="1304" w:header="0" w:footer="1067" w:gutter="0"/>
          <w:pgNumType w:fmt="decimal"/>
          <w:cols w:space="720" w:num="1"/>
        </w:sectPr>
      </w:pPr>
    </w:p>
    <w:p w14:paraId="7C7FE666">
      <w:pPr>
        <w:spacing w:line="353" w:lineRule="auto"/>
        <w:rPr>
          <w:rFonts w:ascii="Arial"/>
          <w:color w:val="auto"/>
          <w:sz w:val="21"/>
          <w:highlight w:val="none"/>
        </w:rPr>
      </w:pPr>
    </w:p>
    <w:p w14:paraId="5BAB8A3D">
      <w:pPr>
        <w:spacing w:before="91" w:line="212" w:lineRule="auto"/>
        <w:ind w:left="491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2"/>
          <w:sz w:val="28"/>
          <w:szCs w:val="28"/>
          <w:highlight w:val="none"/>
        </w:rPr>
        <w:t xml:space="preserve"> </w:t>
      </w:r>
      <w:r>
        <w:rPr>
          <w:rFonts w:ascii="宋体" w:hAnsi="宋体" w:eastAsia="宋体" w:cs="宋体"/>
          <w:b/>
          <w:bCs/>
          <w:color w:val="auto"/>
          <w:spacing w:val="-4"/>
          <w:sz w:val="28"/>
          <w:szCs w:val="28"/>
          <w:highlight w:val="none"/>
        </w:rPr>
        <w:t>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监理工程师办公设施费报价表</w:t>
      </w:r>
    </w:p>
    <w:tbl>
      <w:tblPr>
        <w:tblStyle w:val="22"/>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063"/>
        <w:gridCol w:w="753"/>
        <w:gridCol w:w="1148"/>
        <w:gridCol w:w="966"/>
        <w:gridCol w:w="1012"/>
        <w:gridCol w:w="1784"/>
        <w:gridCol w:w="1241"/>
        <w:gridCol w:w="949"/>
        <w:gridCol w:w="1108"/>
        <w:gridCol w:w="1040"/>
        <w:gridCol w:w="1040"/>
        <w:gridCol w:w="1482"/>
      </w:tblGrid>
      <w:tr w14:paraId="33B2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35" w:type="dxa"/>
            <w:vMerge w:val="restart"/>
            <w:tcBorders>
              <w:top w:val="single" w:color="000000" w:sz="6" w:space="0"/>
              <w:left w:val="single" w:color="000000" w:sz="6" w:space="0"/>
              <w:bottom w:val="nil"/>
            </w:tcBorders>
            <w:textDirection w:val="tbRlV"/>
            <w:vAlign w:val="top"/>
          </w:tcPr>
          <w:p w14:paraId="50C5E2E4">
            <w:pPr>
              <w:pStyle w:val="23"/>
              <w:spacing w:before="214" w:line="218" w:lineRule="auto"/>
              <w:ind w:left="467"/>
              <w:rPr>
                <w:color w:val="auto"/>
                <w:highlight w:val="none"/>
              </w:rPr>
            </w:pPr>
            <w:r>
              <w:rPr>
                <w:color w:val="auto"/>
                <w:spacing w:val="8"/>
                <w:highlight w:val="none"/>
              </w:rPr>
              <w:t>序</w:t>
            </w:r>
            <w:r>
              <w:rPr>
                <w:color w:val="auto"/>
                <w:spacing w:val="92"/>
                <w:highlight w:val="none"/>
              </w:rPr>
              <w:t xml:space="preserve"> </w:t>
            </w:r>
            <w:r>
              <w:rPr>
                <w:color w:val="auto"/>
                <w:spacing w:val="8"/>
                <w:highlight w:val="none"/>
              </w:rPr>
              <w:t>号</w:t>
            </w:r>
          </w:p>
        </w:tc>
        <w:tc>
          <w:tcPr>
            <w:tcW w:w="6726" w:type="dxa"/>
            <w:gridSpan w:val="6"/>
            <w:tcBorders>
              <w:top w:val="single" w:color="000000" w:sz="6" w:space="0"/>
            </w:tcBorders>
            <w:vAlign w:val="top"/>
          </w:tcPr>
          <w:p w14:paraId="1461CA60">
            <w:pPr>
              <w:pStyle w:val="23"/>
              <w:spacing w:before="184" w:line="228" w:lineRule="auto"/>
              <w:ind w:left="3049"/>
              <w:rPr>
                <w:color w:val="auto"/>
                <w:highlight w:val="none"/>
              </w:rPr>
            </w:pPr>
            <w:r>
              <w:rPr>
                <w:color w:val="auto"/>
                <w:spacing w:val="7"/>
                <w:highlight w:val="none"/>
              </w:rPr>
              <w:t>施工期</w:t>
            </w:r>
          </w:p>
        </w:tc>
        <w:tc>
          <w:tcPr>
            <w:tcW w:w="6860" w:type="dxa"/>
            <w:gridSpan w:val="6"/>
            <w:tcBorders>
              <w:top w:val="single" w:color="000000" w:sz="6" w:space="0"/>
              <w:right w:val="single" w:color="000000" w:sz="6" w:space="0"/>
            </w:tcBorders>
            <w:vAlign w:val="top"/>
          </w:tcPr>
          <w:p w14:paraId="67B71B70">
            <w:pPr>
              <w:pStyle w:val="23"/>
              <w:spacing w:before="183" w:line="228" w:lineRule="auto"/>
              <w:ind w:left="2909"/>
              <w:rPr>
                <w:color w:val="auto"/>
                <w:highlight w:val="none"/>
              </w:rPr>
            </w:pPr>
            <w:r>
              <w:rPr>
                <w:color w:val="auto"/>
                <w:spacing w:val="8"/>
                <w:highlight w:val="none"/>
              </w:rPr>
              <w:t>缺陷责任期</w:t>
            </w:r>
          </w:p>
        </w:tc>
      </w:tr>
      <w:tr w14:paraId="29F3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35" w:type="dxa"/>
            <w:vMerge w:val="continue"/>
            <w:tcBorders>
              <w:top w:val="nil"/>
              <w:left w:val="single" w:color="000000" w:sz="6" w:space="0"/>
            </w:tcBorders>
            <w:textDirection w:val="tbRlV"/>
            <w:vAlign w:val="top"/>
          </w:tcPr>
          <w:p w14:paraId="01E5353A">
            <w:pPr>
              <w:rPr>
                <w:rFonts w:ascii="Arial"/>
                <w:color w:val="auto"/>
                <w:sz w:val="21"/>
                <w:highlight w:val="none"/>
              </w:rPr>
            </w:pPr>
          </w:p>
        </w:tc>
        <w:tc>
          <w:tcPr>
            <w:tcW w:w="1063" w:type="dxa"/>
            <w:vAlign w:val="top"/>
          </w:tcPr>
          <w:p w14:paraId="35A78DB4">
            <w:pPr>
              <w:pStyle w:val="23"/>
              <w:spacing w:before="180" w:line="295" w:lineRule="auto"/>
              <w:ind w:left="431" w:right="118" w:hanging="319"/>
              <w:rPr>
                <w:color w:val="auto"/>
                <w:highlight w:val="none"/>
              </w:rPr>
            </w:pPr>
            <w:r>
              <w:rPr>
                <w:color w:val="auto"/>
                <w:spacing w:val="6"/>
                <w:highlight w:val="none"/>
              </w:rPr>
              <w:t>名称及型</w:t>
            </w:r>
            <w:r>
              <w:rPr>
                <w:color w:val="auto"/>
                <w:highlight w:val="none"/>
              </w:rPr>
              <w:t>号</w:t>
            </w:r>
          </w:p>
        </w:tc>
        <w:tc>
          <w:tcPr>
            <w:tcW w:w="753" w:type="dxa"/>
            <w:vAlign w:val="top"/>
          </w:tcPr>
          <w:p w14:paraId="3A3850BE">
            <w:pPr>
              <w:spacing w:line="312" w:lineRule="auto"/>
              <w:rPr>
                <w:rFonts w:ascii="Arial"/>
                <w:color w:val="auto"/>
                <w:sz w:val="21"/>
                <w:highlight w:val="none"/>
              </w:rPr>
            </w:pPr>
          </w:p>
          <w:p w14:paraId="0022F4D2">
            <w:pPr>
              <w:pStyle w:val="23"/>
              <w:spacing w:before="65" w:line="228" w:lineRule="auto"/>
              <w:ind w:left="169"/>
              <w:rPr>
                <w:color w:val="auto"/>
                <w:highlight w:val="none"/>
              </w:rPr>
            </w:pPr>
            <w:r>
              <w:rPr>
                <w:color w:val="auto"/>
                <w:spacing w:val="3"/>
                <w:highlight w:val="none"/>
              </w:rPr>
              <w:t>数量</w:t>
            </w:r>
          </w:p>
        </w:tc>
        <w:tc>
          <w:tcPr>
            <w:tcW w:w="1148" w:type="dxa"/>
            <w:vAlign w:val="top"/>
          </w:tcPr>
          <w:p w14:paraId="213C61DF">
            <w:pPr>
              <w:pStyle w:val="23"/>
              <w:spacing w:before="180" w:line="252" w:lineRule="auto"/>
              <w:ind w:left="401" w:right="159" w:hanging="249"/>
              <w:rPr>
                <w:color w:val="auto"/>
                <w:highlight w:val="none"/>
              </w:rPr>
            </w:pPr>
            <w:r>
              <w:rPr>
                <w:color w:val="auto"/>
                <w:spacing w:val="7"/>
                <w:highlight w:val="none"/>
              </w:rPr>
              <w:t>购置合价</w:t>
            </w:r>
            <w:r>
              <w:rPr>
                <w:color w:val="auto"/>
                <w:spacing w:val="-9"/>
                <w:highlight w:val="none"/>
              </w:rPr>
              <w:t>(元)</w:t>
            </w:r>
          </w:p>
        </w:tc>
        <w:tc>
          <w:tcPr>
            <w:tcW w:w="966" w:type="dxa"/>
            <w:vAlign w:val="top"/>
          </w:tcPr>
          <w:p w14:paraId="588E37B3">
            <w:pPr>
              <w:pStyle w:val="23"/>
              <w:spacing w:before="180" w:line="252" w:lineRule="auto"/>
              <w:ind w:left="311" w:right="170" w:hanging="140"/>
              <w:rPr>
                <w:color w:val="auto"/>
                <w:highlight w:val="none"/>
              </w:rPr>
            </w:pPr>
            <w:r>
              <w:rPr>
                <w:color w:val="auto"/>
                <w:spacing w:val="6"/>
                <w:highlight w:val="none"/>
              </w:rPr>
              <w:t>折旧费</w:t>
            </w:r>
            <w:r>
              <w:rPr>
                <w:color w:val="auto"/>
                <w:spacing w:val="-9"/>
                <w:highlight w:val="none"/>
              </w:rPr>
              <w:t>(元)</w:t>
            </w:r>
          </w:p>
        </w:tc>
        <w:tc>
          <w:tcPr>
            <w:tcW w:w="1012" w:type="dxa"/>
            <w:vAlign w:val="top"/>
          </w:tcPr>
          <w:p w14:paraId="42BAEDA8">
            <w:pPr>
              <w:pStyle w:val="23"/>
              <w:spacing w:before="180" w:line="252" w:lineRule="auto"/>
              <w:ind w:left="334" w:right="193" w:hanging="141"/>
              <w:rPr>
                <w:color w:val="auto"/>
                <w:highlight w:val="none"/>
              </w:rPr>
            </w:pPr>
            <w:r>
              <w:rPr>
                <w:color w:val="auto"/>
                <w:spacing w:val="6"/>
                <w:highlight w:val="none"/>
              </w:rPr>
              <w:t>使用费</w:t>
            </w:r>
            <w:r>
              <w:rPr>
                <w:color w:val="auto"/>
                <w:spacing w:val="-9"/>
                <w:highlight w:val="none"/>
              </w:rPr>
              <w:t>(元)</w:t>
            </w:r>
          </w:p>
        </w:tc>
        <w:tc>
          <w:tcPr>
            <w:tcW w:w="1784" w:type="dxa"/>
            <w:vAlign w:val="top"/>
          </w:tcPr>
          <w:p w14:paraId="3F6B07A0">
            <w:pPr>
              <w:pStyle w:val="23"/>
              <w:spacing w:before="43" w:line="229" w:lineRule="auto"/>
              <w:ind w:left="587"/>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1E47FAC1">
            <w:pPr>
              <w:pStyle w:val="23"/>
              <w:spacing w:before="22" w:line="228" w:lineRule="auto"/>
              <w:ind w:left="267"/>
              <w:rPr>
                <w:color w:val="auto"/>
                <w:highlight w:val="none"/>
              </w:rPr>
            </w:pPr>
            <w:r>
              <w:rPr>
                <w:color w:val="auto"/>
                <w:spacing w:val="7"/>
                <w:highlight w:val="none"/>
              </w:rPr>
              <w:t>折旧及使用费</w:t>
            </w:r>
          </w:p>
          <w:p w14:paraId="2778013A">
            <w:pPr>
              <w:pStyle w:val="23"/>
              <w:spacing w:before="26" w:line="214" w:lineRule="auto"/>
              <w:ind w:left="722"/>
              <w:rPr>
                <w:color w:val="auto"/>
                <w:highlight w:val="none"/>
              </w:rPr>
            </w:pPr>
            <w:r>
              <w:rPr>
                <w:color w:val="auto"/>
                <w:spacing w:val="-8"/>
                <w:highlight w:val="none"/>
              </w:rPr>
              <w:t>(元)</w:t>
            </w:r>
          </w:p>
        </w:tc>
        <w:tc>
          <w:tcPr>
            <w:tcW w:w="1241" w:type="dxa"/>
            <w:vAlign w:val="top"/>
          </w:tcPr>
          <w:p w14:paraId="1B33D8D0">
            <w:pPr>
              <w:pStyle w:val="23"/>
              <w:spacing w:before="180" w:line="295" w:lineRule="auto"/>
              <w:ind w:left="525" w:right="199" w:hanging="316"/>
              <w:rPr>
                <w:color w:val="auto"/>
                <w:highlight w:val="none"/>
              </w:rPr>
            </w:pPr>
            <w:r>
              <w:rPr>
                <w:color w:val="auto"/>
                <w:spacing w:val="6"/>
                <w:highlight w:val="none"/>
              </w:rPr>
              <w:t>名称及型</w:t>
            </w:r>
            <w:r>
              <w:rPr>
                <w:color w:val="auto"/>
                <w:highlight w:val="none"/>
              </w:rPr>
              <w:t>号</w:t>
            </w:r>
          </w:p>
        </w:tc>
        <w:tc>
          <w:tcPr>
            <w:tcW w:w="949" w:type="dxa"/>
            <w:vAlign w:val="top"/>
          </w:tcPr>
          <w:p w14:paraId="112635FA">
            <w:pPr>
              <w:spacing w:line="312" w:lineRule="auto"/>
              <w:rPr>
                <w:rFonts w:ascii="Arial"/>
                <w:color w:val="auto"/>
                <w:sz w:val="21"/>
                <w:highlight w:val="none"/>
              </w:rPr>
            </w:pPr>
          </w:p>
          <w:p w14:paraId="24988EFE">
            <w:pPr>
              <w:pStyle w:val="23"/>
              <w:spacing w:before="65" w:line="228" w:lineRule="auto"/>
              <w:ind w:left="273"/>
              <w:rPr>
                <w:color w:val="auto"/>
                <w:highlight w:val="none"/>
              </w:rPr>
            </w:pPr>
            <w:r>
              <w:rPr>
                <w:color w:val="auto"/>
                <w:spacing w:val="3"/>
                <w:highlight w:val="none"/>
              </w:rPr>
              <w:t>数量</w:t>
            </w:r>
          </w:p>
        </w:tc>
        <w:tc>
          <w:tcPr>
            <w:tcW w:w="1108" w:type="dxa"/>
            <w:vAlign w:val="top"/>
          </w:tcPr>
          <w:p w14:paraId="65F5D807">
            <w:pPr>
              <w:pStyle w:val="23"/>
              <w:spacing w:before="180" w:line="252" w:lineRule="auto"/>
              <w:ind w:left="388" w:right="129" w:hanging="247"/>
              <w:rPr>
                <w:color w:val="auto"/>
                <w:highlight w:val="none"/>
              </w:rPr>
            </w:pPr>
            <w:r>
              <w:rPr>
                <w:color w:val="auto"/>
                <w:spacing w:val="7"/>
                <w:highlight w:val="none"/>
              </w:rPr>
              <w:t>购置合价</w:t>
            </w:r>
            <w:r>
              <w:rPr>
                <w:color w:val="auto"/>
                <w:spacing w:val="-9"/>
                <w:highlight w:val="none"/>
              </w:rPr>
              <w:t>(元)</w:t>
            </w:r>
          </w:p>
        </w:tc>
        <w:tc>
          <w:tcPr>
            <w:tcW w:w="1040" w:type="dxa"/>
            <w:vAlign w:val="top"/>
          </w:tcPr>
          <w:p w14:paraId="60FCEAF5">
            <w:pPr>
              <w:pStyle w:val="23"/>
              <w:spacing w:before="180" w:line="252" w:lineRule="auto"/>
              <w:ind w:left="355" w:right="200" w:hanging="140"/>
              <w:rPr>
                <w:color w:val="auto"/>
                <w:highlight w:val="none"/>
              </w:rPr>
            </w:pPr>
            <w:r>
              <w:rPr>
                <w:color w:val="auto"/>
                <w:spacing w:val="6"/>
                <w:highlight w:val="none"/>
              </w:rPr>
              <w:t>折旧费</w:t>
            </w:r>
            <w:r>
              <w:rPr>
                <w:color w:val="auto"/>
                <w:spacing w:val="-9"/>
                <w:highlight w:val="none"/>
              </w:rPr>
              <w:t>(元)</w:t>
            </w:r>
          </w:p>
        </w:tc>
        <w:tc>
          <w:tcPr>
            <w:tcW w:w="1040" w:type="dxa"/>
            <w:vAlign w:val="top"/>
          </w:tcPr>
          <w:p w14:paraId="19E7DE1F">
            <w:pPr>
              <w:pStyle w:val="23"/>
              <w:spacing w:before="180" w:line="252" w:lineRule="auto"/>
              <w:ind w:left="357" w:right="198" w:hanging="141"/>
              <w:rPr>
                <w:color w:val="auto"/>
                <w:highlight w:val="none"/>
              </w:rPr>
            </w:pPr>
            <w:r>
              <w:rPr>
                <w:color w:val="auto"/>
                <w:spacing w:val="6"/>
                <w:highlight w:val="none"/>
              </w:rPr>
              <w:t>使用费</w:t>
            </w:r>
            <w:r>
              <w:rPr>
                <w:color w:val="auto"/>
                <w:spacing w:val="-9"/>
                <w:highlight w:val="none"/>
              </w:rPr>
              <w:t>(元)</w:t>
            </w:r>
          </w:p>
        </w:tc>
        <w:tc>
          <w:tcPr>
            <w:tcW w:w="1482" w:type="dxa"/>
            <w:tcBorders>
              <w:right w:val="single" w:color="000000" w:sz="6" w:space="0"/>
            </w:tcBorders>
            <w:vAlign w:val="top"/>
          </w:tcPr>
          <w:p w14:paraId="5E6D0E32">
            <w:pPr>
              <w:pStyle w:val="23"/>
              <w:spacing w:before="43" w:line="229" w:lineRule="auto"/>
              <w:ind w:left="438"/>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209842FE">
            <w:pPr>
              <w:pStyle w:val="23"/>
              <w:spacing w:before="23" w:line="233" w:lineRule="auto"/>
              <w:ind w:left="444" w:right="206" w:hanging="218"/>
              <w:rPr>
                <w:color w:val="auto"/>
                <w:highlight w:val="none"/>
              </w:rPr>
            </w:pPr>
            <w:r>
              <w:rPr>
                <w:color w:val="auto"/>
                <w:spacing w:val="7"/>
                <w:highlight w:val="none"/>
              </w:rPr>
              <w:t>折旧及使用</w:t>
            </w:r>
            <w:r>
              <w:rPr>
                <w:color w:val="auto"/>
                <w:spacing w:val="2"/>
                <w:highlight w:val="none"/>
              </w:rPr>
              <w:t>费(元)</w:t>
            </w:r>
          </w:p>
        </w:tc>
      </w:tr>
      <w:tr w14:paraId="2911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424606D">
            <w:pPr>
              <w:pStyle w:val="23"/>
              <w:spacing w:before="194" w:line="241" w:lineRule="auto"/>
              <w:ind w:left="277"/>
              <w:rPr>
                <w:color w:val="auto"/>
                <w:highlight w:val="none"/>
              </w:rPr>
            </w:pPr>
            <w:r>
              <w:rPr>
                <w:color w:val="auto"/>
                <w:highlight w:val="none"/>
              </w:rPr>
              <w:t>1</w:t>
            </w:r>
          </w:p>
        </w:tc>
        <w:tc>
          <w:tcPr>
            <w:tcW w:w="1063" w:type="dxa"/>
            <w:vAlign w:val="top"/>
          </w:tcPr>
          <w:p w14:paraId="27B8788D">
            <w:pPr>
              <w:rPr>
                <w:rFonts w:ascii="Arial"/>
                <w:color w:val="auto"/>
                <w:sz w:val="21"/>
                <w:highlight w:val="none"/>
              </w:rPr>
            </w:pPr>
          </w:p>
        </w:tc>
        <w:tc>
          <w:tcPr>
            <w:tcW w:w="753" w:type="dxa"/>
            <w:vAlign w:val="top"/>
          </w:tcPr>
          <w:p w14:paraId="2B4B1AE3">
            <w:pPr>
              <w:rPr>
                <w:rFonts w:ascii="Arial"/>
                <w:color w:val="auto"/>
                <w:sz w:val="21"/>
                <w:highlight w:val="none"/>
              </w:rPr>
            </w:pPr>
          </w:p>
        </w:tc>
        <w:tc>
          <w:tcPr>
            <w:tcW w:w="1148" w:type="dxa"/>
            <w:vAlign w:val="top"/>
          </w:tcPr>
          <w:p w14:paraId="158A5752">
            <w:pPr>
              <w:rPr>
                <w:rFonts w:ascii="Arial"/>
                <w:color w:val="auto"/>
                <w:sz w:val="21"/>
                <w:highlight w:val="none"/>
              </w:rPr>
            </w:pPr>
          </w:p>
        </w:tc>
        <w:tc>
          <w:tcPr>
            <w:tcW w:w="966" w:type="dxa"/>
            <w:vAlign w:val="top"/>
          </w:tcPr>
          <w:p w14:paraId="609340E3">
            <w:pPr>
              <w:rPr>
                <w:rFonts w:ascii="Arial"/>
                <w:color w:val="auto"/>
                <w:sz w:val="21"/>
                <w:highlight w:val="none"/>
              </w:rPr>
            </w:pPr>
          </w:p>
        </w:tc>
        <w:tc>
          <w:tcPr>
            <w:tcW w:w="1012" w:type="dxa"/>
            <w:vAlign w:val="top"/>
          </w:tcPr>
          <w:p w14:paraId="0D163F12">
            <w:pPr>
              <w:rPr>
                <w:rFonts w:ascii="Arial"/>
                <w:color w:val="auto"/>
                <w:sz w:val="21"/>
                <w:highlight w:val="none"/>
              </w:rPr>
            </w:pPr>
          </w:p>
        </w:tc>
        <w:tc>
          <w:tcPr>
            <w:tcW w:w="1784" w:type="dxa"/>
            <w:vAlign w:val="top"/>
          </w:tcPr>
          <w:p w14:paraId="03E7B11A">
            <w:pPr>
              <w:rPr>
                <w:rFonts w:ascii="Arial"/>
                <w:color w:val="auto"/>
                <w:sz w:val="21"/>
                <w:highlight w:val="none"/>
              </w:rPr>
            </w:pPr>
          </w:p>
        </w:tc>
        <w:tc>
          <w:tcPr>
            <w:tcW w:w="1241" w:type="dxa"/>
            <w:vAlign w:val="top"/>
          </w:tcPr>
          <w:p w14:paraId="50C2BE69">
            <w:pPr>
              <w:rPr>
                <w:rFonts w:ascii="Arial"/>
                <w:color w:val="auto"/>
                <w:sz w:val="21"/>
                <w:highlight w:val="none"/>
              </w:rPr>
            </w:pPr>
          </w:p>
        </w:tc>
        <w:tc>
          <w:tcPr>
            <w:tcW w:w="949" w:type="dxa"/>
            <w:vAlign w:val="top"/>
          </w:tcPr>
          <w:p w14:paraId="5361BE48">
            <w:pPr>
              <w:rPr>
                <w:rFonts w:ascii="Arial"/>
                <w:color w:val="auto"/>
                <w:sz w:val="21"/>
                <w:highlight w:val="none"/>
              </w:rPr>
            </w:pPr>
          </w:p>
        </w:tc>
        <w:tc>
          <w:tcPr>
            <w:tcW w:w="1108" w:type="dxa"/>
            <w:vAlign w:val="top"/>
          </w:tcPr>
          <w:p w14:paraId="009AC097">
            <w:pPr>
              <w:rPr>
                <w:rFonts w:ascii="Arial"/>
                <w:color w:val="auto"/>
                <w:sz w:val="21"/>
                <w:highlight w:val="none"/>
              </w:rPr>
            </w:pPr>
          </w:p>
        </w:tc>
        <w:tc>
          <w:tcPr>
            <w:tcW w:w="1040" w:type="dxa"/>
            <w:vAlign w:val="top"/>
          </w:tcPr>
          <w:p w14:paraId="423A575E">
            <w:pPr>
              <w:rPr>
                <w:rFonts w:ascii="Arial"/>
                <w:color w:val="auto"/>
                <w:sz w:val="21"/>
                <w:highlight w:val="none"/>
              </w:rPr>
            </w:pPr>
          </w:p>
        </w:tc>
        <w:tc>
          <w:tcPr>
            <w:tcW w:w="1040" w:type="dxa"/>
            <w:vAlign w:val="top"/>
          </w:tcPr>
          <w:p w14:paraId="1116ECB0">
            <w:pPr>
              <w:rPr>
                <w:rFonts w:ascii="Arial"/>
                <w:color w:val="auto"/>
                <w:sz w:val="21"/>
                <w:highlight w:val="none"/>
              </w:rPr>
            </w:pPr>
          </w:p>
        </w:tc>
        <w:tc>
          <w:tcPr>
            <w:tcW w:w="1482" w:type="dxa"/>
            <w:tcBorders>
              <w:right w:val="single" w:color="000000" w:sz="6" w:space="0"/>
            </w:tcBorders>
            <w:vAlign w:val="top"/>
          </w:tcPr>
          <w:p w14:paraId="21E5BEAA">
            <w:pPr>
              <w:rPr>
                <w:rFonts w:ascii="Arial"/>
                <w:color w:val="auto"/>
                <w:sz w:val="21"/>
                <w:highlight w:val="none"/>
              </w:rPr>
            </w:pPr>
          </w:p>
        </w:tc>
      </w:tr>
      <w:tr w14:paraId="729E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BB4F99D">
            <w:pPr>
              <w:pStyle w:val="23"/>
              <w:spacing w:before="194" w:line="241" w:lineRule="auto"/>
              <w:ind w:left="264"/>
              <w:rPr>
                <w:color w:val="auto"/>
                <w:highlight w:val="none"/>
              </w:rPr>
            </w:pPr>
            <w:r>
              <w:rPr>
                <w:color w:val="auto"/>
                <w:highlight w:val="none"/>
              </w:rPr>
              <w:t>2</w:t>
            </w:r>
          </w:p>
        </w:tc>
        <w:tc>
          <w:tcPr>
            <w:tcW w:w="1063" w:type="dxa"/>
            <w:vAlign w:val="top"/>
          </w:tcPr>
          <w:p w14:paraId="3471D977">
            <w:pPr>
              <w:rPr>
                <w:rFonts w:ascii="Arial"/>
                <w:color w:val="auto"/>
                <w:sz w:val="21"/>
                <w:highlight w:val="none"/>
              </w:rPr>
            </w:pPr>
          </w:p>
        </w:tc>
        <w:tc>
          <w:tcPr>
            <w:tcW w:w="753" w:type="dxa"/>
            <w:vAlign w:val="top"/>
          </w:tcPr>
          <w:p w14:paraId="66E3873D">
            <w:pPr>
              <w:rPr>
                <w:rFonts w:ascii="Arial"/>
                <w:color w:val="auto"/>
                <w:sz w:val="21"/>
                <w:highlight w:val="none"/>
              </w:rPr>
            </w:pPr>
          </w:p>
        </w:tc>
        <w:tc>
          <w:tcPr>
            <w:tcW w:w="1148" w:type="dxa"/>
            <w:vAlign w:val="top"/>
          </w:tcPr>
          <w:p w14:paraId="4B1E3D37">
            <w:pPr>
              <w:rPr>
                <w:rFonts w:ascii="Arial"/>
                <w:color w:val="auto"/>
                <w:sz w:val="21"/>
                <w:highlight w:val="none"/>
              </w:rPr>
            </w:pPr>
          </w:p>
        </w:tc>
        <w:tc>
          <w:tcPr>
            <w:tcW w:w="966" w:type="dxa"/>
            <w:vAlign w:val="top"/>
          </w:tcPr>
          <w:p w14:paraId="6B18C41D">
            <w:pPr>
              <w:rPr>
                <w:rFonts w:ascii="Arial"/>
                <w:color w:val="auto"/>
                <w:sz w:val="21"/>
                <w:highlight w:val="none"/>
              </w:rPr>
            </w:pPr>
          </w:p>
        </w:tc>
        <w:tc>
          <w:tcPr>
            <w:tcW w:w="1012" w:type="dxa"/>
            <w:vAlign w:val="top"/>
          </w:tcPr>
          <w:p w14:paraId="1C2CB95E">
            <w:pPr>
              <w:rPr>
                <w:rFonts w:ascii="Arial"/>
                <w:color w:val="auto"/>
                <w:sz w:val="21"/>
                <w:highlight w:val="none"/>
              </w:rPr>
            </w:pPr>
          </w:p>
        </w:tc>
        <w:tc>
          <w:tcPr>
            <w:tcW w:w="1784" w:type="dxa"/>
            <w:vAlign w:val="top"/>
          </w:tcPr>
          <w:p w14:paraId="77FFA2CA">
            <w:pPr>
              <w:rPr>
                <w:rFonts w:ascii="Arial"/>
                <w:color w:val="auto"/>
                <w:sz w:val="21"/>
                <w:highlight w:val="none"/>
              </w:rPr>
            </w:pPr>
          </w:p>
        </w:tc>
        <w:tc>
          <w:tcPr>
            <w:tcW w:w="1241" w:type="dxa"/>
            <w:vAlign w:val="top"/>
          </w:tcPr>
          <w:p w14:paraId="0252DE6F">
            <w:pPr>
              <w:rPr>
                <w:rFonts w:ascii="Arial"/>
                <w:color w:val="auto"/>
                <w:sz w:val="21"/>
                <w:highlight w:val="none"/>
              </w:rPr>
            </w:pPr>
          </w:p>
        </w:tc>
        <w:tc>
          <w:tcPr>
            <w:tcW w:w="949" w:type="dxa"/>
            <w:vAlign w:val="top"/>
          </w:tcPr>
          <w:p w14:paraId="469599ED">
            <w:pPr>
              <w:rPr>
                <w:rFonts w:ascii="Arial"/>
                <w:color w:val="auto"/>
                <w:sz w:val="21"/>
                <w:highlight w:val="none"/>
              </w:rPr>
            </w:pPr>
          </w:p>
        </w:tc>
        <w:tc>
          <w:tcPr>
            <w:tcW w:w="1108" w:type="dxa"/>
            <w:vAlign w:val="top"/>
          </w:tcPr>
          <w:p w14:paraId="597A762E">
            <w:pPr>
              <w:rPr>
                <w:rFonts w:ascii="Arial"/>
                <w:color w:val="auto"/>
                <w:sz w:val="21"/>
                <w:highlight w:val="none"/>
              </w:rPr>
            </w:pPr>
          </w:p>
        </w:tc>
        <w:tc>
          <w:tcPr>
            <w:tcW w:w="1040" w:type="dxa"/>
            <w:vAlign w:val="top"/>
          </w:tcPr>
          <w:p w14:paraId="08954583">
            <w:pPr>
              <w:rPr>
                <w:rFonts w:ascii="Arial"/>
                <w:color w:val="auto"/>
                <w:sz w:val="21"/>
                <w:highlight w:val="none"/>
              </w:rPr>
            </w:pPr>
          </w:p>
        </w:tc>
        <w:tc>
          <w:tcPr>
            <w:tcW w:w="1040" w:type="dxa"/>
            <w:vAlign w:val="top"/>
          </w:tcPr>
          <w:p w14:paraId="5E6078B1">
            <w:pPr>
              <w:rPr>
                <w:rFonts w:ascii="Arial"/>
                <w:color w:val="auto"/>
                <w:sz w:val="21"/>
                <w:highlight w:val="none"/>
              </w:rPr>
            </w:pPr>
          </w:p>
        </w:tc>
        <w:tc>
          <w:tcPr>
            <w:tcW w:w="1482" w:type="dxa"/>
            <w:tcBorders>
              <w:right w:val="single" w:color="000000" w:sz="6" w:space="0"/>
            </w:tcBorders>
            <w:vAlign w:val="top"/>
          </w:tcPr>
          <w:p w14:paraId="3D67FF5C">
            <w:pPr>
              <w:rPr>
                <w:rFonts w:ascii="Arial"/>
                <w:color w:val="auto"/>
                <w:sz w:val="21"/>
                <w:highlight w:val="none"/>
              </w:rPr>
            </w:pPr>
          </w:p>
        </w:tc>
      </w:tr>
      <w:tr w14:paraId="4CAC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8ADD34E">
            <w:pPr>
              <w:pStyle w:val="23"/>
              <w:spacing w:before="195"/>
              <w:ind w:left="266"/>
              <w:rPr>
                <w:color w:val="auto"/>
                <w:highlight w:val="none"/>
              </w:rPr>
            </w:pPr>
            <w:r>
              <w:rPr>
                <w:color w:val="auto"/>
                <w:highlight w:val="none"/>
              </w:rPr>
              <w:t>3</w:t>
            </w:r>
          </w:p>
        </w:tc>
        <w:tc>
          <w:tcPr>
            <w:tcW w:w="1063" w:type="dxa"/>
            <w:vAlign w:val="top"/>
          </w:tcPr>
          <w:p w14:paraId="171BDD57">
            <w:pPr>
              <w:rPr>
                <w:rFonts w:ascii="Arial"/>
                <w:color w:val="auto"/>
                <w:sz w:val="21"/>
                <w:highlight w:val="none"/>
              </w:rPr>
            </w:pPr>
          </w:p>
        </w:tc>
        <w:tc>
          <w:tcPr>
            <w:tcW w:w="753" w:type="dxa"/>
            <w:vAlign w:val="top"/>
          </w:tcPr>
          <w:p w14:paraId="7A3107B9">
            <w:pPr>
              <w:rPr>
                <w:rFonts w:ascii="Arial"/>
                <w:color w:val="auto"/>
                <w:sz w:val="21"/>
                <w:highlight w:val="none"/>
              </w:rPr>
            </w:pPr>
          </w:p>
        </w:tc>
        <w:tc>
          <w:tcPr>
            <w:tcW w:w="1148" w:type="dxa"/>
            <w:vAlign w:val="top"/>
          </w:tcPr>
          <w:p w14:paraId="48445906">
            <w:pPr>
              <w:rPr>
                <w:rFonts w:ascii="Arial"/>
                <w:color w:val="auto"/>
                <w:sz w:val="21"/>
                <w:highlight w:val="none"/>
              </w:rPr>
            </w:pPr>
          </w:p>
        </w:tc>
        <w:tc>
          <w:tcPr>
            <w:tcW w:w="966" w:type="dxa"/>
            <w:vAlign w:val="top"/>
          </w:tcPr>
          <w:p w14:paraId="1AEC2DE3">
            <w:pPr>
              <w:rPr>
                <w:rFonts w:ascii="Arial"/>
                <w:color w:val="auto"/>
                <w:sz w:val="21"/>
                <w:highlight w:val="none"/>
              </w:rPr>
            </w:pPr>
          </w:p>
        </w:tc>
        <w:tc>
          <w:tcPr>
            <w:tcW w:w="1012" w:type="dxa"/>
            <w:vAlign w:val="top"/>
          </w:tcPr>
          <w:p w14:paraId="2222BAEE">
            <w:pPr>
              <w:rPr>
                <w:rFonts w:ascii="Arial"/>
                <w:color w:val="auto"/>
                <w:sz w:val="21"/>
                <w:highlight w:val="none"/>
              </w:rPr>
            </w:pPr>
          </w:p>
        </w:tc>
        <w:tc>
          <w:tcPr>
            <w:tcW w:w="1784" w:type="dxa"/>
            <w:vAlign w:val="top"/>
          </w:tcPr>
          <w:p w14:paraId="4828A25D">
            <w:pPr>
              <w:rPr>
                <w:rFonts w:ascii="Arial"/>
                <w:color w:val="auto"/>
                <w:sz w:val="21"/>
                <w:highlight w:val="none"/>
              </w:rPr>
            </w:pPr>
          </w:p>
        </w:tc>
        <w:tc>
          <w:tcPr>
            <w:tcW w:w="1241" w:type="dxa"/>
            <w:vAlign w:val="top"/>
          </w:tcPr>
          <w:p w14:paraId="6186E6E9">
            <w:pPr>
              <w:rPr>
                <w:rFonts w:ascii="Arial"/>
                <w:color w:val="auto"/>
                <w:sz w:val="21"/>
                <w:highlight w:val="none"/>
              </w:rPr>
            </w:pPr>
          </w:p>
        </w:tc>
        <w:tc>
          <w:tcPr>
            <w:tcW w:w="949" w:type="dxa"/>
            <w:vAlign w:val="top"/>
          </w:tcPr>
          <w:p w14:paraId="12D5EE21">
            <w:pPr>
              <w:rPr>
                <w:rFonts w:ascii="Arial"/>
                <w:color w:val="auto"/>
                <w:sz w:val="21"/>
                <w:highlight w:val="none"/>
              </w:rPr>
            </w:pPr>
          </w:p>
        </w:tc>
        <w:tc>
          <w:tcPr>
            <w:tcW w:w="1108" w:type="dxa"/>
            <w:vAlign w:val="top"/>
          </w:tcPr>
          <w:p w14:paraId="3946F6A6">
            <w:pPr>
              <w:rPr>
                <w:rFonts w:ascii="Arial"/>
                <w:color w:val="auto"/>
                <w:sz w:val="21"/>
                <w:highlight w:val="none"/>
              </w:rPr>
            </w:pPr>
          </w:p>
        </w:tc>
        <w:tc>
          <w:tcPr>
            <w:tcW w:w="1040" w:type="dxa"/>
            <w:vAlign w:val="top"/>
          </w:tcPr>
          <w:p w14:paraId="33A06376">
            <w:pPr>
              <w:rPr>
                <w:rFonts w:ascii="Arial"/>
                <w:color w:val="auto"/>
                <w:sz w:val="21"/>
                <w:highlight w:val="none"/>
              </w:rPr>
            </w:pPr>
          </w:p>
        </w:tc>
        <w:tc>
          <w:tcPr>
            <w:tcW w:w="1040" w:type="dxa"/>
            <w:vAlign w:val="top"/>
          </w:tcPr>
          <w:p w14:paraId="5126D183">
            <w:pPr>
              <w:rPr>
                <w:rFonts w:ascii="Arial"/>
                <w:color w:val="auto"/>
                <w:sz w:val="21"/>
                <w:highlight w:val="none"/>
              </w:rPr>
            </w:pPr>
          </w:p>
        </w:tc>
        <w:tc>
          <w:tcPr>
            <w:tcW w:w="1482" w:type="dxa"/>
            <w:tcBorders>
              <w:right w:val="single" w:color="000000" w:sz="6" w:space="0"/>
            </w:tcBorders>
            <w:vAlign w:val="top"/>
          </w:tcPr>
          <w:p w14:paraId="411E4B55">
            <w:pPr>
              <w:rPr>
                <w:rFonts w:ascii="Arial"/>
                <w:color w:val="auto"/>
                <w:sz w:val="21"/>
                <w:highlight w:val="none"/>
              </w:rPr>
            </w:pPr>
          </w:p>
        </w:tc>
      </w:tr>
      <w:tr w14:paraId="11F5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C65427C">
            <w:pPr>
              <w:pStyle w:val="23"/>
              <w:spacing w:before="198" w:line="238" w:lineRule="auto"/>
              <w:ind w:left="261"/>
              <w:rPr>
                <w:color w:val="auto"/>
                <w:highlight w:val="none"/>
              </w:rPr>
            </w:pPr>
            <w:r>
              <w:rPr>
                <w:color w:val="auto"/>
                <w:highlight w:val="none"/>
              </w:rPr>
              <w:t>4</w:t>
            </w:r>
          </w:p>
        </w:tc>
        <w:tc>
          <w:tcPr>
            <w:tcW w:w="1063" w:type="dxa"/>
            <w:vAlign w:val="top"/>
          </w:tcPr>
          <w:p w14:paraId="6F6560B1">
            <w:pPr>
              <w:rPr>
                <w:rFonts w:ascii="Arial"/>
                <w:color w:val="auto"/>
                <w:sz w:val="21"/>
                <w:highlight w:val="none"/>
              </w:rPr>
            </w:pPr>
          </w:p>
        </w:tc>
        <w:tc>
          <w:tcPr>
            <w:tcW w:w="753" w:type="dxa"/>
            <w:vAlign w:val="top"/>
          </w:tcPr>
          <w:p w14:paraId="3062BD2D">
            <w:pPr>
              <w:rPr>
                <w:rFonts w:ascii="Arial"/>
                <w:color w:val="auto"/>
                <w:sz w:val="21"/>
                <w:highlight w:val="none"/>
              </w:rPr>
            </w:pPr>
          </w:p>
        </w:tc>
        <w:tc>
          <w:tcPr>
            <w:tcW w:w="1148" w:type="dxa"/>
            <w:vAlign w:val="top"/>
          </w:tcPr>
          <w:p w14:paraId="38D5C3F3">
            <w:pPr>
              <w:rPr>
                <w:rFonts w:ascii="Arial"/>
                <w:color w:val="auto"/>
                <w:sz w:val="21"/>
                <w:highlight w:val="none"/>
              </w:rPr>
            </w:pPr>
          </w:p>
        </w:tc>
        <w:tc>
          <w:tcPr>
            <w:tcW w:w="966" w:type="dxa"/>
            <w:vAlign w:val="top"/>
          </w:tcPr>
          <w:p w14:paraId="1EFD86AE">
            <w:pPr>
              <w:rPr>
                <w:rFonts w:ascii="Arial"/>
                <w:color w:val="auto"/>
                <w:sz w:val="21"/>
                <w:highlight w:val="none"/>
              </w:rPr>
            </w:pPr>
          </w:p>
        </w:tc>
        <w:tc>
          <w:tcPr>
            <w:tcW w:w="1012" w:type="dxa"/>
            <w:vAlign w:val="top"/>
          </w:tcPr>
          <w:p w14:paraId="61CE893C">
            <w:pPr>
              <w:rPr>
                <w:rFonts w:ascii="Arial"/>
                <w:color w:val="auto"/>
                <w:sz w:val="21"/>
                <w:highlight w:val="none"/>
              </w:rPr>
            </w:pPr>
          </w:p>
        </w:tc>
        <w:tc>
          <w:tcPr>
            <w:tcW w:w="1784" w:type="dxa"/>
            <w:vAlign w:val="top"/>
          </w:tcPr>
          <w:p w14:paraId="25749978">
            <w:pPr>
              <w:rPr>
                <w:rFonts w:ascii="Arial"/>
                <w:color w:val="auto"/>
                <w:sz w:val="21"/>
                <w:highlight w:val="none"/>
              </w:rPr>
            </w:pPr>
          </w:p>
        </w:tc>
        <w:tc>
          <w:tcPr>
            <w:tcW w:w="1241" w:type="dxa"/>
            <w:vAlign w:val="top"/>
          </w:tcPr>
          <w:p w14:paraId="1B584230">
            <w:pPr>
              <w:rPr>
                <w:rFonts w:ascii="Arial"/>
                <w:color w:val="auto"/>
                <w:sz w:val="21"/>
                <w:highlight w:val="none"/>
              </w:rPr>
            </w:pPr>
          </w:p>
        </w:tc>
        <w:tc>
          <w:tcPr>
            <w:tcW w:w="949" w:type="dxa"/>
            <w:vAlign w:val="top"/>
          </w:tcPr>
          <w:p w14:paraId="61B6C6ED">
            <w:pPr>
              <w:rPr>
                <w:rFonts w:ascii="Arial"/>
                <w:color w:val="auto"/>
                <w:sz w:val="21"/>
                <w:highlight w:val="none"/>
              </w:rPr>
            </w:pPr>
          </w:p>
        </w:tc>
        <w:tc>
          <w:tcPr>
            <w:tcW w:w="1108" w:type="dxa"/>
            <w:vAlign w:val="top"/>
          </w:tcPr>
          <w:p w14:paraId="6F91778B">
            <w:pPr>
              <w:rPr>
                <w:rFonts w:ascii="Arial"/>
                <w:color w:val="auto"/>
                <w:sz w:val="21"/>
                <w:highlight w:val="none"/>
              </w:rPr>
            </w:pPr>
          </w:p>
        </w:tc>
        <w:tc>
          <w:tcPr>
            <w:tcW w:w="1040" w:type="dxa"/>
            <w:vAlign w:val="top"/>
          </w:tcPr>
          <w:p w14:paraId="5409B721">
            <w:pPr>
              <w:rPr>
                <w:rFonts w:ascii="Arial"/>
                <w:color w:val="auto"/>
                <w:sz w:val="21"/>
                <w:highlight w:val="none"/>
              </w:rPr>
            </w:pPr>
          </w:p>
        </w:tc>
        <w:tc>
          <w:tcPr>
            <w:tcW w:w="1040" w:type="dxa"/>
            <w:vAlign w:val="top"/>
          </w:tcPr>
          <w:p w14:paraId="3DF80D52">
            <w:pPr>
              <w:rPr>
                <w:rFonts w:ascii="Arial"/>
                <w:color w:val="auto"/>
                <w:sz w:val="21"/>
                <w:highlight w:val="none"/>
              </w:rPr>
            </w:pPr>
          </w:p>
        </w:tc>
        <w:tc>
          <w:tcPr>
            <w:tcW w:w="1482" w:type="dxa"/>
            <w:tcBorders>
              <w:right w:val="single" w:color="000000" w:sz="6" w:space="0"/>
            </w:tcBorders>
            <w:vAlign w:val="top"/>
          </w:tcPr>
          <w:p w14:paraId="2040FAA2">
            <w:pPr>
              <w:rPr>
                <w:rFonts w:ascii="Arial"/>
                <w:color w:val="auto"/>
                <w:sz w:val="21"/>
                <w:highlight w:val="none"/>
              </w:rPr>
            </w:pPr>
          </w:p>
        </w:tc>
      </w:tr>
      <w:tr w14:paraId="6344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1602EB1">
            <w:pPr>
              <w:pStyle w:val="23"/>
              <w:spacing w:before="197" w:line="239" w:lineRule="auto"/>
              <w:ind w:left="266"/>
              <w:rPr>
                <w:color w:val="auto"/>
                <w:highlight w:val="none"/>
              </w:rPr>
            </w:pPr>
            <w:r>
              <w:rPr>
                <w:color w:val="auto"/>
                <w:highlight w:val="none"/>
              </w:rPr>
              <w:t>5</w:t>
            </w:r>
          </w:p>
        </w:tc>
        <w:tc>
          <w:tcPr>
            <w:tcW w:w="1063" w:type="dxa"/>
            <w:vAlign w:val="top"/>
          </w:tcPr>
          <w:p w14:paraId="02EB6D33">
            <w:pPr>
              <w:rPr>
                <w:rFonts w:ascii="Arial"/>
                <w:color w:val="auto"/>
                <w:sz w:val="21"/>
                <w:highlight w:val="none"/>
              </w:rPr>
            </w:pPr>
          </w:p>
        </w:tc>
        <w:tc>
          <w:tcPr>
            <w:tcW w:w="753" w:type="dxa"/>
            <w:vAlign w:val="top"/>
          </w:tcPr>
          <w:p w14:paraId="3E33E17E">
            <w:pPr>
              <w:rPr>
                <w:rFonts w:ascii="Arial"/>
                <w:color w:val="auto"/>
                <w:sz w:val="21"/>
                <w:highlight w:val="none"/>
              </w:rPr>
            </w:pPr>
          </w:p>
        </w:tc>
        <w:tc>
          <w:tcPr>
            <w:tcW w:w="1148" w:type="dxa"/>
            <w:vAlign w:val="top"/>
          </w:tcPr>
          <w:p w14:paraId="0344E8F3">
            <w:pPr>
              <w:rPr>
                <w:rFonts w:ascii="Arial"/>
                <w:color w:val="auto"/>
                <w:sz w:val="21"/>
                <w:highlight w:val="none"/>
              </w:rPr>
            </w:pPr>
          </w:p>
        </w:tc>
        <w:tc>
          <w:tcPr>
            <w:tcW w:w="966" w:type="dxa"/>
            <w:vAlign w:val="top"/>
          </w:tcPr>
          <w:p w14:paraId="58B804D1">
            <w:pPr>
              <w:rPr>
                <w:rFonts w:ascii="Arial"/>
                <w:color w:val="auto"/>
                <w:sz w:val="21"/>
                <w:highlight w:val="none"/>
              </w:rPr>
            </w:pPr>
          </w:p>
        </w:tc>
        <w:tc>
          <w:tcPr>
            <w:tcW w:w="1012" w:type="dxa"/>
            <w:vAlign w:val="top"/>
          </w:tcPr>
          <w:p w14:paraId="0DE7D748">
            <w:pPr>
              <w:rPr>
                <w:rFonts w:ascii="Arial"/>
                <w:color w:val="auto"/>
                <w:sz w:val="21"/>
                <w:highlight w:val="none"/>
              </w:rPr>
            </w:pPr>
          </w:p>
        </w:tc>
        <w:tc>
          <w:tcPr>
            <w:tcW w:w="1784" w:type="dxa"/>
            <w:vAlign w:val="top"/>
          </w:tcPr>
          <w:p w14:paraId="2DD3EEDD">
            <w:pPr>
              <w:rPr>
                <w:rFonts w:ascii="Arial"/>
                <w:color w:val="auto"/>
                <w:sz w:val="21"/>
                <w:highlight w:val="none"/>
              </w:rPr>
            </w:pPr>
          </w:p>
        </w:tc>
        <w:tc>
          <w:tcPr>
            <w:tcW w:w="1241" w:type="dxa"/>
            <w:vAlign w:val="top"/>
          </w:tcPr>
          <w:p w14:paraId="116BFC4E">
            <w:pPr>
              <w:rPr>
                <w:rFonts w:ascii="Arial"/>
                <w:color w:val="auto"/>
                <w:sz w:val="21"/>
                <w:highlight w:val="none"/>
              </w:rPr>
            </w:pPr>
          </w:p>
        </w:tc>
        <w:tc>
          <w:tcPr>
            <w:tcW w:w="949" w:type="dxa"/>
            <w:vAlign w:val="top"/>
          </w:tcPr>
          <w:p w14:paraId="57EA5029">
            <w:pPr>
              <w:rPr>
                <w:rFonts w:ascii="Arial"/>
                <w:color w:val="auto"/>
                <w:sz w:val="21"/>
                <w:highlight w:val="none"/>
              </w:rPr>
            </w:pPr>
          </w:p>
        </w:tc>
        <w:tc>
          <w:tcPr>
            <w:tcW w:w="1108" w:type="dxa"/>
            <w:vAlign w:val="top"/>
          </w:tcPr>
          <w:p w14:paraId="3858E67F">
            <w:pPr>
              <w:rPr>
                <w:rFonts w:ascii="Arial"/>
                <w:color w:val="auto"/>
                <w:sz w:val="21"/>
                <w:highlight w:val="none"/>
              </w:rPr>
            </w:pPr>
          </w:p>
        </w:tc>
        <w:tc>
          <w:tcPr>
            <w:tcW w:w="1040" w:type="dxa"/>
            <w:vAlign w:val="top"/>
          </w:tcPr>
          <w:p w14:paraId="59D683EB">
            <w:pPr>
              <w:rPr>
                <w:rFonts w:ascii="Arial"/>
                <w:color w:val="auto"/>
                <w:sz w:val="21"/>
                <w:highlight w:val="none"/>
              </w:rPr>
            </w:pPr>
          </w:p>
        </w:tc>
        <w:tc>
          <w:tcPr>
            <w:tcW w:w="1040" w:type="dxa"/>
            <w:vAlign w:val="top"/>
          </w:tcPr>
          <w:p w14:paraId="758E4E8D">
            <w:pPr>
              <w:rPr>
                <w:rFonts w:ascii="Arial"/>
                <w:color w:val="auto"/>
                <w:sz w:val="21"/>
                <w:highlight w:val="none"/>
              </w:rPr>
            </w:pPr>
          </w:p>
        </w:tc>
        <w:tc>
          <w:tcPr>
            <w:tcW w:w="1482" w:type="dxa"/>
            <w:tcBorders>
              <w:right w:val="single" w:color="000000" w:sz="6" w:space="0"/>
            </w:tcBorders>
            <w:vAlign w:val="top"/>
          </w:tcPr>
          <w:p w14:paraId="1A2B5034">
            <w:pPr>
              <w:rPr>
                <w:rFonts w:ascii="Arial"/>
                <w:color w:val="auto"/>
                <w:sz w:val="21"/>
                <w:highlight w:val="none"/>
              </w:rPr>
            </w:pPr>
          </w:p>
        </w:tc>
      </w:tr>
      <w:tr w14:paraId="387F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35" w:type="dxa"/>
            <w:tcBorders>
              <w:left w:val="single" w:color="000000" w:sz="6" w:space="0"/>
            </w:tcBorders>
            <w:vAlign w:val="top"/>
          </w:tcPr>
          <w:p w14:paraId="12EAE730">
            <w:pPr>
              <w:pStyle w:val="23"/>
              <w:spacing w:before="199" w:line="238" w:lineRule="auto"/>
              <w:ind w:left="264"/>
              <w:rPr>
                <w:color w:val="auto"/>
                <w:highlight w:val="none"/>
              </w:rPr>
            </w:pPr>
            <w:r>
              <w:rPr>
                <w:color w:val="auto"/>
                <w:highlight w:val="none"/>
              </w:rPr>
              <w:t>6</w:t>
            </w:r>
          </w:p>
        </w:tc>
        <w:tc>
          <w:tcPr>
            <w:tcW w:w="1063" w:type="dxa"/>
            <w:vAlign w:val="top"/>
          </w:tcPr>
          <w:p w14:paraId="735F5C63">
            <w:pPr>
              <w:rPr>
                <w:rFonts w:ascii="Arial"/>
                <w:color w:val="auto"/>
                <w:sz w:val="21"/>
                <w:highlight w:val="none"/>
              </w:rPr>
            </w:pPr>
          </w:p>
        </w:tc>
        <w:tc>
          <w:tcPr>
            <w:tcW w:w="753" w:type="dxa"/>
            <w:vAlign w:val="top"/>
          </w:tcPr>
          <w:p w14:paraId="258ED080">
            <w:pPr>
              <w:rPr>
                <w:rFonts w:ascii="Arial"/>
                <w:color w:val="auto"/>
                <w:sz w:val="21"/>
                <w:highlight w:val="none"/>
              </w:rPr>
            </w:pPr>
          </w:p>
        </w:tc>
        <w:tc>
          <w:tcPr>
            <w:tcW w:w="1148" w:type="dxa"/>
            <w:vAlign w:val="top"/>
          </w:tcPr>
          <w:p w14:paraId="4C19A3D1">
            <w:pPr>
              <w:rPr>
                <w:rFonts w:ascii="Arial"/>
                <w:color w:val="auto"/>
                <w:sz w:val="21"/>
                <w:highlight w:val="none"/>
              </w:rPr>
            </w:pPr>
          </w:p>
        </w:tc>
        <w:tc>
          <w:tcPr>
            <w:tcW w:w="966" w:type="dxa"/>
            <w:vAlign w:val="top"/>
          </w:tcPr>
          <w:p w14:paraId="2A23B092">
            <w:pPr>
              <w:rPr>
                <w:rFonts w:ascii="Arial"/>
                <w:color w:val="auto"/>
                <w:sz w:val="21"/>
                <w:highlight w:val="none"/>
              </w:rPr>
            </w:pPr>
          </w:p>
        </w:tc>
        <w:tc>
          <w:tcPr>
            <w:tcW w:w="1012" w:type="dxa"/>
            <w:vAlign w:val="top"/>
          </w:tcPr>
          <w:p w14:paraId="400AAAEE">
            <w:pPr>
              <w:rPr>
                <w:rFonts w:ascii="Arial"/>
                <w:color w:val="auto"/>
                <w:sz w:val="21"/>
                <w:highlight w:val="none"/>
              </w:rPr>
            </w:pPr>
          </w:p>
        </w:tc>
        <w:tc>
          <w:tcPr>
            <w:tcW w:w="1784" w:type="dxa"/>
            <w:vAlign w:val="top"/>
          </w:tcPr>
          <w:p w14:paraId="3714DB53">
            <w:pPr>
              <w:rPr>
                <w:rFonts w:ascii="Arial"/>
                <w:color w:val="auto"/>
                <w:sz w:val="21"/>
                <w:highlight w:val="none"/>
              </w:rPr>
            </w:pPr>
          </w:p>
        </w:tc>
        <w:tc>
          <w:tcPr>
            <w:tcW w:w="1241" w:type="dxa"/>
            <w:vAlign w:val="top"/>
          </w:tcPr>
          <w:p w14:paraId="1010D626">
            <w:pPr>
              <w:rPr>
                <w:rFonts w:ascii="Arial"/>
                <w:color w:val="auto"/>
                <w:sz w:val="21"/>
                <w:highlight w:val="none"/>
              </w:rPr>
            </w:pPr>
          </w:p>
        </w:tc>
        <w:tc>
          <w:tcPr>
            <w:tcW w:w="949" w:type="dxa"/>
            <w:vAlign w:val="top"/>
          </w:tcPr>
          <w:p w14:paraId="302E8050">
            <w:pPr>
              <w:rPr>
                <w:rFonts w:ascii="Arial"/>
                <w:color w:val="auto"/>
                <w:sz w:val="21"/>
                <w:highlight w:val="none"/>
              </w:rPr>
            </w:pPr>
          </w:p>
        </w:tc>
        <w:tc>
          <w:tcPr>
            <w:tcW w:w="1108" w:type="dxa"/>
            <w:vAlign w:val="top"/>
          </w:tcPr>
          <w:p w14:paraId="0975A2A1">
            <w:pPr>
              <w:rPr>
                <w:rFonts w:ascii="Arial"/>
                <w:color w:val="auto"/>
                <w:sz w:val="21"/>
                <w:highlight w:val="none"/>
              </w:rPr>
            </w:pPr>
          </w:p>
        </w:tc>
        <w:tc>
          <w:tcPr>
            <w:tcW w:w="1040" w:type="dxa"/>
            <w:vAlign w:val="top"/>
          </w:tcPr>
          <w:p w14:paraId="6F22F907">
            <w:pPr>
              <w:rPr>
                <w:rFonts w:ascii="Arial"/>
                <w:color w:val="auto"/>
                <w:sz w:val="21"/>
                <w:highlight w:val="none"/>
              </w:rPr>
            </w:pPr>
          </w:p>
        </w:tc>
        <w:tc>
          <w:tcPr>
            <w:tcW w:w="1040" w:type="dxa"/>
            <w:vAlign w:val="top"/>
          </w:tcPr>
          <w:p w14:paraId="0F0E8323">
            <w:pPr>
              <w:rPr>
                <w:rFonts w:ascii="Arial"/>
                <w:color w:val="auto"/>
                <w:sz w:val="21"/>
                <w:highlight w:val="none"/>
              </w:rPr>
            </w:pPr>
          </w:p>
        </w:tc>
        <w:tc>
          <w:tcPr>
            <w:tcW w:w="1482" w:type="dxa"/>
            <w:tcBorders>
              <w:right w:val="single" w:color="000000" w:sz="6" w:space="0"/>
            </w:tcBorders>
            <w:vAlign w:val="top"/>
          </w:tcPr>
          <w:p w14:paraId="1121B902">
            <w:pPr>
              <w:rPr>
                <w:rFonts w:ascii="Arial"/>
                <w:color w:val="auto"/>
                <w:sz w:val="21"/>
                <w:highlight w:val="none"/>
              </w:rPr>
            </w:pPr>
          </w:p>
        </w:tc>
      </w:tr>
      <w:tr w14:paraId="4DD6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241531B9">
            <w:pPr>
              <w:pStyle w:val="23"/>
              <w:spacing w:before="200" w:line="236" w:lineRule="auto"/>
              <w:ind w:left="267"/>
              <w:rPr>
                <w:color w:val="auto"/>
                <w:highlight w:val="none"/>
              </w:rPr>
            </w:pPr>
            <w:r>
              <w:rPr>
                <w:color w:val="auto"/>
                <w:highlight w:val="none"/>
              </w:rPr>
              <w:t>7</w:t>
            </w:r>
          </w:p>
        </w:tc>
        <w:tc>
          <w:tcPr>
            <w:tcW w:w="1063" w:type="dxa"/>
            <w:vAlign w:val="top"/>
          </w:tcPr>
          <w:p w14:paraId="0089390A">
            <w:pPr>
              <w:rPr>
                <w:rFonts w:ascii="Arial"/>
                <w:color w:val="auto"/>
                <w:sz w:val="21"/>
                <w:highlight w:val="none"/>
              </w:rPr>
            </w:pPr>
          </w:p>
        </w:tc>
        <w:tc>
          <w:tcPr>
            <w:tcW w:w="753" w:type="dxa"/>
            <w:vAlign w:val="top"/>
          </w:tcPr>
          <w:p w14:paraId="061CCAF6">
            <w:pPr>
              <w:rPr>
                <w:rFonts w:ascii="Arial"/>
                <w:color w:val="auto"/>
                <w:sz w:val="21"/>
                <w:highlight w:val="none"/>
              </w:rPr>
            </w:pPr>
          </w:p>
        </w:tc>
        <w:tc>
          <w:tcPr>
            <w:tcW w:w="1148" w:type="dxa"/>
            <w:vAlign w:val="top"/>
          </w:tcPr>
          <w:p w14:paraId="4B5C0C25">
            <w:pPr>
              <w:rPr>
                <w:rFonts w:ascii="Arial"/>
                <w:color w:val="auto"/>
                <w:sz w:val="21"/>
                <w:highlight w:val="none"/>
              </w:rPr>
            </w:pPr>
          </w:p>
        </w:tc>
        <w:tc>
          <w:tcPr>
            <w:tcW w:w="966" w:type="dxa"/>
            <w:vAlign w:val="top"/>
          </w:tcPr>
          <w:p w14:paraId="7A195358">
            <w:pPr>
              <w:rPr>
                <w:rFonts w:ascii="Arial"/>
                <w:color w:val="auto"/>
                <w:sz w:val="21"/>
                <w:highlight w:val="none"/>
              </w:rPr>
            </w:pPr>
          </w:p>
        </w:tc>
        <w:tc>
          <w:tcPr>
            <w:tcW w:w="1012" w:type="dxa"/>
            <w:vAlign w:val="top"/>
          </w:tcPr>
          <w:p w14:paraId="27288603">
            <w:pPr>
              <w:rPr>
                <w:rFonts w:ascii="Arial"/>
                <w:color w:val="auto"/>
                <w:sz w:val="21"/>
                <w:highlight w:val="none"/>
              </w:rPr>
            </w:pPr>
          </w:p>
        </w:tc>
        <w:tc>
          <w:tcPr>
            <w:tcW w:w="1784" w:type="dxa"/>
            <w:vAlign w:val="top"/>
          </w:tcPr>
          <w:p w14:paraId="6B18F815">
            <w:pPr>
              <w:rPr>
                <w:rFonts w:ascii="Arial"/>
                <w:color w:val="auto"/>
                <w:sz w:val="21"/>
                <w:highlight w:val="none"/>
              </w:rPr>
            </w:pPr>
          </w:p>
        </w:tc>
        <w:tc>
          <w:tcPr>
            <w:tcW w:w="1241" w:type="dxa"/>
            <w:vAlign w:val="top"/>
          </w:tcPr>
          <w:p w14:paraId="2B92362E">
            <w:pPr>
              <w:rPr>
                <w:rFonts w:ascii="Arial"/>
                <w:color w:val="auto"/>
                <w:sz w:val="21"/>
                <w:highlight w:val="none"/>
              </w:rPr>
            </w:pPr>
          </w:p>
        </w:tc>
        <w:tc>
          <w:tcPr>
            <w:tcW w:w="949" w:type="dxa"/>
            <w:vAlign w:val="top"/>
          </w:tcPr>
          <w:p w14:paraId="30958D29">
            <w:pPr>
              <w:rPr>
                <w:rFonts w:ascii="Arial"/>
                <w:color w:val="auto"/>
                <w:sz w:val="21"/>
                <w:highlight w:val="none"/>
              </w:rPr>
            </w:pPr>
          </w:p>
        </w:tc>
        <w:tc>
          <w:tcPr>
            <w:tcW w:w="1108" w:type="dxa"/>
            <w:vAlign w:val="top"/>
          </w:tcPr>
          <w:p w14:paraId="05F0FAF8">
            <w:pPr>
              <w:rPr>
                <w:rFonts w:ascii="Arial"/>
                <w:color w:val="auto"/>
                <w:sz w:val="21"/>
                <w:highlight w:val="none"/>
              </w:rPr>
            </w:pPr>
          </w:p>
        </w:tc>
        <w:tc>
          <w:tcPr>
            <w:tcW w:w="1040" w:type="dxa"/>
            <w:vAlign w:val="top"/>
          </w:tcPr>
          <w:p w14:paraId="205FCAEF">
            <w:pPr>
              <w:rPr>
                <w:rFonts w:ascii="Arial"/>
                <w:color w:val="auto"/>
                <w:sz w:val="21"/>
                <w:highlight w:val="none"/>
              </w:rPr>
            </w:pPr>
          </w:p>
        </w:tc>
        <w:tc>
          <w:tcPr>
            <w:tcW w:w="1040" w:type="dxa"/>
            <w:vAlign w:val="top"/>
          </w:tcPr>
          <w:p w14:paraId="18C3B64D">
            <w:pPr>
              <w:rPr>
                <w:rFonts w:ascii="Arial"/>
                <w:color w:val="auto"/>
                <w:sz w:val="21"/>
                <w:highlight w:val="none"/>
              </w:rPr>
            </w:pPr>
          </w:p>
        </w:tc>
        <w:tc>
          <w:tcPr>
            <w:tcW w:w="1482" w:type="dxa"/>
            <w:tcBorders>
              <w:right w:val="single" w:color="000000" w:sz="6" w:space="0"/>
            </w:tcBorders>
            <w:vAlign w:val="top"/>
          </w:tcPr>
          <w:p w14:paraId="22F7CC80">
            <w:pPr>
              <w:rPr>
                <w:rFonts w:ascii="Arial"/>
                <w:color w:val="auto"/>
                <w:sz w:val="21"/>
                <w:highlight w:val="none"/>
              </w:rPr>
            </w:pPr>
          </w:p>
        </w:tc>
      </w:tr>
      <w:tr w14:paraId="6061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4B0EC573">
            <w:pPr>
              <w:pStyle w:val="23"/>
              <w:spacing w:before="201" w:line="235" w:lineRule="auto"/>
              <w:ind w:left="263"/>
              <w:rPr>
                <w:color w:val="auto"/>
                <w:highlight w:val="none"/>
              </w:rPr>
            </w:pPr>
            <w:r>
              <w:rPr>
                <w:color w:val="auto"/>
                <w:highlight w:val="none"/>
              </w:rPr>
              <w:t>8</w:t>
            </w:r>
          </w:p>
        </w:tc>
        <w:tc>
          <w:tcPr>
            <w:tcW w:w="1063" w:type="dxa"/>
            <w:vAlign w:val="top"/>
          </w:tcPr>
          <w:p w14:paraId="40EBBEBD">
            <w:pPr>
              <w:rPr>
                <w:rFonts w:ascii="Arial"/>
                <w:color w:val="auto"/>
                <w:sz w:val="21"/>
                <w:highlight w:val="none"/>
              </w:rPr>
            </w:pPr>
          </w:p>
        </w:tc>
        <w:tc>
          <w:tcPr>
            <w:tcW w:w="753" w:type="dxa"/>
            <w:vAlign w:val="top"/>
          </w:tcPr>
          <w:p w14:paraId="2DAAD8C5">
            <w:pPr>
              <w:rPr>
                <w:rFonts w:ascii="Arial"/>
                <w:color w:val="auto"/>
                <w:sz w:val="21"/>
                <w:highlight w:val="none"/>
              </w:rPr>
            </w:pPr>
          </w:p>
        </w:tc>
        <w:tc>
          <w:tcPr>
            <w:tcW w:w="1148" w:type="dxa"/>
            <w:vAlign w:val="top"/>
          </w:tcPr>
          <w:p w14:paraId="2C62FB81">
            <w:pPr>
              <w:rPr>
                <w:rFonts w:ascii="Arial"/>
                <w:color w:val="auto"/>
                <w:sz w:val="21"/>
                <w:highlight w:val="none"/>
              </w:rPr>
            </w:pPr>
          </w:p>
        </w:tc>
        <w:tc>
          <w:tcPr>
            <w:tcW w:w="966" w:type="dxa"/>
            <w:vAlign w:val="top"/>
          </w:tcPr>
          <w:p w14:paraId="71D2F719">
            <w:pPr>
              <w:rPr>
                <w:rFonts w:ascii="Arial"/>
                <w:color w:val="auto"/>
                <w:sz w:val="21"/>
                <w:highlight w:val="none"/>
              </w:rPr>
            </w:pPr>
          </w:p>
        </w:tc>
        <w:tc>
          <w:tcPr>
            <w:tcW w:w="1012" w:type="dxa"/>
            <w:vAlign w:val="top"/>
          </w:tcPr>
          <w:p w14:paraId="18E01E45">
            <w:pPr>
              <w:rPr>
                <w:rFonts w:ascii="Arial"/>
                <w:color w:val="auto"/>
                <w:sz w:val="21"/>
                <w:highlight w:val="none"/>
              </w:rPr>
            </w:pPr>
          </w:p>
        </w:tc>
        <w:tc>
          <w:tcPr>
            <w:tcW w:w="1784" w:type="dxa"/>
            <w:vAlign w:val="top"/>
          </w:tcPr>
          <w:p w14:paraId="67095ED2">
            <w:pPr>
              <w:rPr>
                <w:rFonts w:ascii="Arial"/>
                <w:color w:val="auto"/>
                <w:sz w:val="21"/>
                <w:highlight w:val="none"/>
              </w:rPr>
            </w:pPr>
          </w:p>
        </w:tc>
        <w:tc>
          <w:tcPr>
            <w:tcW w:w="1241" w:type="dxa"/>
            <w:vAlign w:val="top"/>
          </w:tcPr>
          <w:p w14:paraId="3150D780">
            <w:pPr>
              <w:rPr>
                <w:rFonts w:ascii="Arial"/>
                <w:color w:val="auto"/>
                <w:sz w:val="21"/>
                <w:highlight w:val="none"/>
              </w:rPr>
            </w:pPr>
          </w:p>
        </w:tc>
        <w:tc>
          <w:tcPr>
            <w:tcW w:w="949" w:type="dxa"/>
            <w:vAlign w:val="top"/>
          </w:tcPr>
          <w:p w14:paraId="69A1F230">
            <w:pPr>
              <w:rPr>
                <w:rFonts w:ascii="Arial"/>
                <w:color w:val="auto"/>
                <w:sz w:val="21"/>
                <w:highlight w:val="none"/>
              </w:rPr>
            </w:pPr>
          </w:p>
        </w:tc>
        <w:tc>
          <w:tcPr>
            <w:tcW w:w="1108" w:type="dxa"/>
            <w:vAlign w:val="top"/>
          </w:tcPr>
          <w:p w14:paraId="1CD6F1C3">
            <w:pPr>
              <w:rPr>
                <w:rFonts w:ascii="Arial"/>
                <w:color w:val="auto"/>
                <w:sz w:val="21"/>
                <w:highlight w:val="none"/>
              </w:rPr>
            </w:pPr>
          </w:p>
        </w:tc>
        <w:tc>
          <w:tcPr>
            <w:tcW w:w="1040" w:type="dxa"/>
            <w:vAlign w:val="top"/>
          </w:tcPr>
          <w:p w14:paraId="57D77C14">
            <w:pPr>
              <w:rPr>
                <w:rFonts w:ascii="Arial"/>
                <w:color w:val="auto"/>
                <w:sz w:val="21"/>
                <w:highlight w:val="none"/>
              </w:rPr>
            </w:pPr>
          </w:p>
        </w:tc>
        <w:tc>
          <w:tcPr>
            <w:tcW w:w="1040" w:type="dxa"/>
            <w:vAlign w:val="top"/>
          </w:tcPr>
          <w:p w14:paraId="16AC3B47">
            <w:pPr>
              <w:rPr>
                <w:rFonts w:ascii="Arial"/>
                <w:color w:val="auto"/>
                <w:sz w:val="21"/>
                <w:highlight w:val="none"/>
              </w:rPr>
            </w:pPr>
          </w:p>
        </w:tc>
        <w:tc>
          <w:tcPr>
            <w:tcW w:w="1482" w:type="dxa"/>
            <w:tcBorders>
              <w:right w:val="single" w:color="000000" w:sz="6" w:space="0"/>
            </w:tcBorders>
            <w:vAlign w:val="top"/>
          </w:tcPr>
          <w:p w14:paraId="4F3AA292">
            <w:pPr>
              <w:rPr>
                <w:rFonts w:ascii="Arial"/>
                <w:color w:val="auto"/>
                <w:sz w:val="21"/>
                <w:highlight w:val="none"/>
              </w:rPr>
            </w:pPr>
          </w:p>
        </w:tc>
      </w:tr>
      <w:tr w14:paraId="6D158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2BFC0705">
            <w:pPr>
              <w:pStyle w:val="23"/>
              <w:spacing w:before="201" w:line="235" w:lineRule="auto"/>
              <w:ind w:left="263"/>
              <w:rPr>
                <w:color w:val="auto"/>
                <w:highlight w:val="none"/>
              </w:rPr>
            </w:pPr>
            <w:r>
              <w:rPr>
                <w:color w:val="auto"/>
                <w:highlight w:val="none"/>
              </w:rPr>
              <w:t>9</w:t>
            </w:r>
          </w:p>
        </w:tc>
        <w:tc>
          <w:tcPr>
            <w:tcW w:w="1063" w:type="dxa"/>
            <w:vAlign w:val="top"/>
          </w:tcPr>
          <w:p w14:paraId="4C25C497">
            <w:pPr>
              <w:rPr>
                <w:rFonts w:ascii="Arial"/>
                <w:color w:val="auto"/>
                <w:sz w:val="21"/>
                <w:highlight w:val="none"/>
              </w:rPr>
            </w:pPr>
          </w:p>
        </w:tc>
        <w:tc>
          <w:tcPr>
            <w:tcW w:w="753" w:type="dxa"/>
            <w:vAlign w:val="top"/>
          </w:tcPr>
          <w:p w14:paraId="766B9F35">
            <w:pPr>
              <w:rPr>
                <w:rFonts w:ascii="Arial"/>
                <w:color w:val="auto"/>
                <w:sz w:val="21"/>
                <w:highlight w:val="none"/>
              </w:rPr>
            </w:pPr>
          </w:p>
        </w:tc>
        <w:tc>
          <w:tcPr>
            <w:tcW w:w="1148" w:type="dxa"/>
            <w:vAlign w:val="top"/>
          </w:tcPr>
          <w:p w14:paraId="41325495">
            <w:pPr>
              <w:rPr>
                <w:rFonts w:ascii="Arial"/>
                <w:color w:val="auto"/>
                <w:sz w:val="21"/>
                <w:highlight w:val="none"/>
              </w:rPr>
            </w:pPr>
          </w:p>
        </w:tc>
        <w:tc>
          <w:tcPr>
            <w:tcW w:w="966" w:type="dxa"/>
            <w:vAlign w:val="top"/>
          </w:tcPr>
          <w:p w14:paraId="27DD82FA">
            <w:pPr>
              <w:rPr>
                <w:rFonts w:ascii="Arial"/>
                <w:color w:val="auto"/>
                <w:sz w:val="21"/>
                <w:highlight w:val="none"/>
              </w:rPr>
            </w:pPr>
          </w:p>
        </w:tc>
        <w:tc>
          <w:tcPr>
            <w:tcW w:w="1012" w:type="dxa"/>
            <w:vAlign w:val="top"/>
          </w:tcPr>
          <w:p w14:paraId="1360F247">
            <w:pPr>
              <w:rPr>
                <w:rFonts w:ascii="Arial"/>
                <w:color w:val="auto"/>
                <w:sz w:val="21"/>
                <w:highlight w:val="none"/>
              </w:rPr>
            </w:pPr>
          </w:p>
        </w:tc>
        <w:tc>
          <w:tcPr>
            <w:tcW w:w="1784" w:type="dxa"/>
            <w:vAlign w:val="top"/>
          </w:tcPr>
          <w:p w14:paraId="2905AE87">
            <w:pPr>
              <w:rPr>
                <w:rFonts w:ascii="Arial"/>
                <w:color w:val="auto"/>
                <w:sz w:val="21"/>
                <w:highlight w:val="none"/>
              </w:rPr>
            </w:pPr>
          </w:p>
        </w:tc>
        <w:tc>
          <w:tcPr>
            <w:tcW w:w="1241" w:type="dxa"/>
            <w:vAlign w:val="top"/>
          </w:tcPr>
          <w:p w14:paraId="3C429C8C">
            <w:pPr>
              <w:rPr>
                <w:rFonts w:ascii="Arial"/>
                <w:color w:val="auto"/>
                <w:sz w:val="21"/>
                <w:highlight w:val="none"/>
              </w:rPr>
            </w:pPr>
          </w:p>
        </w:tc>
        <w:tc>
          <w:tcPr>
            <w:tcW w:w="949" w:type="dxa"/>
            <w:vAlign w:val="top"/>
          </w:tcPr>
          <w:p w14:paraId="02C1A80C">
            <w:pPr>
              <w:rPr>
                <w:rFonts w:ascii="Arial"/>
                <w:color w:val="auto"/>
                <w:sz w:val="21"/>
                <w:highlight w:val="none"/>
              </w:rPr>
            </w:pPr>
          </w:p>
        </w:tc>
        <w:tc>
          <w:tcPr>
            <w:tcW w:w="1108" w:type="dxa"/>
            <w:vAlign w:val="top"/>
          </w:tcPr>
          <w:p w14:paraId="0E567923">
            <w:pPr>
              <w:rPr>
                <w:rFonts w:ascii="Arial"/>
                <w:color w:val="auto"/>
                <w:sz w:val="21"/>
                <w:highlight w:val="none"/>
              </w:rPr>
            </w:pPr>
          </w:p>
        </w:tc>
        <w:tc>
          <w:tcPr>
            <w:tcW w:w="1040" w:type="dxa"/>
            <w:vAlign w:val="top"/>
          </w:tcPr>
          <w:p w14:paraId="7FD53C3A">
            <w:pPr>
              <w:rPr>
                <w:rFonts w:ascii="Arial"/>
                <w:color w:val="auto"/>
                <w:sz w:val="21"/>
                <w:highlight w:val="none"/>
              </w:rPr>
            </w:pPr>
          </w:p>
        </w:tc>
        <w:tc>
          <w:tcPr>
            <w:tcW w:w="1040" w:type="dxa"/>
            <w:vAlign w:val="top"/>
          </w:tcPr>
          <w:p w14:paraId="46A852AF">
            <w:pPr>
              <w:rPr>
                <w:rFonts w:ascii="Arial"/>
                <w:color w:val="auto"/>
                <w:sz w:val="21"/>
                <w:highlight w:val="none"/>
              </w:rPr>
            </w:pPr>
          </w:p>
        </w:tc>
        <w:tc>
          <w:tcPr>
            <w:tcW w:w="1482" w:type="dxa"/>
            <w:tcBorders>
              <w:right w:val="single" w:color="000000" w:sz="6" w:space="0"/>
            </w:tcBorders>
            <w:vAlign w:val="top"/>
          </w:tcPr>
          <w:p w14:paraId="2C248F38">
            <w:pPr>
              <w:rPr>
                <w:rFonts w:ascii="Arial"/>
                <w:color w:val="auto"/>
                <w:sz w:val="21"/>
                <w:highlight w:val="none"/>
              </w:rPr>
            </w:pPr>
          </w:p>
        </w:tc>
      </w:tr>
      <w:tr w14:paraId="1D5E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60C3F8E6">
            <w:pPr>
              <w:pStyle w:val="23"/>
              <w:spacing w:before="203" w:line="233" w:lineRule="auto"/>
              <w:ind w:left="222"/>
              <w:rPr>
                <w:color w:val="auto"/>
                <w:highlight w:val="none"/>
              </w:rPr>
            </w:pPr>
            <w:r>
              <w:rPr>
                <w:color w:val="auto"/>
                <w:highlight w:val="none"/>
              </w:rPr>
              <w:t>…</w:t>
            </w:r>
          </w:p>
        </w:tc>
        <w:tc>
          <w:tcPr>
            <w:tcW w:w="1063" w:type="dxa"/>
            <w:vAlign w:val="top"/>
          </w:tcPr>
          <w:p w14:paraId="39F4771F">
            <w:pPr>
              <w:rPr>
                <w:rFonts w:ascii="Arial"/>
                <w:color w:val="auto"/>
                <w:sz w:val="21"/>
                <w:highlight w:val="none"/>
              </w:rPr>
            </w:pPr>
          </w:p>
        </w:tc>
        <w:tc>
          <w:tcPr>
            <w:tcW w:w="753" w:type="dxa"/>
            <w:vAlign w:val="top"/>
          </w:tcPr>
          <w:p w14:paraId="4E5E36BB">
            <w:pPr>
              <w:rPr>
                <w:rFonts w:ascii="Arial"/>
                <w:color w:val="auto"/>
                <w:sz w:val="21"/>
                <w:highlight w:val="none"/>
              </w:rPr>
            </w:pPr>
          </w:p>
        </w:tc>
        <w:tc>
          <w:tcPr>
            <w:tcW w:w="1148" w:type="dxa"/>
            <w:vAlign w:val="top"/>
          </w:tcPr>
          <w:p w14:paraId="76BB2EC4">
            <w:pPr>
              <w:rPr>
                <w:rFonts w:ascii="Arial"/>
                <w:color w:val="auto"/>
                <w:sz w:val="21"/>
                <w:highlight w:val="none"/>
              </w:rPr>
            </w:pPr>
          </w:p>
        </w:tc>
        <w:tc>
          <w:tcPr>
            <w:tcW w:w="966" w:type="dxa"/>
            <w:vAlign w:val="top"/>
          </w:tcPr>
          <w:p w14:paraId="45A9D2D9">
            <w:pPr>
              <w:rPr>
                <w:rFonts w:ascii="Arial"/>
                <w:color w:val="auto"/>
                <w:sz w:val="21"/>
                <w:highlight w:val="none"/>
              </w:rPr>
            </w:pPr>
          </w:p>
        </w:tc>
        <w:tc>
          <w:tcPr>
            <w:tcW w:w="1012" w:type="dxa"/>
            <w:vAlign w:val="top"/>
          </w:tcPr>
          <w:p w14:paraId="0237F7A8">
            <w:pPr>
              <w:rPr>
                <w:rFonts w:ascii="Arial"/>
                <w:color w:val="auto"/>
                <w:sz w:val="21"/>
                <w:highlight w:val="none"/>
              </w:rPr>
            </w:pPr>
          </w:p>
        </w:tc>
        <w:tc>
          <w:tcPr>
            <w:tcW w:w="1784" w:type="dxa"/>
            <w:vAlign w:val="top"/>
          </w:tcPr>
          <w:p w14:paraId="246F2F26">
            <w:pPr>
              <w:rPr>
                <w:rFonts w:ascii="Arial"/>
                <w:color w:val="auto"/>
                <w:sz w:val="21"/>
                <w:highlight w:val="none"/>
              </w:rPr>
            </w:pPr>
          </w:p>
        </w:tc>
        <w:tc>
          <w:tcPr>
            <w:tcW w:w="1241" w:type="dxa"/>
            <w:vAlign w:val="top"/>
          </w:tcPr>
          <w:p w14:paraId="112F6008">
            <w:pPr>
              <w:rPr>
                <w:rFonts w:ascii="Arial"/>
                <w:color w:val="auto"/>
                <w:sz w:val="21"/>
                <w:highlight w:val="none"/>
              </w:rPr>
            </w:pPr>
          </w:p>
        </w:tc>
        <w:tc>
          <w:tcPr>
            <w:tcW w:w="949" w:type="dxa"/>
            <w:vAlign w:val="top"/>
          </w:tcPr>
          <w:p w14:paraId="4222D90B">
            <w:pPr>
              <w:rPr>
                <w:rFonts w:ascii="Arial"/>
                <w:color w:val="auto"/>
                <w:sz w:val="21"/>
                <w:highlight w:val="none"/>
              </w:rPr>
            </w:pPr>
          </w:p>
        </w:tc>
        <w:tc>
          <w:tcPr>
            <w:tcW w:w="1108" w:type="dxa"/>
            <w:vAlign w:val="top"/>
          </w:tcPr>
          <w:p w14:paraId="3291F19D">
            <w:pPr>
              <w:rPr>
                <w:rFonts w:ascii="Arial"/>
                <w:color w:val="auto"/>
                <w:sz w:val="21"/>
                <w:highlight w:val="none"/>
              </w:rPr>
            </w:pPr>
          </w:p>
        </w:tc>
        <w:tc>
          <w:tcPr>
            <w:tcW w:w="1040" w:type="dxa"/>
            <w:vAlign w:val="top"/>
          </w:tcPr>
          <w:p w14:paraId="3ED8A66F">
            <w:pPr>
              <w:rPr>
                <w:rFonts w:ascii="Arial"/>
                <w:color w:val="auto"/>
                <w:sz w:val="21"/>
                <w:highlight w:val="none"/>
              </w:rPr>
            </w:pPr>
          </w:p>
        </w:tc>
        <w:tc>
          <w:tcPr>
            <w:tcW w:w="1040" w:type="dxa"/>
            <w:vAlign w:val="top"/>
          </w:tcPr>
          <w:p w14:paraId="426A5751">
            <w:pPr>
              <w:rPr>
                <w:rFonts w:ascii="Arial"/>
                <w:color w:val="auto"/>
                <w:sz w:val="21"/>
                <w:highlight w:val="none"/>
              </w:rPr>
            </w:pPr>
          </w:p>
        </w:tc>
        <w:tc>
          <w:tcPr>
            <w:tcW w:w="1482" w:type="dxa"/>
            <w:tcBorders>
              <w:right w:val="single" w:color="000000" w:sz="6" w:space="0"/>
            </w:tcBorders>
            <w:vAlign w:val="top"/>
          </w:tcPr>
          <w:p w14:paraId="64A392C0">
            <w:pPr>
              <w:rPr>
                <w:rFonts w:ascii="Arial"/>
                <w:color w:val="auto"/>
                <w:sz w:val="21"/>
                <w:highlight w:val="none"/>
              </w:rPr>
            </w:pPr>
          </w:p>
        </w:tc>
      </w:tr>
      <w:tr w14:paraId="029D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35" w:type="dxa"/>
            <w:tcBorders>
              <w:left w:val="single" w:color="000000" w:sz="6" w:space="0"/>
              <w:bottom w:val="single" w:color="000000" w:sz="6" w:space="0"/>
              <w:right w:val="nil"/>
            </w:tcBorders>
            <w:vAlign w:val="top"/>
          </w:tcPr>
          <w:p w14:paraId="6878172A">
            <w:pPr>
              <w:rPr>
                <w:rFonts w:ascii="Arial"/>
                <w:color w:val="auto"/>
                <w:sz w:val="21"/>
                <w:highlight w:val="none"/>
              </w:rPr>
            </w:pPr>
          </w:p>
        </w:tc>
        <w:tc>
          <w:tcPr>
            <w:tcW w:w="2964" w:type="dxa"/>
            <w:gridSpan w:val="3"/>
            <w:tcBorders>
              <w:left w:val="nil"/>
              <w:bottom w:val="single" w:color="000000" w:sz="6" w:space="0"/>
            </w:tcBorders>
            <w:vAlign w:val="top"/>
          </w:tcPr>
          <w:p w14:paraId="3824502E">
            <w:pPr>
              <w:pStyle w:val="23"/>
              <w:spacing w:before="205" w:line="228" w:lineRule="auto"/>
              <w:ind w:left="646"/>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66" w:type="dxa"/>
            <w:tcBorders>
              <w:bottom w:val="single" w:color="000000" w:sz="6" w:space="0"/>
            </w:tcBorders>
            <w:vAlign w:val="top"/>
          </w:tcPr>
          <w:p w14:paraId="1AE838B2">
            <w:pPr>
              <w:rPr>
                <w:rFonts w:ascii="Arial"/>
                <w:color w:val="auto"/>
                <w:sz w:val="21"/>
                <w:highlight w:val="none"/>
              </w:rPr>
            </w:pPr>
          </w:p>
        </w:tc>
        <w:tc>
          <w:tcPr>
            <w:tcW w:w="1012" w:type="dxa"/>
            <w:tcBorders>
              <w:bottom w:val="single" w:color="000000" w:sz="6" w:space="0"/>
            </w:tcBorders>
            <w:vAlign w:val="top"/>
          </w:tcPr>
          <w:p w14:paraId="5D714D1B">
            <w:pPr>
              <w:rPr>
                <w:rFonts w:ascii="Arial"/>
                <w:color w:val="auto"/>
                <w:sz w:val="21"/>
                <w:highlight w:val="none"/>
              </w:rPr>
            </w:pPr>
          </w:p>
        </w:tc>
        <w:tc>
          <w:tcPr>
            <w:tcW w:w="1784" w:type="dxa"/>
            <w:tcBorders>
              <w:bottom w:val="single" w:color="000000" w:sz="6" w:space="0"/>
            </w:tcBorders>
            <w:vAlign w:val="top"/>
          </w:tcPr>
          <w:p w14:paraId="0B38376F">
            <w:pPr>
              <w:rPr>
                <w:rFonts w:ascii="Arial"/>
                <w:color w:val="auto"/>
                <w:sz w:val="21"/>
                <w:highlight w:val="none"/>
              </w:rPr>
            </w:pPr>
          </w:p>
        </w:tc>
        <w:tc>
          <w:tcPr>
            <w:tcW w:w="3298" w:type="dxa"/>
            <w:gridSpan w:val="3"/>
            <w:tcBorders>
              <w:bottom w:val="single" w:color="000000" w:sz="6" w:space="0"/>
            </w:tcBorders>
            <w:vAlign w:val="top"/>
          </w:tcPr>
          <w:p w14:paraId="4ABB8DCD">
            <w:pPr>
              <w:pStyle w:val="23"/>
              <w:spacing w:before="205" w:line="228" w:lineRule="auto"/>
              <w:ind w:left="1237"/>
              <w:rPr>
                <w:color w:val="auto"/>
                <w:highlight w:val="none"/>
              </w:rPr>
            </w:pPr>
            <w:r>
              <w:rPr>
                <w:color w:val="auto"/>
                <w:spacing w:val="5"/>
                <w:highlight w:val="none"/>
              </w:rPr>
              <w:t>合计(元)</w:t>
            </w:r>
          </w:p>
        </w:tc>
        <w:tc>
          <w:tcPr>
            <w:tcW w:w="1040" w:type="dxa"/>
            <w:tcBorders>
              <w:bottom w:val="single" w:color="000000" w:sz="6" w:space="0"/>
            </w:tcBorders>
            <w:vAlign w:val="top"/>
          </w:tcPr>
          <w:p w14:paraId="1C6708F2">
            <w:pPr>
              <w:rPr>
                <w:rFonts w:ascii="Arial"/>
                <w:color w:val="auto"/>
                <w:sz w:val="21"/>
                <w:highlight w:val="none"/>
              </w:rPr>
            </w:pPr>
          </w:p>
        </w:tc>
        <w:tc>
          <w:tcPr>
            <w:tcW w:w="1040" w:type="dxa"/>
            <w:tcBorders>
              <w:bottom w:val="single" w:color="000000" w:sz="6" w:space="0"/>
            </w:tcBorders>
            <w:vAlign w:val="top"/>
          </w:tcPr>
          <w:p w14:paraId="280E27A3">
            <w:pPr>
              <w:rPr>
                <w:rFonts w:ascii="Arial"/>
                <w:color w:val="auto"/>
                <w:sz w:val="21"/>
                <w:highlight w:val="none"/>
              </w:rPr>
            </w:pPr>
          </w:p>
        </w:tc>
        <w:tc>
          <w:tcPr>
            <w:tcW w:w="1482" w:type="dxa"/>
            <w:tcBorders>
              <w:bottom w:val="single" w:color="000000" w:sz="6" w:space="0"/>
              <w:right w:val="single" w:color="000000" w:sz="6" w:space="0"/>
            </w:tcBorders>
            <w:vAlign w:val="top"/>
          </w:tcPr>
          <w:p w14:paraId="3AC6866C">
            <w:pPr>
              <w:rPr>
                <w:rFonts w:ascii="Arial"/>
                <w:color w:val="auto"/>
                <w:sz w:val="21"/>
                <w:highlight w:val="none"/>
              </w:rPr>
            </w:pPr>
          </w:p>
        </w:tc>
      </w:tr>
    </w:tbl>
    <w:p w14:paraId="507A98A3">
      <w:pPr>
        <w:rPr>
          <w:rFonts w:ascii="Arial"/>
          <w:color w:val="auto"/>
          <w:sz w:val="21"/>
          <w:highlight w:val="none"/>
        </w:rPr>
      </w:pPr>
    </w:p>
    <w:p w14:paraId="103DDF37">
      <w:pPr>
        <w:rPr>
          <w:rFonts w:ascii="Arial" w:hAnsi="Arial" w:eastAsia="Arial" w:cs="Arial"/>
          <w:color w:val="auto"/>
          <w:sz w:val="21"/>
          <w:szCs w:val="21"/>
          <w:highlight w:val="none"/>
        </w:rPr>
        <w:sectPr>
          <w:footerReference r:id="rId67" w:type="default"/>
          <w:pgSz w:w="16839" w:h="11906"/>
          <w:pgMar w:top="1012" w:right="1301" w:bottom="1297" w:left="1300" w:header="0" w:footer="1067" w:gutter="0"/>
          <w:pgNumType w:fmt="decimal"/>
          <w:cols w:space="720" w:num="1"/>
        </w:sectPr>
      </w:pPr>
    </w:p>
    <w:p w14:paraId="431147FA">
      <w:pPr>
        <w:spacing w:line="247" w:lineRule="auto"/>
        <w:rPr>
          <w:rFonts w:ascii="Arial"/>
          <w:color w:val="auto"/>
          <w:sz w:val="21"/>
          <w:highlight w:val="none"/>
        </w:rPr>
      </w:pPr>
    </w:p>
    <w:p w14:paraId="6D7AAC4D">
      <w:pPr>
        <w:spacing w:line="247" w:lineRule="auto"/>
        <w:rPr>
          <w:rFonts w:ascii="Arial"/>
          <w:color w:val="auto"/>
          <w:sz w:val="21"/>
          <w:highlight w:val="none"/>
        </w:rPr>
      </w:pPr>
    </w:p>
    <w:p w14:paraId="61C4F871">
      <w:pPr>
        <w:spacing w:line="248" w:lineRule="auto"/>
        <w:rPr>
          <w:rFonts w:ascii="Arial"/>
          <w:color w:val="auto"/>
          <w:sz w:val="21"/>
          <w:highlight w:val="none"/>
        </w:rPr>
      </w:pPr>
    </w:p>
    <w:p w14:paraId="6582A928">
      <w:pPr>
        <w:spacing w:line="248" w:lineRule="auto"/>
        <w:rPr>
          <w:rFonts w:ascii="Arial"/>
          <w:color w:val="auto"/>
          <w:sz w:val="21"/>
          <w:highlight w:val="none"/>
        </w:rPr>
      </w:pPr>
    </w:p>
    <w:p w14:paraId="271FB906">
      <w:pPr>
        <w:spacing w:before="91" w:line="211" w:lineRule="auto"/>
        <w:ind w:left="491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表</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3"/>
          <w:sz w:val="28"/>
          <w:szCs w:val="28"/>
          <w:highlight w:val="none"/>
        </w:rPr>
        <w:t>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监理工程师交通设施费报价表</w:t>
      </w:r>
    </w:p>
    <w:tbl>
      <w:tblPr>
        <w:tblStyle w:val="22"/>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883"/>
        <w:gridCol w:w="886"/>
        <w:gridCol w:w="884"/>
        <w:gridCol w:w="895"/>
        <w:gridCol w:w="884"/>
        <w:gridCol w:w="887"/>
        <w:gridCol w:w="1600"/>
        <w:gridCol w:w="915"/>
        <w:gridCol w:w="878"/>
        <w:gridCol w:w="821"/>
        <w:gridCol w:w="887"/>
        <w:gridCol w:w="1057"/>
        <w:gridCol w:w="958"/>
        <w:gridCol w:w="1215"/>
      </w:tblGrid>
      <w:tr w14:paraId="4EAA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71" w:type="dxa"/>
            <w:vMerge w:val="restart"/>
            <w:tcBorders>
              <w:top w:val="single" w:color="000000" w:sz="6" w:space="0"/>
              <w:left w:val="single" w:color="000000" w:sz="6" w:space="0"/>
              <w:bottom w:val="nil"/>
            </w:tcBorders>
            <w:vAlign w:val="top"/>
          </w:tcPr>
          <w:p w14:paraId="5E71CC59">
            <w:pPr>
              <w:spacing w:line="266" w:lineRule="auto"/>
              <w:rPr>
                <w:rFonts w:ascii="Arial"/>
                <w:color w:val="auto"/>
                <w:sz w:val="21"/>
                <w:highlight w:val="none"/>
              </w:rPr>
            </w:pPr>
          </w:p>
          <w:p w14:paraId="1746AC03">
            <w:pPr>
              <w:spacing w:line="266" w:lineRule="auto"/>
              <w:rPr>
                <w:rFonts w:ascii="Arial"/>
                <w:color w:val="auto"/>
                <w:sz w:val="21"/>
                <w:highlight w:val="none"/>
              </w:rPr>
            </w:pPr>
          </w:p>
          <w:p w14:paraId="182167DA">
            <w:pPr>
              <w:spacing w:line="267" w:lineRule="auto"/>
              <w:rPr>
                <w:rFonts w:ascii="Arial"/>
                <w:color w:val="auto"/>
                <w:sz w:val="21"/>
                <w:highlight w:val="none"/>
              </w:rPr>
            </w:pPr>
          </w:p>
          <w:p w14:paraId="259E9614">
            <w:pPr>
              <w:pStyle w:val="23"/>
              <w:spacing w:before="65" w:line="229" w:lineRule="auto"/>
              <w:ind w:left="71"/>
              <w:rPr>
                <w:color w:val="auto"/>
                <w:highlight w:val="none"/>
              </w:rPr>
            </w:pPr>
            <w:r>
              <w:rPr>
                <w:color w:val="auto"/>
                <w:spacing w:val="5"/>
                <w:highlight w:val="none"/>
              </w:rPr>
              <w:t>序号</w:t>
            </w:r>
          </w:p>
        </w:tc>
        <w:tc>
          <w:tcPr>
            <w:tcW w:w="6919" w:type="dxa"/>
            <w:gridSpan w:val="7"/>
            <w:tcBorders>
              <w:top w:val="single" w:color="000000" w:sz="6" w:space="0"/>
            </w:tcBorders>
            <w:vAlign w:val="top"/>
          </w:tcPr>
          <w:p w14:paraId="512531E2">
            <w:pPr>
              <w:pStyle w:val="23"/>
              <w:spacing w:before="194" w:line="228" w:lineRule="auto"/>
              <w:ind w:left="3146"/>
              <w:rPr>
                <w:color w:val="auto"/>
                <w:highlight w:val="none"/>
              </w:rPr>
            </w:pPr>
            <w:r>
              <w:rPr>
                <w:color w:val="auto"/>
                <w:spacing w:val="7"/>
                <w:highlight w:val="none"/>
              </w:rPr>
              <w:t>施工期</w:t>
            </w:r>
          </w:p>
        </w:tc>
        <w:tc>
          <w:tcPr>
            <w:tcW w:w="6731" w:type="dxa"/>
            <w:gridSpan w:val="7"/>
            <w:tcBorders>
              <w:top w:val="single" w:color="000000" w:sz="6" w:space="0"/>
              <w:right w:val="single" w:color="000000" w:sz="6" w:space="0"/>
            </w:tcBorders>
            <w:vAlign w:val="top"/>
          </w:tcPr>
          <w:p w14:paraId="7DCBD6CE">
            <w:pPr>
              <w:pStyle w:val="23"/>
              <w:spacing w:before="194" w:line="228" w:lineRule="auto"/>
              <w:ind w:left="2845"/>
              <w:rPr>
                <w:color w:val="auto"/>
                <w:highlight w:val="none"/>
              </w:rPr>
            </w:pPr>
            <w:r>
              <w:rPr>
                <w:color w:val="auto"/>
                <w:spacing w:val="8"/>
                <w:highlight w:val="none"/>
              </w:rPr>
              <w:t>缺陷责任期</w:t>
            </w:r>
          </w:p>
        </w:tc>
      </w:tr>
      <w:tr w14:paraId="5689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71" w:type="dxa"/>
            <w:vMerge w:val="continue"/>
            <w:tcBorders>
              <w:top w:val="nil"/>
              <w:left w:val="single" w:color="000000" w:sz="6" w:space="0"/>
            </w:tcBorders>
            <w:vAlign w:val="top"/>
          </w:tcPr>
          <w:p w14:paraId="0271A49E">
            <w:pPr>
              <w:rPr>
                <w:rFonts w:ascii="Arial"/>
                <w:color w:val="auto"/>
                <w:sz w:val="21"/>
                <w:highlight w:val="none"/>
              </w:rPr>
            </w:pPr>
          </w:p>
        </w:tc>
        <w:tc>
          <w:tcPr>
            <w:tcW w:w="883" w:type="dxa"/>
            <w:vAlign w:val="top"/>
          </w:tcPr>
          <w:p w14:paraId="5642A80E">
            <w:pPr>
              <w:spacing w:line="305" w:lineRule="auto"/>
              <w:rPr>
                <w:rFonts w:ascii="Arial"/>
                <w:color w:val="auto"/>
                <w:sz w:val="21"/>
                <w:highlight w:val="none"/>
              </w:rPr>
            </w:pPr>
          </w:p>
          <w:p w14:paraId="23A2C0D9">
            <w:pPr>
              <w:pStyle w:val="23"/>
              <w:spacing w:before="65" w:line="370" w:lineRule="auto"/>
              <w:ind w:left="237" w:right="131" w:hanging="109"/>
              <w:rPr>
                <w:color w:val="auto"/>
                <w:highlight w:val="none"/>
              </w:rPr>
            </w:pPr>
            <w:r>
              <w:rPr>
                <w:color w:val="auto"/>
                <w:spacing w:val="6"/>
                <w:highlight w:val="none"/>
              </w:rPr>
              <w:t>名称及</w:t>
            </w:r>
            <w:r>
              <w:rPr>
                <w:color w:val="auto"/>
                <w:spacing w:val="1"/>
                <w:highlight w:val="none"/>
              </w:rPr>
              <w:t>型号</w:t>
            </w:r>
          </w:p>
        </w:tc>
        <w:tc>
          <w:tcPr>
            <w:tcW w:w="886" w:type="dxa"/>
            <w:vAlign w:val="top"/>
          </w:tcPr>
          <w:p w14:paraId="32D1FAE2">
            <w:pPr>
              <w:spacing w:line="305" w:lineRule="auto"/>
              <w:rPr>
                <w:rFonts w:ascii="Arial"/>
                <w:color w:val="auto"/>
                <w:sz w:val="21"/>
                <w:highlight w:val="none"/>
              </w:rPr>
            </w:pPr>
          </w:p>
          <w:p w14:paraId="0F2B8B19">
            <w:pPr>
              <w:pStyle w:val="23"/>
              <w:spacing w:before="65" w:line="369" w:lineRule="auto"/>
              <w:ind w:left="268" w:right="236" w:hanging="35"/>
              <w:rPr>
                <w:color w:val="auto"/>
                <w:highlight w:val="none"/>
              </w:rPr>
            </w:pPr>
            <w:r>
              <w:rPr>
                <w:color w:val="auto"/>
                <w:spacing w:val="3"/>
                <w:highlight w:val="none"/>
              </w:rPr>
              <w:t>数量</w:t>
            </w:r>
            <w:r>
              <w:rPr>
                <w:color w:val="auto"/>
                <w:spacing w:val="-8"/>
                <w:highlight w:val="none"/>
              </w:rPr>
              <w:t>(辆)</w:t>
            </w:r>
          </w:p>
        </w:tc>
        <w:tc>
          <w:tcPr>
            <w:tcW w:w="884" w:type="dxa"/>
            <w:vAlign w:val="top"/>
          </w:tcPr>
          <w:p w14:paraId="2F070648">
            <w:pPr>
              <w:spacing w:line="304" w:lineRule="auto"/>
              <w:rPr>
                <w:rFonts w:ascii="Arial"/>
                <w:color w:val="auto"/>
                <w:sz w:val="21"/>
                <w:highlight w:val="none"/>
              </w:rPr>
            </w:pPr>
          </w:p>
          <w:p w14:paraId="00C94810">
            <w:pPr>
              <w:pStyle w:val="23"/>
              <w:spacing w:before="65" w:line="370" w:lineRule="auto"/>
              <w:ind w:left="270" w:right="232" w:hanging="35"/>
              <w:rPr>
                <w:color w:val="auto"/>
                <w:highlight w:val="none"/>
              </w:rPr>
            </w:pPr>
            <w:r>
              <w:rPr>
                <w:color w:val="auto"/>
                <w:spacing w:val="3"/>
                <w:highlight w:val="none"/>
              </w:rPr>
              <w:t>单价</w:t>
            </w:r>
            <w:r>
              <w:rPr>
                <w:color w:val="auto"/>
                <w:spacing w:val="-8"/>
                <w:highlight w:val="none"/>
              </w:rPr>
              <w:t>(元)</w:t>
            </w:r>
          </w:p>
        </w:tc>
        <w:tc>
          <w:tcPr>
            <w:tcW w:w="895" w:type="dxa"/>
            <w:vAlign w:val="top"/>
          </w:tcPr>
          <w:p w14:paraId="381F97BF">
            <w:pPr>
              <w:spacing w:line="251" w:lineRule="auto"/>
              <w:rPr>
                <w:rFonts w:ascii="Arial"/>
                <w:color w:val="auto"/>
                <w:sz w:val="21"/>
                <w:highlight w:val="none"/>
              </w:rPr>
            </w:pPr>
          </w:p>
          <w:p w14:paraId="6E071B5C">
            <w:pPr>
              <w:spacing w:line="252" w:lineRule="auto"/>
              <w:rPr>
                <w:rFonts w:ascii="Arial"/>
                <w:color w:val="auto"/>
                <w:sz w:val="21"/>
                <w:highlight w:val="none"/>
              </w:rPr>
            </w:pPr>
          </w:p>
          <w:p w14:paraId="06DB3F4F">
            <w:pPr>
              <w:pStyle w:val="23"/>
              <w:spacing w:before="65" w:line="226" w:lineRule="auto"/>
              <w:ind w:left="44"/>
              <w:rPr>
                <w:color w:val="auto"/>
                <w:highlight w:val="none"/>
              </w:rPr>
            </w:pPr>
            <w:r>
              <w:rPr>
                <w:color w:val="auto"/>
                <w:spacing w:val="5"/>
                <w:highlight w:val="none"/>
              </w:rPr>
              <w:t>合价(元)</w:t>
            </w:r>
          </w:p>
        </w:tc>
        <w:tc>
          <w:tcPr>
            <w:tcW w:w="884" w:type="dxa"/>
            <w:vAlign w:val="top"/>
          </w:tcPr>
          <w:p w14:paraId="27592A89">
            <w:pPr>
              <w:spacing w:line="304" w:lineRule="auto"/>
              <w:rPr>
                <w:rFonts w:ascii="Arial"/>
                <w:color w:val="auto"/>
                <w:sz w:val="21"/>
                <w:highlight w:val="none"/>
              </w:rPr>
            </w:pPr>
          </w:p>
          <w:p w14:paraId="0A1D5A3B">
            <w:pPr>
              <w:pStyle w:val="23"/>
              <w:spacing w:before="65" w:line="370" w:lineRule="auto"/>
              <w:ind w:left="271" w:right="128" w:hanging="140"/>
              <w:rPr>
                <w:color w:val="auto"/>
                <w:highlight w:val="none"/>
              </w:rPr>
            </w:pPr>
            <w:r>
              <w:rPr>
                <w:color w:val="auto"/>
                <w:spacing w:val="6"/>
                <w:highlight w:val="none"/>
              </w:rPr>
              <w:t>折旧费</w:t>
            </w:r>
            <w:r>
              <w:rPr>
                <w:color w:val="auto"/>
                <w:spacing w:val="-9"/>
                <w:highlight w:val="none"/>
              </w:rPr>
              <w:t>(元)</w:t>
            </w:r>
          </w:p>
        </w:tc>
        <w:tc>
          <w:tcPr>
            <w:tcW w:w="887" w:type="dxa"/>
            <w:vAlign w:val="top"/>
          </w:tcPr>
          <w:p w14:paraId="28B8C930">
            <w:pPr>
              <w:spacing w:line="304" w:lineRule="auto"/>
              <w:rPr>
                <w:rFonts w:ascii="Arial"/>
                <w:color w:val="auto"/>
                <w:sz w:val="21"/>
                <w:highlight w:val="none"/>
              </w:rPr>
            </w:pPr>
          </w:p>
          <w:p w14:paraId="4836A14F">
            <w:pPr>
              <w:pStyle w:val="23"/>
              <w:spacing w:before="65" w:line="370" w:lineRule="auto"/>
              <w:ind w:left="273" w:right="129" w:hanging="141"/>
              <w:rPr>
                <w:color w:val="auto"/>
                <w:highlight w:val="none"/>
              </w:rPr>
            </w:pPr>
            <w:r>
              <w:rPr>
                <w:color w:val="auto"/>
                <w:spacing w:val="6"/>
                <w:highlight w:val="none"/>
              </w:rPr>
              <w:t>使用费</w:t>
            </w:r>
            <w:r>
              <w:rPr>
                <w:color w:val="auto"/>
                <w:spacing w:val="-9"/>
                <w:highlight w:val="none"/>
              </w:rPr>
              <w:t>(元)</w:t>
            </w:r>
          </w:p>
        </w:tc>
        <w:tc>
          <w:tcPr>
            <w:tcW w:w="1600" w:type="dxa"/>
            <w:vAlign w:val="top"/>
          </w:tcPr>
          <w:p w14:paraId="4E2F428D">
            <w:pPr>
              <w:pStyle w:val="23"/>
              <w:spacing w:before="170" w:line="229" w:lineRule="auto"/>
              <w:ind w:left="591"/>
              <w:rPr>
                <w:color w:val="auto"/>
                <w:highlight w:val="none"/>
              </w:rPr>
            </w:pPr>
            <w:r>
              <w:rPr>
                <w:color w:val="auto"/>
                <w:spacing w:val="2"/>
                <w:highlight w:val="none"/>
              </w:rPr>
              <w:t>小计</w:t>
            </w:r>
          </w:p>
          <w:p w14:paraId="7A93C923">
            <w:pPr>
              <w:pStyle w:val="23"/>
              <w:spacing w:before="152" w:line="228" w:lineRule="auto"/>
              <w:ind w:left="167"/>
              <w:rPr>
                <w:color w:val="auto"/>
                <w:highlight w:val="none"/>
              </w:rPr>
            </w:pPr>
            <w:r>
              <w:rPr>
                <w:color w:val="auto"/>
                <w:spacing w:val="7"/>
                <w:highlight w:val="none"/>
              </w:rPr>
              <w:t>折旧及使用费</w:t>
            </w:r>
          </w:p>
          <w:p w14:paraId="1AB1CCFC">
            <w:pPr>
              <w:pStyle w:val="23"/>
              <w:spacing w:before="154" w:line="211" w:lineRule="auto"/>
              <w:ind w:left="622"/>
              <w:rPr>
                <w:color w:val="auto"/>
                <w:highlight w:val="none"/>
              </w:rPr>
            </w:pPr>
            <w:r>
              <w:rPr>
                <w:color w:val="auto"/>
                <w:spacing w:val="-9"/>
                <w:highlight w:val="none"/>
              </w:rPr>
              <w:t>(元)</w:t>
            </w:r>
          </w:p>
        </w:tc>
        <w:tc>
          <w:tcPr>
            <w:tcW w:w="915" w:type="dxa"/>
            <w:vAlign w:val="top"/>
          </w:tcPr>
          <w:p w14:paraId="642E4323">
            <w:pPr>
              <w:spacing w:line="305" w:lineRule="auto"/>
              <w:rPr>
                <w:rFonts w:ascii="Arial"/>
                <w:color w:val="auto"/>
                <w:sz w:val="21"/>
                <w:highlight w:val="none"/>
              </w:rPr>
            </w:pPr>
          </w:p>
          <w:p w14:paraId="5A5BFD56">
            <w:pPr>
              <w:pStyle w:val="23"/>
              <w:spacing w:before="65" w:line="370" w:lineRule="auto"/>
              <w:ind w:left="261" w:right="139" w:hanging="109"/>
              <w:rPr>
                <w:color w:val="auto"/>
                <w:highlight w:val="none"/>
              </w:rPr>
            </w:pPr>
            <w:r>
              <w:rPr>
                <w:color w:val="auto"/>
                <w:spacing w:val="6"/>
                <w:highlight w:val="none"/>
              </w:rPr>
              <w:t>名称及</w:t>
            </w:r>
            <w:r>
              <w:rPr>
                <w:color w:val="auto"/>
                <w:spacing w:val="1"/>
                <w:highlight w:val="none"/>
              </w:rPr>
              <w:t>型号</w:t>
            </w:r>
          </w:p>
        </w:tc>
        <w:tc>
          <w:tcPr>
            <w:tcW w:w="878" w:type="dxa"/>
            <w:vAlign w:val="top"/>
          </w:tcPr>
          <w:p w14:paraId="3BEF748D">
            <w:pPr>
              <w:spacing w:line="305" w:lineRule="auto"/>
              <w:rPr>
                <w:rFonts w:ascii="Arial"/>
                <w:color w:val="auto"/>
                <w:sz w:val="21"/>
                <w:highlight w:val="none"/>
              </w:rPr>
            </w:pPr>
          </w:p>
          <w:p w14:paraId="607A19B5">
            <w:pPr>
              <w:pStyle w:val="23"/>
              <w:spacing w:before="65" w:line="369" w:lineRule="auto"/>
              <w:ind w:left="272" w:right="223" w:hanging="35"/>
              <w:rPr>
                <w:color w:val="auto"/>
                <w:highlight w:val="none"/>
              </w:rPr>
            </w:pPr>
            <w:r>
              <w:rPr>
                <w:color w:val="auto"/>
                <w:spacing w:val="3"/>
                <w:highlight w:val="none"/>
              </w:rPr>
              <w:t>数量</w:t>
            </w:r>
            <w:r>
              <w:rPr>
                <w:color w:val="auto"/>
                <w:spacing w:val="-8"/>
                <w:highlight w:val="none"/>
              </w:rPr>
              <w:t>(辆)</w:t>
            </w:r>
          </w:p>
        </w:tc>
        <w:tc>
          <w:tcPr>
            <w:tcW w:w="821" w:type="dxa"/>
            <w:vAlign w:val="top"/>
          </w:tcPr>
          <w:p w14:paraId="73E94468">
            <w:pPr>
              <w:spacing w:line="304" w:lineRule="auto"/>
              <w:rPr>
                <w:rFonts w:ascii="Arial"/>
                <w:color w:val="auto"/>
                <w:sz w:val="21"/>
                <w:highlight w:val="none"/>
              </w:rPr>
            </w:pPr>
          </w:p>
          <w:p w14:paraId="782798C3">
            <w:pPr>
              <w:pStyle w:val="23"/>
              <w:spacing w:before="65" w:line="370" w:lineRule="auto"/>
              <w:ind w:left="249" w:right="192" w:hanging="35"/>
              <w:rPr>
                <w:color w:val="auto"/>
                <w:highlight w:val="none"/>
              </w:rPr>
            </w:pPr>
            <w:r>
              <w:rPr>
                <w:color w:val="auto"/>
                <w:spacing w:val="3"/>
                <w:highlight w:val="none"/>
              </w:rPr>
              <w:t>单价</w:t>
            </w:r>
            <w:r>
              <w:rPr>
                <w:color w:val="auto"/>
                <w:spacing w:val="-9"/>
                <w:highlight w:val="none"/>
              </w:rPr>
              <w:t>(元)</w:t>
            </w:r>
          </w:p>
        </w:tc>
        <w:tc>
          <w:tcPr>
            <w:tcW w:w="887" w:type="dxa"/>
            <w:vAlign w:val="top"/>
          </w:tcPr>
          <w:p w14:paraId="20E78777">
            <w:pPr>
              <w:spacing w:line="304" w:lineRule="auto"/>
              <w:rPr>
                <w:rFonts w:ascii="Arial"/>
                <w:color w:val="auto"/>
                <w:sz w:val="21"/>
                <w:highlight w:val="none"/>
              </w:rPr>
            </w:pPr>
          </w:p>
          <w:p w14:paraId="0D722428">
            <w:pPr>
              <w:pStyle w:val="23"/>
              <w:spacing w:before="65" w:line="370" w:lineRule="auto"/>
              <w:ind w:left="293" w:right="213" w:hanging="35"/>
              <w:rPr>
                <w:color w:val="auto"/>
                <w:highlight w:val="none"/>
              </w:rPr>
            </w:pPr>
            <w:r>
              <w:rPr>
                <w:color w:val="auto"/>
                <w:spacing w:val="4"/>
                <w:highlight w:val="none"/>
              </w:rPr>
              <w:t>合价</w:t>
            </w:r>
            <w:r>
              <w:rPr>
                <w:color w:val="auto"/>
                <w:spacing w:val="-9"/>
                <w:highlight w:val="none"/>
              </w:rPr>
              <w:t>(元)</w:t>
            </w:r>
          </w:p>
        </w:tc>
        <w:tc>
          <w:tcPr>
            <w:tcW w:w="1057" w:type="dxa"/>
            <w:vAlign w:val="top"/>
          </w:tcPr>
          <w:p w14:paraId="68F464EF">
            <w:pPr>
              <w:spacing w:line="304" w:lineRule="auto"/>
              <w:rPr>
                <w:rFonts w:ascii="Arial"/>
                <w:color w:val="auto"/>
                <w:sz w:val="21"/>
                <w:highlight w:val="none"/>
              </w:rPr>
            </w:pPr>
          </w:p>
          <w:p w14:paraId="5649FAE1">
            <w:pPr>
              <w:pStyle w:val="23"/>
              <w:spacing w:before="65" w:line="370" w:lineRule="auto"/>
              <w:ind w:left="366" w:right="206" w:hanging="140"/>
              <w:rPr>
                <w:color w:val="auto"/>
                <w:highlight w:val="none"/>
              </w:rPr>
            </w:pPr>
            <w:r>
              <w:rPr>
                <w:color w:val="auto"/>
                <w:spacing w:val="6"/>
                <w:highlight w:val="none"/>
              </w:rPr>
              <w:t>折旧费</w:t>
            </w:r>
            <w:r>
              <w:rPr>
                <w:color w:val="auto"/>
                <w:spacing w:val="-9"/>
                <w:highlight w:val="none"/>
              </w:rPr>
              <w:t>(元)</w:t>
            </w:r>
          </w:p>
        </w:tc>
        <w:tc>
          <w:tcPr>
            <w:tcW w:w="958" w:type="dxa"/>
            <w:vAlign w:val="top"/>
          </w:tcPr>
          <w:p w14:paraId="50A93F04">
            <w:pPr>
              <w:spacing w:line="304" w:lineRule="auto"/>
              <w:rPr>
                <w:rFonts w:ascii="Arial"/>
                <w:color w:val="auto"/>
                <w:sz w:val="21"/>
                <w:highlight w:val="none"/>
              </w:rPr>
            </w:pPr>
          </w:p>
          <w:p w14:paraId="3CEAB461">
            <w:pPr>
              <w:pStyle w:val="23"/>
              <w:spacing w:before="65" w:line="370" w:lineRule="auto"/>
              <w:ind w:left="317" w:right="156" w:hanging="141"/>
              <w:rPr>
                <w:color w:val="auto"/>
                <w:highlight w:val="none"/>
              </w:rPr>
            </w:pPr>
            <w:r>
              <w:rPr>
                <w:color w:val="auto"/>
                <w:spacing w:val="6"/>
                <w:highlight w:val="none"/>
              </w:rPr>
              <w:t>使用费</w:t>
            </w:r>
            <w:r>
              <w:rPr>
                <w:color w:val="auto"/>
                <w:spacing w:val="-9"/>
                <w:highlight w:val="none"/>
              </w:rPr>
              <w:t>(元)</w:t>
            </w:r>
          </w:p>
        </w:tc>
        <w:tc>
          <w:tcPr>
            <w:tcW w:w="1215" w:type="dxa"/>
            <w:tcBorders>
              <w:right w:val="single" w:color="000000" w:sz="6" w:space="0"/>
            </w:tcBorders>
            <w:vAlign w:val="top"/>
          </w:tcPr>
          <w:p w14:paraId="6334B005">
            <w:pPr>
              <w:pStyle w:val="23"/>
              <w:spacing w:before="170" w:line="229" w:lineRule="auto"/>
              <w:ind w:left="402"/>
              <w:rPr>
                <w:color w:val="auto"/>
                <w:highlight w:val="none"/>
              </w:rPr>
            </w:pPr>
            <w:r>
              <w:rPr>
                <w:color w:val="auto"/>
                <w:spacing w:val="2"/>
                <w:highlight w:val="none"/>
              </w:rPr>
              <w:t>小计</w:t>
            </w:r>
          </w:p>
          <w:p w14:paraId="7ACB06FB">
            <w:pPr>
              <w:pStyle w:val="23"/>
              <w:spacing w:before="153" w:line="290" w:lineRule="auto"/>
              <w:ind w:left="301" w:right="82" w:hanging="218"/>
              <w:rPr>
                <w:color w:val="auto"/>
                <w:highlight w:val="none"/>
              </w:rPr>
            </w:pPr>
            <w:r>
              <w:rPr>
                <w:color w:val="auto"/>
                <w:spacing w:val="7"/>
                <w:highlight w:val="none"/>
              </w:rPr>
              <w:t>折旧及使用</w:t>
            </w:r>
            <w:r>
              <w:rPr>
                <w:color w:val="auto"/>
                <w:spacing w:val="2"/>
                <w:highlight w:val="none"/>
              </w:rPr>
              <w:t>费(元)</w:t>
            </w:r>
          </w:p>
        </w:tc>
      </w:tr>
      <w:tr w14:paraId="3C89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480C199F">
            <w:pPr>
              <w:pStyle w:val="23"/>
              <w:spacing w:before="284" w:line="270" w:lineRule="exact"/>
              <w:ind w:left="244"/>
              <w:rPr>
                <w:color w:val="auto"/>
                <w:highlight w:val="none"/>
              </w:rPr>
            </w:pPr>
            <w:r>
              <w:rPr>
                <w:color w:val="auto"/>
                <w:position w:val="1"/>
                <w:highlight w:val="none"/>
              </w:rPr>
              <w:t>1</w:t>
            </w:r>
          </w:p>
        </w:tc>
        <w:tc>
          <w:tcPr>
            <w:tcW w:w="883" w:type="dxa"/>
            <w:vAlign w:val="top"/>
          </w:tcPr>
          <w:p w14:paraId="24EC8827">
            <w:pPr>
              <w:rPr>
                <w:rFonts w:ascii="Arial"/>
                <w:color w:val="auto"/>
                <w:sz w:val="21"/>
                <w:highlight w:val="none"/>
              </w:rPr>
            </w:pPr>
          </w:p>
        </w:tc>
        <w:tc>
          <w:tcPr>
            <w:tcW w:w="886" w:type="dxa"/>
            <w:vAlign w:val="top"/>
          </w:tcPr>
          <w:p w14:paraId="6392CC57">
            <w:pPr>
              <w:rPr>
                <w:rFonts w:ascii="Arial"/>
                <w:color w:val="auto"/>
                <w:sz w:val="21"/>
                <w:highlight w:val="none"/>
              </w:rPr>
            </w:pPr>
          </w:p>
        </w:tc>
        <w:tc>
          <w:tcPr>
            <w:tcW w:w="884" w:type="dxa"/>
            <w:vAlign w:val="top"/>
          </w:tcPr>
          <w:p w14:paraId="34B83EE9">
            <w:pPr>
              <w:rPr>
                <w:rFonts w:ascii="Arial"/>
                <w:color w:val="auto"/>
                <w:sz w:val="21"/>
                <w:highlight w:val="none"/>
              </w:rPr>
            </w:pPr>
          </w:p>
        </w:tc>
        <w:tc>
          <w:tcPr>
            <w:tcW w:w="895" w:type="dxa"/>
            <w:vAlign w:val="top"/>
          </w:tcPr>
          <w:p w14:paraId="1BC4F0C0">
            <w:pPr>
              <w:rPr>
                <w:rFonts w:ascii="Arial"/>
                <w:color w:val="auto"/>
                <w:sz w:val="21"/>
                <w:highlight w:val="none"/>
              </w:rPr>
            </w:pPr>
          </w:p>
        </w:tc>
        <w:tc>
          <w:tcPr>
            <w:tcW w:w="884" w:type="dxa"/>
            <w:vAlign w:val="top"/>
          </w:tcPr>
          <w:p w14:paraId="381D1AB3">
            <w:pPr>
              <w:rPr>
                <w:rFonts w:ascii="Arial"/>
                <w:color w:val="auto"/>
                <w:sz w:val="21"/>
                <w:highlight w:val="none"/>
              </w:rPr>
            </w:pPr>
          </w:p>
        </w:tc>
        <w:tc>
          <w:tcPr>
            <w:tcW w:w="887" w:type="dxa"/>
            <w:vAlign w:val="top"/>
          </w:tcPr>
          <w:p w14:paraId="1C3474C4">
            <w:pPr>
              <w:rPr>
                <w:rFonts w:ascii="Arial"/>
                <w:color w:val="auto"/>
                <w:sz w:val="21"/>
                <w:highlight w:val="none"/>
              </w:rPr>
            </w:pPr>
          </w:p>
        </w:tc>
        <w:tc>
          <w:tcPr>
            <w:tcW w:w="1600" w:type="dxa"/>
            <w:vAlign w:val="top"/>
          </w:tcPr>
          <w:p w14:paraId="08803521">
            <w:pPr>
              <w:rPr>
                <w:rFonts w:ascii="Arial"/>
                <w:color w:val="auto"/>
                <w:sz w:val="21"/>
                <w:highlight w:val="none"/>
              </w:rPr>
            </w:pPr>
          </w:p>
        </w:tc>
        <w:tc>
          <w:tcPr>
            <w:tcW w:w="915" w:type="dxa"/>
            <w:vAlign w:val="top"/>
          </w:tcPr>
          <w:p w14:paraId="5FD48E94">
            <w:pPr>
              <w:rPr>
                <w:rFonts w:ascii="Arial"/>
                <w:color w:val="auto"/>
                <w:sz w:val="21"/>
                <w:highlight w:val="none"/>
              </w:rPr>
            </w:pPr>
          </w:p>
        </w:tc>
        <w:tc>
          <w:tcPr>
            <w:tcW w:w="878" w:type="dxa"/>
            <w:vAlign w:val="top"/>
          </w:tcPr>
          <w:p w14:paraId="0AA2C4E6">
            <w:pPr>
              <w:rPr>
                <w:rFonts w:ascii="Arial"/>
                <w:color w:val="auto"/>
                <w:sz w:val="21"/>
                <w:highlight w:val="none"/>
              </w:rPr>
            </w:pPr>
          </w:p>
        </w:tc>
        <w:tc>
          <w:tcPr>
            <w:tcW w:w="821" w:type="dxa"/>
            <w:vAlign w:val="top"/>
          </w:tcPr>
          <w:p w14:paraId="20D153C5">
            <w:pPr>
              <w:rPr>
                <w:rFonts w:ascii="Arial"/>
                <w:color w:val="auto"/>
                <w:sz w:val="21"/>
                <w:highlight w:val="none"/>
              </w:rPr>
            </w:pPr>
          </w:p>
        </w:tc>
        <w:tc>
          <w:tcPr>
            <w:tcW w:w="887" w:type="dxa"/>
            <w:vAlign w:val="top"/>
          </w:tcPr>
          <w:p w14:paraId="5F79A288">
            <w:pPr>
              <w:rPr>
                <w:rFonts w:ascii="Arial"/>
                <w:color w:val="auto"/>
                <w:sz w:val="21"/>
                <w:highlight w:val="none"/>
              </w:rPr>
            </w:pPr>
          </w:p>
        </w:tc>
        <w:tc>
          <w:tcPr>
            <w:tcW w:w="1057" w:type="dxa"/>
            <w:vAlign w:val="top"/>
          </w:tcPr>
          <w:p w14:paraId="143B3BD5">
            <w:pPr>
              <w:rPr>
                <w:rFonts w:ascii="Arial"/>
                <w:color w:val="auto"/>
                <w:sz w:val="21"/>
                <w:highlight w:val="none"/>
              </w:rPr>
            </w:pPr>
          </w:p>
        </w:tc>
        <w:tc>
          <w:tcPr>
            <w:tcW w:w="958" w:type="dxa"/>
            <w:vAlign w:val="top"/>
          </w:tcPr>
          <w:p w14:paraId="001E35BA">
            <w:pPr>
              <w:rPr>
                <w:rFonts w:ascii="Arial"/>
                <w:color w:val="auto"/>
                <w:sz w:val="21"/>
                <w:highlight w:val="none"/>
              </w:rPr>
            </w:pPr>
          </w:p>
        </w:tc>
        <w:tc>
          <w:tcPr>
            <w:tcW w:w="1215" w:type="dxa"/>
            <w:tcBorders>
              <w:right w:val="single" w:color="000000" w:sz="6" w:space="0"/>
            </w:tcBorders>
            <w:vAlign w:val="top"/>
          </w:tcPr>
          <w:p w14:paraId="10C0F837">
            <w:pPr>
              <w:rPr>
                <w:rFonts w:ascii="Arial"/>
                <w:color w:val="auto"/>
                <w:sz w:val="21"/>
                <w:highlight w:val="none"/>
              </w:rPr>
            </w:pPr>
          </w:p>
        </w:tc>
      </w:tr>
      <w:tr w14:paraId="2D3A3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098C7719">
            <w:pPr>
              <w:pStyle w:val="23"/>
              <w:spacing w:before="286" w:line="270" w:lineRule="exact"/>
              <w:ind w:left="231"/>
              <w:rPr>
                <w:color w:val="auto"/>
                <w:highlight w:val="none"/>
              </w:rPr>
            </w:pPr>
            <w:r>
              <w:rPr>
                <w:color w:val="auto"/>
                <w:position w:val="1"/>
                <w:highlight w:val="none"/>
              </w:rPr>
              <w:t>2</w:t>
            </w:r>
          </w:p>
        </w:tc>
        <w:tc>
          <w:tcPr>
            <w:tcW w:w="883" w:type="dxa"/>
            <w:vAlign w:val="top"/>
          </w:tcPr>
          <w:p w14:paraId="2A517FE9">
            <w:pPr>
              <w:rPr>
                <w:rFonts w:ascii="Arial"/>
                <w:color w:val="auto"/>
                <w:sz w:val="21"/>
                <w:highlight w:val="none"/>
              </w:rPr>
            </w:pPr>
          </w:p>
        </w:tc>
        <w:tc>
          <w:tcPr>
            <w:tcW w:w="886" w:type="dxa"/>
            <w:vAlign w:val="top"/>
          </w:tcPr>
          <w:p w14:paraId="607805C7">
            <w:pPr>
              <w:rPr>
                <w:rFonts w:ascii="Arial"/>
                <w:color w:val="auto"/>
                <w:sz w:val="21"/>
                <w:highlight w:val="none"/>
              </w:rPr>
            </w:pPr>
          </w:p>
        </w:tc>
        <w:tc>
          <w:tcPr>
            <w:tcW w:w="884" w:type="dxa"/>
            <w:vAlign w:val="top"/>
          </w:tcPr>
          <w:p w14:paraId="079A5CE3">
            <w:pPr>
              <w:rPr>
                <w:rFonts w:ascii="Arial"/>
                <w:color w:val="auto"/>
                <w:sz w:val="21"/>
                <w:highlight w:val="none"/>
              </w:rPr>
            </w:pPr>
          </w:p>
        </w:tc>
        <w:tc>
          <w:tcPr>
            <w:tcW w:w="895" w:type="dxa"/>
            <w:vAlign w:val="top"/>
          </w:tcPr>
          <w:p w14:paraId="4D4D461C">
            <w:pPr>
              <w:rPr>
                <w:rFonts w:ascii="Arial"/>
                <w:color w:val="auto"/>
                <w:sz w:val="21"/>
                <w:highlight w:val="none"/>
              </w:rPr>
            </w:pPr>
          </w:p>
        </w:tc>
        <w:tc>
          <w:tcPr>
            <w:tcW w:w="884" w:type="dxa"/>
            <w:vAlign w:val="top"/>
          </w:tcPr>
          <w:p w14:paraId="599647D9">
            <w:pPr>
              <w:rPr>
                <w:rFonts w:ascii="Arial"/>
                <w:color w:val="auto"/>
                <w:sz w:val="21"/>
                <w:highlight w:val="none"/>
              </w:rPr>
            </w:pPr>
          </w:p>
        </w:tc>
        <w:tc>
          <w:tcPr>
            <w:tcW w:w="887" w:type="dxa"/>
            <w:vAlign w:val="top"/>
          </w:tcPr>
          <w:p w14:paraId="3F0D0BCF">
            <w:pPr>
              <w:rPr>
                <w:rFonts w:ascii="Arial"/>
                <w:color w:val="auto"/>
                <w:sz w:val="21"/>
                <w:highlight w:val="none"/>
              </w:rPr>
            </w:pPr>
          </w:p>
        </w:tc>
        <w:tc>
          <w:tcPr>
            <w:tcW w:w="1600" w:type="dxa"/>
            <w:vAlign w:val="top"/>
          </w:tcPr>
          <w:p w14:paraId="6678A7CE">
            <w:pPr>
              <w:rPr>
                <w:rFonts w:ascii="Arial"/>
                <w:color w:val="auto"/>
                <w:sz w:val="21"/>
                <w:highlight w:val="none"/>
              </w:rPr>
            </w:pPr>
          </w:p>
        </w:tc>
        <w:tc>
          <w:tcPr>
            <w:tcW w:w="915" w:type="dxa"/>
            <w:vAlign w:val="top"/>
          </w:tcPr>
          <w:p w14:paraId="0E8F5F3B">
            <w:pPr>
              <w:rPr>
                <w:rFonts w:ascii="Arial"/>
                <w:color w:val="auto"/>
                <w:sz w:val="21"/>
                <w:highlight w:val="none"/>
              </w:rPr>
            </w:pPr>
          </w:p>
        </w:tc>
        <w:tc>
          <w:tcPr>
            <w:tcW w:w="878" w:type="dxa"/>
            <w:vAlign w:val="top"/>
          </w:tcPr>
          <w:p w14:paraId="261F9ABA">
            <w:pPr>
              <w:rPr>
                <w:rFonts w:ascii="Arial"/>
                <w:color w:val="auto"/>
                <w:sz w:val="21"/>
                <w:highlight w:val="none"/>
              </w:rPr>
            </w:pPr>
          </w:p>
        </w:tc>
        <w:tc>
          <w:tcPr>
            <w:tcW w:w="821" w:type="dxa"/>
            <w:vAlign w:val="top"/>
          </w:tcPr>
          <w:p w14:paraId="5F552972">
            <w:pPr>
              <w:rPr>
                <w:rFonts w:ascii="Arial"/>
                <w:color w:val="auto"/>
                <w:sz w:val="21"/>
                <w:highlight w:val="none"/>
              </w:rPr>
            </w:pPr>
          </w:p>
        </w:tc>
        <w:tc>
          <w:tcPr>
            <w:tcW w:w="887" w:type="dxa"/>
            <w:vAlign w:val="top"/>
          </w:tcPr>
          <w:p w14:paraId="717324DF">
            <w:pPr>
              <w:rPr>
                <w:rFonts w:ascii="Arial"/>
                <w:color w:val="auto"/>
                <w:sz w:val="21"/>
                <w:highlight w:val="none"/>
              </w:rPr>
            </w:pPr>
          </w:p>
        </w:tc>
        <w:tc>
          <w:tcPr>
            <w:tcW w:w="1057" w:type="dxa"/>
            <w:vAlign w:val="top"/>
          </w:tcPr>
          <w:p w14:paraId="29DA98FE">
            <w:pPr>
              <w:rPr>
                <w:rFonts w:ascii="Arial"/>
                <w:color w:val="auto"/>
                <w:sz w:val="21"/>
                <w:highlight w:val="none"/>
              </w:rPr>
            </w:pPr>
          </w:p>
        </w:tc>
        <w:tc>
          <w:tcPr>
            <w:tcW w:w="958" w:type="dxa"/>
            <w:vAlign w:val="top"/>
          </w:tcPr>
          <w:p w14:paraId="7033D03C">
            <w:pPr>
              <w:rPr>
                <w:rFonts w:ascii="Arial"/>
                <w:color w:val="auto"/>
                <w:sz w:val="21"/>
                <w:highlight w:val="none"/>
              </w:rPr>
            </w:pPr>
          </w:p>
        </w:tc>
        <w:tc>
          <w:tcPr>
            <w:tcW w:w="1215" w:type="dxa"/>
            <w:tcBorders>
              <w:right w:val="single" w:color="000000" w:sz="6" w:space="0"/>
            </w:tcBorders>
            <w:vAlign w:val="top"/>
          </w:tcPr>
          <w:p w14:paraId="7FD7F3D4">
            <w:pPr>
              <w:rPr>
                <w:rFonts w:ascii="Arial"/>
                <w:color w:val="auto"/>
                <w:sz w:val="21"/>
                <w:highlight w:val="none"/>
              </w:rPr>
            </w:pPr>
          </w:p>
        </w:tc>
      </w:tr>
      <w:tr w14:paraId="0D3BC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3C4D35FE">
            <w:pPr>
              <w:pStyle w:val="23"/>
              <w:spacing w:before="289" w:line="268" w:lineRule="exact"/>
              <w:ind w:left="232"/>
              <w:rPr>
                <w:color w:val="auto"/>
                <w:highlight w:val="none"/>
              </w:rPr>
            </w:pPr>
            <w:r>
              <w:rPr>
                <w:color w:val="auto"/>
                <w:position w:val="1"/>
                <w:highlight w:val="none"/>
              </w:rPr>
              <w:t>3</w:t>
            </w:r>
          </w:p>
        </w:tc>
        <w:tc>
          <w:tcPr>
            <w:tcW w:w="883" w:type="dxa"/>
            <w:vAlign w:val="top"/>
          </w:tcPr>
          <w:p w14:paraId="70DD6688">
            <w:pPr>
              <w:rPr>
                <w:rFonts w:ascii="Arial"/>
                <w:color w:val="auto"/>
                <w:sz w:val="21"/>
                <w:highlight w:val="none"/>
              </w:rPr>
            </w:pPr>
          </w:p>
        </w:tc>
        <w:tc>
          <w:tcPr>
            <w:tcW w:w="886" w:type="dxa"/>
            <w:vAlign w:val="top"/>
          </w:tcPr>
          <w:p w14:paraId="3ECFD8BF">
            <w:pPr>
              <w:rPr>
                <w:rFonts w:ascii="Arial"/>
                <w:color w:val="auto"/>
                <w:sz w:val="21"/>
                <w:highlight w:val="none"/>
              </w:rPr>
            </w:pPr>
          </w:p>
        </w:tc>
        <w:tc>
          <w:tcPr>
            <w:tcW w:w="884" w:type="dxa"/>
            <w:vAlign w:val="top"/>
          </w:tcPr>
          <w:p w14:paraId="64445459">
            <w:pPr>
              <w:rPr>
                <w:rFonts w:ascii="Arial"/>
                <w:color w:val="auto"/>
                <w:sz w:val="21"/>
                <w:highlight w:val="none"/>
              </w:rPr>
            </w:pPr>
          </w:p>
        </w:tc>
        <w:tc>
          <w:tcPr>
            <w:tcW w:w="895" w:type="dxa"/>
            <w:vAlign w:val="top"/>
          </w:tcPr>
          <w:p w14:paraId="6FC1719F">
            <w:pPr>
              <w:rPr>
                <w:rFonts w:ascii="Arial"/>
                <w:color w:val="auto"/>
                <w:sz w:val="21"/>
                <w:highlight w:val="none"/>
              </w:rPr>
            </w:pPr>
          </w:p>
        </w:tc>
        <w:tc>
          <w:tcPr>
            <w:tcW w:w="884" w:type="dxa"/>
            <w:vAlign w:val="top"/>
          </w:tcPr>
          <w:p w14:paraId="79FBB143">
            <w:pPr>
              <w:rPr>
                <w:rFonts w:ascii="Arial"/>
                <w:color w:val="auto"/>
                <w:sz w:val="21"/>
                <w:highlight w:val="none"/>
              </w:rPr>
            </w:pPr>
          </w:p>
        </w:tc>
        <w:tc>
          <w:tcPr>
            <w:tcW w:w="887" w:type="dxa"/>
            <w:vAlign w:val="top"/>
          </w:tcPr>
          <w:p w14:paraId="2BD65A4E">
            <w:pPr>
              <w:rPr>
                <w:rFonts w:ascii="Arial"/>
                <w:color w:val="auto"/>
                <w:sz w:val="21"/>
                <w:highlight w:val="none"/>
              </w:rPr>
            </w:pPr>
          </w:p>
        </w:tc>
        <w:tc>
          <w:tcPr>
            <w:tcW w:w="1600" w:type="dxa"/>
            <w:vAlign w:val="top"/>
          </w:tcPr>
          <w:p w14:paraId="0FB3BB84">
            <w:pPr>
              <w:rPr>
                <w:rFonts w:ascii="Arial"/>
                <w:color w:val="auto"/>
                <w:sz w:val="21"/>
                <w:highlight w:val="none"/>
              </w:rPr>
            </w:pPr>
          </w:p>
        </w:tc>
        <w:tc>
          <w:tcPr>
            <w:tcW w:w="915" w:type="dxa"/>
            <w:vAlign w:val="top"/>
          </w:tcPr>
          <w:p w14:paraId="17D9E3AD">
            <w:pPr>
              <w:rPr>
                <w:rFonts w:ascii="Arial"/>
                <w:color w:val="auto"/>
                <w:sz w:val="21"/>
                <w:highlight w:val="none"/>
              </w:rPr>
            </w:pPr>
          </w:p>
        </w:tc>
        <w:tc>
          <w:tcPr>
            <w:tcW w:w="878" w:type="dxa"/>
            <w:vAlign w:val="top"/>
          </w:tcPr>
          <w:p w14:paraId="502862D9">
            <w:pPr>
              <w:rPr>
                <w:rFonts w:ascii="Arial"/>
                <w:color w:val="auto"/>
                <w:sz w:val="21"/>
                <w:highlight w:val="none"/>
              </w:rPr>
            </w:pPr>
          </w:p>
        </w:tc>
        <w:tc>
          <w:tcPr>
            <w:tcW w:w="821" w:type="dxa"/>
            <w:vAlign w:val="top"/>
          </w:tcPr>
          <w:p w14:paraId="18A22402">
            <w:pPr>
              <w:rPr>
                <w:rFonts w:ascii="Arial"/>
                <w:color w:val="auto"/>
                <w:sz w:val="21"/>
                <w:highlight w:val="none"/>
              </w:rPr>
            </w:pPr>
          </w:p>
        </w:tc>
        <w:tc>
          <w:tcPr>
            <w:tcW w:w="887" w:type="dxa"/>
            <w:vAlign w:val="top"/>
          </w:tcPr>
          <w:p w14:paraId="3442E2FF">
            <w:pPr>
              <w:rPr>
                <w:rFonts w:ascii="Arial"/>
                <w:color w:val="auto"/>
                <w:sz w:val="21"/>
                <w:highlight w:val="none"/>
              </w:rPr>
            </w:pPr>
          </w:p>
        </w:tc>
        <w:tc>
          <w:tcPr>
            <w:tcW w:w="1057" w:type="dxa"/>
            <w:vAlign w:val="top"/>
          </w:tcPr>
          <w:p w14:paraId="68B1266F">
            <w:pPr>
              <w:rPr>
                <w:rFonts w:ascii="Arial"/>
                <w:color w:val="auto"/>
                <w:sz w:val="21"/>
                <w:highlight w:val="none"/>
              </w:rPr>
            </w:pPr>
          </w:p>
        </w:tc>
        <w:tc>
          <w:tcPr>
            <w:tcW w:w="958" w:type="dxa"/>
            <w:vAlign w:val="top"/>
          </w:tcPr>
          <w:p w14:paraId="2DCAB170">
            <w:pPr>
              <w:rPr>
                <w:rFonts w:ascii="Arial"/>
                <w:color w:val="auto"/>
                <w:sz w:val="21"/>
                <w:highlight w:val="none"/>
              </w:rPr>
            </w:pPr>
          </w:p>
        </w:tc>
        <w:tc>
          <w:tcPr>
            <w:tcW w:w="1215" w:type="dxa"/>
            <w:tcBorders>
              <w:right w:val="single" w:color="000000" w:sz="6" w:space="0"/>
            </w:tcBorders>
            <w:vAlign w:val="top"/>
          </w:tcPr>
          <w:p w14:paraId="7817B16E">
            <w:pPr>
              <w:rPr>
                <w:rFonts w:ascii="Arial"/>
                <w:color w:val="auto"/>
                <w:sz w:val="21"/>
                <w:highlight w:val="none"/>
              </w:rPr>
            </w:pPr>
          </w:p>
        </w:tc>
      </w:tr>
      <w:tr w14:paraId="581A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242377F4">
            <w:pPr>
              <w:pStyle w:val="23"/>
              <w:spacing w:before="291" w:line="324" w:lineRule="exact"/>
              <w:ind w:left="189"/>
              <w:rPr>
                <w:color w:val="auto"/>
                <w:highlight w:val="none"/>
              </w:rPr>
            </w:pPr>
            <w:r>
              <w:rPr>
                <w:color w:val="auto"/>
                <w:position w:val="2"/>
                <w:highlight w:val="none"/>
              </w:rPr>
              <w:t>…</w:t>
            </w:r>
          </w:p>
        </w:tc>
        <w:tc>
          <w:tcPr>
            <w:tcW w:w="883" w:type="dxa"/>
            <w:vAlign w:val="top"/>
          </w:tcPr>
          <w:p w14:paraId="788AEF90">
            <w:pPr>
              <w:rPr>
                <w:rFonts w:ascii="Arial"/>
                <w:color w:val="auto"/>
                <w:sz w:val="21"/>
                <w:highlight w:val="none"/>
              </w:rPr>
            </w:pPr>
          </w:p>
        </w:tc>
        <w:tc>
          <w:tcPr>
            <w:tcW w:w="886" w:type="dxa"/>
            <w:vAlign w:val="top"/>
          </w:tcPr>
          <w:p w14:paraId="25F56E67">
            <w:pPr>
              <w:rPr>
                <w:rFonts w:ascii="Arial"/>
                <w:color w:val="auto"/>
                <w:sz w:val="21"/>
                <w:highlight w:val="none"/>
              </w:rPr>
            </w:pPr>
          </w:p>
        </w:tc>
        <w:tc>
          <w:tcPr>
            <w:tcW w:w="884" w:type="dxa"/>
            <w:vAlign w:val="top"/>
          </w:tcPr>
          <w:p w14:paraId="382805B8">
            <w:pPr>
              <w:rPr>
                <w:rFonts w:ascii="Arial"/>
                <w:color w:val="auto"/>
                <w:sz w:val="21"/>
                <w:highlight w:val="none"/>
              </w:rPr>
            </w:pPr>
          </w:p>
        </w:tc>
        <w:tc>
          <w:tcPr>
            <w:tcW w:w="895" w:type="dxa"/>
            <w:vAlign w:val="top"/>
          </w:tcPr>
          <w:p w14:paraId="2C7DC685">
            <w:pPr>
              <w:rPr>
                <w:rFonts w:ascii="Arial"/>
                <w:color w:val="auto"/>
                <w:sz w:val="21"/>
                <w:highlight w:val="none"/>
              </w:rPr>
            </w:pPr>
          </w:p>
        </w:tc>
        <w:tc>
          <w:tcPr>
            <w:tcW w:w="884" w:type="dxa"/>
            <w:vAlign w:val="top"/>
          </w:tcPr>
          <w:p w14:paraId="690047BF">
            <w:pPr>
              <w:rPr>
                <w:rFonts w:ascii="Arial"/>
                <w:color w:val="auto"/>
                <w:sz w:val="21"/>
                <w:highlight w:val="none"/>
              </w:rPr>
            </w:pPr>
          </w:p>
        </w:tc>
        <w:tc>
          <w:tcPr>
            <w:tcW w:w="887" w:type="dxa"/>
            <w:vAlign w:val="top"/>
          </w:tcPr>
          <w:p w14:paraId="6BDD47E8">
            <w:pPr>
              <w:rPr>
                <w:rFonts w:ascii="Arial"/>
                <w:color w:val="auto"/>
                <w:sz w:val="21"/>
                <w:highlight w:val="none"/>
              </w:rPr>
            </w:pPr>
          </w:p>
        </w:tc>
        <w:tc>
          <w:tcPr>
            <w:tcW w:w="1600" w:type="dxa"/>
            <w:vAlign w:val="top"/>
          </w:tcPr>
          <w:p w14:paraId="0C20D122">
            <w:pPr>
              <w:rPr>
                <w:rFonts w:ascii="Arial"/>
                <w:color w:val="auto"/>
                <w:sz w:val="21"/>
                <w:highlight w:val="none"/>
              </w:rPr>
            </w:pPr>
          </w:p>
        </w:tc>
        <w:tc>
          <w:tcPr>
            <w:tcW w:w="915" w:type="dxa"/>
            <w:vAlign w:val="top"/>
          </w:tcPr>
          <w:p w14:paraId="009A6C3B">
            <w:pPr>
              <w:rPr>
                <w:rFonts w:ascii="Arial"/>
                <w:color w:val="auto"/>
                <w:sz w:val="21"/>
                <w:highlight w:val="none"/>
              </w:rPr>
            </w:pPr>
          </w:p>
        </w:tc>
        <w:tc>
          <w:tcPr>
            <w:tcW w:w="878" w:type="dxa"/>
            <w:vAlign w:val="top"/>
          </w:tcPr>
          <w:p w14:paraId="71FD7652">
            <w:pPr>
              <w:rPr>
                <w:rFonts w:ascii="Arial"/>
                <w:color w:val="auto"/>
                <w:sz w:val="21"/>
                <w:highlight w:val="none"/>
              </w:rPr>
            </w:pPr>
          </w:p>
        </w:tc>
        <w:tc>
          <w:tcPr>
            <w:tcW w:w="821" w:type="dxa"/>
            <w:vAlign w:val="top"/>
          </w:tcPr>
          <w:p w14:paraId="4BDC6629">
            <w:pPr>
              <w:rPr>
                <w:rFonts w:ascii="Arial"/>
                <w:color w:val="auto"/>
                <w:sz w:val="21"/>
                <w:highlight w:val="none"/>
              </w:rPr>
            </w:pPr>
          </w:p>
        </w:tc>
        <w:tc>
          <w:tcPr>
            <w:tcW w:w="887" w:type="dxa"/>
            <w:vAlign w:val="top"/>
          </w:tcPr>
          <w:p w14:paraId="7FC5870D">
            <w:pPr>
              <w:rPr>
                <w:rFonts w:ascii="Arial"/>
                <w:color w:val="auto"/>
                <w:sz w:val="21"/>
                <w:highlight w:val="none"/>
              </w:rPr>
            </w:pPr>
          </w:p>
        </w:tc>
        <w:tc>
          <w:tcPr>
            <w:tcW w:w="1057" w:type="dxa"/>
            <w:vAlign w:val="top"/>
          </w:tcPr>
          <w:p w14:paraId="07AA149D">
            <w:pPr>
              <w:rPr>
                <w:rFonts w:ascii="Arial"/>
                <w:color w:val="auto"/>
                <w:sz w:val="21"/>
                <w:highlight w:val="none"/>
              </w:rPr>
            </w:pPr>
          </w:p>
        </w:tc>
        <w:tc>
          <w:tcPr>
            <w:tcW w:w="958" w:type="dxa"/>
            <w:vAlign w:val="top"/>
          </w:tcPr>
          <w:p w14:paraId="1E829D19">
            <w:pPr>
              <w:rPr>
                <w:rFonts w:ascii="Arial"/>
                <w:color w:val="auto"/>
                <w:sz w:val="21"/>
                <w:highlight w:val="none"/>
              </w:rPr>
            </w:pPr>
          </w:p>
        </w:tc>
        <w:tc>
          <w:tcPr>
            <w:tcW w:w="1215" w:type="dxa"/>
            <w:tcBorders>
              <w:right w:val="single" w:color="000000" w:sz="6" w:space="0"/>
            </w:tcBorders>
            <w:vAlign w:val="top"/>
          </w:tcPr>
          <w:p w14:paraId="7B17C76B">
            <w:pPr>
              <w:rPr>
                <w:rFonts w:ascii="Arial"/>
                <w:color w:val="auto"/>
                <w:sz w:val="21"/>
                <w:highlight w:val="none"/>
              </w:rPr>
            </w:pPr>
          </w:p>
        </w:tc>
      </w:tr>
      <w:tr w14:paraId="3F693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571" w:type="dxa"/>
            <w:tcBorders>
              <w:left w:val="single" w:color="000000" w:sz="6" w:space="0"/>
              <w:bottom w:val="single" w:color="000000" w:sz="6" w:space="0"/>
              <w:right w:val="nil"/>
            </w:tcBorders>
            <w:vAlign w:val="top"/>
          </w:tcPr>
          <w:p w14:paraId="31463B9E">
            <w:pPr>
              <w:rPr>
                <w:rFonts w:ascii="Arial"/>
                <w:color w:val="auto"/>
                <w:sz w:val="21"/>
                <w:highlight w:val="none"/>
              </w:rPr>
            </w:pPr>
          </w:p>
        </w:tc>
        <w:tc>
          <w:tcPr>
            <w:tcW w:w="3548" w:type="dxa"/>
            <w:gridSpan w:val="4"/>
            <w:tcBorders>
              <w:left w:val="nil"/>
              <w:bottom w:val="single" w:color="000000" w:sz="6" w:space="0"/>
            </w:tcBorders>
            <w:vAlign w:val="top"/>
          </w:tcPr>
          <w:p w14:paraId="126AF511">
            <w:pPr>
              <w:pStyle w:val="23"/>
              <w:spacing w:before="294" w:line="228" w:lineRule="auto"/>
              <w:ind w:left="918"/>
              <w:rPr>
                <w:color w:val="auto"/>
                <w:highlight w:val="none"/>
              </w:rPr>
            </w:pPr>
            <w:r>
              <w:rPr>
                <w:color w:val="auto"/>
                <w:spacing w:val="-5"/>
                <w:highlight w:val="none"/>
              </w:rPr>
              <w:t>合</w:t>
            </w:r>
            <w:r>
              <w:rPr>
                <w:color w:val="auto"/>
                <w:spacing w:val="10"/>
                <w:highlight w:val="none"/>
              </w:rPr>
              <w:t xml:space="preserve">  </w:t>
            </w:r>
            <w:r>
              <w:rPr>
                <w:color w:val="auto"/>
                <w:spacing w:val="-5"/>
                <w:highlight w:val="none"/>
              </w:rPr>
              <w:t>计</w:t>
            </w:r>
            <w:r>
              <w:rPr>
                <w:color w:val="auto"/>
                <w:spacing w:val="50"/>
                <w:highlight w:val="none"/>
              </w:rPr>
              <w:t xml:space="preserve"> </w:t>
            </w:r>
            <w:r>
              <w:rPr>
                <w:color w:val="auto"/>
                <w:spacing w:val="-5"/>
                <w:highlight w:val="none"/>
              </w:rPr>
              <w:t>(元)</w:t>
            </w:r>
          </w:p>
        </w:tc>
        <w:tc>
          <w:tcPr>
            <w:tcW w:w="884" w:type="dxa"/>
            <w:tcBorders>
              <w:bottom w:val="single" w:color="000000" w:sz="6" w:space="0"/>
            </w:tcBorders>
            <w:vAlign w:val="top"/>
          </w:tcPr>
          <w:p w14:paraId="7B44BA9B">
            <w:pPr>
              <w:rPr>
                <w:rFonts w:ascii="Arial"/>
                <w:color w:val="auto"/>
                <w:sz w:val="21"/>
                <w:highlight w:val="none"/>
              </w:rPr>
            </w:pPr>
          </w:p>
        </w:tc>
        <w:tc>
          <w:tcPr>
            <w:tcW w:w="887" w:type="dxa"/>
            <w:tcBorders>
              <w:bottom w:val="single" w:color="000000" w:sz="6" w:space="0"/>
            </w:tcBorders>
            <w:vAlign w:val="top"/>
          </w:tcPr>
          <w:p w14:paraId="464B734C">
            <w:pPr>
              <w:rPr>
                <w:rFonts w:ascii="Arial"/>
                <w:color w:val="auto"/>
                <w:sz w:val="21"/>
                <w:highlight w:val="none"/>
              </w:rPr>
            </w:pPr>
          </w:p>
        </w:tc>
        <w:tc>
          <w:tcPr>
            <w:tcW w:w="1600" w:type="dxa"/>
            <w:tcBorders>
              <w:bottom w:val="single" w:color="000000" w:sz="6" w:space="0"/>
            </w:tcBorders>
            <w:vAlign w:val="top"/>
          </w:tcPr>
          <w:p w14:paraId="5472625C">
            <w:pPr>
              <w:rPr>
                <w:rFonts w:ascii="Arial"/>
                <w:color w:val="auto"/>
                <w:sz w:val="21"/>
                <w:highlight w:val="none"/>
              </w:rPr>
            </w:pPr>
          </w:p>
        </w:tc>
        <w:tc>
          <w:tcPr>
            <w:tcW w:w="3501" w:type="dxa"/>
            <w:gridSpan w:val="4"/>
            <w:tcBorders>
              <w:bottom w:val="single" w:color="000000" w:sz="6" w:space="0"/>
            </w:tcBorders>
            <w:vAlign w:val="top"/>
          </w:tcPr>
          <w:p w14:paraId="15D2F71C">
            <w:pPr>
              <w:pStyle w:val="23"/>
              <w:spacing w:before="229" w:line="228" w:lineRule="auto"/>
              <w:ind w:left="1182"/>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57" w:type="dxa"/>
            <w:tcBorders>
              <w:bottom w:val="single" w:color="000000" w:sz="6" w:space="0"/>
            </w:tcBorders>
            <w:vAlign w:val="top"/>
          </w:tcPr>
          <w:p w14:paraId="1CC3EDFA">
            <w:pPr>
              <w:rPr>
                <w:rFonts w:ascii="Arial"/>
                <w:color w:val="auto"/>
                <w:sz w:val="21"/>
                <w:highlight w:val="none"/>
              </w:rPr>
            </w:pPr>
          </w:p>
        </w:tc>
        <w:tc>
          <w:tcPr>
            <w:tcW w:w="958" w:type="dxa"/>
            <w:tcBorders>
              <w:bottom w:val="single" w:color="000000" w:sz="6" w:space="0"/>
            </w:tcBorders>
            <w:vAlign w:val="top"/>
          </w:tcPr>
          <w:p w14:paraId="1B90DDFE">
            <w:pPr>
              <w:rPr>
                <w:rFonts w:ascii="Arial"/>
                <w:color w:val="auto"/>
                <w:sz w:val="21"/>
                <w:highlight w:val="none"/>
              </w:rPr>
            </w:pPr>
          </w:p>
        </w:tc>
        <w:tc>
          <w:tcPr>
            <w:tcW w:w="1215" w:type="dxa"/>
            <w:tcBorders>
              <w:bottom w:val="single" w:color="000000" w:sz="6" w:space="0"/>
              <w:right w:val="single" w:color="000000" w:sz="6" w:space="0"/>
            </w:tcBorders>
            <w:vAlign w:val="top"/>
          </w:tcPr>
          <w:p w14:paraId="0BA95FD4">
            <w:pPr>
              <w:rPr>
                <w:rFonts w:ascii="Arial"/>
                <w:color w:val="auto"/>
                <w:sz w:val="21"/>
                <w:highlight w:val="none"/>
              </w:rPr>
            </w:pPr>
          </w:p>
        </w:tc>
      </w:tr>
    </w:tbl>
    <w:p w14:paraId="659E8293">
      <w:pPr>
        <w:rPr>
          <w:rFonts w:ascii="Arial"/>
          <w:color w:val="auto"/>
          <w:sz w:val="21"/>
          <w:highlight w:val="none"/>
        </w:rPr>
      </w:pPr>
    </w:p>
    <w:p w14:paraId="52E68FED">
      <w:pPr>
        <w:rPr>
          <w:rFonts w:ascii="Arial" w:hAnsi="Arial" w:eastAsia="Arial" w:cs="Arial"/>
          <w:color w:val="auto"/>
          <w:sz w:val="21"/>
          <w:szCs w:val="21"/>
          <w:highlight w:val="none"/>
        </w:rPr>
        <w:sectPr>
          <w:footerReference r:id="rId68" w:type="default"/>
          <w:pgSz w:w="16839" w:h="11906"/>
          <w:pgMar w:top="1012" w:right="1301" w:bottom="1297" w:left="1300" w:header="0" w:footer="1067" w:gutter="0"/>
          <w:pgNumType w:fmt="decimal"/>
          <w:cols w:space="720" w:num="1"/>
        </w:sectPr>
      </w:pPr>
    </w:p>
    <w:p w14:paraId="05D61094">
      <w:pPr>
        <w:spacing w:line="353" w:lineRule="auto"/>
        <w:rPr>
          <w:rFonts w:ascii="Arial"/>
          <w:color w:val="auto"/>
          <w:sz w:val="21"/>
          <w:highlight w:val="none"/>
        </w:rPr>
      </w:pPr>
    </w:p>
    <w:p w14:paraId="24EEA479">
      <w:pPr>
        <w:spacing w:before="91" w:line="212" w:lineRule="auto"/>
        <w:ind w:left="449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表</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3"/>
          <w:sz w:val="28"/>
          <w:szCs w:val="28"/>
          <w:highlight w:val="none"/>
        </w:rPr>
        <w:t>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监理试验设施费报价表（常规检测）</w:t>
      </w:r>
    </w:p>
    <w:tbl>
      <w:tblPr>
        <w:tblStyle w:val="22"/>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029"/>
        <w:gridCol w:w="792"/>
        <w:gridCol w:w="696"/>
        <w:gridCol w:w="1068"/>
        <w:gridCol w:w="20"/>
        <w:gridCol w:w="923"/>
        <w:gridCol w:w="935"/>
        <w:gridCol w:w="1230"/>
        <w:gridCol w:w="1222"/>
        <w:gridCol w:w="827"/>
        <w:gridCol w:w="682"/>
        <w:gridCol w:w="1034"/>
        <w:gridCol w:w="1026"/>
        <w:gridCol w:w="1026"/>
        <w:gridCol w:w="1237"/>
      </w:tblGrid>
      <w:tr w14:paraId="24D0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74" w:type="dxa"/>
            <w:vMerge w:val="restart"/>
            <w:tcBorders>
              <w:top w:val="single" w:color="000000" w:sz="6" w:space="0"/>
              <w:left w:val="single" w:color="000000" w:sz="6" w:space="0"/>
              <w:bottom w:val="nil"/>
            </w:tcBorders>
            <w:textDirection w:val="tbRlV"/>
            <w:vAlign w:val="top"/>
          </w:tcPr>
          <w:p w14:paraId="17C4A4FB">
            <w:pPr>
              <w:pStyle w:val="23"/>
              <w:spacing w:before="134"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693" w:type="dxa"/>
            <w:gridSpan w:val="8"/>
            <w:tcBorders>
              <w:top w:val="single" w:color="000000" w:sz="6" w:space="0"/>
            </w:tcBorders>
            <w:vAlign w:val="top"/>
          </w:tcPr>
          <w:p w14:paraId="63B2C8CE">
            <w:pPr>
              <w:pStyle w:val="23"/>
              <w:spacing w:before="194" w:line="228" w:lineRule="auto"/>
              <w:ind w:left="3032"/>
              <w:rPr>
                <w:color w:val="auto"/>
                <w:highlight w:val="none"/>
              </w:rPr>
            </w:pPr>
            <w:r>
              <w:rPr>
                <w:color w:val="auto"/>
                <w:spacing w:val="7"/>
                <w:highlight w:val="none"/>
              </w:rPr>
              <w:t>施工期</w:t>
            </w:r>
          </w:p>
        </w:tc>
        <w:tc>
          <w:tcPr>
            <w:tcW w:w="7054" w:type="dxa"/>
            <w:gridSpan w:val="7"/>
            <w:tcBorders>
              <w:top w:val="single" w:color="000000" w:sz="6" w:space="0"/>
              <w:right w:val="single" w:color="000000" w:sz="6" w:space="0"/>
            </w:tcBorders>
            <w:vAlign w:val="top"/>
          </w:tcPr>
          <w:p w14:paraId="0349275D">
            <w:pPr>
              <w:pStyle w:val="23"/>
              <w:spacing w:before="193" w:line="228" w:lineRule="auto"/>
              <w:ind w:left="3007"/>
              <w:rPr>
                <w:color w:val="auto"/>
                <w:highlight w:val="none"/>
              </w:rPr>
            </w:pPr>
            <w:r>
              <w:rPr>
                <w:color w:val="auto"/>
                <w:spacing w:val="8"/>
                <w:highlight w:val="none"/>
              </w:rPr>
              <w:t>缺陷责任期</w:t>
            </w:r>
          </w:p>
        </w:tc>
      </w:tr>
      <w:tr w14:paraId="35AE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74" w:type="dxa"/>
            <w:vMerge w:val="continue"/>
            <w:tcBorders>
              <w:top w:val="nil"/>
              <w:left w:val="single" w:color="000000" w:sz="6" w:space="0"/>
            </w:tcBorders>
            <w:textDirection w:val="tbRlV"/>
            <w:vAlign w:val="top"/>
          </w:tcPr>
          <w:p w14:paraId="0C8A6061">
            <w:pPr>
              <w:rPr>
                <w:rFonts w:ascii="Arial"/>
                <w:color w:val="auto"/>
                <w:sz w:val="21"/>
                <w:highlight w:val="none"/>
              </w:rPr>
            </w:pPr>
          </w:p>
        </w:tc>
        <w:tc>
          <w:tcPr>
            <w:tcW w:w="1029" w:type="dxa"/>
            <w:vAlign w:val="top"/>
          </w:tcPr>
          <w:p w14:paraId="7D2BEE92">
            <w:pPr>
              <w:spacing w:line="251" w:lineRule="auto"/>
              <w:rPr>
                <w:rFonts w:ascii="Arial"/>
                <w:color w:val="auto"/>
                <w:sz w:val="21"/>
                <w:highlight w:val="none"/>
              </w:rPr>
            </w:pPr>
          </w:p>
          <w:p w14:paraId="117F0259">
            <w:pPr>
              <w:spacing w:line="251" w:lineRule="auto"/>
              <w:rPr>
                <w:rFonts w:ascii="Arial"/>
                <w:color w:val="auto"/>
                <w:sz w:val="21"/>
                <w:highlight w:val="none"/>
              </w:rPr>
            </w:pPr>
          </w:p>
          <w:p w14:paraId="0EDB4952">
            <w:pPr>
              <w:pStyle w:val="23"/>
              <w:spacing w:before="65" w:line="229" w:lineRule="auto"/>
              <w:ind w:left="96"/>
              <w:rPr>
                <w:color w:val="auto"/>
                <w:highlight w:val="none"/>
              </w:rPr>
            </w:pPr>
            <w:r>
              <w:rPr>
                <w:color w:val="auto"/>
                <w:spacing w:val="6"/>
                <w:highlight w:val="none"/>
              </w:rPr>
              <w:t>设备名称</w:t>
            </w:r>
          </w:p>
        </w:tc>
        <w:tc>
          <w:tcPr>
            <w:tcW w:w="792" w:type="dxa"/>
            <w:vAlign w:val="top"/>
          </w:tcPr>
          <w:p w14:paraId="6EB55CAA">
            <w:pPr>
              <w:spacing w:line="251" w:lineRule="auto"/>
              <w:rPr>
                <w:rFonts w:ascii="Arial"/>
                <w:color w:val="auto"/>
                <w:sz w:val="21"/>
                <w:highlight w:val="none"/>
              </w:rPr>
            </w:pPr>
          </w:p>
          <w:p w14:paraId="539BC820">
            <w:pPr>
              <w:spacing w:line="251" w:lineRule="auto"/>
              <w:rPr>
                <w:rFonts w:ascii="Arial"/>
                <w:color w:val="auto"/>
                <w:sz w:val="21"/>
                <w:highlight w:val="none"/>
              </w:rPr>
            </w:pPr>
          </w:p>
          <w:p w14:paraId="0AB47D6D">
            <w:pPr>
              <w:pStyle w:val="23"/>
              <w:spacing w:before="65" w:line="229" w:lineRule="auto"/>
              <w:ind w:left="191"/>
              <w:rPr>
                <w:color w:val="auto"/>
                <w:highlight w:val="none"/>
              </w:rPr>
            </w:pPr>
            <w:r>
              <w:rPr>
                <w:color w:val="auto"/>
                <w:spacing w:val="1"/>
                <w:highlight w:val="none"/>
              </w:rPr>
              <w:t>型号</w:t>
            </w:r>
          </w:p>
        </w:tc>
        <w:tc>
          <w:tcPr>
            <w:tcW w:w="696" w:type="dxa"/>
            <w:vAlign w:val="top"/>
          </w:tcPr>
          <w:p w14:paraId="494957DE">
            <w:pPr>
              <w:spacing w:line="251" w:lineRule="auto"/>
              <w:rPr>
                <w:rFonts w:ascii="Arial"/>
                <w:color w:val="auto"/>
                <w:sz w:val="21"/>
                <w:highlight w:val="none"/>
              </w:rPr>
            </w:pPr>
          </w:p>
          <w:p w14:paraId="548FE009">
            <w:pPr>
              <w:spacing w:line="251" w:lineRule="auto"/>
              <w:rPr>
                <w:rFonts w:ascii="Arial"/>
                <w:color w:val="auto"/>
                <w:sz w:val="21"/>
                <w:highlight w:val="none"/>
              </w:rPr>
            </w:pPr>
          </w:p>
          <w:p w14:paraId="4F88DA34">
            <w:pPr>
              <w:pStyle w:val="23"/>
              <w:spacing w:before="65" w:line="228" w:lineRule="auto"/>
              <w:ind w:left="141"/>
              <w:rPr>
                <w:color w:val="auto"/>
                <w:highlight w:val="none"/>
              </w:rPr>
            </w:pPr>
            <w:r>
              <w:rPr>
                <w:color w:val="auto"/>
                <w:spacing w:val="3"/>
                <w:highlight w:val="none"/>
              </w:rPr>
              <w:t>数量</w:t>
            </w:r>
          </w:p>
        </w:tc>
        <w:tc>
          <w:tcPr>
            <w:tcW w:w="1068" w:type="dxa"/>
            <w:vAlign w:val="top"/>
          </w:tcPr>
          <w:p w14:paraId="085ECE0F">
            <w:pPr>
              <w:spacing w:line="304" w:lineRule="auto"/>
              <w:rPr>
                <w:rFonts w:ascii="Arial"/>
                <w:color w:val="auto"/>
                <w:sz w:val="21"/>
                <w:highlight w:val="none"/>
              </w:rPr>
            </w:pPr>
          </w:p>
          <w:p w14:paraId="44A59D94">
            <w:pPr>
              <w:pStyle w:val="23"/>
              <w:spacing w:before="65" w:line="372" w:lineRule="auto"/>
              <w:ind w:left="375" w:right="103" w:hanging="247"/>
              <w:rPr>
                <w:color w:val="auto"/>
                <w:highlight w:val="none"/>
              </w:rPr>
            </w:pPr>
            <w:r>
              <w:rPr>
                <w:color w:val="auto"/>
                <w:spacing w:val="7"/>
                <w:highlight w:val="none"/>
              </w:rPr>
              <w:t>购置合价</w:t>
            </w:r>
            <w:r>
              <w:rPr>
                <w:color w:val="auto"/>
                <w:spacing w:val="-8"/>
                <w:highlight w:val="none"/>
              </w:rPr>
              <w:t>(元)</w:t>
            </w:r>
          </w:p>
        </w:tc>
        <w:tc>
          <w:tcPr>
            <w:tcW w:w="943" w:type="dxa"/>
            <w:gridSpan w:val="2"/>
            <w:vAlign w:val="top"/>
          </w:tcPr>
          <w:p w14:paraId="6AA64910">
            <w:pPr>
              <w:spacing w:line="304" w:lineRule="auto"/>
              <w:rPr>
                <w:rFonts w:ascii="Arial"/>
                <w:color w:val="auto"/>
                <w:sz w:val="21"/>
                <w:highlight w:val="none"/>
              </w:rPr>
            </w:pPr>
          </w:p>
          <w:p w14:paraId="06123CEF">
            <w:pPr>
              <w:pStyle w:val="23"/>
              <w:spacing w:before="65" w:line="372" w:lineRule="auto"/>
              <w:ind w:left="300" w:right="158" w:hanging="140"/>
              <w:rPr>
                <w:color w:val="auto"/>
                <w:highlight w:val="none"/>
              </w:rPr>
            </w:pPr>
            <w:r>
              <w:rPr>
                <w:color w:val="auto"/>
                <w:spacing w:val="6"/>
                <w:highlight w:val="none"/>
              </w:rPr>
              <w:t>折旧费</w:t>
            </w:r>
            <w:r>
              <w:rPr>
                <w:color w:val="auto"/>
                <w:spacing w:val="-9"/>
                <w:highlight w:val="none"/>
              </w:rPr>
              <w:t>(元)</w:t>
            </w:r>
          </w:p>
        </w:tc>
        <w:tc>
          <w:tcPr>
            <w:tcW w:w="935" w:type="dxa"/>
            <w:vAlign w:val="top"/>
          </w:tcPr>
          <w:p w14:paraId="61111840">
            <w:pPr>
              <w:spacing w:line="304" w:lineRule="auto"/>
              <w:rPr>
                <w:rFonts w:ascii="Arial"/>
                <w:color w:val="auto"/>
                <w:sz w:val="21"/>
                <w:highlight w:val="none"/>
              </w:rPr>
            </w:pPr>
          </w:p>
          <w:p w14:paraId="3424ABA6">
            <w:pPr>
              <w:pStyle w:val="23"/>
              <w:spacing w:before="65" w:line="372" w:lineRule="auto"/>
              <w:ind w:left="298" w:right="152" w:hanging="141"/>
              <w:rPr>
                <w:color w:val="auto"/>
                <w:highlight w:val="none"/>
              </w:rPr>
            </w:pPr>
            <w:r>
              <w:rPr>
                <w:color w:val="auto"/>
                <w:spacing w:val="6"/>
                <w:highlight w:val="none"/>
              </w:rPr>
              <w:t>使用费</w:t>
            </w:r>
            <w:r>
              <w:rPr>
                <w:color w:val="auto"/>
                <w:spacing w:val="-9"/>
                <w:highlight w:val="none"/>
              </w:rPr>
              <w:t>(元)</w:t>
            </w:r>
          </w:p>
        </w:tc>
        <w:tc>
          <w:tcPr>
            <w:tcW w:w="1230" w:type="dxa"/>
            <w:vAlign w:val="top"/>
          </w:tcPr>
          <w:p w14:paraId="5F75294B">
            <w:pPr>
              <w:pStyle w:val="23"/>
              <w:spacing w:before="172" w:line="229" w:lineRule="auto"/>
              <w:ind w:left="407"/>
              <w:rPr>
                <w:color w:val="auto"/>
                <w:highlight w:val="none"/>
              </w:rPr>
            </w:pPr>
            <w:r>
              <w:rPr>
                <w:color w:val="auto"/>
                <w:spacing w:val="2"/>
                <w:highlight w:val="none"/>
              </w:rPr>
              <w:t>小计</w:t>
            </w:r>
          </w:p>
          <w:p w14:paraId="22EACA74">
            <w:pPr>
              <w:pStyle w:val="23"/>
              <w:spacing w:before="150" w:line="291" w:lineRule="auto"/>
              <w:ind w:left="308" w:right="98" w:hanging="221"/>
              <w:rPr>
                <w:color w:val="auto"/>
                <w:highlight w:val="none"/>
              </w:rPr>
            </w:pPr>
            <w:r>
              <w:rPr>
                <w:color w:val="auto"/>
                <w:spacing w:val="7"/>
                <w:highlight w:val="none"/>
              </w:rPr>
              <w:t>折旧及使用</w:t>
            </w:r>
            <w:r>
              <w:rPr>
                <w:color w:val="auto"/>
                <w:spacing w:val="2"/>
                <w:highlight w:val="none"/>
              </w:rPr>
              <w:t>费(元)</w:t>
            </w:r>
          </w:p>
        </w:tc>
        <w:tc>
          <w:tcPr>
            <w:tcW w:w="1222" w:type="dxa"/>
            <w:vAlign w:val="top"/>
          </w:tcPr>
          <w:p w14:paraId="6A20B79D">
            <w:pPr>
              <w:spacing w:line="251" w:lineRule="auto"/>
              <w:rPr>
                <w:rFonts w:ascii="Arial"/>
                <w:color w:val="auto"/>
                <w:sz w:val="21"/>
                <w:highlight w:val="none"/>
              </w:rPr>
            </w:pPr>
          </w:p>
          <w:p w14:paraId="01277679">
            <w:pPr>
              <w:spacing w:line="251" w:lineRule="auto"/>
              <w:rPr>
                <w:rFonts w:ascii="Arial"/>
                <w:color w:val="auto"/>
                <w:sz w:val="21"/>
                <w:highlight w:val="none"/>
              </w:rPr>
            </w:pPr>
          </w:p>
          <w:p w14:paraId="5E4A9912">
            <w:pPr>
              <w:pStyle w:val="23"/>
              <w:spacing w:before="65" w:line="229" w:lineRule="auto"/>
              <w:ind w:left="200"/>
              <w:rPr>
                <w:color w:val="auto"/>
                <w:highlight w:val="none"/>
              </w:rPr>
            </w:pPr>
            <w:r>
              <w:rPr>
                <w:color w:val="auto"/>
                <w:spacing w:val="6"/>
                <w:highlight w:val="none"/>
              </w:rPr>
              <w:t>设备名称</w:t>
            </w:r>
          </w:p>
        </w:tc>
        <w:tc>
          <w:tcPr>
            <w:tcW w:w="827" w:type="dxa"/>
            <w:vAlign w:val="top"/>
          </w:tcPr>
          <w:p w14:paraId="2786BB3E">
            <w:pPr>
              <w:spacing w:line="251" w:lineRule="auto"/>
              <w:rPr>
                <w:rFonts w:ascii="Arial"/>
                <w:color w:val="auto"/>
                <w:sz w:val="21"/>
                <w:highlight w:val="none"/>
              </w:rPr>
            </w:pPr>
          </w:p>
          <w:p w14:paraId="67FF01D3">
            <w:pPr>
              <w:spacing w:line="251" w:lineRule="auto"/>
              <w:rPr>
                <w:rFonts w:ascii="Arial"/>
                <w:color w:val="auto"/>
                <w:sz w:val="21"/>
                <w:highlight w:val="none"/>
              </w:rPr>
            </w:pPr>
          </w:p>
          <w:p w14:paraId="4BCA4B0F">
            <w:pPr>
              <w:pStyle w:val="23"/>
              <w:spacing w:before="65" w:line="229" w:lineRule="auto"/>
              <w:ind w:left="217"/>
              <w:rPr>
                <w:color w:val="auto"/>
                <w:highlight w:val="none"/>
              </w:rPr>
            </w:pPr>
            <w:r>
              <w:rPr>
                <w:color w:val="auto"/>
                <w:spacing w:val="1"/>
                <w:highlight w:val="none"/>
              </w:rPr>
              <w:t>型号</w:t>
            </w:r>
          </w:p>
        </w:tc>
        <w:tc>
          <w:tcPr>
            <w:tcW w:w="682" w:type="dxa"/>
            <w:vAlign w:val="top"/>
          </w:tcPr>
          <w:p w14:paraId="1BB2F0DF">
            <w:pPr>
              <w:spacing w:line="251" w:lineRule="auto"/>
              <w:rPr>
                <w:rFonts w:ascii="Arial"/>
                <w:color w:val="auto"/>
                <w:sz w:val="21"/>
                <w:highlight w:val="none"/>
              </w:rPr>
            </w:pPr>
          </w:p>
          <w:p w14:paraId="1FB9E653">
            <w:pPr>
              <w:spacing w:line="251" w:lineRule="auto"/>
              <w:rPr>
                <w:rFonts w:ascii="Arial"/>
                <w:color w:val="auto"/>
                <w:sz w:val="21"/>
                <w:highlight w:val="none"/>
              </w:rPr>
            </w:pPr>
          </w:p>
          <w:p w14:paraId="3A2EFBD8">
            <w:pPr>
              <w:pStyle w:val="23"/>
              <w:spacing w:before="65" w:line="228" w:lineRule="auto"/>
              <w:ind w:left="141"/>
              <w:rPr>
                <w:color w:val="auto"/>
                <w:highlight w:val="none"/>
              </w:rPr>
            </w:pPr>
            <w:r>
              <w:rPr>
                <w:color w:val="auto"/>
                <w:spacing w:val="3"/>
                <w:highlight w:val="none"/>
              </w:rPr>
              <w:t>数量</w:t>
            </w:r>
          </w:p>
        </w:tc>
        <w:tc>
          <w:tcPr>
            <w:tcW w:w="1034" w:type="dxa"/>
            <w:vAlign w:val="top"/>
          </w:tcPr>
          <w:p w14:paraId="33608811">
            <w:pPr>
              <w:spacing w:line="304" w:lineRule="auto"/>
              <w:rPr>
                <w:rFonts w:ascii="Arial"/>
                <w:color w:val="auto"/>
                <w:sz w:val="21"/>
                <w:highlight w:val="none"/>
              </w:rPr>
            </w:pPr>
          </w:p>
          <w:p w14:paraId="0BCCAE0E">
            <w:pPr>
              <w:pStyle w:val="23"/>
              <w:spacing w:before="65" w:line="372" w:lineRule="auto"/>
              <w:ind w:left="365" w:right="78" w:hanging="247"/>
              <w:rPr>
                <w:color w:val="auto"/>
                <w:highlight w:val="none"/>
              </w:rPr>
            </w:pPr>
            <w:r>
              <w:rPr>
                <w:color w:val="auto"/>
                <w:spacing w:val="7"/>
                <w:highlight w:val="none"/>
              </w:rPr>
              <w:t>购置合价</w:t>
            </w:r>
            <w:r>
              <w:rPr>
                <w:color w:val="auto"/>
                <w:spacing w:val="-9"/>
                <w:highlight w:val="none"/>
              </w:rPr>
              <w:t>(元)</w:t>
            </w:r>
          </w:p>
        </w:tc>
        <w:tc>
          <w:tcPr>
            <w:tcW w:w="1026" w:type="dxa"/>
            <w:vAlign w:val="top"/>
          </w:tcPr>
          <w:p w14:paraId="072C83AE">
            <w:pPr>
              <w:spacing w:line="304" w:lineRule="auto"/>
              <w:rPr>
                <w:rFonts w:ascii="Arial"/>
                <w:color w:val="auto"/>
                <w:sz w:val="21"/>
                <w:highlight w:val="none"/>
              </w:rPr>
            </w:pPr>
          </w:p>
          <w:p w14:paraId="71606FEB">
            <w:pPr>
              <w:pStyle w:val="23"/>
              <w:spacing w:before="65" w:line="372" w:lineRule="auto"/>
              <w:ind w:left="349" w:right="192" w:hanging="140"/>
              <w:rPr>
                <w:color w:val="auto"/>
                <w:highlight w:val="none"/>
              </w:rPr>
            </w:pPr>
            <w:r>
              <w:rPr>
                <w:color w:val="auto"/>
                <w:spacing w:val="6"/>
                <w:highlight w:val="none"/>
              </w:rPr>
              <w:t>折旧费</w:t>
            </w:r>
            <w:r>
              <w:rPr>
                <w:color w:val="auto"/>
                <w:spacing w:val="-9"/>
                <w:highlight w:val="none"/>
              </w:rPr>
              <w:t>(元)</w:t>
            </w:r>
          </w:p>
        </w:tc>
        <w:tc>
          <w:tcPr>
            <w:tcW w:w="1026" w:type="dxa"/>
            <w:vAlign w:val="top"/>
          </w:tcPr>
          <w:p w14:paraId="3663485C">
            <w:pPr>
              <w:spacing w:line="304" w:lineRule="auto"/>
              <w:rPr>
                <w:rFonts w:ascii="Arial"/>
                <w:color w:val="auto"/>
                <w:sz w:val="21"/>
                <w:highlight w:val="none"/>
              </w:rPr>
            </w:pPr>
          </w:p>
          <w:p w14:paraId="322C2A34">
            <w:pPr>
              <w:pStyle w:val="23"/>
              <w:spacing w:before="65" w:line="372" w:lineRule="auto"/>
              <w:ind w:left="350" w:right="191" w:hanging="141"/>
              <w:rPr>
                <w:color w:val="auto"/>
                <w:highlight w:val="none"/>
              </w:rPr>
            </w:pPr>
            <w:r>
              <w:rPr>
                <w:color w:val="auto"/>
                <w:spacing w:val="6"/>
                <w:highlight w:val="none"/>
              </w:rPr>
              <w:t>使用费</w:t>
            </w:r>
            <w:r>
              <w:rPr>
                <w:color w:val="auto"/>
                <w:spacing w:val="-9"/>
                <w:highlight w:val="none"/>
              </w:rPr>
              <w:t>(元)</w:t>
            </w:r>
          </w:p>
        </w:tc>
        <w:tc>
          <w:tcPr>
            <w:tcW w:w="1237" w:type="dxa"/>
            <w:tcBorders>
              <w:right w:val="single" w:color="000000" w:sz="6" w:space="0"/>
            </w:tcBorders>
            <w:vAlign w:val="top"/>
          </w:tcPr>
          <w:p w14:paraId="756C43B3">
            <w:pPr>
              <w:pStyle w:val="23"/>
              <w:spacing w:before="172" w:line="229" w:lineRule="auto"/>
              <w:ind w:left="412"/>
              <w:rPr>
                <w:color w:val="auto"/>
                <w:highlight w:val="none"/>
              </w:rPr>
            </w:pPr>
            <w:r>
              <w:rPr>
                <w:color w:val="auto"/>
                <w:spacing w:val="2"/>
                <w:highlight w:val="none"/>
              </w:rPr>
              <w:t>小计</w:t>
            </w:r>
          </w:p>
          <w:p w14:paraId="40926BB4">
            <w:pPr>
              <w:pStyle w:val="23"/>
              <w:spacing w:before="150" w:line="291" w:lineRule="auto"/>
              <w:ind w:left="314" w:right="94" w:hanging="221"/>
              <w:rPr>
                <w:color w:val="auto"/>
                <w:highlight w:val="none"/>
              </w:rPr>
            </w:pPr>
            <w:r>
              <w:rPr>
                <w:color w:val="auto"/>
                <w:spacing w:val="7"/>
                <w:highlight w:val="none"/>
              </w:rPr>
              <w:t>折旧及使用</w:t>
            </w:r>
            <w:r>
              <w:rPr>
                <w:color w:val="auto"/>
                <w:spacing w:val="2"/>
                <w:highlight w:val="none"/>
              </w:rPr>
              <w:t>费(元)</w:t>
            </w:r>
          </w:p>
        </w:tc>
      </w:tr>
      <w:tr w14:paraId="64B0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74" w:type="dxa"/>
            <w:tcBorders>
              <w:left w:val="single" w:color="000000" w:sz="6" w:space="0"/>
            </w:tcBorders>
            <w:vAlign w:val="top"/>
          </w:tcPr>
          <w:p w14:paraId="56052669">
            <w:pPr>
              <w:pStyle w:val="23"/>
              <w:spacing w:before="203" w:line="269" w:lineRule="exact"/>
              <w:ind w:left="196"/>
              <w:rPr>
                <w:color w:val="auto"/>
                <w:highlight w:val="none"/>
              </w:rPr>
            </w:pPr>
            <w:r>
              <w:rPr>
                <w:color w:val="auto"/>
                <w:position w:val="1"/>
                <w:highlight w:val="none"/>
              </w:rPr>
              <w:t>1</w:t>
            </w:r>
          </w:p>
        </w:tc>
        <w:tc>
          <w:tcPr>
            <w:tcW w:w="1029" w:type="dxa"/>
            <w:vAlign w:val="top"/>
          </w:tcPr>
          <w:p w14:paraId="446D1FC9">
            <w:pPr>
              <w:rPr>
                <w:rFonts w:ascii="Arial"/>
                <w:color w:val="auto"/>
                <w:sz w:val="21"/>
                <w:highlight w:val="none"/>
              </w:rPr>
            </w:pPr>
          </w:p>
        </w:tc>
        <w:tc>
          <w:tcPr>
            <w:tcW w:w="792" w:type="dxa"/>
            <w:vAlign w:val="top"/>
          </w:tcPr>
          <w:p w14:paraId="0977D2A6">
            <w:pPr>
              <w:rPr>
                <w:rFonts w:ascii="Arial"/>
                <w:color w:val="auto"/>
                <w:sz w:val="21"/>
                <w:highlight w:val="none"/>
              </w:rPr>
            </w:pPr>
          </w:p>
        </w:tc>
        <w:tc>
          <w:tcPr>
            <w:tcW w:w="696" w:type="dxa"/>
            <w:vAlign w:val="top"/>
          </w:tcPr>
          <w:p w14:paraId="111AC6F7">
            <w:pPr>
              <w:rPr>
                <w:rFonts w:ascii="Arial"/>
                <w:color w:val="auto"/>
                <w:sz w:val="21"/>
                <w:highlight w:val="none"/>
              </w:rPr>
            </w:pPr>
          </w:p>
        </w:tc>
        <w:tc>
          <w:tcPr>
            <w:tcW w:w="1068" w:type="dxa"/>
            <w:vAlign w:val="top"/>
          </w:tcPr>
          <w:p w14:paraId="602C8621">
            <w:pPr>
              <w:rPr>
                <w:rFonts w:ascii="Arial"/>
                <w:color w:val="auto"/>
                <w:sz w:val="21"/>
                <w:highlight w:val="none"/>
              </w:rPr>
            </w:pPr>
          </w:p>
        </w:tc>
        <w:tc>
          <w:tcPr>
            <w:tcW w:w="943" w:type="dxa"/>
            <w:gridSpan w:val="2"/>
            <w:vAlign w:val="top"/>
          </w:tcPr>
          <w:p w14:paraId="702ED8C5">
            <w:pPr>
              <w:rPr>
                <w:rFonts w:ascii="Arial"/>
                <w:color w:val="auto"/>
                <w:sz w:val="21"/>
                <w:highlight w:val="none"/>
              </w:rPr>
            </w:pPr>
          </w:p>
        </w:tc>
        <w:tc>
          <w:tcPr>
            <w:tcW w:w="935" w:type="dxa"/>
            <w:vAlign w:val="top"/>
          </w:tcPr>
          <w:p w14:paraId="55BDCDF1">
            <w:pPr>
              <w:rPr>
                <w:rFonts w:ascii="Arial"/>
                <w:color w:val="auto"/>
                <w:sz w:val="21"/>
                <w:highlight w:val="none"/>
              </w:rPr>
            </w:pPr>
          </w:p>
        </w:tc>
        <w:tc>
          <w:tcPr>
            <w:tcW w:w="1230" w:type="dxa"/>
            <w:vAlign w:val="top"/>
          </w:tcPr>
          <w:p w14:paraId="3F4A6E76">
            <w:pPr>
              <w:rPr>
                <w:rFonts w:ascii="Arial"/>
                <w:color w:val="auto"/>
                <w:sz w:val="21"/>
                <w:highlight w:val="none"/>
              </w:rPr>
            </w:pPr>
          </w:p>
        </w:tc>
        <w:tc>
          <w:tcPr>
            <w:tcW w:w="1222" w:type="dxa"/>
            <w:vAlign w:val="top"/>
          </w:tcPr>
          <w:p w14:paraId="29428BA0">
            <w:pPr>
              <w:rPr>
                <w:rFonts w:ascii="Arial"/>
                <w:color w:val="auto"/>
                <w:sz w:val="21"/>
                <w:highlight w:val="none"/>
              </w:rPr>
            </w:pPr>
          </w:p>
        </w:tc>
        <w:tc>
          <w:tcPr>
            <w:tcW w:w="827" w:type="dxa"/>
            <w:vAlign w:val="top"/>
          </w:tcPr>
          <w:p w14:paraId="7CF88518">
            <w:pPr>
              <w:rPr>
                <w:rFonts w:ascii="Arial"/>
                <w:color w:val="auto"/>
                <w:sz w:val="21"/>
                <w:highlight w:val="none"/>
              </w:rPr>
            </w:pPr>
          </w:p>
        </w:tc>
        <w:tc>
          <w:tcPr>
            <w:tcW w:w="682" w:type="dxa"/>
            <w:vAlign w:val="top"/>
          </w:tcPr>
          <w:p w14:paraId="1F82B4C4">
            <w:pPr>
              <w:rPr>
                <w:rFonts w:ascii="Arial"/>
                <w:color w:val="auto"/>
                <w:sz w:val="21"/>
                <w:highlight w:val="none"/>
              </w:rPr>
            </w:pPr>
          </w:p>
        </w:tc>
        <w:tc>
          <w:tcPr>
            <w:tcW w:w="1034" w:type="dxa"/>
            <w:vAlign w:val="top"/>
          </w:tcPr>
          <w:p w14:paraId="3E608D35">
            <w:pPr>
              <w:rPr>
                <w:rFonts w:ascii="Arial"/>
                <w:color w:val="auto"/>
                <w:sz w:val="21"/>
                <w:highlight w:val="none"/>
              </w:rPr>
            </w:pPr>
          </w:p>
        </w:tc>
        <w:tc>
          <w:tcPr>
            <w:tcW w:w="1026" w:type="dxa"/>
            <w:vAlign w:val="top"/>
          </w:tcPr>
          <w:p w14:paraId="07F02401">
            <w:pPr>
              <w:rPr>
                <w:rFonts w:ascii="Arial"/>
                <w:color w:val="auto"/>
                <w:sz w:val="21"/>
                <w:highlight w:val="none"/>
              </w:rPr>
            </w:pPr>
          </w:p>
        </w:tc>
        <w:tc>
          <w:tcPr>
            <w:tcW w:w="1026" w:type="dxa"/>
            <w:vAlign w:val="top"/>
          </w:tcPr>
          <w:p w14:paraId="7C073831">
            <w:pPr>
              <w:rPr>
                <w:rFonts w:ascii="Arial"/>
                <w:color w:val="auto"/>
                <w:sz w:val="21"/>
                <w:highlight w:val="none"/>
              </w:rPr>
            </w:pPr>
          </w:p>
        </w:tc>
        <w:tc>
          <w:tcPr>
            <w:tcW w:w="1237" w:type="dxa"/>
            <w:tcBorders>
              <w:right w:val="single" w:color="000000" w:sz="6" w:space="0"/>
            </w:tcBorders>
            <w:vAlign w:val="top"/>
          </w:tcPr>
          <w:p w14:paraId="718A77E2">
            <w:pPr>
              <w:rPr>
                <w:rFonts w:ascii="Arial"/>
                <w:color w:val="auto"/>
                <w:sz w:val="21"/>
                <w:highlight w:val="none"/>
              </w:rPr>
            </w:pPr>
          </w:p>
        </w:tc>
      </w:tr>
      <w:tr w14:paraId="61C2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74" w:type="dxa"/>
            <w:tcBorders>
              <w:left w:val="single" w:color="000000" w:sz="6" w:space="0"/>
            </w:tcBorders>
            <w:vAlign w:val="top"/>
          </w:tcPr>
          <w:p w14:paraId="7BD45DF3">
            <w:pPr>
              <w:pStyle w:val="23"/>
              <w:spacing w:before="207" w:line="265" w:lineRule="exact"/>
              <w:ind w:left="183"/>
              <w:rPr>
                <w:color w:val="auto"/>
                <w:highlight w:val="none"/>
              </w:rPr>
            </w:pPr>
            <w:r>
              <w:rPr>
                <w:color w:val="auto"/>
                <w:position w:val="1"/>
                <w:highlight w:val="none"/>
              </w:rPr>
              <w:t>2</w:t>
            </w:r>
          </w:p>
        </w:tc>
        <w:tc>
          <w:tcPr>
            <w:tcW w:w="1029" w:type="dxa"/>
            <w:vAlign w:val="top"/>
          </w:tcPr>
          <w:p w14:paraId="2A9B66EA">
            <w:pPr>
              <w:rPr>
                <w:rFonts w:ascii="Arial"/>
                <w:color w:val="auto"/>
                <w:sz w:val="21"/>
                <w:highlight w:val="none"/>
              </w:rPr>
            </w:pPr>
          </w:p>
        </w:tc>
        <w:tc>
          <w:tcPr>
            <w:tcW w:w="792" w:type="dxa"/>
            <w:vAlign w:val="top"/>
          </w:tcPr>
          <w:p w14:paraId="0769E2A4">
            <w:pPr>
              <w:rPr>
                <w:rFonts w:ascii="Arial"/>
                <w:color w:val="auto"/>
                <w:sz w:val="21"/>
                <w:highlight w:val="none"/>
              </w:rPr>
            </w:pPr>
          </w:p>
        </w:tc>
        <w:tc>
          <w:tcPr>
            <w:tcW w:w="696" w:type="dxa"/>
            <w:vAlign w:val="top"/>
          </w:tcPr>
          <w:p w14:paraId="4CAEFA7B">
            <w:pPr>
              <w:rPr>
                <w:rFonts w:ascii="Arial"/>
                <w:color w:val="auto"/>
                <w:sz w:val="21"/>
                <w:highlight w:val="none"/>
              </w:rPr>
            </w:pPr>
          </w:p>
        </w:tc>
        <w:tc>
          <w:tcPr>
            <w:tcW w:w="1068" w:type="dxa"/>
            <w:vAlign w:val="top"/>
          </w:tcPr>
          <w:p w14:paraId="68AEE434">
            <w:pPr>
              <w:rPr>
                <w:rFonts w:ascii="Arial"/>
                <w:color w:val="auto"/>
                <w:sz w:val="21"/>
                <w:highlight w:val="none"/>
              </w:rPr>
            </w:pPr>
          </w:p>
        </w:tc>
        <w:tc>
          <w:tcPr>
            <w:tcW w:w="943" w:type="dxa"/>
            <w:gridSpan w:val="2"/>
            <w:vAlign w:val="top"/>
          </w:tcPr>
          <w:p w14:paraId="27E34CE7">
            <w:pPr>
              <w:rPr>
                <w:rFonts w:ascii="Arial"/>
                <w:color w:val="auto"/>
                <w:sz w:val="21"/>
                <w:highlight w:val="none"/>
              </w:rPr>
            </w:pPr>
          </w:p>
        </w:tc>
        <w:tc>
          <w:tcPr>
            <w:tcW w:w="935" w:type="dxa"/>
            <w:vAlign w:val="top"/>
          </w:tcPr>
          <w:p w14:paraId="31D44AA7">
            <w:pPr>
              <w:rPr>
                <w:rFonts w:ascii="Arial"/>
                <w:color w:val="auto"/>
                <w:sz w:val="21"/>
                <w:highlight w:val="none"/>
              </w:rPr>
            </w:pPr>
          </w:p>
        </w:tc>
        <w:tc>
          <w:tcPr>
            <w:tcW w:w="1230" w:type="dxa"/>
            <w:vAlign w:val="top"/>
          </w:tcPr>
          <w:p w14:paraId="5EE4B024">
            <w:pPr>
              <w:rPr>
                <w:rFonts w:ascii="Arial"/>
                <w:color w:val="auto"/>
                <w:sz w:val="21"/>
                <w:highlight w:val="none"/>
              </w:rPr>
            </w:pPr>
          </w:p>
        </w:tc>
        <w:tc>
          <w:tcPr>
            <w:tcW w:w="1222" w:type="dxa"/>
            <w:vAlign w:val="top"/>
          </w:tcPr>
          <w:p w14:paraId="1A07F460">
            <w:pPr>
              <w:rPr>
                <w:rFonts w:ascii="Arial"/>
                <w:color w:val="auto"/>
                <w:sz w:val="21"/>
                <w:highlight w:val="none"/>
              </w:rPr>
            </w:pPr>
          </w:p>
        </w:tc>
        <w:tc>
          <w:tcPr>
            <w:tcW w:w="827" w:type="dxa"/>
            <w:vAlign w:val="top"/>
          </w:tcPr>
          <w:p w14:paraId="0D667F1F">
            <w:pPr>
              <w:rPr>
                <w:rFonts w:ascii="Arial"/>
                <w:color w:val="auto"/>
                <w:sz w:val="21"/>
                <w:highlight w:val="none"/>
              </w:rPr>
            </w:pPr>
          </w:p>
        </w:tc>
        <w:tc>
          <w:tcPr>
            <w:tcW w:w="682" w:type="dxa"/>
            <w:vAlign w:val="top"/>
          </w:tcPr>
          <w:p w14:paraId="6EB5BA03">
            <w:pPr>
              <w:rPr>
                <w:rFonts w:ascii="Arial"/>
                <w:color w:val="auto"/>
                <w:sz w:val="21"/>
                <w:highlight w:val="none"/>
              </w:rPr>
            </w:pPr>
          </w:p>
        </w:tc>
        <w:tc>
          <w:tcPr>
            <w:tcW w:w="1034" w:type="dxa"/>
            <w:vAlign w:val="top"/>
          </w:tcPr>
          <w:p w14:paraId="337E326F">
            <w:pPr>
              <w:rPr>
                <w:rFonts w:ascii="Arial"/>
                <w:color w:val="auto"/>
                <w:sz w:val="21"/>
                <w:highlight w:val="none"/>
              </w:rPr>
            </w:pPr>
          </w:p>
        </w:tc>
        <w:tc>
          <w:tcPr>
            <w:tcW w:w="1026" w:type="dxa"/>
            <w:vAlign w:val="top"/>
          </w:tcPr>
          <w:p w14:paraId="048C5A31">
            <w:pPr>
              <w:rPr>
                <w:rFonts w:ascii="Arial"/>
                <w:color w:val="auto"/>
                <w:sz w:val="21"/>
                <w:highlight w:val="none"/>
              </w:rPr>
            </w:pPr>
          </w:p>
        </w:tc>
        <w:tc>
          <w:tcPr>
            <w:tcW w:w="1026" w:type="dxa"/>
            <w:vAlign w:val="top"/>
          </w:tcPr>
          <w:p w14:paraId="4BA32354">
            <w:pPr>
              <w:rPr>
                <w:rFonts w:ascii="Arial"/>
                <w:color w:val="auto"/>
                <w:sz w:val="21"/>
                <w:highlight w:val="none"/>
              </w:rPr>
            </w:pPr>
          </w:p>
        </w:tc>
        <w:tc>
          <w:tcPr>
            <w:tcW w:w="1237" w:type="dxa"/>
            <w:tcBorders>
              <w:right w:val="single" w:color="000000" w:sz="6" w:space="0"/>
            </w:tcBorders>
            <w:vAlign w:val="top"/>
          </w:tcPr>
          <w:p w14:paraId="6B298406">
            <w:pPr>
              <w:rPr>
                <w:rFonts w:ascii="Arial"/>
                <w:color w:val="auto"/>
                <w:sz w:val="21"/>
                <w:highlight w:val="none"/>
              </w:rPr>
            </w:pPr>
          </w:p>
        </w:tc>
      </w:tr>
      <w:tr w14:paraId="2C9D2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689ED6A7">
            <w:pPr>
              <w:pStyle w:val="23"/>
              <w:spacing w:before="209" w:line="265" w:lineRule="exact"/>
              <w:ind w:left="184"/>
              <w:rPr>
                <w:color w:val="auto"/>
                <w:highlight w:val="none"/>
              </w:rPr>
            </w:pPr>
            <w:r>
              <w:rPr>
                <w:color w:val="auto"/>
                <w:position w:val="1"/>
                <w:highlight w:val="none"/>
              </w:rPr>
              <w:t>3</w:t>
            </w:r>
          </w:p>
        </w:tc>
        <w:tc>
          <w:tcPr>
            <w:tcW w:w="1029" w:type="dxa"/>
            <w:vAlign w:val="top"/>
          </w:tcPr>
          <w:p w14:paraId="50EE4D52">
            <w:pPr>
              <w:rPr>
                <w:rFonts w:ascii="Arial"/>
                <w:color w:val="auto"/>
                <w:sz w:val="21"/>
                <w:highlight w:val="none"/>
              </w:rPr>
            </w:pPr>
          </w:p>
        </w:tc>
        <w:tc>
          <w:tcPr>
            <w:tcW w:w="792" w:type="dxa"/>
            <w:vAlign w:val="top"/>
          </w:tcPr>
          <w:p w14:paraId="33A55A66">
            <w:pPr>
              <w:rPr>
                <w:rFonts w:ascii="Arial"/>
                <w:color w:val="auto"/>
                <w:sz w:val="21"/>
                <w:highlight w:val="none"/>
              </w:rPr>
            </w:pPr>
          </w:p>
        </w:tc>
        <w:tc>
          <w:tcPr>
            <w:tcW w:w="696" w:type="dxa"/>
            <w:vAlign w:val="top"/>
          </w:tcPr>
          <w:p w14:paraId="7859DA4D">
            <w:pPr>
              <w:rPr>
                <w:rFonts w:ascii="Arial"/>
                <w:color w:val="auto"/>
                <w:sz w:val="21"/>
                <w:highlight w:val="none"/>
              </w:rPr>
            </w:pPr>
          </w:p>
        </w:tc>
        <w:tc>
          <w:tcPr>
            <w:tcW w:w="1068" w:type="dxa"/>
            <w:vAlign w:val="top"/>
          </w:tcPr>
          <w:p w14:paraId="71A090CB">
            <w:pPr>
              <w:rPr>
                <w:rFonts w:ascii="Arial"/>
                <w:color w:val="auto"/>
                <w:sz w:val="21"/>
                <w:highlight w:val="none"/>
              </w:rPr>
            </w:pPr>
          </w:p>
        </w:tc>
        <w:tc>
          <w:tcPr>
            <w:tcW w:w="943" w:type="dxa"/>
            <w:gridSpan w:val="2"/>
            <w:vAlign w:val="top"/>
          </w:tcPr>
          <w:p w14:paraId="59331F37">
            <w:pPr>
              <w:rPr>
                <w:rFonts w:ascii="Arial"/>
                <w:color w:val="auto"/>
                <w:sz w:val="21"/>
                <w:highlight w:val="none"/>
              </w:rPr>
            </w:pPr>
          </w:p>
        </w:tc>
        <w:tc>
          <w:tcPr>
            <w:tcW w:w="935" w:type="dxa"/>
            <w:vAlign w:val="top"/>
          </w:tcPr>
          <w:p w14:paraId="350F184C">
            <w:pPr>
              <w:rPr>
                <w:rFonts w:ascii="Arial"/>
                <w:color w:val="auto"/>
                <w:sz w:val="21"/>
                <w:highlight w:val="none"/>
              </w:rPr>
            </w:pPr>
          </w:p>
        </w:tc>
        <w:tc>
          <w:tcPr>
            <w:tcW w:w="1230" w:type="dxa"/>
            <w:vAlign w:val="top"/>
          </w:tcPr>
          <w:p w14:paraId="06175518">
            <w:pPr>
              <w:rPr>
                <w:rFonts w:ascii="Arial"/>
                <w:color w:val="auto"/>
                <w:sz w:val="21"/>
                <w:highlight w:val="none"/>
              </w:rPr>
            </w:pPr>
          </w:p>
        </w:tc>
        <w:tc>
          <w:tcPr>
            <w:tcW w:w="1222" w:type="dxa"/>
            <w:vAlign w:val="top"/>
          </w:tcPr>
          <w:p w14:paraId="500D868F">
            <w:pPr>
              <w:rPr>
                <w:rFonts w:ascii="Arial"/>
                <w:color w:val="auto"/>
                <w:sz w:val="21"/>
                <w:highlight w:val="none"/>
              </w:rPr>
            </w:pPr>
          </w:p>
        </w:tc>
        <w:tc>
          <w:tcPr>
            <w:tcW w:w="827" w:type="dxa"/>
            <w:vAlign w:val="top"/>
          </w:tcPr>
          <w:p w14:paraId="48B7FC5E">
            <w:pPr>
              <w:rPr>
                <w:rFonts w:ascii="Arial"/>
                <w:color w:val="auto"/>
                <w:sz w:val="21"/>
                <w:highlight w:val="none"/>
              </w:rPr>
            </w:pPr>
          </w:p>
        </w:tc>
        <w:tc>
          <w:tcPr>
            <w:tcW w:w="682" w:type="dxa"/>
            <w:vAlign w:val="top"/>
          </w:tcPr>
          <w:p w14:paraId="26193920">
            <w:pPr>
              <w:rPr>
                <w:rFonts w:ascii="Arial"/>
                <w:color w:val="auto"/>
                <w:sz w:val="21"/>
                <w:highlight w:val="none"/>
              </w:rPr>
            </w:pPr>
          </w:p>
        </w:tc>
        <w:tc>
          <w:tcPr>
            <w:tcW w:w="1034" w:type="dxa"/>
            <w:vAlign w:val="top"/>
          </w:tcPr>
          <w:p w14:paraId="55BFB219">
            <w:pPr>
              <w:rPr>
                <w:rFonts w:ascii="Arial"/>
                <w:color w:val="auto"/>
                <w:sz w:val="21"/>
                <w:highlight w:val="none"/>
              </w:rPr>
            </w:pPr>
          </w:p>
        </w:tc>
        <w:tc>
          <w:tcPr>
            <w:tcW w:w="1026" w:type="dxa"/>
            <w:vAlign w:val="top"/>
          </w:tcPr>
          <w:p w14:paraId="674193D3">
            <w:pPr>
              <w:rPr>
                <w:rFonts w:ascii="Arial"/>
                <w:color w:val="auto"/>
                <w:sz w:val="21"/>
                <w:highlight w:val="none"/>
              </w:rPr>
            </w:pPr>
          </w:p>
        </w:tc>
        <w:tc>
          <w:tcPr>
            <w:tcW w:w="1026" w:type="dxa"/>
            <w:vAlign w:val="top"/>
          </w:tcPr>
          <w:p w14:paraId="4518D50A">
            <w:pPr>
              <w:rPr>
                <w:rFonts w:ascii="Arial"/>
                <w:color w:val="auto"/>
                <w:sz w:val="21"/>
                <w:highlight w:val="none"/>
              </w:rPr>
            </w:pPr>
          </w:p>
        </w:tc>
        <w:tc>
          <w:tcPr>
            <w:tcW w:w="1237" w:type="dxa"/>
            <w:tcBorders>
              <w:right w:val="single" w:color="000000" w:sz="6" w:space="0"/>
            </w:tcBorders>
            <w:vAlign w:val="top"/>
          </w:tcPr>
          <w:p w14:paraId="71277A41">
            <w:pPr>
              <w:rPr>
                <w:rFonts w:ascii="Arial"/>
                <w:color w:val="auto"/>
                <w:sz w:val="21"/>
                <w:highlight w:val="none"/>
              </w:rPr>
            </w:pPr>
          </w:p>
        </w:tc>
      </w:tr>
      <w:tr w14:paraId="351B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21C70043">
            <w:pPr>
              <w:pStyle w:val="23"/>
              <w:spacing w:before="209" w:line="265" w:lineRule="exact"/>
              <w:ind w:left="179"/>
              <w:rPr>
                <w:color w:val="auto"/>
                <w:highlight w:val="none"/>
              </w:rPr>
            </w:pPr>
            <w:r>
              <w:rPr>
                <w:color w:val="auto"/>
                <w:position w:val="1"/>
                <w:highlight w:val="none"/>
              </w:rPr>
              <w:t>4</w:t>
            </w:r>
          </w:p>
        </w:tc>
        <w:tc>
          <w:tcPr>
            <w:tcW w:w="1029" w:type="dxa"/>
            <w:vAlign w:val="top"/>
          </w:tcPr>
          <w:p w14:paraId="12F3E826">
            <w:pPr>
              <w:rPr>
                <w:rFonts w:ascii="Arial"/>
                <w:color w:val="auto"/>
                <w:sz w:val="21"/>
                <w:highlight w:val="none"/>
              </w:rPr>
            </w:pPr>
          </w:p>
        </w:tc>
        <w:tc>
          <w:tcPr>
            <w:tcW w:w="792" w:type="dxa"/>
            <w:vAlign w:val="top"/>
          </w:tcPr>
          <w:p w14:paraId="22F2D123">
            <w:pPr>
              <w:rPr>
                <w:rFonts w:ascii="Arial"/>
                <w:color w:val="auto"/>
                <w:sz w:val="21"/>
                <w:highlight w:val="none"/>
              </w:rPr>
            </w:pPr>
          </w:p>
        </w:tc>
        <w:tc>
          <w:tcPr>
            <w:tcW w:w="696" w:type="dxa"/>
            <w:vAlign w:val="top"/>
          </w:tcPr>
          <w:p w14:paraId="73B84946">
            <w:pPr>
              <w:rPr>
                <w:rFonts w:ascii="Arial"/>
                <w:color w:val="auto"/>
                <w:sz w:val="21"/>
                <w:highlight w:val="none"/>
              </w:rPr>
            </w:pPr>
          </w:p>
        </w:tc>
        <w:tc>
          <w:tcPr>
            <w:tcW w:w="1068" w:type="dxa"/>
            <w:vAlign w:val="top"/>
          </w:tcPr>
          <w:p w14:paraId="5B40D4A7">
            <w:pPr>
              <w:rPr>
                <w:rFonts w:ascii="Arial"/>
                <w:color w:val="auto"/>
                <w:sz w:val="21"/>
                <w:highlight w:val="none"/>
              </w:rPr>
            </w:pPr>
          </w:p>
        </w:tc>
        <w:tc>
          <w:tcPr>
            <w:tcW w:w="943" w:type="dxa"/>
            <w:gridSpan w:val="2"/>
            <w:vAlign w:val="top"/>
          </w:tcPr>
          <w:p w14:paraId="22870121">
            <w:pPr>
              <w:rPr>
                <w:rFonts w:ascii="Arial"/>
                <w:color w:val="auto"/>
                <w:sz w:val="21"/>
                <w:highlight w:val="none"/>
              </w:rPr>
            </w:pPr>
          </w:p>
        </w:tc>
        <w:tc>
          <w:tcPr>
            <w:tcW w:w="935" w:type="dxa"/>
            <w:vAlign w:val="top"/>
          </w:tcPr>
          <w:p w14:paraId="2B55984D">
            <w:pPr>
              <w:rPr>
                <w:rFonts w:ascii="Arial"/>
                <w:color w:val="auto"/>
                <w:sz w:val="21"/>
                <w:highlight w:val="none"/>
              </w:rPr>
            </w:pPr>
          </w:p>
        </w:tc>
        <w:tc>
          <w:tcPr>
            <w:tcW w:w="1230" w:type="dxa"/>
            <w:vAlign w:val="top"/>
          </w:tcPr>
          <w:p w14:paraId="18548A72">
            <w:pPr>
              <w:rPr>
                <w:rFonts w:ascii="Arial"/>
                <w:color w:val="auto"/>
                <w:sz w:val="21"/>
                <w:highlight w:val="none"/>
              </w:rPr>
            </w:pPr>
          </w:p>
        </w:tc>
        <w:tc>
          <w:tcPr>
            <w:tcW w:w="1222" w:type="dxa"/>
            <w:vAlign w:val="top"/>
          </w:tcPr>
          <w:p w14:paraId="11E29C04">
            <w:pPr>
              <w:rPr>
                <w:rFonts w:ascii="Arial"/>
                <w:color w:val="auto"/>
                <w:sz w:val="21"/>
                <w:highlight w:val="none"/>
              </w:rPr>
            </w:pPr>
          </w:p>
        </w:tc>
        <w:tc>
          <w:tcPr>
            <w:tcW w:w="827" w:type="dxa"/>
            <w:vAlign w:val="top"/>
          </w:tcPr>
          <w:p w14:paraId="65FC603B">
            <w:pPr>
              <w:rPr>
                <w:rFonts w:ascii="Arial"/>
                <w:color w:val="auto"/>
                <w:sz w:val="21"/>
                <w:highlight w:val="none"/>
              </w:rPr>
            </w:pPr>
          </w:p>
        </w:tc>
        <w:tc>
          <w:tcPr>
            <w:tcW w:w="682" w:type="dxa"/>
            <w:vAlign w:val="top"/>
          </w:tcPr>
          <w:p w14:paraId="759F406B">
            <w:pPr>
              <w:rPr>
                <w:rFonts w:ascii="Arial"/>
                <w:color w:val="auto"/>
                <w:sz w:val="21"/>
                <w:highlight w:val="none"/>
              </w:rPr>
            </w:pPr>
          </w:p>
        </w:tc>
        <w:tc>
          <w:tcPr>
            <w:tcW w:w="1034" w:type="dxa"/>
            <w:vAlign w:val="top"/>
          </w:tcPr>
          <w:p w14:paraId="3BE7A3D1">
            <w:pPr>
              <w:rPr>
                <w:rFonts w:ascii="Arial"/>
                <w:color w:val="auto"/>
                <w:sz w:val="21"/>
                <w:highlight w:val="none"/>
              </w:rPr>
            </w:pPr>
          </w:p>
        </w:tc>
        <w:tc>
          <w:tcPr>
            <w:tcW w:w="1026" w:type="dxa"/>
            <w:vAlign w:val="top"/>
          </w:tcPr>
          <w:p w14:paraId="0238A16E">
            <w:pPr>
              <w:rPr>
                <w:rFonts w:ascii="Arial"/>
                <w:color w:val="auto"/>
                <w:sz w:val="21"/>
                <w:highlight w:val="none"/>
              </w:rPr>
            </w:pPr>
          </w:p>
        </w:tc>
        <w:tc>
          <w:tcPr>
            <w:tcW w:w="1026" w:type="dxa"/>
            <w:vAlign w:val="top"/>
          </w:tcPr>
          <w:p w14:paraId="1F85A0BF">
            <w:pPr>
              <w:rPr>
                <w:rFonts w:ascii="Arial"/>
                <w:color w:val="auto"/>
                <w:sz w:val="21"/>
                <w:highlight w:val="none"/>
              </w:rPr>
            </w:pPr>
          </w:p>
        </w:tc>
        <w:tc>
          <w:tcPr>
            <w:tcW w:w="1237" w:type="dxa"/>
            <w:tcBorders>
              <w:right w:val="single" w:color="000000" w:sz="6" w:space="0"/>
            </w:tcBorders>
            <w:vAlign w:val="top"/>
          </w:tcPr>
          <w:p w14:paraId="4DE44C3D">
            <w:pPr>
              <w:rPr>
                <w:rFonts w:ascii="Arial"/>
                <w:color w:val="auto"/>
                <w:sz w:val="21"/>
                <w:highlight w:val="none"/>
              </w:rPr>
            </w:pPr>
          </w:p>
        </w:tc>
      </w:tr>
      <w:tr w14:paraId="3ED2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46359334">
            <w:pPr>
              <w:pStyle w:val="23"/>
              <w:spacing w:before="210" w:line="264" w:lineRule="exact"/>
              <w:ind w:left="184"/>
              <w:rPr>
                <w:color w:val="auto"/>
                <w:highlight w:val="none"/>
              </w:rPr>
            </w:pPr>
            <w:r>
              <w:rPr>
                <w:color w:val="auto"/>
                <w:position w:val="1"/>
                <w:highlight w:val="none"/>
              </w:rPr>
              <w:t>5</w:t>
            </w:r>
          </w:p>
        </w:tc>
        <w:tc>
          <w:tcPr>
            <w:tcW w:w="1029" w:type="dxa"/>
            <w:vAlign w:val="top"/>
          </w:tcPr>
          <w:p w14:paraId="210D971D">
            <w:pPr>
              <w:rPr>
                <w:rFonts w:ascii="Arial"/>
                <w:color w:val="auto"/>
                <w:sz w:val="21"/>
                <w:highlight w:val="none"/>
              </w:rPr>
            </w:pPr>
          </w:p>
        </w:tc>
        <w:tc>
          <w:tcPr>
            <w:tcW w:w="792" w:type="dxa"/>
            <w:vAlign w:val="top"/>
          </w:tcPr>
          <w:p w14:paraId="01E7916A">
            <w:pPr>
              <w:rPr>
                <w:rFonts w:ascii="Arial"/>
                <w:color w:val="auto"/>
                <w:sz w:val="21"/>
                <w:highlight w:val="none"/>
              </w:rPr>
            </w:pPr>
          </w:p>
        </w:tc>
        <w:tc>
          <w:tcPr>
            <w:tcW w:w="696" w:type="dxa"/>
            <w:vAlign w:val="top"/>
          </w:tcPr>
          <w:p w14:paraId="5C0C4815">
            <w:pPr>
              <w:rPr>
                <w:rFonts w:ascii="Arial"/>
                <w:color w:val="auto"/>
                <w:sz w:val="21"/>
                <w:highlight w:val="none"/>
              </w:rPr>
            </w:pPr>
          </w:p>
        </w:tc>
        <w:tc>
          <w:tcPr>
            <w:tcW w:w="1068" w:type="dxa"/>
            <w:vAlign w:val="top"/>
          </w:tcPr>
          <w:p w14:paraId="5C26AAE1">
            <w:pPr>
              <w:rPr>
                <w:rFonts w:ascii="Arial"/>
                <w:color w:val="auto"/>
                <w:sz w:val="21"/>
                <w:highlight w:val="none"/>
              </w:rPr>
            </w:pPr>
          </w:p>
        </w:tc>
        <w:tc>
          <w:tcPr>
            <w:tcW w:w="943" w:type="dxa"/>
            <w:gridSpan w:val="2"/>
            <w:vAlign w:val="top"/>
          </w:tcPr>
          <w:p w14:paraId="477591F4">
            <w:pPr>
              <w:rPr>
                <w:rFonts w:ascii="Arial"/>
                <w:color w:val="auto"/>
                <w:sz w:val="21"/>
                <w:highlight w:val="none"/>
              </w:rPr>
            </w:pPr>
          </w:p>
        </w:tc>
        <w:tc>
          <w:tcPr>
            <w:tcW w:w="935" w:type="dxa"/>
            <w:vAlign w:val="top"/>
          </w:tcPr>
          <w:p w14:paraId="181ECF94">
            <w:pPr>
              <w:rPr>
                <w:rFonts w:ascii="Arial"/>
                <w:color w:val="auto"/>
                <w:sz w:val="21"/>
                <w:highlight w:val="none"/>
              </w:rPr>
            </w:pPr>
          </w:p>
        </w:tc>
        <w:tc>
          <w:tcPr>
            <w:tcW w:w="1230" w:type="dxa"/>
            <w:vAlign w:val="top"/>
          </w:tcPr>
          <w:p w14:paraId="35DBE468">
            <w:pPr>
              <w:rPr>
                <w:rFonts w:ascii="Arial"/>
                <w:color w:val="auto"/>
                <w:sz w:val="21"/>
                <w:highlight w:val="none"/>
              </w:rPr>
            </w:pPr>
          </w:p>
        </w:tc>
        <w:tc>
          <w:tcPr>
            <w:tcW w:w="1222" w:type="dxa"/>
            <w:vAlign w:val="top"/>
          </w:tcPr>
          <w:p w14:paraId="6F0A4D26">
            <w:pPr>
              <w:rPr>
                <w:rFonts w:ascii="Arial"/>
                <w:color w:val="auto"/>
                <w:sz w:val="21"/>
                <w:highlight w:val="none"/>
              </w:rPr>
            </w:pPr>
          </w:p>
        </w:tc>
        <w:tc>
          <w:tcPr>
            <w:tcW w:w="827" w:type="dxa"/>
            <w:vAlign w:val="top"/>
          </w:tcPr>
          <w:p w14:paraId="7A0FE1E2">
            <w:pPr>
              <w:rPr>
                <w:rFonts w:ascii="Arial"/>
                <w:color w:val="auto"/>
                <w:sz w:val="21"/>
                <w:highlight w:val="none"/>
              </w:rPr>
            </w:pPr>
          </w:p>
        </w:tc>
        <w:tc>
          <w:tcPr>
            <w:tcW w:w="682" w:type="dxa"/>
            <w:vAlign w:val="top"/>
          </w:tcPr>
          <w:p w14:paraId="5FB47C73">
            <w:pPr>
              <w:rPr>
                <w:rFonts w:ascii="Arial"/>
                <w:color w:val="auto"/>
                <w:sz w:val="21"/>
                <w:highlight w:val="none"/>
              </w:rPr>
            </w:pPr>
          </w:p>
        </w:tc>
        <w:tc>
          <w:tcPr>
            <w:tcW w:w="1034" w:type="dxa"/>
            <w:vAlign w:val="top"/>
          </w:tcPr>
          <w:p w14:paraId="325A919A">
            <w:pPr>
              <w:rPr>
                <w:rFonts w:ascii="Arial"/>
                <w:color w:val="auto"/>
                <w:sz w:val="21"/>
                <w:highlight w:val="none"/>
              </w:rPr>
            </w:pPr>
          </w:p>
        </w:tc>
        <w:tc>
          <w:tcPr>
            <w:tcW w:w="1026" w:type="dxa"/>
            <w:vAlign w:val="top"/>
          </w:tcPr>
          <w:p w14:paraId="6434C308">
            <w:pPr>
              <w:rPr>
                <w:rFonts w:ascii="Arial"/>
                <w:color w:val="auto"/>
                <w:sz w:val="21"/>
                <w:highlight w:val="none"/>
              </w:rPr>
            </w:pPr>
          </w:p>
        </w:tc>
        <w:tc>
          <w:tcPr>
            <w:tcW w:w="1026" w:type="dxa"/>
            <w:vAlign w:val="top"/>
          </w:tcPr>
          <w:p w14:paraId="64318191">
            <w:pPr>
              <w:rPr>
                <w:rFonts w:ascii="Arial"/>
                <w:color w:val="auto"/>
                <w:sz w:val="21"/>
                <w:highlight w:val="none"/>
              </w:rPr>
            </w:pPr>
          </w:p>
        </w:tc>
        <w:tc>
          <w:tcPr>
            <w:tcW w:w="1237" w:type="dxa"/>
            <w:tcBorders>
              <w:right w:val="single" w:color="000000" w:sz="6" w:space="0"/>
            </w:tcBorders>
            <w:vAlign w:val="top"/>
          </w:tcPr>
          <w:p w14:paraId="3CDD0AF8">
            <w:pPr>
              <w:rPr>
                <w:rFonts w:ascii="Arial"/>
                <w:color w:val="auto"/>
                <w:sz w:val="21"/>
                <w:highlight w:val="none"/>
              </w:rPr>
            </w:pPr>
          </w:p>
        </w:tc>
      </w:tr>
      <w:tr w14:paraId="6FCD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2EFF28EA">
            <w:pPr>
              <w:pStyle w:val="23"/>
              <w:spacing w:before="210" w:line="264" w:lineRule="exact"/>
              <w:ind w:left="182"/>
              <w:rPr>
                <w:color w:val="auto"/>
                <w:highlight w:val="none"/>
              </w:rPr>
            </w:pPr>
            <w:r>
              <w:rPr>
                <w:color w:val="auto"/>
                <w:position w:val="1"/>
                <w:highlight w:val="none"/>
              </w:rPr>
              <w:t>6</w:t>
            </w:r>
          </w:p>
        </w:tc>
        <w:tc>
          <w:tcPr>
            <w:tcW w:w="1029" w:type="dxa"/>
            <w:vAlign w:val="top"/>
          </w:tcPr>
          <w:p w14:paraId="044370FA">
            <w:pPr>
              <w:rPr>
                <w:rFonts w:ascii="Arial"/>
                <w:color w:val="auto"/>
                <w:sz w:val="21"/>
                <w:highlight w:val="none"/>
              </w:rPr>
            </w:pPr>
          </w:p>
        </w:tc>
        <w:tc>
          <w:tcPr>
            <w:tcW w:w="792" w:type="dxa"/>
            <w:vAlign w:val="top"/>
          </w:tcPr>
          <w:p w14:paraId="1B423412">
            <w:pPr>
              <w:rPr>
                <w:rFonts w:ascii="Arial"/>
                <w:color w:val="auto"/>
                <w:sz w:val="21"/>
                <w:highlight w:val="none"/>
              </w:rPr>
            </w:pPr>
          </w:p>
        </w:tc>
        <w:tc>
          <w:tcPr>
            <w:tcW w:w="696" w:type="dxa"/>
            <w:vAlign w:val="top"/>
          </w:tcPr>
          <w:p w14:paraId="7130A0F0">
            <w:pPr>
              <w:rPr>
                <w:rFonts w:ascii="Arial"/>
                <w:color w:val="auto"/>
                <w:sz w:val="21"/>
                <w:highlight w:val="none"/>
              </w:rPr>
            </w:pPr>
          </w:p>
        </w:tc>
        <w:tc>
          <w:tcPr>
            <w:tcW w:w="1068" w:type="dxa"/>
            <w:vAlign w:val="top"/>
          </w:tcPr>
          <w:p w14:paraId="0EDFA230">
            <w:pPr>
              <w:rPr>
                <w:rFonts w:ascii="Arial"/>
                <w:color w:val="auto"/>
                <w:sz w:val="21"/>
                <w:highlight w:val="none"/>
              </w:rPr>
            </w:pPr>
          </w:p>
        </w:tc>
        <w:tc>
          <w:tcPr>
            <w:tcW w:w="943" w:type="dxa"/>
            <w:gridSpan w:val="2"/>
            <w:vAlign w:val="top"/>
          </w:tcPr>
          <w:p w14:paraId="35F5EAAF">
            <w:pPr>
              <w:rPr>
                <w:rFonts w:ascii="Arial"/>
                <w:color w:val="auto"/>
                <w:sz w:val="21"/>
                <w:highlight w:val="none"/>
              </w:rPr>
            </w:pPr>
          </w:p>
        </w:tc>
        <w:tc>
          <w:tcPr>
            <w:tcW w:w="935" w:type="dxa"/>
            <w:vAlign w:val="top"/>
          </w:tcPr>
          <w:p w14:paraId="2A3149CE">
            <w:pPr>
              <w:rPr>
                <w:rFonts w:ascii="Arial"/>
                <w:color w:val="auto"/>
                <w:sz w:val="21"/>
                <w:highlight w:val="none"/>
              </w:rPr>
            </w:pPr>
          </w:p>
        </w:tc>
        <w:tc>
          <w:tcPr>
            <w:tcW w:w="1230" w:type="dxa"/>
            <w:vAlign w:val="top"/>
          </w:tcPr>
          <w:p w14:paraId="3D844A02">
            <w:pPr>
              <w:rPr>
                <w:rFonts w:ascii="Arial"/>
                <w:color w:val="auto"/>
                <w:sz w:val="21"/>
                <w:highlight w:val="none"/>
              </w:rPr>
            </w:pPr>
          </w:p>
        </w:tc>
        <w:tc>
          <w:tcPr>
            <w:tcW w:w="1222" w:type="dxa"/>
            <w:vAlign w:val="top"/>
          </w:tcPr>
          <w:p w14:paraId="45DE202E">
            <w:pPr>
              <w:rPr>
                <w:rFonts w:ascii="Arial"/>
                <w:color w:val="auto"/>
                <w:sz w:val="21"/>
                <w:highlight w:val="none"/>
              </w:rPr>
            </w:pPr>
          </w:p>
        </w:tc>
        <w:tc>
          <w:tcPr>
            <w:tcW w:w="827" w:type="dxa"/>
            <w:vAlign w:val="top"/>
          </w:tcPr>
          <w:p w14:paraId="17D06F32">
            <w:pPr>
              <w:rPr>
                <w:rFonts w:ascii="Arial"/>
                <w:color w:val="auto"/>
                <w:sz w:val="21"/>
                <w:highlight w:val="none"/>
              </w:rPr>
            </w:pPr>
          </w:p>
        </w:tc>
        <w:tc>
          <w:tcPr>
            <w:tcW w:w="682" w:type="dxa"/>
            <w:vAlign w:val="top"/>
          </w:tcPr>
          <w:p w14:paraId="107182A2">
            <w:pPr>
              <w:rPr>
                <w:rFonts w:ascii="Arial"/>
                <w:color w:val="auto"/>
                <w:sz w:val="21"/>
                <w:highlight w:val="none"/>
              </w:rPr>
            </w:pPr>
          </w:p>
        </w:tc>
        <w:tc>
          <w:tcPr>
            <w:tcW w:w="1034" w:type="dxa"/>
            <w:vAlign w:val="top"/>
          </w:tcPr>
          <w:p w14:paraId="468AF8CD">
            <w:pPr>
              <w:rPr>
                <w:rFonts w:ascii="Arial"/>
                <w:color w:val="auto"/>
                <w:sz w:val="21"/>
                <w:highlight w:val="none"/>
              </w:rPr>
            </w:pPr>
          </w:p>
        </w:tc>
        <w:tc>
          <w:tcPr>
            <w:tcW w:w="1026" w:type="dxa"/>
            <w:vAlign w:val="top"/>
          </w:tcPr>
          <w:p w14:paraId="467E3CCB">
            <w:pPr>
              <w:rPr>
                <w:rFonts w:ascii="Arial"/>
                <w:color w:val="auto"/>
                <w:sz w:val="21"/>
                <w:highlight w:val="none"/>
              </w:rPr>
            </w:pPr>
          </w:p>
        </w:tc>
        <w:tc>
          <w:tcPr>
            <w:tcW w:w="1026" w:type="dxa"/>
            <w:vAlign w:val="top"/>
          </w:tcPr>
          <w:p w14:paraId="24180304">
            <w:pPr>
              <w:rPr>
                <w:rFonts w:ascii="Arial"/>
                <w:color w:val="auto"/>
                <w:sz w:val="21"/>
                <w:highlight w:val="none"/>
              </w:rPr>
            </w:pPr>
          </w:p>
        </w:tc>
        <w:tc>
          <w:tcPr>
            <w:tcW w:w="1237" w:type="dxa"/>
            <w:tcBorders>
              <w:right w:val="single" w:color="000000" w:sz="6" w:space="0"/>
            </w:tcBorders>
            <w:vAlign w:val="top"/>
          </w:tcPr>
          <w:p w14:paraId="6E3B68C2">
            <w:pPr>
              <w:rPr>
                <w:rFonts w:ascii="Arial"/>
                <w:color w:val="auto"/>
                <w:sz w:val="21"/>
                <w:highlight w:val="none"/>
              </w:rPr>
            </w:pPr>
          </w:p>
        </w:tc>
      </w:tr>
      <w:tr w14:paraId="5D31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76782313">
            <w:pPr>
              <w:pStyle w:val="23"/>
              <w:spacing w:before="211" w:line="242" w:lineRule="auto"/>
              <w:ind w:left="141"/>
              <w:rPr>
                <w:color w:val="auto"/>
                <w:highlight w:val="none"/>
              </w:rPr>
            </w:pPr>
            <w:r>
              <w:rPr>
                <w:color w:val="auto"/>
                <w:highlight w:val="none"/>
              </w:rPr>
              <w:t>…</w:t>
            </w:r>
          </w:p>
        </w:tc>
        <w:tc>
          <w:tcPr>
            <w:tcW w:w="1029" w:type="dxa"/>
            <w:vAlign w:val="top"/>
          </w:tcPr>
          <w:p w14:paraId="729291BC">
            <w:pPr>
              <w:rPr>
                <w:rFonts w:ascii="Arial"/>
                <w:color w:val="auto"/>
                <w:sz w:val="21"/>
                <w:highlight w:val="none"/>
              </w:rPr>
            </w:pPr>
          </w:p>
        </w:tc>
        <w:tc>
          <w:tcPr>
            <w:tcW w:w="792" w:type="dxa"/>
            <w:vAlign w:val="top"/>
          </w:tcPr>
          <w:p w14:paraId="6B3C13BE">
            <w:pPr>
              <w:rPr>
                <w:rFonts w:ascii="Arial"/>
                <w:color w:val="auto"/>
                <w:sz w:val="21"/>
                <w:highlight w:val="none"/>
              </w:rPr>
            </w:pPr>
          </w:p>
        </w:tc>
        <w:tc>
          <w:tcPr>
            <w:tcW w:w="696" w:type="dxa"/>
            <w:vAlign w:val="top"/>
          </w:tcPr>
          <w:p w14:paraId="1D782D11">
            <w:pPr>
              <w:rPr>
                <w:rFonts w:ascii="Arial"/>
                <w:color w:val="auto"/>
                <w:sz w:val="21"/>
                <w:highlight w:val="none"/>
              </w:rPr>
            </w:pPr>
          </w:p>
        </w:tc>
        <w:tc>
          <w:tcPr>
            <w:tcW w:w="1068" w:type="dxa"/>
            <w:vAlign w:val="top"/>
          </w:tcPr>
          <w:p w14:paraId="2B803C3F">
            <w:pPr>
              <w:rPr>
                <w:rFonts w:ascii="Arial"/>
                <w:color w:val="auto"/>
                <w:sz w:val="21"/>
                <w:highlight w:val="none"/>
              </w:rPr>
            </w:pPr>
          </w:p>
        </w:tc>
        <w:tc>
          <w:tcPr>
            <w:tcW w:w="943" w:type="dxa"/>
            <w:gridSpan w:val="2"/>
            <w:vAlign w:val="top"/>
          </w:tcPr>
          <w:p w14:paraId="5655BA47">
            <w:pPr>
              <w:rPr>
                <w:rFonts w:ascii="Arial"/>
                <w:color w:val="auto"/>
                <w:sz w:val="21"/>
                <w:highlight w:val="none"/>
              </w:rPr>
            </w:pPr>
          </w:p>
        </w:tc>
        <w:tc>
          <w:tcPr>
            <w:tcW w:w="935" w:type="dxa"/>
            <w:vAlign w:val="top"/>
          </w:tcPr>
          <w:p w14:paraId="31DE044B">
            <w:pPr>
              <w:rPr>
                <w:rFonts w:ascii="Arial"/>
                <w:color w:val="auto"/>
                <w:sz w:val="21"/>
                <w:highlight w:val="none"/>
              </w:rPr>
            </w:pPr>
          </w:p>
        </w:tc>
        <w:tc>
          <w:tcPr>
            <w:tcW w:w="1230" w:type="dxa"/>
            <w:vAlign w:val="top"/>
          </w:tcPr>
          <w:p w14:paraId="4F189815">
            <w:pPr>
              <w:rPr>
                <w:rFonts w:ascii="Arial"/>
                <w:color w:val="auto"/>
                <w:sz w:val="21"/>
                <w:highlight w:val="none"/>
              </w:rPr>
            </w:pPr>
          </w:p>
        </w:tc>
        <w:tc>
          <w:tcPr>
            <w:tcW w:w="1222" w:type="dxa"/>
            <w:vAlign w:val="top"/>
          </w:tcPr>
          <w:p w14:paraId="19E7B35D">
            <w:pPr>
              <w:rPr>
                <w:rFonts w:ascii="Arial"/>
                <w:color w:val="auto"/>
                <w:sz w:val="21"/>
                <w:highlight w:val="none"/>
              </w:rPr>
            </w:pPr>
          </w:p>
        </w:tc>
        <w:tc>
          <w:tcPr>
            <w:tcW w:w="827" w:type="dxa"/>
            <w:vAlign w:val="top"/>
          </w:tcPr>
          <w:p w14:paraId="1C53D8D2">
            <w:pPr>
              <w:rPr>
                <w:rFonts w:ascii="Arial"/>
                <w:color w:val="auto"/>
                <w:sz w:val="21"/>
                <w:highlight w:val="none"/>
              </w:rPr>
            </w:pPr>
          </w:p>
        </w:tc>
        <w:tc>
          <w:tcPr>
            <w:tcW w:w="682" w:type="dxa"/>
            <w:vAlign w:val="top"/>
          </w:tcPr>
          <w:p w14:paraId="20541D5A">
            <w:pPr>
              <w:rPr>
                <w:rFonts w:ascii="Arial"/>
                <w:color w:val="auto"/>
                <w:sz w:val="21"/>
                <w:highlight w:val="none"/>
              </w:rPr>
            </w:pPr>
          </w:p>
        </w:tc>
        <w:tc>
          <w:tcPr>
            <w:tcW w:w="1034" w:type="dxa"/>
            <w:vAlign w:val="top"/>
          </w:tcPr>
          <w:p w14:paraId="28689A7B">
            <w:pPr>
              <w:rPr>
                <w:rFonts w:ascii="Arial"/>
                <w:color w:val="auto"/>
                <w:sz w:val="21"/>
                <w:highlight w:val="none"/>
              </w:rPr>
            </w:pPr>
          </w:p>
        </w:tc>
        <w:tc>
          <w:tcPr>
            <w:tcW w:w="1026" w:type="dxa"/>
            <w:vAlign w:val="top"/>
          </w:tcPr>
          <w:p w14:paraId="650ECCA8">
            <w:pPr>
              <w:rPr>
                <w:rFonts w:ascii="Arial"/>
                <w:color w:val="auto"/>
                <w:sz w:val="21"/>
                <w:highlight w:val="none"/>
              </w:rPr>
            </w:pPr>
          </w:p>
        </w:tc>
        <w:tc>
          <w:tcPr>
            <w:tcW w:w="1026" w:type="dxa"/>
            <w:vAlign w:val="top"/>
          </w:tcPr>
          <w:p w14:paraId="55560889">
            <w:pPr>
              <w:rPr>
                <w:rFonts w:ascii="Arial"/>
                <w:color w:val="auto"/>
                <w:sz w:val="21"/>
                <w:highlight w:val="none"/>
              </w:rPr>
            </w:pPr>
          </w:p>
        </w:tc>
        <w:tc>
          <w:tcPr>
            <w:tcW w:w="1237" w:type="dxa"/>
            <w:tcBorders>
              <w:right w:val="single" w:color="000000" w:sz="6" w:space="0"/>
            </w:tcBorders>
            <w:vAlign w:val="top"/>
          </w:tcPr>
          <w:p w14:paraId="2BEBA274">
            <w:pPr>
              <w:rPr>
                <w:rFonts w:ascii="Arial"/>
                <w:color w:val="auto"/>
                <w:sz w:val="21"/>
                <w:highlight w:val="none"/>
              </w:rPr>
            </w:pPr>
          </w:p>
        </w:tc>
      </w:tr>
      <w:tr w14:paraId="0A7B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74" w:type="dxa"/>
            <w:tcBorders>
              <w:left w:val="single" w:color="000000" w:sz="6" w:space="0"/>
              <w:bottom w:val="single" w:color="000000" w:sz="6" w:space="0"/>
              <w:right w:val="nil"/>
            </w:tcBorders>
            <w:vAlign w:val="top"/>
          </w:tcPr>
          <w:p w14:paraId="16D419B4">
            <w:pPr>
              <w:rPr>
                <w:rFonts w:ascii="Arial"/>
                <w:color w:val="auto"/>
                <w:sz w:val="21"/>
                <w:highlight w:val="none"/>
              </w:rPr>
            </w:pPr>
          </w:p>
        </w:tc>
        <w:tc>
          <w:tcPr>
            <w:tcW w:w="3605" w:type="dxa"/>
            <w:gridSpan w:val="5"/>
            <w:tcBorders>
              <w:left w:val="nil"/>
              <w:bottom w:val="single" w:color="000000" w:sz="6" w:space="0"/>
            </w:tcBorders>
            <w:vAlign w:val="top"/>
          </w:tcPr>
          <w:p w14:paraId="35CC3F36">
            <w:pPr>
              <w:pStyle w:val="23"/>
              <w:spacing w:before="214" w:line="228" w:lineRule="auto"/>
              <w:ind w:left="996"/>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923" w:type="dxa"/>
            <w:tcBorders>
              <w:bottom w:val="single" w:color="000000" w:sz="6" w:space="0"/>
            </w:tcBorders>
            <w:vAlign w:val="top"/>
          </w:tcPr>
          <w:p w14:paraId="73E4BE9E">
            <w:pPr>
              <w:rPr>
                <w:rFonts w:ascii="Arial"/>
                <w:color w:val="auto"/>
                <w:sz w:val="21"/>
                <w:highlight w:val="none"/>
              </w:rPr>
            </w:pPr>
          </w:p>
        </w:tc>
        <w:tc>
          <w:tcPr>
            <w:tcW w:w="935" w:type="dxa"/>
            <w:tcBorders>
              <w:bottom w:val="single" w:color="000000" w:sz="6" w:space="0"/>
            </w:tcBorders>
            <w:vAlign w:val="top"/>
          </w:tcPr>
          <w:p w14:paraId="53046E81">
            <w:pPr>
              <w:rPr>
                <w:rFonts w:ascii="Arial"/>
                <w:color w:val="auto"/>
                <w:sz w:val="21"/>
                <w:highlight w:val="none"/>
              </w:rPr>
            </w:pPr>
          </w:p>
        </w:tc>
        <w:tc>
          <w:tcPr>
            <w:tcW w:w="1230" w:type="dxa"/>
            <w:tcBorders>
              <w:bottom w:val="single" w:color="000000" w:sz="6" w:space="0"/>
            </w:tcBorders>
            <w:vAlign w:val="top"/>
          </w:tcPr>
          <w:p w14:paraId="2C841C52">
            <w:pPr>
              <w:rPr>
                <w:rFonts w:ascii="Arial"/>
                <w:color w:val="auto"/>
                <w:sz w:val="21"/>
                <w:highlight w:val="none"/>
              </w:rPr>
            </w:pPr>
          </w:p>
        </w:tc>
        <w:tc>
          <w:tcPr>
            <w:tcW w:w="3765" w:type="dxa"/>
            <w:gridSpan w:val="4"/>
            <w:tcBorders>
              <w:bottom w:val="single" w:color="000000" w:sz="6" w:space="0"/>
            </w:tcBorders>
            <w:vAlign w:val="top"/>
          </w:tcPr>
          <w:p w14:paraId="60B89187">
            <w:pPr>
              <w:pStyle w:val="23"/>
              <w:spacing w:before="214" w:line="228" w:lineRule="auto"/>
              <w:ind w:left="1313"/>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26" w:type="dxa"/>
            <w:tcBorders>
              <w:bottom w:val="single" w:color="000000" w:sz="6" w:space="0"/>
            </w:tcBorders>
            <w:vAlign w:val="top"/>
          </w:tcPr>
          <w:p w14:paraId="09A443B4">
            <w:pPr>
              <w:rPr>
                <w:rFonts w:ascii="Arial"/>
                <w:color w:val="auto"/>
                <w:sz w:val="21"/>
                <w:highlight w:val="none"/>
              </w:rPr>
            </w:pPr>
          </w:p>
        </w:tc>
        <w:tc>
          <w:tcPr>
            <w:tcW w:w="1026" w:type="dxa"/>
            <w:tcBorders>
              <w:bottom w:val="single" w:color="000000" w:sz="6" w:space="0"/>
            </w:tcBorders>
            <w:vAlign w:val="top"/>
          </w:tcPr>
          <w:p w14:paraId="38F868D5">
            <w:pPr>
              <w:rPr>
                <w:rFonts w:ascii="Arial"/>
                <w:color w:val="auto"/>
                <w:sz w:val="21"/>
                <w:highlight w:val="none"/>
              </w:rPr>
            </w:pPr>
          </w:p>
        </w:tc>
        <w:tc>
          <w:tcPr>
            <w:tcW w:w="1237" w:type="dxa"/>
            <w:tcBorders>
              <w:bottom w:val="single" w:color="000000" w:sz="6" w:space="0"/>
              <w:right w:val="single" w:color="000000" w:sz="6" w:space="0"/>
            </w:tcBorders>
            <w:vAlign w:val="top"/>
          </w:tcPr>
          <w:p w14:paraId="1FC1E340">
            <w:pPr>
              <w:rPr>
                <w:rFonts w:ascii="Arial"/>
                <w:color w:val="auto"/>
                <w:sz w:val="21"/>
                <w:highlight w:val="none"/>
              </w:rPr>
            </w:pPr>
          </w:p>
        </w:tc>
      </w:tr>
    </w:tbl>
    <w:p w14:paraId="2E204207">
      <w:pPr>
        <w:rPr>
          <w:rFonts w:ascii="Arial"/>
          <w:color w:val="auto"/>
          <w:sz w:val="21"/>
          <w:highlight w:val="none"/>
        </w:rPr>
      </w:pPr>
    </w:p>
    <w:p w14:paraId="4D1D1EA0">
      <w:pPr>
        <w:rPr>
          <w:rFonts w:ascii="Arial" w:hAnsi="Arial" w:eastAsia="Arial" w:cs="Arial"/>
          <w:color w:val="auto"/>
          <w:sz w:val="21"/>
          <w:szCs w:val="21"/>
          <w:highlight w:val="none"/>
        </w:rPr>
        <w:sectPr>
          <w:footerReference r:id="rId69" w:type="default"/>
          <w:pgSz w:w="16839" w:h="11906"/>
          <w:pgMar w:top="1012" w:right="1301" w:bottom="1297" w:left="1300" w:header="0" w:footer="1067" w:gutter="0"/>
          <w:pgNumType w:fmt="decimal"/>
          <w:cols w:space="720" w:num="1"/>
        </w:sectPr>
      </w:pPr>
    </w:p>
    <w:p w14:paraId="67A6DE6B">
      <w:pPr>
        <w:spacing w:line="353" w:lineRule="auto"/>
        <w:rPr>
          <w:rFonts w:ascii="Arial"/>
          <w:color w:val="auto"/>
          <w:sz w:val="21"/>
          <w:highlight w:val="none"/>
        </w:rPr>
      </w:pPr>
    </w:p>
    <w:p w14:paraId="40A7A21F">
      <w:pPr>
        <w:spacing w:before="91" w:line="212" w:lineRule="auto"/>
        <w:ind w:left="491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2"/>
          <w:sz w:val="28"/>
          <w:szCs w:val="28"/>
          <w:highlight w:val="none"/>
        </w:rPr>
        <w:t xml:space="preserve"> </w:t>
      </w:r>
      <w:r>
        <w:rPr>
          <w:rFonts w:ascii="宋体" w:hAnsi="宋体" w:eastAsia="宋体" w:cs="宋体"/>
          <w:b/>
          <w:bCs/>
          <w:color w:val="auto"/>
          <w:spacing w:val="-4"/>
          <w:sz w:val="28"/>
          <w:szCs w:val="28"/>
          <w:highlight w:val="none"/>
        </w:rPr>
        <w:t>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监理工程师生活设施费报价表</w:t>
      </w:r>
    </w:p>
    <w:tbl>
      <w:tblPr>
        <w:tblStyle w:val="22"/>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396"/>
        <w:gridCol w:w="753"/>
        <w:gridCol w:w="989"/>
        <w:gridCol w:w="966"/>
        <w:gridCol w:w="1009"/>
        <w:gridCol w:w="1497"/>
        <w:gridCol w:w="1491"/>
        <w:gridCol w:w="827"/>
        <w:gridCol w:w="1071"/>
        <w:gridCol w:w="1040"/>
        <w:gridCol w:w="1040"/>
        <w:gridCol w:w="1507"/>
      </w:tblGrid>
      <w:tr w14:paraId="31FA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35" w:type="dxa"/>
            <w:vMerge w:val="restart"/>
            <w:tcBorders>
              <w:top w:val="single" w:color="000000" w:sz="6" w:space="0"/>
              <w:left w:val="single" w:color="000000" w:sz="6" w:space="0"/>
              <w:bottom w:val="nil"/>
            </w:tcBorders>
            <w:textDirection w:val="tbRlV"/>
            <w:vAlign w:val="top"/>
          </w:tcPr>
          <w:p w14:paraId="469132F8">
            <w:pPr>
              <w:pStyle w:val="23"/>
              <w:spacing w:before="214"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610" w:type="dxa"/>
            <w:gridSpan w:val="6"/>
            <w:tcBorders>
              <w:top w:val="single" w:color="000000" w:sz="6" w:space="0"/>
            </w:tcBorders>
            <w:vAlign w:val="top"/>
          </w:tcPr>
          <w:p w14:paraId="6366697E">
            <w:pPr>
              <w:pStyle w:val="23"/>
              <w:spacing w:before="194" w:line="228" w:lineRule="auto"/>
              <w:ind w:left="2991"/>
              <w:rPr>
                <w:color w:val="auto"/>
                <w:highlight w:val="none"/>
              </w:rPr>
            </w:pPr>
            <w:r>
              <w:rPr>
                <w:color w:val="auto"/>
                <w:spacing w:val="7"/>
                <w:highlight w:val="none"/>
              </w:rPr>
              <w:t>施工期</w:t>
            </w:r>
          </w:p>
        </w:tc>
        <w:tc>
          <w:tcPr>
            <w:tcW w:w="6976" w:type="dxa"/>
            <w:gridSpan w:val="6"/>
            <w:tcBorders>
              <w:top w:val="single" w:color="000000" w:sz="6" w:space="0"/>
              <w:right w:val="single" w:color="000000" w:sz="6" w:space="0"/>
            </w:tcBorders>
            <w:vAlign w:val="top"/>
          </w:tcPr>
          <w:p w14:paraId="5395630F">
            <w:pPr>
              <w:pStyle w:val="23"/>
              <w:spacing w:before="193" w:line="228" w:lineRule="auto"/>
              <w:ind w:left="2967"/>
              <w:rPr>
                <w:color w:val="auto"/>
                <w:highlight w:val="none"/>
              </w:rPr>
            </w:pPr>
            <w:r>
              <w:rPr>
                <w:color w:val="auto"/>
                <w:spacing w:val="8"/>
                <w:highlight w:val="none"/>
              </w:rPr>
              <w:t>缺陷责任期</w:t>
            </w:r>
          </w:p>
        </w:tc>
      </w:tr>
      <w:tr w14:paraId="728FB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35" w:type="dxa"/>
            <w:vMerge w:val="continue"/>
            <w:tcBorders>
              <w:top w:val="nil"/>
              <w:left w:val="single" w:color="000000" w:sz="6" w:space="0"/>
            </w:tcBorders>
            <w:textDirection w:val="tbRlV"/>
            <w:vAlign w:val="top"/>
          </w:tcPr>
          <w:p w14:paraId="0AEBCB7D">
            <w:pPr>
              <w:rPr>
                <w:rFonts w:ascii="Arial"/>
                <w:color w:val="auto"/>
                <w:sz w:val="21"/>
                <w:highlight w:val="none"/>
              </w:rPr>
            </w:pPr>
          </w:p>
        </w:tc>
        <w:tc>
          <w:tcPr>
            <w:tcW w:w="1396" w:type="dxa"/>
            <w:vAlign w:val="top"/>
          </w:tcPr>
          <w:p w14:paraId="54F25056">
            <w:pPr>
              <w:spacing w:line="251" w:lineRule="auto"/>
              <w:rPr>
                <w:rFonts w:ascii="Arial"/>
                <w:color w:val="auto"/>
                <w:sz w:val="21"/>
                <w:highlight w:val="none"/>
              </w:rPr>
            </w:pPr>
          </w:p>
          <w:p w14:paraId="3C84A329">
            <w:pPr>
              <w:spacing w:line="251" w:lineRule="auto"/>
              <w:rPr>
                <w:rFonts w:ascii="Arial"/>
                <w:color w:val="auto"/>
                <w:sz w:val="21"/>
                <w:highlight w:val="none"/>
              </w:rPr>
            </w:pPr>
          </w:p>
          <w:p w14:paraId="70BBC77A">
            <w:pPr>
              <w:pStyle w:val="23"/>
              <w:spacing w:before="65" w:line="229" w:lineRule="auto"/>
              <w:ind w:left="174"/>
              <w:rPr>
                <w:color w:val="auto"/>
                <w:highlight w:val="none"/>
              </w:rPr>
            </w:pPr>
            <w:r>
              <w:rPr>
                <w:color w:val="auto"/>
                <w:spacing w:val="7"/>
                <w:highlight w:val="none"/>
              </w:rPr>
              <w:t>名称及型号</w:t>
            </w:r>
          </w:p>
        </w:tc>
        <w:tc>
          <w:tcPr>
            <w:tcW w:w="753" w:type="dxa"/>
            <w:vAlign w:val="top"/>
          </w:tcPr>
          <w:p w14:paraId="72613AB6">
            <w:pPr>
              <w:spacing w:line="251" w:lineRule="auto"/>
              <w:rPr>
                <w:rFonts w:ascii="Arial"/>
                <w:color w:val="auto"/>
                <w:sz w:val="21"/>
                <w:highlight w:val="none"/>
              </w:rPr>
            </w:pPr>
          </w:p>
          <w:p w14:paraId="1720743F">
            <w:pPr>
              <w:spacing w:line="251" w:lineRule="auto"/>
              <w:rPr>
                <w:rFonts w:ascii="Arial"/>
                <w:color w:val="auto"/>
                <w:sz w:val="21"/>
                <w:highlight w:val="none"/>
              </w:rPr>
            </w:pPr>
          </w:p>
          <w:p w14:paraId="42D7452D">
            <w:pPr>
              <w:pStyle w:val="23"/>
              <w:spacing w:before="65" w:line="228" w:lineRule="auto"/>
              <w:ind w:left="167"/>
              <w:rPr>
                <w:color w:val="auto"/>
                <w:highlight w:val="none"/>
              </w:rPr>
            </w:pPr>
            <w:r>
              <w:rPr>
                <w:color w:val="auto"/>
                <w:spacing w:val="3"/>
                <w:highlight w:val="none"/>
              </w:rPr>
              <w:t>数量</w:t>
            </w:r>
          </w:p>
        </w:tc>
        <w:tc>
          <w:tcPr>
            <w:tcW w:w="989" w:type="dxa"/>
            <w:vAlign w:val="top"/>
          </w:tcPr>
          <w:p w14:paraId="569A56D1">
            <w:pPr>
              <w:spacing w:line="304" w:lineRule="auto"/>
              <w:rPr>
                <w:rFonts w:ascii="Arial"/>
                <w:color w:val="auto"/>
                <w:sz w:val="21"/>
                <w:highlight w:val="none"/>
              </w:rPr>
            </w:pPr>
          </w:p>
          <w:p w14:paraId="0492E2F1">
            <w:pPr>
              <w:pStyle w:val="23"/>
              <w:spacing w:before="65" w:line="371" w:lineRule="auto"/>
              <w:ind w:left="181" w:right="181" w:hanging="2"/>
              <w:rPr>
                <w:color w:val="auto"/>
                <w:highlight w:val="none"/>
              </w:rPr>
            </w:pPr>
            <w:r>
              <w:rPr>
                <w:color w:val="auto"/>
                <w:spacing w:val="7"/>
                <w:highlight w:val="none"/>
              </w:rPr>
              <w:t>购置合</w:t>
            </w:r>
            <w:r>
              <w:rPr>
                <w:color w:val="auto"/>
                <w:spacing w:val="5"/>
                <w:highlight w:val="none"/>
              </w:rPr>
              <w:t>价(元)</w:t>
            </w:r>
          </w:p>
        </w:tc>
        <w:tc>
          <w:tcPr>
            <w:tcW w:w="966" w:type="dxa"/>
            <w:vAlign w:val="top"/>
          </w:tcPr>
          <w:p w14:paraId="32603221">
            <w:pPr>
              <w:spacing w:line="304" w:lineRule="auto"/>
              <w:rPr>
                <w:rFonts w:ascii="Arial"/>
                <w:color w:val="auto"/>
                <w:sz w:val="21"/>
                <w:highlight w:val="none"/>
              </w:rPr>
            </w:pPr>
          </w:p>
          <w:p w14:paraId="00671B50">
            <w:pPr>
              <w:pStyle w:val="23"/>
              <w:spacing w:before="65" w:line="372" w:lineRule="auto"/>
              <w:ind w:left="310" w:right="171" w:hanging="140"/>
              <w:rPr>
                <w:color w:val="auto"/>
                <w:highlight w:val="none"/>
              </w:rPr>
            </w:pPr>
            <w:r>
              <w:rPr>
                <w:color w:val="auto"/>
                <w:spacing w:val="6"/>
                <w:highlight w:val="none"/>
              </w:rPr>
              <w:t>折旧费</w:t>
            </w:r>
            <w:r>
              <w:rPr>
                <w:color w:val="auto"/>
                <w:spacing w:val="-9"/>
                <w:highlight w:val="none"/>
              </w:rPr>
              <w:t>(元)</w:t>
            </w:r>
          </w:p>
        </w:tc>
        <w:tc>
          <w:tcPr>
            <w:tcW w:w="1009" w:type="dxa"/>
            <w:vAlign w:val="top"/>
          </w:tcPr>
          <w:p w14:paraId="6B3255EE">
            <w:pPr>
              <w:spacing w:line="304" w:lineRule="auto"/>
              <w:rPr>
                <w:rFonts w:ascii="Arial"/>
                <w:color w:val="auto"/>
                <w:sz w:val="21"/>
                <w:highlight w:val="none"/>
              </w:rPr>
            </w:pPr>
          </w:p>
          <w:p w14:paraId="674E4F32">
            <w:pPr>
              <w:pStyle w:val="23"/>
              <w:spacing w:before="65" w:line="372" w:lineRule="auto"/>
              <w:ind w:left="333" w:right="191" w:hanging="141"/>
              <w:rPr>
                <w:color w:val="auto"/>
                <w:highlight w:val="none"/>
              </w:rPr>
            </w:pPr>
            <w:r>
              <w:rPr>
                <w:color w:val="auto"/>
                <w:spacing w:val="6"/>
                <w:highlight w:val="none"/>
              </w:rPr>
              <w:t>使用费</w:t>
            </w:r>
            <w:r>
              <w:rPr>
                <w:color w:val="auto"/>
                <w:spacing w:val="-9"/>
                <w:highlight w:val="none"/>
              </w:rPr>
              <w:t>(元)</w:t>
            </w:r>
          </w:p>
        </w:tc>
        <w:tc>
          <w:tcPr>
            <w:tcW w:w="1497" w:type="dxa"/>
            <w:vAlign w:val="top"/>
          </w:tcPr>
          <w:p w14:paraId="46180718">
            <w:pPr>
              <w:pStyle w:val="23"/>
              <w:spacing w:before="172" w:line="229" w:lineRule="auto"/>
              <w:ind w:left="443"/>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2C68FEEC">
            <w:pPr>
              <w:pStyle w:val="23"/>
              <w:spacing w:before="149" w:line="228" w:lineRule="auto"/>
              <w:ind w:left="125"/>
              <w:rPr>
                <w:color w:val="auto"/>
                <w:highlight w:val="none"/>
              </w:rPr>
            </w:pPr>
            <w:r>
              <w:rPr>
                <w:color w:val="auto"/>
                <w:spacing w:val="7"/>
                <w:highlight w:val="none"/>
              </w:rPr>
              <w:t>折旧及使用费</w:t>
            </w:r>
          </w:p>
          <w:p w14:paraId="566B5B50">
            <w:pPr>
              <w:pStyle w:val="23"/>
              <w:spacing w:before="153" w:line="213" w:lineRule="auto"/>
              <w:ind w:left="580"/>
              <w:rPr>
                <w:color w:val="auto"/>
                <w:highlight w:val="none"/>
              </w:rPr>
            </w:pPr>
            <w:r>
              <w:rPr>
                <w:color w:val="auto"/>
                <w:spacing w:val="-9"/>
                <w:highlight w:val="none"/>
              </w:rPr>
              <w:t>(元)</w:t>
            </w:r>
          </w:p>
        </w:tc>
        <w:tc>
          <w:tcPr>
            <w:tcW w:w="1491" w:type="dxa"/>
            <w:vAlign w:val="top"/>
          </w:tcPr>
          <w:p w14:paraId="502A0EB7">
            <w:pPr>
              <w:spacing w:line="251" w:lineRule="auto"/>
              <w:rPr>
                <w:rFonts w:ascii="Arial"/>
                <w:color w:val="auto"/>
                <w:sz w:val="21"/>
                <w:highlight w:val="none"/>
              </w:rPr>
            </w:pPr>
          </w:p>
          <w:p w14:paraId="12622B5D">
            <w:pPr>
              <w:spacing w:line="251" w:lineRule="auto"/>
              <w:rPr>
                <w:rFonts w:ascii="Arial"/>
                <w:color w:val="auto"/>
                <w:sz w:val="21"/>
                <w:highlight w:val="none"/>
              </w:rPr>
            </w:pPr>
          </w:p>
          <w:p w14:paraId="7EC6B318">
            <w:pPr>
              <w:pStyle w:val="23"/>
              <w:spacing w:before="65" w:line="229" w:lineRule="auto"/>
              <w:ind w:left="229"/>
              <w:rPr>
                <w:color w:val="auto"/>
                <w:highlight w:val="none"/>
              </w:rPr>
            </w:pPr>
            <w:r>
              <w:rPr>
                <w:color w:val="auto"/>
                <w:spacing w:val="7"/>
                <w:highlight w:val="none"/>
              </w:rPr>
              <w:t>名称及型号</w:t>
            </w:r>
          </w:p>
        </w:tc>
        <w:tc>
          <w:tcPr>
            <w:tcW w:w="827" w:type="dxa"/>
            <w:vAlign w:val="top"/>
          </w:tcPr>
          <w:p w14:paraId="2742202A">
            <w:pPr>
              <w:spacing w:line="251" w:lineRule="auto"/>
              <w:rPr>
                <w:rFonts w:ascii="Arial"/>
                <w:color w:val="auto"/>
                <w:sz w:val="21"/>
                <w:highlight w:val="none"/>
              </w:rPr>
            </w:pPr>
          </w:p>
          <w:p w14:paraId="5B6277B0">
            <w:pPr>
              <w:spacing w:line="251" w:lineRule="auto"/>
              <w:rPr>
                <w:rFonts w:ascii="Arial"/>
                <w:color w:val="auto"/>
                <w:sz w:val="21"/>
                <w:highlight w:val="none"/>
              </w:rPr>
            </w:pPr>
          </w:p>
          <w:p w14:paraId="71B3DD71">
            <w:pPr>
              <w:pStyle w:val="23"/>
              <w:spacing w:before="65" w:line="228" w:lineRule="auto"/>
              <w:ind w:left="213"/>
              <w:rPr>
                <w:color w:val="auto"/>
                <w:highlight w:val="none"/>
              </w:rPr>
            </w:pPr>
            <w:r>
              <w:rPr>
                <w:color w:val="auto"/>
                <w:spacing w:val="3"/>
                <w:highlight w:val="none"/>
              </w:rPr>
              <w:t>数量</w:t>
            </w:r>
          </w:p>
        </w:tc>
        <w:tc>
          <w:tcPr>
            <w:tcW w:w="1071" w:type="dxa"/>
            <w:vAlign w:val="top"/>
          </w:tcPr>
          <w:p w14:paraId="520743D0">
            <w:pPr>
              <w:spacing w:line="304" w:lineRule="auto"/>
              <w:rPr>
                <w:rFonts w:ascii="Arial"/>
                <w:color w:val="auto"/>
                <w:sz w:val="21"/>
                <w:highlight w:val="none"/>
              </w:rPr>
            </w:pPr>
          </w:p>
          <w:p w14:paraId="75DADB76">
            <w:pPr>
              <w:pStyle w:val="23"/>
              <w:spacing w:before="65" w:line="372" w:lineRule="auto"/>
              <w:ind w:left="371" w:right="112" w:hanging="249"/>
              <w:rPr>
                <w:color w:val="auto"/>
                <w:highlight w:val="none"/>
              </w:rPr>
            </w:pPr>
            <w:r>
              <w:rPr>
                <w:color w:val="auto"/>
                <w:spacing w:val="7"/>
                <w:highlight w:val="none"/>
              </w:rPr>
              <w:t>购置合价</w:t>
            </w:r>
            <w:r>
              <w:rPr>
                <w:color w:val="auto"/>
                <w:spacing w:val="-9"/>
                <w:highlight w:val="none"/>
              </w:rPr>
              <w:t>(元)</w:t>
            </w:r>
          </w:p>
        </w:tc>
        <w:tc>
          <w:tcPr>
            <w:tcW w:w="1040" w:type="dxa"/>
            <w:vAlign w:val="top"/>
          </w:tcPr>
          <w:p w14:paraId="17D242D0">
            <w:pPr>
              <w:spacing w:line="304" w:lineRule="auto"/>
              <w:rPr>
                <w:rFonts w:ascii="Arial"/>
                <w:color w:val="auto"/>
                <w:sz w:val="21"/>
                <w:highlight w:val="none"/>
              </w:rPr>
            </w:pPr>
          </w:p>
          <w:p w14:paraId="7C76B8CD">
            <w:pPr>
              <w:pStyle w:val="23"/>
              <w:spacing w:before="65" w:line="372" w:lineRule="auto"/>
              <w:ind w:left="356" w:right="199" w:hanging="140"/>
              <w:rPr>
                <w:color w:val="auto"/>
                <w:highlight w:val="none"/>
              </w:rPr>
            </w:pPr>
            <w:r>
              <w:rPr>
                <w:color w:val="auto"/>
                <w:spacing w:val="6"/>
                <w:highlight w:val="none"/>
              </w:rPr>
              <w:t>折旧费</w:t>
            </w:r>
            <w:r>
              <w:rPr>
                <w:color w:val="auto"/>
                <w:spacing w:val="-9"/>
                <w:highlight w:val="none"/>
              </w:rPr>
              <w:t>(元)</w:t>
            </w:r>
          </w:p>
        </w:tc>
        <w:tc>
          <w:tcPr>
            <w:tcW w:w="1040" w:type="dxa"/>
            <w:vAlign w:val="top"/>
          </w:tcPr>
          <w:p w14:paraId="7AA2282D">
            <w:pPr>
              <w:spacing w:line="304" w:lineRule="auto"/>
              <w:rPr>
                <w:rFonts w:ascii="Arial"/>
                <w:color w:val="auto"/>
                <w:sz w:val="21"/>
                <w:highlight w:val="none"/>
              </w:rPr>
            </w:pPr>
          </w:p>
          <w:p w14:paraId="37C8DA4B">
            <w:pPr>
              <w:pStyle w:val="23"/>
              <w:spacing w:before="65" w:line="372" w:lineRule="auto"/>
              <w:ind w:left="356" w:right="197" w:hanging="139"/>
              <w:rPr>
                <w:color w:val="auto"/>
                <w:highlight w:val="none"/>
              </w:rPr>
            </w:pPr>
            <w:r>
              <w:rPr>
                <w:color w:val="auto"/>
                <w:spacing w:val="6"/>
                <w:highlight w:val="none"/>
              </w:rPr>
              <w:t>使用费</w:t>
            </w:r>
            <w:r>
              <w:rPr>
                <w:color w:val="auto"/>
                <w:spacing w:val="-8"/>
                <w:highlight w:val="none"/>
              </w:rPr>
              <w:t>(元)</w:t>
            </w:r>
          </w:p>
        </w:tc>
        <w:tc>
          <w:tcPr>
            <w:tcW w:w="1507" w:type="dxa"/>
            <w:tcBorders>
              <w:right w:val="single" w:color="000000" w:sz="6" w:space="0"/>
            </w:tcBorders>
            <w:vAlign w:val="top"/>
          </w:tcPr>
          <w:p w14:paraId="5FBE6B42">
            <w:pPr>
              <w:pStyle w:val="23"/>
              <w:spacing w:before="172" w:line="229" w:lineRule="auto"/>
              <w:ind w:left="451"/>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2877DC91">
            <w:pPr>
              <w:pStyle w:val="23"/>
              <w:spacing w:before="149" w:line="228" w:lineRule="auto"/>
              <w:ind w:left="133"/>
              <w:rPr>
                <w:color w:val="auto"/>
                <w:highlight w:val="none"/>
              </w:rPr>
            </w:pPr>
            <w:r>
              <w:rPr>
                <w:color w:val="auto"/>
                <w:spacing w:val="7"/>
                <w:highlight w:val="none"/>
              </w:rPr>
              <w:t>折旧及使用费</w:t>
            </w:r>
          </w:p>
          <w:p w14:paraId="2E3C2592">
            <w:pPr>
              <w:pStyle w:val="23"/>
              <w:spacing w:before="153" w:line="213" w:lineRule="auto"/>
              <w:ind w:left="588"/>
              <w:rPr>
                <w:color w:val="auto"/>
                <w:highlight w:val="none"/>
              </w:rPr>
            </w:pPr>
            <w:r>
              <w:rPr>
                <w:color w:val="auto"/>
                <w:spacing w:val="-9"/>
                <w:highlight w:val="none"/>
              </w:rPr>
              <w:t>(元)</w:t>
            </w:r>
          </w:p>
        </w:tc>
      </w:tr>
      <w:tr w14:paraId="0F9E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70705FA">
            <w:pPr>
              <w:pStyle w:val="23"/>
              <w:spacing w:before="195"/>
              <w:ind w:left="277"/>
              <w:rPr>
                <w:color w:val="auto"/>
                <w:highlight w:val="none"/>
              </w:rPr>
            </w:pPr>
            <w:r>
              <w:rPr>
                <w:color w:val="auto"/>
                <w:highlight w:val="none"/>
              </w:rPr>
              <w:t>1</w:t>
            </w:r>
          </w:p>
        </w:tc>
        <w:tc>
          <w:tcPr>
            <w:tcW w:w="1396" w:type="dxa"/>
            <w:vAlign w:val="top"/>
          </w:tcPr>
          <w:p w14:paraId="761C701F">
            <w:pPr>
              <w:rPr>
                <w:rFonts w:ascii="Arial"/>
                <w:color w:val="auto"/>
                <w:sz w:val="21"/>
                <w:highlight w:val="none"/>
              </w:rPr>
            </w:pPr>
          </w:p>
        </w:tc>
        <w:tc>
          <w:tcPr>
            <w:tcW w:w="753" w:type="dxa"/>
            <w:vAlign w:val="top"/>
          </w:tcPr>
          <w:p w14:paraId="3DCD80AB">
            <w:pPr>
              <w:rPr>
                <w:rFonts w:ascii="Arial"/>
                <w:color w:val="auto"/>
                <w:sz w:val="21"/>
                <w:highlight w:val="none"/>
              </w:rPr>
            </w:pPr>
          </w:p>
        </w:tc>
        <w:tc>
          <w:tcPr>
            <w:tcW w:w="989" w:type="dxa"/>
            <w:vAlign w:val="top"/>
          </w:tcPr>
          <w:p w14:paraId="04A3A518">
            <w:pPr>
              <w:rPr>
                <w:rFonts w:ascii="Arial"/>
                <w:color w:val="auto"/>
                <w:sz w:val="21"/>
                <w:highlight w:val="none"/>
              </w:rPr>
            </w:pPr>
          </w:p>
        </w:tc>
        <w:tc>
          <w:tcPr>
            <w:tcW w:w="966" w:type="dxa"/>
            <w:vAlign w:val="top"/>
          </w:tcPr>
          <w:p w14:paraId="3541FEDD">
            <w:pPr>
              <w:rPr>
                <w:rFonts w:ascii="Arial"/>
                <w:color w:val="auto"/>
                <w:sz w:val="21"/>
                <w:highlight w:val="none"/>
              </w:rPr>
            </w:pPr>
          </w:p>
        </w:tc>
        <w:tc>
          <w:tcPr>
            <w:tcW w:w="1009" w:type="dxa"/>
            <w:vAlign w:val="top"/>
          </w:tcPr>
          <w:p w14:paraId="50203CA6">
            <w:pPr>
              <w:rPr>
                <w:rFonts w:ascii="Arial"/>
                <w:color w:val="auto"/>
                <w:sz w:val="21"/>
                <w:highlight w:val="none"/>
              </w:rPr>
            </w:pPr>
          </w:p>
        </w:tc>
        <w:tc>
          <w:tcPr>
            <w:tcW w:w="1497" w:type="dxa"/>
            <w:vAlign w:val="top"/>
          </w:tcPr>
          <w:p w14:paraId="220EEB65">
            <w:pPr>
              <w:rPr>
                <w:rFonts w:ascii="Arial"/>
                <w:color w:val="auto"/>
                <w:sz w:val="21"/>
                <w:highlight w:val="none"/>
              </w:rPr>
            </w:pPr>
          </w:p>
        </w:tc>
        <w:tc>
          <w:tcPr>
            <w:tcW w:w="1491" w:type="dxa"/>
            <w:vAlign w:val="top"/>
          </w:tcPr>
          <w:p w14:paraId="7581BA1C">
            <w:pPr>
              <w:rPr>
                <w:rFonts w:ascii="Arial"/>
                <w:color w:val="auto"/>
                <w:sz w:val="21"/>
                <w:highlight w:val="none"/>
              </w:rPr>
            </w:pPr>
          </w:p>
        </w:tc>
        <w:tc>
          <w:tcPr>
            <w:tcW w:w="827" w:type="dxa"/>
            <w:vAlign w:val="top"/>
          </w:tcPr>
          <w:p w14:paraId="725C2668">
            <w:pPr>
              <w:rPr>
                <w:rFonts w:ascii="Arial"/>
                <w:color w:val="auto"/>
                <w:sz w:val="21"/>
                <w:highlight w:val="none"/>
              </w:rPr>
            </w:pPr>
          </w:p>
        </w:tc>
        <w:tc>
          <w:tcPr>
            <w:tcW w:w="1071" w:type="dxa"/>
            <w:vAlign w:val="top"/>
          </w:tcPr>
          <w:p w14:paraId="3BACEE34">
            <w:pPr>
              <w:rPr>
                <w:rFonts w:ascii="Arial"/>
                <w:color w:val="auto"/>
                <w:sz w:val="21"/>
                <w:highlight w:val="none"/>
              </w:rPr>
            </w:pPr>
          </w:p>
        </w:tc>
        <w:tc>
          <w:tcPr>
            <w:tcW w:w="1040" w:type="dxa"/>
            <w:vAlign w:val="top"/>
          </w:tcPr>
          <w:p w14:paraId="30864A56">
            <w:pPr>
              <w:rPr>
                <w:rFonts w:ascii="Arial"/>
                <w:color w:val="auto"/>
                <w:sz w:val="21"/>
                <w:highlight w:val="none"/>
              </w:rPr>
            </w:pPr>
          </w:p>
        </w:tc>
        <w:tc>
          <w:tcPr>
            <w:tcW w:w="1040" w:type="dxa"/>
            <w:vAlign w:val="top"/>
          </w:tcPr>
          <w:p w14:paraId="5BC4456A">
            <w:pPr>
              <w:rPr>
                <w:rFonts w:ascii="Arial"/>
                <w:color w:val="auto"/>
                <w:sz w:val="21"/>
                <w:highlight w:val="none"/>
              </w:rPr>
            </w:pPr>
          </w:p>
        </w:tc>
        <w:tc>
          <w:tcPr>
            <w:tcW w:w="1507" w:type="dxa"/>
            <w:tcBorders>
              <w:right w:val="single" w:color="000000" w:sz="6" w:space="0"/>
            </w:tcBorders>
            <w:vAlign w:val="top"/>
          </w:tcPr>
          <w:p w14:paraId="3971BEAC">
            <w:pPr>
              <w:rPr>
                <w:rFonts w:ascii="Arial"/>
                <w:color w:val="auto"/>
                <w:sz w:val="21"/>
                <w:highlight w:val="none"/>
              </w:rPr>
            </w:pPr>
          </w:p>
        </w:tc>
      </w:tr>
      <w:tr w14:paraId="0A6E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ECF4C59">
            <w:pPr>
              <w:pStyle w:val="23"/>
              <w:spacing w:before="195"/>
              <w:ind w:left="264"/>
              <w:rPr>
                <w:color w:val="auto"/>
                <w:highlight w:val="none"/>
              </w:rPr>
            </w:pPr>
            <w:r>
              <w:rPr>
                <w:color w:val="auto"/>
                <w:highlight w:val="none"/>
              </w:rPr>
              <w:t>2</w:t>
            </w:r>
          </w:p>
        </w:tc>
        <w:tc>
          <w:tcPr>
            <w:tcW w:w="1396" w:type="dxa"/>
            <w:vAlign w:val="top"/>
          </w:tcPr>
          <w:p w14:paraId="086DAD02">
            <w:pPr>
              <w:rPr>
                <w:rFonts w:ascii="Arial"/>
                <w:color w:val="auto"/>
                <w:sz w:val="21"/>
                <w:highlight w:val="none"/>
              </w:rPr>
            </w:pPr>
          </w:p>
        </w:tc>
        <w:tc>
          <w:tcPr>
            <w:tcW w:w="753" w:type="dxa"/>
            <w:vAlign w:val="top"/>
          </w:tcPr>
          <w:p w14:paraId="468FCB9A">
            <w:pPr>
              <w:rPr>
                <w:rFonts w:ascii="Arial"/>
                <w:color w:val="auto"/>
                <w:sz w:val="21"/>
                <w:highlight w:val="none"/>
              </w:rPr>
            </w:pPr>
          </w:p>
        </w:tc>
        <w:tc>
          <w:tcPr>
            <w:tcW w:w="989" w:type="dxa"/>
            <w:vAlign w:val="top"/>
          </w:tcPr>
          <w:p w14:paraId="6962B846">
            <w:pPr>
              <w:rPr>
                <w:rFonts w:ascii="Arial"/>
                <w:color w:val="auto"/>
                <w:sz w:val="21"/>
                <w:highlight w:val="none"/>
              </w:rPr>
            </w:pPr>
          </w:p>
        </w:tc>
        <w:tc>
          <w:tcPr>
            <w:tcW w:w="966" w:type="dxa"/>
            <w:vAlign w:val="top"/>
          </w:tcPr>
          <w:p w14:paraId="5D6B3071">
            <w:pPr>
              <w:rPr>
                <w:rFonts w:ascii="Arial"/>
                <w:color w:val="auto"/>
                <w:sz w:val="21"/>
                <w:highlight w:val="none"/>
              </w:rPr>
            </w:pPr>
          </w:p>
        </w:tc>
        <w:tc>
          <w:tcPr>
            <w:tcW w:w="1009" w:type="dxa"/>
            <w:vAlign w:val="top"/>
          </w:tcPr>
          <w:p w14:paraId="4A923C9A">
            <w:pPr>
              <w:rPr>
                <w:rFonts w:ascii="Arial"/>
                <w:color w:val="auto"/>
                <w:sz w:val="21"/>
                <w:highlight w:val="none"/>
              </w:rPr>
            </w:pPr>
          </w:p>
        </w:tc>
        <w:tc>
          <w:tcPr>
            <w:tcW w:w="1497" w:type="dxa"/>
            <w:vAlign w:val="top"/>
          </w:tcPr>
          <w:p w14:paraId="7CF335CD">
            <w:pPr>
              <w:rPr>
                <w:rFonts w:ascii="Arial"/>
                <w:color w:val="auto"/>
                <w:sz w:val="21"/>
                <w:highlight w:val="none"/>
              </w:rPr>
            </w:pPr>
          </w:p>
        </w:tc>
        <w:tc>
          <w:tcPr>
            <w:tcW w:w="1491" w:type="dxa"/>
            <w:vAlign w:val="top"/>
          </w:tcPr>
          <w:p w14:paraId="1D623F98">
            <w:pPr>
              <w:rPr>
                <w:rFonts w:ascii="Arial"/>
                <w:color w:val="auto"/>
                <w:sz w:val="21"/>
                <w:highlight w:val="none"/>
              </w:rPr>
            </w:pPr>
          </w:p>
        </w:tc>
        <w:tc>
          <w:tcPr>
            <w:tcW w:w="827" w:type="dxa"/>
            <w:vAlign w:val="top"/>
          </w:tcPr>
          <w:p w14:paraId="74719B73">
            <w:pPr>
              <w:rPr>
                <w:rFonts w:ascii="Arial"/>
                <w:color w:val="auto"/>
                <w:sz w:val="21"/>
                <w:highlight w:val="none"/>
              </w:rPr>
            </w:pPr>
          </w:p>
        </w:tc>
        <w:tc>
          <w:tcPr>
            <w:tcW w:w="1071" w:type="dxa"/>
            <w:vAlign w:val="top"/>
          </w:tcPr>
          <w:p w14:paraId="08039A5B">
            <w:pPr>
              <w:rPr>
                <w:rFonts w:ascii="Arial"/>
                <w:color w:val="auto"/>
                <w:sz w:val="21"/>
                <w:highlight w:val="none"/>
              </w:rPr>
            </w:pPr>
          </w:p>
        </w:tc>
        <w:tc>
          <w:tcPr>
            <w:tcW w:w="1040" w:type="dxa"/>
            <w:vAlign w:val="top"/>
          </w:tcPr>
          <w:p w14:paraId="5BADC11C">
            <w:pPr>
              <w:rPr>
                <w:rFonts w:ascii="Arial"/>
                <w:color w:val="auto"/>
                <w:sz w:val="21"/>
                <w:highlight w:val="none"/>
              </w:rPr>
            </w:pPr>
          </w:p>
        </w:tc>
        <w:tc>
          <w:tcPr>
            <w:tcW w:w="1040" w:type="dxa"/>
            <w:vAlign w:val="top"/>
          </w:tcPr>
          <w:p w14:paraId="6E7C9D9E">
            <w:pPr>
              <w:rPr>
                <w:rFonts w:ascii="Arial"/>
                <w:color w:val="auto"/>
                <w:sz w:val="21"/>
                <w:highlight w:val="none"/>
              </w:rPr>
            </w:pPr>
          </w:p>
        </w:tc>
        <w:tc>
          <w:tcPr>
            <w:tcW w:w="1507" w:type="dxa"/>
            <w:tcBorders>
              <w:right w:val="single" w:color="000000" w:sz="6" w:space="0"/>
            </w:tcBorders>
            <w:vAlign w:val="top"/>
          </w:tcPr>
          <w:p w14:paraId="08047468">
            <w:pPr>
              <w:rPr>
                <w:rFonts w:ascii="Arial"/>
                <w:color w:val="auto"/>
                <w:sz w:val="21"/>
                <w:highlight w:val="none"/>
              </w:rPr>
            </w:pPr>
          </w:p>
        </w:tc>
      </w:tr>
      <w:tr w14:paraId="1754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1341CA00">
            <w:pPr>
              <w:pStyle w:val="23"/>
              <w:spacing w:before="197" w:line="239" w:lineRule="auto"/>
              <w:ind w:left="266"/>
              <w:rPr>
                <w:color w:val="auto"/>
                <w:highlight w:val="none"/>
              </w:rPr>
            </w:pPr>
            <w:r>
              <w:rPr>
                <w:color w:val="auto"/>
                <w:highlight w:val="none"/>
              </w:rPr>
              <w:t>3</w:t>
            </w:r>
          </w:p>
        </w:tc>
        <w:tc>
          <w:tcPr>
            <w:tcW w:w="1396" w:type="dxa"/>
            <w:vAlign w:val="top"/>
          </w:tcPr>
          <w:p w14:paraId="2142FB43">
            <w:pPr>
              <w:rPr>
                <w:rFonts w:ascii="Arial"/>
                <w:color w:val="auto"/>
                <w:sz w:val="21"/>
                <w:highlight w:val="none"/>
              </w:rPr>
            </w:pPr>
          </w:p>
        </w:tc>
        <w:tc>
          <w:tcPr>
            <w:tcW w:w="753" w:type="dxa"/>
            <w:vAlign w:val="top"/>
          </w:tcPr>
          <w:p w14:paraId="09283303">
            <w:pPr>
              <w:rPr>
                <w:rFonts w:ascii="Arial"/>
                <w:color w:val="auto"/>
                <w:sz w:val="21"/>
                <w:highlight w:val="none"/>
              </w:rPr>
            </w:pPr>
          </w:p>
        </w:tc>
        <w:tc>
          <w:tcPr>
            <w:tcW w:w="989" w:type="dxa"/>
            <w:vAlign w:val="top"/>
          </w:tcPr>
          <w:p w14:paraId="4133C402">
            <w:pPr>
              <w:rPr>
                <w:rFonts w:ascii="Arial"/>
                <w:color w:val="auto"/>
                <w:sz w:val="21"/>
                <w:highlight w:val="none"/>
              </w:rPr>
            </w:pPr>
          </w:p>
        </w:tc>
        <w:tc>
          <w:tcPr>
            <w:tcW w:w="966" w:type="dxa"/>
            <w:vAlign w:val="top"/>
          </w:tcPr>
          <w:p w14:paraId="18AB643D">
            <w:pPr>
              <w:rPr>
                <w:rFonts w:ascii="Arial"/>
                <w:color w:val="auto"/>
                <w:sz w:val="21"/>
                <w:highlight w:val="none"/>
              </w:rPr>
            </w:pPr>
          </w:p>
        </w:tc>
        <w:tc>
          <w:tcPr>
            <w:tcW w:w="1009" w:type="dxa"/>
            <w:vAlign w:val="top"/>
          </w:tcPr>
          <w:p w14:paraId="1F99A86D">
            <w:pPr>
              <w:rPr>
                <w:rFonts w:ascii="Arial"/>
                <w:color w:val="auto"/>
                <w:sz w:val="21"/>
                <w:highlight w:val="none"/>
              </w:rPr>
            </w:pPr>
          </w:p>
        </w:tc>
        <w:tc>
          <w:tcPr>
            <w:tcW w:w="1497" w:type="dxa"/>
            <w:vAlign w:val="top"/>
          </w:tcPr>
          <w:p w14:paraId="1EAAE530">
            <w:pPr>
              <w:rPr>
                <w:rFonts w:ascii="Arial"/>
                <w:color w:val="auto"/>
                <w:sz w:val="21"/>
                <w:highlight w:val="none"/>
              </w:rPr>
            </w:pPr>
          </w:p>
        </w:tc>
        <w:tc>
          <w:tcPr>
            <w:tcW w:w="1491" w:type="dxa"/>
            <w:vAlign w:val="top"/>
          </w:tcPr>
          <w:p w14:paraId="1E47C19B">
            <w:pPr>
              <w:rPr>
                <w:rFonts w:ascii="Arial"/>
                <w:color w:val="auto"/>
                <w:sz w:val="21"/>
                <w:highlight w:val="none"/>
              </w:rPr>
            </w:pPr>
          </w:p>
        </w:tc>
        <w:tc>
          <w:tcPr>
            <w:tcW w:w="827" w:type="dxa"/>
            <w:vAlign w:val="top"/>
          </w:tcPr>
          <w:p w14:paraId="6E79F221">
            <w:pPr>
              <w:rPr>
                <w:rFonts w:ascii="Arial"/>
                <w:color w:val="auto"/>
                <w:sz w:val="21"/>
                <w:highlight w:val="none"/>
              </w:rPr>
            </w:pPr>
          </w:p>
        </w:tc>
        <w:tc>
          <w:tcPr>
            <w:tcW w:w="1071" w:type="dxa"/>
            <w:vAlign w:val="top"/>
          </w:tcPr>
          <w:p w14:paraId="7E02A893">
            <w:pPr>
              <w:rPr>
                <w:rFonts w:ascii="Arial"/>
                <w:color w:val="auto"/>
                <w:sz w:val="21"/>
                <w:highlight w:val="none"/>
              </w:rPr>
            </w:pPr>
          </w:p>
        </w:tc>
        <w:tc>
          <w:tcPr>
            <w:tcW w:w="1040" w:type="dxa"/>
            <w:vAlign w:val="top"/>
          </w:tcPr>
          <w:p w14:paraId="5C5411BD">
            <w:pPr>
              <w:rPr>
                <w:rFonts w:ascii="Arial"/>
                <w:color w:val="auto"/>
                <w:sz w:val="21"/>
                <w:highlight w:val="none"/>
              </w:rPr>
            </w:pPr>
          </w:p>
        </w:tc>
        <w:tc>
          <w:tcPr>
            <w:tcW w:w="1040" w:type="dxa"/>
            <w:vAlign w:val="top"/>
          </w:tcPr>
          <w:p w14:paraId="4BEAD86A">
            <w:pPr>
              <w:rPr>
                <w:rFonts w:ascii="Arial"/>
                <w:color w:val="auto"/>
                <w:sz w:val="21"/>
                <w:highlight w:val="none"/>
              </w:rPr>
            </w:pPr>
          </w:p>
        </w:tc>
        <w:tc>
          <w:tcPr>
            <w:tcW w:w="1507" w:type="dxa"/>
            <w:tcBorders>
              <w:right w:val="single" w:color="000000" w:sz="6" w:space="0"/>
            </w:tcBorders>
            <w:vAlign w:val="top"/>
          </w:tcPr>
          <w:p w14:paraId="25EC3751">
            <w:pPr>
              <w:rPr>
                <w:rFonts w:ascii="Arial"/>
                <w:color w:val="auto"/>
                <w:sz w:val="21"/>
                <w:highlight w:val="none"/>
              </w:rPr>
            </w:pPr>
          </w:p>
        </w:tc>
      </w:tr>
      <w:tr w14:paraId="6EBC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280A9ABF">
            <w:pPr>
              <w:pStyle w:val="23"/>
              <w:spacing w:before="199" w:line="237" w:lineRule="auto"/>
              <w:ind w:left="261"/>
              <w:rPr>
                <w:color w:val="auto"/>
                <w:highlight w:val="none"/>
              </w:rPr>
            </w:pPr>
            <w:r>
              <w:rPr>
                <w:color w:val="auto"/>
                <w:highlight w:val="none"/>
              </w:rPr>
              <w:t>4</w:t>
            </w:r>
          </w:p>
        </w:tc>
        <w:tc>
          <w:tcPr>
            <w:tcW w:w="1396" w:type="dxa"/>
            <w:vAlign w:val="top"/>
          </w:tcPr>
          <w:p w14:paraId="1DB1E9F3">
            <w:pPr>
              <w:rPr>
                <w:rFonts w:ascii="Arial"/>
                <w:color w:val="auto"/>
                <w:sz w:val="21"/>
                <w:highlight w:val="none"/>
              </w:rPr>
            </w:pPr>
          </w:p>
        </w:tc>
        <w:tc>
          <w:tcPr>
            <w:tcW w:w="753" w:type="dxa"/>
            <w:vAlign w:val="top"/>
          </w:tcPr>
          <w:p w14:paraId="4F4CD4AC">
            <w:pPr>
              <w:rPr>
                <w:rFonts w:ascii="Arial"/>
                <w:color w:val="auto"/>
                <w:sz w:val="21"/>
                <w:highlight w:val="none"/>
              </w:rPr>
            </w:pPr>
          </w:p>
        </w:tc>
        <w:tc>
          <w:tcPr>
            <w:tcW w:w="989" w:type="dxa"/>
            <w:vAlign w:val="top"/>
          </w:tcPr>
          <w:p w14:paraId="6D1A1E43">
            <w:pPr>
              <w:rPr>
                <w:rFonts w:ascii="Arial"/>
                <w:color w:val="auto"/>
                <w:sz w:val="21"/>
                <w:highlight w:val="none"/>
              </w:rPr>
            </w:pPr>
          </w:p>
        </w:tc>
        <w:tc>
          <w:tcPr>
            <w:tcW w:w="966" w:type="dxa"/>
            <w:vAlign w:val="top"/>
          </w:tcPr>
          <w:p w14:paraId="1C87D8A2">
            <w:pPr>
              <w:rPr>
                <w:rFonts w:ascii="Arial"/>
                <w:color w:val="auto"/>
                <w:sz w:val="21"/>
                <w:highlight w:val="none"/>
              </w:rPr>
            </w:pPr>
          </w:p>
        </w:tc>
        <w:tc>
          <w:tcPr>
            <w:tcW w:w="1009" w:type="dxa"/>
            <w:vAlign w:val="top"/>
          </w:tcPr>
          <w:p w14:paraId="6D3BD2D3">
            <w:pPr>
              <w:rPr>
                <w:rFonts w:ascii="Arial"/>
                <w:color w:val="auto"/>
                <w:sz w:val="21"/>
                <w:highlight w:val="none"/>
              </w:rPr>
            </w:pPr>
          </w:p>
        </w:tc>
        <w:tc>
          <w:tcPr>
            <w:tcW w:w="1497" w:type="dxa"/>
            <w:vAlign w:val="top"/>
          </w:tcPr>
          <w:p w14:paraId="4A7F160E">
            <w:pPr>
              <w:rPr>
                <w:rFonts w:ascii="Arial"/>
                <w:color w:val="auto"/>
                <w:sz w:val="21"/>
                <w:highlight w:val="none"/>
              </w:rPr>
            </w:pPr>
          </w:p>
        </w:tc>
        <w:tc>
          <w:tcPr>
            <w:tcW w:w="1491" w:type="dxa"/>
            <w:vAlign w:val="top"/>
          </w:tcPr>
          <w:p w14:paraId="6B5B3BB3">
            <w:pPr>
              <w:rPr>
                <w:rFonts w:ascii="Arial"/>
                <w:color w:val="auto"/>
                <w:sz w:val="21"/>
                <w:highlight w:val="none"/>
              </w:rPr>
            </w:pPr>
          </w:p>
        </w:tc>
        <w:tc>
          <w:tcPr>
            <w:tcW w:w="827" w:type="dxa"/>
            <w:vAlign w:val="top"/>
          </w:tcPr>
          <w:p w14:paraId="2E400E32">
            <w:pPr>
              <w:rPr>
                <w:rFonts w:ascii="Arial"/>
                <w:color w:val="auto"/>
                <w:sz w:val="21"/>
                <w:highlight w:val="none"/>
              </w:rPr>
            </w:pPr>
          </w:p>
        </w:tc>
        <w:tc>
          <w:tcPr>
            <w:tcW w:w="1071" w:type="dxa"/>
            <w:vAlign w:val="top"/>
          </w:tcPr>
          <w:p w14:paraId="2DD1D1AD">
            <w:pPr>
              <w:rPr>
                <w:rFonts w:ascii="Arial"/>
                <w:color w:val="auto"/>
                <w:sz w:val="21"/>
                <w:highlight w:val="none"/>
              </w:rPr>
            </w:pPr>
          </w:p>
        </w:tc>
        <w:tc>
          <w:tcPr>
            <w:tcW w:w="1040" w:type="dxa"/>
            <w:vAlign w:val="top"/>
          </w:tcPr>
          <w:p w14:paraId="1E759C7D">
            <w:pPr>
              <w:rPr>
                <w:rFonts w:ascii="Arial"/>
                <w:color w:val="auto"/>
                <w:sz w:val="21"/>
                <w:highlight w:val="none"/>
              </w:rPr>
            </w:pPr>
          </w:p>
        </w:tc>
        <w:tc>
          <w:tcPr>
            <w:tcW w:w="1040" w:type="dxa"/>
            <w:vAlign w:val="top"/>
          </w:tcPr>
          <w:p w14:paraId="4207F32E">
            <w:pPr>
              <w:rPr>
                <w:rFonts w:ascii="Arial"/>
                <w:color w:val="auto"/>
                <w:sz w:val="21"/>
                <w:highlight w:val="none"/>
              </w:rPr>
            </w:pPr>
          </w:p>
        </w:tc>
        <w:tc>
          <w:tcPr>
            <w:tcW w:w="1507" w:type="dxa"/>
            <w:tcBorders>
              <w:right w:val="single" w:color="000000" w:sz="6" w:space="0"/>
            </w:tcBorders>
            <w:vAlign w:val="top"/>
          </w:tcPr>
          <w:p w14:paraId="78DF46AB">
            <w:pPr>
              <w:rPr>
                <w:rFonts w:ascii="Arial"/>
                <w:color w:val="auto"/>
                <w:sz w:val="21"/>
                <w:highlight w:val="none"/>
              </w:rPr>
            </w:pPr>
          </w:p>
        </w:tc>
      </w:tr>
      <w:tr w14:paraId="6D73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35" w:type="dxa"/>
            <w:tcBorders>
              <w:left w:val="single" w:color="000000" w:sz="6" w:space="0"/>
            </w:tcBorders>
            <w:vAlign w:val="top"/>
          </w:tcPr>
          <w:p w14:paraId="5E07FAA8">
            <w:pPr>
              <w:pStyle w:val="23"/>
              <w:spacing w:before="199" w:line="238" w:lineRule="auto"/>
              <w:ind w:left="266"/>
              <w:rPr>
                <w:color w:val="auto"/>
                <w:highlight w:val="none"/>
              </w:rPr>
            </w:pPr>
            <w:r>
              <w:rPr>
                <w:color w:val="auto"/>
                <w:highlight w:val="none"/>
              </w:rPr>
              <w:t>5</w:t>
            </w:r>
          </w:p>
        </w:tc>
        <w:tc>
          <w:tcPr>
            <w:tcW w:w="1396" w:type="dxa"/>
            <w:vAlign w:val="top"/>
          </w:tcPr>
          <w:p w14:paraId="61AB7EBF">
            <w:pPr>
              <w:rPr>
                <w:rFonts w:ascii="Arial"/>
                <w:color w:val="auto"/>
                <w:sz w:val="21"/>
                <w:highlight w:val="none"/>
              </w:rPr>
            </w:pPr>
          </w:p>
        </w:tc>
        <w:tc>
          <w:tcPr>
            <w:tcW w:w="753" w:type="dxa"/>
            <w:vAlign w:val="top"/>
          </w:tcPr>
          <w:p w14:paraId="1B813FF3">
            <w:pPr>
              <w:rPr>
                <w:rFonts w:ascii="Arial"/>
                <w:color w:val="auto"/>
                <w:sz w:val="21"/>
                <w:highlight w:val="none"/>
              </w:rPr>
            </w:pPr>
          </w:p>
        </w:tc>
        <w:tc>
          <w:tcPr>
            <w:tcW w:w="989" w:type="dxa"/>
            <w:vAlign w:val="top"/>
          </w:tcPr>
          <w:p w14:paraId="6A9F39F1">
            <w:pPr>
              <w:rPr>
                <w:rFonts w:ascii="Arial"/>
                <w:color w:val="auto"/>
                <w:sz w:val="21"/>
                <w:highlight w:val="none"/>
              </w:rPr>
            </w:pPr>
          </w:p>
        </w:tc>
        <w:tc>
          <w:tcPr>
            <w:tcW w:w="966" w:type="dxa"/>
            <w:vAlign w:val="top"/>
          </w:tcPr>
          <w:p w14:paraId="7997D514">
            <w:pPr>
              <w:rPr>
                <w:rFonts w:ascii="Arial"/>
                <w:color w:val="auto"/>
                <w:sz w:val="21"/>
                <w:highlight w:val="none"/>
              </w:rPr>
            </w:pPr>
          </w:p>
        </w:tc>
        <w:tc>
          <w:tcPr>
            <w:tcW w:w="1009" w:type="dxa"/>
            <w:vAlign w:val="top"/>
          </w:tcPr>
          <w:p w14:paraId="10F809E1">
            <w:pPr>
              <w:rPr>
                <w:rFonts w:ascii="Arial"/>
                <w:color w:val="auto"/>
                <w:sz w:val="21"/>
                <w:highlight w:val="none"/>
              </w:rPr>
            </w:pPr>
          </w:p>
        </w:tc>
        <w:tc>
          <w:tcPr>
            <w:tcW w:w="1497" w:type="dxa"/>
            <w:vAlign w:val="top"/>
          </w:tcPr>
          <w:p w14:paraId="351055F4">
            <w:pPr>
              <w:rPr>
                <w:rFonts w:ascii="Arial"/>
                <w:color w:val="auto"/>
                <w:sz w:val="21"/>
                <w:highlight w:val="none"/>
              </w:rPr>
            </w:pPr>
          </w:p>
        </w:tc>
        <w:tc>
          <w:tcPr>
            <w:tcW w:w="1491" w:type="dxa"/>
            <w:vAlign w:val="top"/>
          </w:tcPr>
          <w:p w14:paraId="1A4653BB">
            <w:pPr>
              <w:rPr>
                <w:rFonts w:ascii="Arial"/>
                <w:color w:val="auto"/>
                <w:sz w:val="21"/>
                <w:highlight w:val="none"/>
              </w:rPr>
            </w:pPr>
          </w:p>
        </w:tc>
        <w:tc>
          <w:tcPr>
            <w:tcW w:w="827" w:type="dxa"/>
            <w:vAlign w:val="top"/>
          </w:tcPr>
          <w:p w14:paraId="47FBC955">
            <w:pPr>
              <w:rPr>
                <w:rFonts w:ascii="Arial"/>
                <w:color w:val="auto"/>
                <w:sz w:val="21"/>
                <w:highlight w:val="none"/>
              </w:rPr>
            </w:pPr>
          </w:p>
        </w:tc>
        <w:tc>
          <w:tcPr>
            <w:tcW w:w="1071" w:type="dxa"/>
            <w:vAlign w:val="top"/>
          </w:tcPr>
          <w:p w14:paraId="25CFCDF1">
            <w:pPr>
              <w:rPr>
                <w:rFonts w:ascii="Arial"/>
                <w:color w:val="auto"/>
                <w:sz w:val="21"/>
                <w:highlight w:val="none"/>
              </w:rPr>
            </w:pPr>
          </w:p>
        </w:tc>
        <w:tc>
          <w:tcPr>
            <w:tcW w:w="1040" w:type="dxa"/>
            <w:vAlign w:val="top"/>
          </w:tcPr>
          <w:p w14:paraId="12AF01E3">
            <w:pPr>
              <w:rPr>
                <w:rFonts w:ascii="Arial"/>
                <w:color w:val="auto"/>
                <w:sz w:val="21"/>
                <w:highlight w:val="none"/>
              </w:rPr>
            </w:pPr>
          </w:p>
        </w:tc>
        <w:tc>
          <w:tcPr>
            <w:tcW w:w="1040" w:type="dxa"/>
            <w:vAlign w:val="top"/>
          </w:tcPr>
          <w:p w14:paraId="3478BA92">
            <w:pPr>
              <w:rPr>
                <w:rFonts w:ascii="Arial"/>
                <w:color w:val="auto"/>
                <w:sz w:val="21"/>
                <w:highlight w:val="none"/>
              </w:rPr>
            </w:pPr>
          </w:p>
        </w:tc>
        <w:tc>
          <w:tcPr>
            <w:tcW w:w="1507" w:type="dxa"/>
            <w:tcBorders>
              <w:right w:val="single" w:color="000000" w:sz="6" w:space="0"/>
            </w:tcBorders>
            <w:vAlign w:val="top"/>
          </w:tcPr>
          <w:p w14:paraId="69361379">
            <w:pPr>
              <w:rPr>
                <w:rFonts w:ascii="Arial"/>
                <w:color w:val="auto"/>
                <w:sz w:val="21"/>
                <w:highlight w:val="none"/>
              </w:rPr>
            </w:pPr>
          </w:p>
        </w:tc>
      </w:tr>
      <w:tr w14:paraId="5003C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16B6CAE8">
            <w:pPr>
              <w:pStyle w:val="23"/>
              <w:spacing w:before="199" w:line="237" w:lineRule="auto"/>
              <w:ind w:left="264"/>
              <w:rPr>
                <w:color w:val="auto"/>
                <w:highlight w:val="none"/>
              </w:rPr>
            </w:pPr>
            <w:r>
              <w:rPr>
                <w:color w:val="auto"/>
                <w:highlight w:val="none"/>
              </w:rPr>
              <w:t>6</w:t>
            </w:r>
          </w:p>
        </w:tc>
        <w:tc>
          <w:tcPr>
            <w:tcW w:w="1396" w:type="dxa"/>
            <w:vAlign w:val="top"/>
          </w:tcPr>
          <w:p w14:paraId="0B87EC39">
            <w:pPr>
              <w:rPr>
                <w:rFonts w:ascii="Arial"/>
                <w:color w:val="auto"/>
                <w:sz w:val="21"/>
                <w:highlight w:val="none"/>
              </w:rPr>
            </w:pPr>
          </w:p>
        </w:tc>
        <w:tc>
          <w:tcPr>
            <w:tcW w:w="753" w:type="dxa"/>
            <w:vAlign w:val="top"/>
          </w:tcPr>
          <w:p w14:paraId="50C298F2">
            <w:pPr>
              <w:rPr>
                <w:rFonts w:ascii="Arial"/>
                <w:color w:val="auto"/>
                <w:sz w:val="21"/>
                <w:highlight w:val="none"/>
              </w:rPr>
            </w:pPr>
          </w:p>
        </w:tc>
        <w:tc>
          <w:tcPr>
            <w:tcW w:w="989" w:type="dxa"/>
            <w:vAlign w:val="top"/>
          </w:tcPr>
          <w:p w14:paraId="2E319C97">
            <w:pPr>
              <w:rPr>
                <w:rFonts w:ascii="Arial"/>
                <w:color w:val="auto"/>
                <w:sz w:val="21"/>
                <w:highlight w:val="none"/>
              </w:rPr>
            </w:pPr>
          </w:p>
        </w:tc>
        <w:tc>
          <w:tcPr>
            <w:tcW w:w="966" w:type="dxa"/>
            <w:vAlign w:val="top"/>
          </w:tcPr>
          <w:p w14:paraId="511B3CF8">
            <w:pPr>
              <w:rPr>
                <w:rFonts w:ascii="Arial"/>
                <w:color w:val="auto"/>
                <w:sz w:val="21"/>
                <w:highlight w:val="none"/>
              </w:rPr>
            </w:pPr>
          </w:p>
        </w:tc>
        <w:tc>
          <w:tcPr>
            <w:tcW w:w="1009" w:type="dxa"/>
            <w:vAlign w:val="top"/>
          </w:tcPr>
          <w:p w14:paraId="7C4F850E">
            <w:pPr>
              <w:rPr>
                <w:rFonts w:ascii="Arial"/>
                <w:color w:val="auto"/>
                <w:sz w:val="21"/>
                <w:highlight w:val="none"/>
              </w:rPr>
            </w:pPr>
          </w:p>
        </w:tc>
        <w:tc>
          <w:tcPr>
            <w:tcW w:w="1497" w:type="dxa"/>
            <w:vAlign w:val="top"/>
          </w:tcPr>
          <w:p w14:paraId="5A9170D0">
            <w:pPr>
              <w:rPr>
                <w:rFonts w:ascii="Arial"/>
                <w:color w:val="auto"/>
                <w:sz w:val="21"/>
                <w:highlight w:val="none"/>
              </w:rPr>
            </w:pPr>
          </w:p>
        </w:tc>
        <w:tc>
          <w:tcPr>
            <w:tcW w:w="1491" w:type="dxa"/>
            <w:vAlign w:val="top"/>
          </w:tcPr>
          <w:p w14:paraId="7E62A162">
            <w:pPr>
              <w:rPr>
                <w:rFonts w:ascii="Arial"/>
                <w:color w:val="auto"/>
                <w:sz w:val="21"/>
                <w:highlight w:val="none"/>
              </w:rPr>
            </w:pPr>
          </w:p>
        </w:tc>
        <w:tc>
          <w:tcPr>
            <w:tcW w:w="827" w:type="dxa"/>
            <w:vAlign w:val="top"/>
          </w:tcPr>
          <w:p w14:paraId="126D95EF">
            <w:pPr>
              <w:rPr>
                <w:rFonts w:ascii="Arial"/>
                <w:color w:val="auto"/>
                <w:sz w:val="21"/>
                <w:highlight w:val="none"/>
              </w:rPr>
            </w:pPr>
          </w:p>
        </w:tc>
        <w:tc>
          <w:tcPr>
            <w:tcW w:w="1071" w:type="dxa"/>
            <w:vAlign w:val="top"/>
          </w:tcPr>
          <w:p w14:paraId="63CC8F62">
            <w:pPr>
              <w:rPr>
                <w:rFonts w:ascii="Arial"/>
                <w:color w:val="auto"/>
                <w:sz w:val="21"/>
                <w:highlight w:val="none"/>
              </w:rPr>
            </w:pPr>
          </w:p>
        </w:tc>
        <w:tc>
          <w:tcPr>
            <w:tcW w:w="1040" w:type="dxa"/>
            <w:vAlign w:val="top"/>
          </w:tcPr>
          <w:p w14:paraId="2A108A3D">
            <w:pPr>
              <w:rPr>
                <w:rFonts w:ascii="Arial"/>
                <w:color w:val="auto"/>
                <w:sz w:val="21"/>
                <w:highlight w:val="none"/>
              </w:rPr>
            </w:pPr>
          </w:p>
        </w:tc>
        <w:tc>
          <w:tcPr>
            <w:tcW w:w="1040" w:type="dxa"/>
            <w:vAlign w:val="top"/>
          </w:tcPr>
          <w:p w14:paraId="7FC5B3AA">
            <w:pPr>
              <w:rPr>
                <w:rFonts w:ascii="Arial"/>
                <w:color w:val="auto"/>
                <w:sz w:val="21"/>
                <w:highlight w:val="none"/>
              </w:rPr>
            </w:pPr>
          </w:p>
        </w:tc>
        <w:tc>
          <w:tcPr>
            <w:tcW w:w="1507" w:type="dxa"/>
            <w:tcBorders>
              <w:right w:val="single" w:color="000000" w:sz="6" w:space="0"/>
            </w:tcBorders>
            <w:vAlign w:val="top"/>
          </w:tcPr>
          <w:p w14:paraId="54B98BD1">
            <w:pPr>
              <w:rPr>
                <w:rFonts w:ascii="Arial"/>
                <w:color w:val="auto"/>
                <w:sz w:val="21"/>
                <w:highlight w:val="none"/>
              </w:rPr>
            </w:pPr>
          </w:p>
        </w:tc>
      </w:tr>
      <w:tr w14:paraId="5886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1E11995">
            <w:pPr>
              <w:pStyle w:val="23"/>
              <w:spacing w:before="201" w:line="235" w:lineRule="auto"/>
              <w:ind w:left="267"/>
              <w:rPr>
                <w:color w:val="auto"/>
                <w:highlight w:val="none"/>
              </w:rPr>
            </w:pPr>
            <w:r>
              <w:rPr>
                <w:color w:val="auto"/>
                <w:highlight w:val="none"/>
              </w:rPr>
              <w:t>7</w:t>
            </w:r>
          </w:p>
        </w:tc>
        <w:tc>
          <w:tcPr>
            <w:tcW w:w="1396" w:type="dxa"/>
            <w:vAlign w:val="top"/>
          </w:tcPr>
          <w:p w14:paraId="617F4DDF">
            <w:pPr>
              <w:rPr>
                <w:rFonts w:ascii="Arial"/>
                <w:color w:val="auto"/>
                <w:sz w:val="21"/>
                <w:highlight w:val="none"/>
              </w:rPr>
            </w:pPr>
          </w:p>
        </w:tc>
        <w:tc>
          <w:tcPr>
            <w:tcW w:w="753" w:type="dxa"/>
            <w:vAlign w:val="top"/>
          </w:tcPr>
          <w:p w14:paraId="074C0031">
            <w:pPr>
              <w:rPr>
                <w:rFonts w:ascii="Arial"/>
                <w:color w:val="auto"/>
                <w:sz w:val="21"/>
                <w:highlight w:val="none"/>
              </w:rPr>
            </w:pPr>
          </w:p>
        </w:tc>
        <w:tc>
          <w:tcPr>
            <w:tcW w:w="989" w:type="dxa"/>
            <w:vAlign w:val="top"/>
          </w:tcPr>
          <w:p w14:paraId="6513F3DD">
            <w:pPr>
              <w:rPr>
                <w:rFonts w:ascii="Arial"/>
                <w:color w:val="auto"/>
                <w:sz w:val="21"/>
                <w:highlight w:val="none"/>
              </w:rPr>
            </w:pPr>
          </w:p>
        </w:tc>
        <w:tc>
          <w:tcPr>
            <w:tcW w:w="966" w:type="dxa"/>
            <w:vAlign w:val="top"/>
          </w:tcPr>
          <w:p w14:paraId="6F9CF4C1">
            <w:pPr>
              <w:rPr>
                <w:rFonts w:ascii="Arial"/>
                <w:color w:val="auto"/>
                <w:sz w:val="21"/>
                <w:highlight w:val="none"/>
              </w:rPr>
            </w:pPr>
          </w:p>
        </w:tc>
        <w:tc>
          <w:tcPr>
            <w:tcW w:w="1009" w:type="dxa"/>
            <w:vAlign w:val="top"/>
          </w:tcPr>
          <w:p w14:paraId="6507E43F">
            <w:pPr>
              <w:rPr>
                <w:rFonts w:ascii="Arial"/>
                <w:color w:val="auto"/>
                <w:sz w:val="21"/>
                <w:highlight w:val="none"/>
              </w:rPr>
            </w:pPr>
          </w:p>
        </w:tc>
        <w:tc>
          <w:tcPr>
            <w:tcW w:w="1497" w:type="dxa"/>
            <w:vAlign w:val="top"/>
          </w:tcPr>
          <w:p w14:paraId="01C57D75">
            <w:pPr>
              <w:rPr>
                <w:rFonts w:ascii="Arial"/>
                <w:color w:val="auto"/>
                <w:sz w:val="21"/>
                <w:highlight w:val="none"/>
              </w:rPr>
            </w:pPr>
          </w:p>
        </w:tc>
        <w:tc>
          <w:tcPr>
            <w:tcW w:w="1491" w:type="dxa"/>
            <w:vAlign w:val="top"/>
          </w:tcPr>
          <w:p w14:paraId="462DDB7F">
            <w:pPr>
              <w:rPr>
                <w:rFonts w:ascii="Arial"/>
                <w:color w:val="auto"/>
                <w:sz w:val="21"/>
                <w:highlight w:val="none"/>
              </w:rPr>
            </w:pPr>
          </w:p>
        </w:tc>
        <w:tc>
          <w:tcPr>
            <w:tcW w:w="827" w:type="dxa"/>
            <w:vAlign w:val="top"/>
          </w:tcPr>
          <w:p w14:paraId="7424D147">
            <w:pPr>
              <w:rPr>
                <w:rFonts w:ascii="Arial"/>
                <w:color w:val="auto"/>
                <w:sz w:val="21"/>
                <w:highlight w:val="none"/>
              </w:rPr>
            </w:pPr>
          </w:p>
        </w:tc>
        <w:tc>
          <w:tcPr>
            <w:tcW w:w="1071" w:type="dxa"/>
            <w:vAlign w:val="top"/>
          </w:tcPr>
          <w:p w14:paraId="1F64460C">
            <w:pPr>
              <w:rPr>
                <w:rFonts w:ascii="Arial"/>
                <w:color w:val="auto"/>
                <w:sz w:val="21"/>
                <w:highlight w:val="none"/>
              </w:rPr>
            </w:pPr>
          </w:p>
        </w:tc>
        <w:tc>
          <w:tcPr>
            <w:tcW w:w="1040" w:type="dxa"/>
            <w:vAlign w:val="top"/>
          </w:tcPr>
          <w:p w14:paraId="6EB61595">
            <w:pPr>
              <w:rPr>
                <w:rFonts w:ascii="Arial"/>
                <w:color w:val="auto"/>
                <w:sz w:val="21"/>
                <w:highlight w:val="none"/>
              </w:rPr>
            </w:pPr>
          </w:p>
        </w:tc>
        <w:tc>
          <w:tcPr>
            <w:tcW w:w="1040" w:type="dxa"/>
            <w:vAlign w:val="top"/>
          </w:tcPr>
          <w:p w14:paraId="66599BE7">
            <w:pPr>
              <w:rPr>
                <w:rFonts w:ascii="Arial"/>
                <w:color w:val="auto"/>
                <w:sz w:val="21"/>
                <w:highlight w:val="none"/>
              </w:rPr>
            </w:pPr>
          </w:p>
        </w:tc>
        <w:tc>
          <w:tcPr>
            <w:tcW w:w="1507" w:type="dxa"/>
            <w:tcBorders>
              <w:right w:val="single" w:color="000000" w:sz="6" w:space="0"/>
            </w:tcBorders>
            <w:vAlign w:val="top"/>
          </w:tcPr>
          <w:p w14:paraId="60D90340">
            <w:pPr>
              <w:rPr>
                <w:rFonts w:ascii="Arial"/>
                <w:color w:val="auto"/>
                <w:sz w:val="21"/>
                <w:highlight w:val="none"/>
              </w:rPr>
            </w:pPr>
          </w:p>
        </w:tc>
      </w:tr>
      <w:tr w14:paraId="7A56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17581B3F">
            <w:pPr>
              <w:pStyle w:val="23"/>
              <w:spacing w:before="203" w:line="233" w:lineRule="auto"/>
              <w:ind w:left="263"/>
              <w:rPr>
                <w:color w:val="auto"/>
                <w:highlight w:val="none"/>
              </w:rPr>
            </w:pPr>
            <w:r>
              <w:rPr>
                <w:color w:val="auto"/>
                <w:highlight w:val="none"/>
              </w:rPr>
              <w:t>8</w:t>
            </w:r>
          </w:p>
        </w:tc>
        <w:tc>
          <w:tcPr>
            <w:tcW w:w="1396" w:type="dxa"/>
            <w:vAlign w:val="top"/>
          </w:tcPr>
          <w:p w14:paraId="53645093">
            <w:pPr>
              <w:rPr>
                <w:rFonts w:ascii="Arial"/>
                <w:color w:val="auto"/>
                <w:sz w:val="21"/>
                <w:highlight w:val="none"/>
              </w:rPr>
            </w:pPr>
          </w:p>
        </w:tc>
        <w:tc>
          <w:tcPr>
            <w:tcW w:w="753" w:type="dxa"/>
            <w:vAlign w:val="top"/>
          </w:tcPr>
          <w:p w14:paraId="36C27F00">
            <w:pPr>
              <w:rPr>
                <w:rFonts w:ascii="Arial"/>
                <w:color w:val="auto"/>
                <w:sz w:val="21"/>
                <w:highlight w:val="none"/>
              </w:rPr>
            </w:pPr>
          </w:p>
        </w:tc>
        <w:tc>
          <w:tcPr>
            <w:tcW w:w="989" w:type="dxa"/>
            <w:vAlign w:val="top"/>
          </w:tcPr>
          <w:p w14:paraId="003B6315">
            <w:pPr>
              <w:rPr>
                <w:rFonts w:ascii="Arial"/>
                <w:color w:val="auto"/>
                <w:sz w:val="21"/>
                <w:highlight w:val="none"/>
              </w:rPr>
            </w:pPr>
          </w:p>
        </w:tc>
        <w:tc>
          <w:tcPr>
            <w:tcW w:w="966" w:type="dxa"/>
            <w:vAlign w:val="top"/>
          </w:tcPr>
          <w:p w14:paraId="320DA800">
            <w:pPr>
              <w:rPr>
                <w:rFonts w:ascii="Arial"/>
                <w:color w:val="auto"/>
                <w:sz w:val="21"/>
                <w:highlight w:val="none"/>
              </w:rPr>
            </w:pPr>
          </w:p>
        </w:tc>
        <w:tc>
          <w:tcPr>
            <w:tcW w:w="1009" w:type="dxa"/>
            <w:vAlign w:val="top"/>
          </w:tcPr>
          <w:p w14:paraId="2D548CD3">
            <w:pPr>
              <w:rPr>
                <w:rFonts w:ascii="Arial"/>
                <w:color w:val="auto"/>
                <w:sz w:val="21"/>
                <w:highlight w:val="none"/>
              </w:rPr>
            </w:pPr>
          </w:p>
        </w:tc>
        <w:tc>
          <w:tcPr>
            <w:tcW w:w="1497" w:type="dxa"/>
            <w:vAlign w:val="top"/>
          </w:tcPr>
          <w:p w14:paraId="36C3651D">
            <w:pPr>
              <w:rPr>
                <w:rFonts w:ascii="Arial"/>
                <w:color w:val="auto"/>
                <w:sz w:val="21"/>
                <w:highlight w:val="none"/>
              </w:rPr>
            </w:pPr>
          </w:p>
        </w:tc>
        <w:tc>
          <w:tcPr>
            <w:tcW w:w="1491" w:type="dxa"/>
            <w:vAlign w:val="top"/>
          </w:tcPr>
          <w:p w14:paraId="05052D62">
            <w:pPr>
              <w:rPr>
                <w:rFonts w:ascii="Arial"/>
                <w:color w:val="auto"/>
                <w:sz w:val="21"/>
                <w:highlight w:val="none"/>
              </w:rPr>
            </w:pPr>
          </w:p>
        </w:tc>
        <w:tc>
          <w:tcPr>
            <w:tcW w:w="827" w:type="dxa"/>
            <w:vAlign w:val="top"/>
          </w:tcPr>
          <w:p w14:paraId="79C665D3">
            <w:pPr>
              <w:rPr>
                <w:rFonts w:ascii="Arial"/>
                <w:color w:val="auto"/>
                <w:sz w:val="21"/>
                <w:highlight w:val="none"/>
              </w:rPr>
            </w:pPr>
          </w:p>
        </w:tc>
        <w:tc>
          <w:tcPr>
            <w:tcW w:w="1071" w:type="dxa"/>
            <w:vAlign w:val="top"/>
          </w:tcPr>
          <w:p w14:paraId="71603843">
            <w:pPr>
              <w:rPr>
                <w:rFonts w:ascii="Arial"/>
                <w:color w:val="auto"/>
                <w:sz w:val="21"/>
                <w:highlight w:val="none"/>
              </w:rPr>
            </w:pPr>
          </w:p>
        </w:tc>
        <w:tc>
          <w:tcPr>
            <w:tcW w:w="1040" w:type="dxa"/>
            <w:vAlign w:val="top"/>
          </w:tcPr>
          <w:p w14:paraId="7684EC96">
            <w:pPr>
              <w:rPr>
                <w:rFonts w:ascii="Arial"/>
                <w:color w:val="auto"/>
                <w:sz w:val="21"/>
                <w:highlight w:val="none"/>
              </w:rPr>
            </w:pPr>
          </w:p>
        </w:tc>
        <w:tc>
          <w:tcPr>
            <w:tcW w:w="1040" w:type="dxa"/>
            <w:vAlign w:val="top"/>
          </w:tcPr>
          <w:p w14:paraId="299A9A04">
            <w:pPr>
              <w:rPr>
                <w:rFonts w:ascii="Arial"/>
                <w:color w:val="auto"/>
                <w:sz w:val="21"/>
                <w:highlight w:val="none"/>
              </w:rPr>
            </w:pPr>
          </w:p>
        </w:tc>
        <w:tc>
          <w:tcPr>
            <w:tcW w:w="1507" w:type="dxa"/>
            <w:tcBorders>
              <w:right w:val="single" w:color="000000" w:sz="6" w:space="0"/>
            </w:tcBorders>
            <w:vAlign w:val="top"/>
          </w:tcPr>
          <w:p w14:paraId="6112EAD9">
            <w:pPr>
              <w:rPr>
                <w:rFonts w:ascii="Arial"/>
                <w:color w:val="auto"/>
                <w:sz w:val="21"/>
                <w:highlight w:val="none"/>
              </w:rPr>
            </w:pPr>
          </w:p>
        </w:tc>
      </w:tr>
      <w:tr w14:paraId="4F80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26680A27">
            <w:pPr>
              <w:pStyle w:val="23"/>
              <w:spacing w:before="202" w:line="234" w:lineRule="auto"/>
              <w:ind w:left="222"/>
              <w:rPr>
                <w:color w:val="auto"/>
                <w:highlight w:val="none"/>
              </w:rPr>
            </w:pPr>
            <w:r>
              <w:rPr>
                <w:color w:val="auto"/>
                <w:highlight w:val="none"/>
              </w:rPr>
              <w:t>…</w:t>
            </w:r>
          </w:p>
        </w:tc>
        <w:tc>
          <w:tcPr>
            <w:tcW w:w="1396" w:type="dxa"/>
            <w:vAlign w:val="top"/>
          </w:tcPr>
          <w:p w14:paraId="1FB05387">
            <w:pPr>
              <w:rPr>
                <w:rFonts w:ascii="Arial"/>
                <w:color w:val="auto"/>
                <w:sz w:val="21"/>
                <w:highlight w:val="none"/>
              </w:rPr>
            </w:pPr>
          </w:p>
        </w:tc>
        <w:tc>
          <w:tcPr>
            <w:tcW w:w="753" w:type="dxa"/>
            <w:vAlign w:val="top"/>
          </w:tcPr>
          <w:p w14:paraId="6E4B7748">
            <w:pPr>
              <w:rPr>
                <w:rFonts w:ascii="Arial"/>
                <w:color w:val="auto"/>
                <w:sz w:val="21"/>
                <w:highlight w:val="none"/>
              </w:rPr>
            </w:pPr>
          </w:p>
        </w:tc>
        <w:tc>
          <w:tcPr>
            <w:tcW w:w="989" w:type="dxa"/>
            <w:vAlign w:val="top"/>
          </w:tcPr>
          <w:p w14:paraId="56FEB0ED">
            <w:pPr>
              <w:rPr>
                <w:rFonts w:ascii="Arial"/>
                <w:color w:val="auto"/>
                <w:sz w:val="21"/>
                <w:highlight w:val="none"/>
              </w:rPr>
            </w:pPr>
          </w:p>
        </w:tc>
        <w:tc>
          <w:tcPr>
            <w:tcW w:w="966" w:type="dxa"/>
            <w:vAlign w:val="top"/>
          </w:tcPr>
          <w:p w14:paraId="7A585115">
            <w:pPr>
              <w:rPr>
                <w:rFonts w:ascii="Arial"/>
                <w:color w:val="auto"/>
                <w:sz w:val="21"/>
                <w:highlight w:val="none"/>
              </w:rPr>
            </w:pPr>
          </w:p>
        </w:tc>
        <w:tc>
          <w:tcPr>
            <w:tcW w:w="1009" w:type="dxa"/>
            <w:vAlign w:val="top"/>
          </w:tcPr>
          <w:p w14:paraId="391FD74F">
            <w:pPr>
              <w:rPr>
                <w:rFonts w:ascii="Arial"/>
                <w:color w:val="auto"/>
                <w:sz w:val="21"/>
                <w:highlight w:val="none"/>
              </w:rPr>
            </w:pPr>
          </w:p>
        </w:tc>
        <w:tc>
          <w:tcPr>
            <w:tcW w:w="1497" w:type="dxa"/>
            <w:vAlign w:val="top"/>
          </w:tcPr>
          <w:p w14:paraId="0BA4BB16">
            <w:pPr>
              <w:rPr>
                <w:rFonts w:ascii="Arial"/>
                <w:color w:val="auto"/>
                <w:sz w:val="21"/>
                <w:highlight w:val="none"/>
              </w:rPr>
            </w:pPr>
          </w:p>
        </w:tc>
        <w:tc>
          <w:tcPr>
            <w:tcW w:w="1491" w:type="dxa"/>
            <w:vAlign w:val="top"/>
          </w:tcPr>
          <w:p w14:paraId="2598D2E5">
            <w:pPr>
              <w:rPr>
                <w:rFonts w:ascii="Arial"/>
                <w:color w:val="auto"/>
                <w:sz w:val="21"/>
                <w:highlight w:val="none"/>
              </w:rPr>
            </w:pPr>
          </w:p>
        </w:tc>
        <w:tc>
          <w:tcPr>
            <w:tcW w:w="827" w:type="dxa"/>
            <w:vAlign w:val="top"/>
          </w:tcPr>
          <w:p w14:paraId="3C5EB74B">
            <w:pPr>
              <w:rPr>
                <w:rFonts w:ascii="Arial"/>
                <w:color w:val="auto"/>
                <w:sz w:val="21"/>
                <w:highlight w:val="none"/>
              </w:rPr>
            </w:pPr>
          </w:p>
        </w:tc>
        <w:tc>
          <w:tcPr>
            <w:tcW w:w="1071" w:type="dxa"/>
            <w:vAlign w:val="top"/>
          </w:tcPr>
          <w:p w14:paraId="5FC94AD7">
            <w:pPr>
              <w:rPr>
                <w:rFonts w:ascii="Arial"/>
                <w:color w:val="auto"/>
                <w:sz w:val="21"/>
                <w:highlight w:val="none"/>
              </w:rPr>
            </w:pPr>
          </w:p>
        </w:tc>
        <w:tc>
          <w:tcPr>
            <w:tcW w:w="1040" w:type="dxa"/>
            <w:vAlign w:val="top"/>
          </w:tcPr>
          <w:p w14:paraId="716CE9C7">
            <w:pPr>
              <w:rPr>
                <w:rFonts w:ascii="Arial"/>
                <w:color w:val="auto"/>
                <w:sz w:val="21"/>
                <w:highlight w:val="none"/>
              </w:rPr>
            </w:pPr>
          </w:p>
        </w:tc>
        <w:tc>
          <w:tcPr>
            <w:tcW w:w="1040" w:type="dxa"/>
            <w:vAlign w:val="top"/>
          </w:tcPr>
          <w:p w14:paraId="43340937">
            <w:pPr>
              <w:rPr>
                <w:rFonts w:ascii="Arial"/>
                <w:color w:val="auto"/>
                <w:sz w:val="21"/>
                <w:highlight w:val="none"/>
              </w:rPr>
            </w:pPr>
          </w:p>
        </w:tc>
        <w:tc>
          <w:tcPr>
            <w:tcW w:w="1507" w:type="dxa"/>
            <w:tcBorders>
              <w:right w:val="single" w:color="000000" w:sz="6" w:space="0"/>
            </w:tcBorders>
            <w:vAlign w:val="top"/>
          </w:tcPr>
          <w:p w14:paraId="37152CDF">
            <w:pPr>
              <w:rPr>
                <w:rFonts w:ascii="Arial"/>
                <w:color w:val="auto"/>
                <w:sz w:val="21"/>
                <w:highlight w:val="none"/>
              </w:rPr>
            </w:pPr>
          </w:p>
        </w:tc>
      </w:tr>
      <w:tr w14:paraId="732F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35" w:type="dxa"/>
            <w:tcBorders>
              <w:left w:val="single" w:color="000000" w:sz="6" w:space="0"/>
              <w:bottom w:val="single" w:color="000000" w:sz="6" w:space="0"/>
              <w:right w:val="nil"/>
            </w:tcBorders>
            <w:vAlign w:val="top"/>
          </w:tcPr>
          <w:p w14:paraId="117561C9">
            <w:pPr>
              <w:rPr>
                <w:rFonts w:ascii="Arial"/>
                <w:color w:val="auto"/>
                <w:sz w:val="21"/>
                <w:highlight w:val="none"/>
              </w:rPr>
            </w:pPr>
          </w:p>
        </w:tc>
        <w:tc>
          <w:tcPr>
            <w:tcW w:w="3138" w:type="dxa"/>
            <w:gridSpan w:val="3"/>
            <w:tcBorders>
              <w:left w:val="nil"/>
              <w:bottom w:val="single" w:color="000000" w:sz="6" w:space="0"/>
            </w:tcBorders>
            <w:vAlign w:val="top"/>
          </w:tcPr>
          <w:p w14:paraId="49A41676">
            <w:pPr>
              <w:pStyle w:val="23"/>
              <w:spacing w:before="204" w:line="228" w:lineRule="auto"/>
              <w:ind w:left="734"/>
              <w:rPr>
                <w:color w:val="auto"/>
                <w:highlight w:val="none"/>
              </w:rPr>
            </w:pPr>
            <w:r>
              <w:rPr>
                <w:color w:val="auto"/>
                <w:spacing w:val="3"/>
                <w:highlight w:val="none"/>
              </w:rPr>
              <w:t>合</w:t>
            </w:r>
            <w:r>
              <w:rPr>
                <w:color w:val="auto"/>
                <w:spacing w:val="11"/>
                <w:highlight w:val="none"/>
              </w:rPr>
              <w:t xml:space="preserve">  </w:t>
            </w:r>
            <w:r>
              <w:rPr>
                <w:color w:val="auto"/>
                <w:spacing w:val="3"/>
                <w:highlight w:val="none"/>
              </w:rPr>
              <w:t>计(元)</w:t>
            </w:r>
          </w:p>
        </w:tc>
        <w:tc>
          <w:tcPr>
            <w:tcW w:w="966" w:type="dxa"/>
            <w:tcBorders>
              <w:bottom w:val="single" w:color="000000" w:sz="6" w:space="0"/>
            </w:tcBorders>
            <w:vAlign w:val="top"/>
          </w:tcPr>
          <w:p w14:paraId="7AA472C5">
            <w:pPr>
              <w:rPr>
                <w:rFonts w:ascii="Arial"/>
                <w:color w:val="auto"/>
                <w:sz w:val="21"/>
                <w:highlight w:val="none"/>
              </w:rPr>
            </w:pPr>
          </w:p>
        </w:tc>
        <w:tc>
          <w:tcPr>
            <w:tcW w:w="1009" w:type="dxa"/>
            <w:tcBorders>
              <w:bottom w:val="single" w:color="000000" w:sz="6" w:space="0"/>
            </w:tcBorders>
            <w:vAlign w:val="top"/>
          </w:tcPr>
          <w:p w14:paraId="4DFB4601">
            <w:pPr>
              <w:rPr>
                <w:rFonts w:ascii="Arial"/>
                <w:color w:val="auto"/>
                <w:sz w:val="21"/>
                <w:highlight w:val="none"/>
              </w:rPr>
            </w:pPr>
          </w:p>
        </w:tc>
        <w:tc>
          <w:tcPr>
            <w:tcW w:w="1497" w:type="dxa"/>
            <w:tcBorders>
              <w:bottom w:val="single" w:color="000000" w:sz="6" w:space="0"/>
            </w:tcBorders>
            <w:vAlign w:val="top"/>
          </w:tcPr>
          <w:p w14:paraId="7CCB72F2">
            <w:pPr>
              <w:rPr>
                <w:rFonts w:ascii="Arial"/>
                <w:color w:val="auto"/>
                <w:sz w:val="21"/>
                <w:highlight w:val="none"/>
              </w:rPr>
            </w:pPr>
          </w:p>
        </w:tc>
        <w:tc>
          <w:tcPr>
            <w:tcW w:w="3389" w:type="dxa"/>
            <w:gridSpan w:val="3"/>
            <w:tcBorders>
              <w:bottom w:val="single" w:color="000000" w:sz="6" w:space="0"/>
            </w:tcBorders>
            <w:vAlign w:val="top"/>
          </w:tcPr>
          <w:p w14:paraId="305FD84B">
            <w:pPr>
              <w:pStyle w:val="23"/>
              <w:spacing w:before="204" w:line="228" w:lineRule="auto"/>
              <w:ind w:left="1178"/>
              <w:rPr>
                <w:color w:val="auto"/>
                <w:highlight w:val="none"/>
              </w:rPr>
            </w:pPr>
            <w:r>
              <w:rPr>
                <w:color w:val="auto"/>
                <w:spacing w:val="3"/>
                <w:highlight w:val="none"/>
              </w:rPr>
              <w:t>合</w:t>
            </w:r>
            <w:r>
              <w:rPr>
                <w:color w:val="auto"/>
                <w:spacing w:val="11"/>
                <w:highlight w:val="none"/>
              </w:rPr>
              <w:t xml:space="preserve">  </w:t>
            </w:r>
            <w:r>
              <w:rPr>
                <w:color w:val="auto"/>
                <w:spacing w:val="3"/>
                <w:highlight w:val="none"/>
              </w:rPr>
              <w:t>计(元)</w:t>
            </w:r>
          </w:p>
        </w:tc>
        <w:tc>
          <w:tcPr>
            <w:tcW w:w="1040" w:type="dxa"/>
            <w:tcBorders>
              <w:bottom w:val="single" w:color="000000" w:sz="6" w:space="0"/>
            </w:tcBorders>
            <w:vAlign w:val="top"/>
          </w:tcPr>
          <w:p w14:paraId="56AD4A02">
            <w:pPr>
              <w:rPr>
                <w:rFonts w:ascii="Arial"/>
                <w:color w:val="auto"/>
                <w:sz w:val="21"/>
                <w:highlight w:val="none"/>
              </w:rPr>
            </w:pPr>
          </w:p>
        </w:tc>
        <w:tc>
          <w:tcPr>
            <w:tcW w:w="1040" w:type="dxa"/>
            <w:tcBorders>
              <w:bottom w:val="single" w:color="000000" w:sz="6" w:space="0"/>
            </w:tcBorders>
            <w:vAlign w:val="top"/>
          </w:tcPr>
          <w:p w14:paraId="3D97381C">
            <w:pPr>
              <w:rPr>
                <w:rFonts w:ascii="Arial"/>
                <w:color w:val="auto"/>
                <w:sz w:val="21"/>
                <w:highlight w:val="none"/>
              </w:rPr>
            </w:pPr>
          </w:p>
        </w:tc>
        <w:tc>
          <w:tcPr>
            <w:tcW w:w="1507" w:type="dxa"/>
            <w:tcBorders>
              <w:bottom w:val="single" w:color="000000" w:sz="6" w:space="0"/>
              <w:right w:val="single" w:color="000000" w:sz="6" w:space="0"/>
            </w:tcBorders>
            <w:vAlign w:val="top"/>
          </w:tcPr>
          <w:p w14:paraId="500E1EB1">
            <w:pPr>
              <w:rPr>
                <w:rFonts w:ascii="Arial"/>
                <w:color w:val="auto"/>
                <w:sz w:val="21"/>
                <w:highlight w:val="none"/>
              </w:rPr>
            </w:pPr>
          </w:p>
        </w:tc>
      </w:tr>
    </w:tbl>
    <w:p w14:paraId="47866661">
      <w:pPr>
        <w:rPr>
          <w:rFonts w:ascii="Arial"/>
          <w:color w:val="auto"/>
          <w:sz w:val="21"/>
          <w:highlight w:val="none"/>
        </w:rPr>
      </w:pPr>
    </w:p>
    <w:p w14:paraId="4052E7F0">
      <w:pPr>
        <w:rPr>
          <w:rFonts w:ascii="Arial" w:hAnsi="Arial" w:eastAsia="Arial" w:cs="Arial"/>
          <w:color w:val="auto"/>
          <w:sz w:val="21"/>
          <w:szCs w:val="21"/>
          <w:highlight w:val="none"/>
        </w:rPr>
        <w:sectPr>
          <w:footerReference r:id="rId70" w:type="default"/>
          <w:pgSz w:w="16839" w:h="11906"/>
          <w:pgMar w:top="1012" w:right="1301" w:bottom="1297" w:left="1300" w:header="0" w:footer="1067" w:gutter="0"/>
          <w:pgNumType w:fmt="decimal"/>
          <w:cols w:space="720" w:num="1"/>
        </w:sectPr>
      </w:pPr>
    </w:p>
    <w:p w14:paraId="770DF7B7">
      <w:pPr>
        <w:spacing w:line="302" w:lineRule="auto"/>
        <w:rPr>
          <w:rFonts w:ascii="Arial"/>
          <w:color w:val="auto"/>
          <w:sz w:val="21"/>
          <w:highlight w:val="none"/>
        </w:rPr>
      </w:pPr>
    </w:p>
    <w:p w14:paraId="551CD161">
      <w:pPr>
        <w:spacing w:line="302" w:lineRule="auto"/>
        <w:rPr>
          <w:rFonts w:ascii="Arial"/>
          <w:color w:val="auto"/>
          <w:sz w:val="21"/>
          <w:highlight w:val="none"/>
        </w:rPr>
      </w:pPr>
    </w:p>
    <w:p w14:paraId="7D84CA8C">
      <w:pPr>
        <w:spacing w:before="91" w:line="225" w:lineRule="auto"/>
        <w:ind w:left="5751"/>
        <w:rPr>
          <w:rFonts w:ascii="宋体" w:hAnsi="宋体" w:eastAsia="宋体" w:cs="宋体"/>
          <w:color w:val="auto"/>
          <w:sz w:val="13"/>
          <w:szCs w:val="13"/>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4"/>
          <w:sz w:val="28"/>
          <w:szCs w:val="28"/>
          <w:highlight w:val="none"/>
        </w:rPr>
        <w:t>7</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其他费用报价表</w:t>
      </w:r>
    </w:p>
    <w:tbl>
      <w:tblPr>
        <w:tblStyle w:val="22"/>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3452"/>
        <w:gridCol w:w="1351"/>
        <w:gridCol w:w="1198"/>
        <w:gridCol w:w="1649"/>
        <w:gridCol w:w="1649"/>
        <w:gridCol w:w="3766"/>
      </w:tblGrid>
      <w:tr w14:paraId="6A3F0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53" w:type="dxa"/>
            <w:vAlign w:val="top"/>
          </w:tcPr>
          <w:p w14:paraId="5E50320B">
            <w:pPr>
              <w:pStyle w:val="23"/>
              <w:spacing w:before="73" w:line="229" w:lineRule="auto"/>
              <w:ind w:left="370"/>
              <w:rPr>
                <w:color w:val="auto"/>
                <w:highlight w:val="none"/>
              </w:rPr>
            </w:pPr>
            <w:r>
              <w:rPr>
                <w:color w:val="auto"/>
                <w:spacing w:val="5"/>
                <w:highlight w:val="none"/>
              </w:rPr>
              <w:t>序号</w:t>
            </w:r>
          </w:p>
        </w:tc>
        <w:tc>
          <w:tcPr>
            <w:tcW w:w="3452" w:type="dxa"/>
            <w:vAlign w:val="top"/>
          </w:tcPr>
          <w:p w14:paraId="4737554A">
            <w:pPr>
              <w:pStyle w:val="23"/>
              <w:spacing w:before="73" w:line="228" w:lineRule="auto"/>
              <w:ind w:left="1311"/>
              <w:rPr>
                <w:color w:val="auto"/>
                <w:highlight w:val="none"/>
              </w:rPr>
            </w:pPr>
            <w:r>
              <w:rPr>
                <w:color w:val="auto"/>
                <w:spacing w:val="7"/>
                <w:highlight w:val="none"/>
              </w:rPr>
              <w:t>子目名称</w:t>
            </w:r>
          </w:p>
        </w:tc>
        <w:tc>
          <w:tcPr>
            <w:tcW w:w="1351" w:type="dxa"/>
            <w:vAlign w:val="top"/>
          </w:tcPr>
          <w:p w14:paraId="14830AAB">
            <w:pPr>
              <w:pStyle w:val="23"/>
              <w:spacing w:before="73" w:line="228" w:lineRule="auto"/>
              <w:ind w:left="471"/>
              <w:rPr>
                <w:color w:val="auto"/>
                <w:highlight w:val="none"/>
              </w:rPr>
            </w:pPr>
            <w:r>
              <w:rPr>
                <w:color w:val="auto"/>
                <w:spacing w:val="3"/>
                <w:highlight w:val="none"/>
              </w:rPr>
              <w:t>单位</w:t>
            </w:r>
          </w:p>
        </w:tc>
        <w:tc>
          <w:tcPr>
            <w:tcW w:w="1198" w:type="dxa"/>
            <w:vAlign w:val="top"/>
          </w:tcPr>
          <w:p w14:paraId="080633D1">
            <w:pPr>
              <w:pStyle w:val="23"/>
              <w:spacing w:before="72" w:line="228" w:lineRule="auto"/>
              <w:ind w:left="395"/>
              <w:rPr>
                <w:color w:val="auto"/>
                <w:highlight w:val="none"/>
              </w:rPr>
            </w:pPr>
            <w:r>
              <w:rPr>
                <w:color w:val="auto"/>
                <w:spacing w:val="3"/>
                <w:highlight w:val="none"/>
              </w:rPr>
              <w:t>数量</w:t>
            </w:r>
          </w:p>
        </w:tc>
        <w:tc>
          <w:tcPr>
            <w:tcW w:w="1649" w:type="dxa"/>
            <w:vAlign w:val="top"/>
          </w:tcPr>
          <w:p w14:paraId="77AE8AA5">
            <w:pPr>
              <w:pStyle w:val="23"/>
              <w:spacing w:before="73" w:line="226" w:lineRule="auto"/>
              <w:ind w:left="306"/>
              <w:rPr>
                <w:color w:val="auto"/>
                <w:highlight w:val="none"/>
              </w:rPr>
            </w:pPr>
            <w:r>
              <w:rPr>
                <w:color w:val="auto"/>
                <w:spacing w:val="5"/>
                <w:highlight w:val="none"/>
              </w:rPr>
              <w:t>单价（元）</w:t>
            </w:r>
          </w:p>
        </w:tc>
        <w:tc>
          <w:tcPr>
            <w:tcW w:w="1649" w:type="dxa"/>
            <w:vAlign w:val="top"/>
          </w:tcPr>
          <w:p w14:paraId="131C87B9">
            <w:pPr>
              <w:pStyle w:val="23"/>
              <w:spacing w:before="73" w:line="226" w:lineRule="auto"/>
              <w:ind w:left="307"/>
              <w:rPr>
                <w:color w:val="auto"/>
                <w:highlight w:val="none"/>
              </w:rPr>
            </w:pPr>
            <w:r>
              <w:rPr>
                <w:color w:val="auto"/>
                <w:spacing w:val="5"/>
                <w:highlight w:val="none"/>
              </w:rPr>
              <w:t>合价（元）</w:t>
            </w:r>
          </w:p>
        </w:tc>
        <w:tc>
          <w:tcPr>
            <w:tcW w:w="3766" w:type="dxa"/>
            <w:vAlign w:val="top"/>
          </w:tcPr>
          <w:p w14:paraId="06E05644">
            <w:pPr>
              <w:pStyle w:val="23"/>
              <w:spacing w:before="73" w:line="229" w:lineRule="auto"/>
              <w:ind w:left="1679"/>
              <w:rPr>
                <w:color w:val="auto"/>
                <w:highlight w:val="none"/>
              </w:rPr>
            </w:pPr>
            <w:r>
              <w:rPr>
                <w:color w:val="auto"/>
                <w:spacing w:val="3"/>
                <w:highlight w:val="none"/>
              </w:rPr>
              <w:t>备注</w:t>
            </w:r>
          </w:p>
        </w:tc>
      </w:tr>
      <w:tr w14:paraId="1F56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56948B0F">
            <w:pPr>
              <w:pStyle w:val="23"/>
              <w:spacing w:before="71" w:line="270" w:lineRule="exact"/>
              <w:ind w:left="545"/>
              <w:rPr>
                <w:color w:val="auto"/>
                <w:highlight w:val="none"/>
              </w:rPr>
            </w:pPr>
            <w:r>
              <w:rPr>
                <w:color w:val="auto"/>
                <w:position w:val="1"/>
                <w:highlight w:val="none"/>
              </w:rPr>
              <w:t>1</w:t>
            </w:r>
          </w:p>
        </w:tc>
        <w:tc>
          <w:tcPr>
            <w:tcW w:w="3452" w:type="dxa"/>
            <w:vAlign w:val="top"/>
          </w:tcPr>
          <w:p w14:paraId="085FBCCA">
            <w:pPr>
              <w:pStyle w:val="23"/>
              <w:spacing w:before="70" w:line="228" w:lineRule="auto"/>
              <w:ind w:left="894"/>
              <w:rPr>
                <w:color w:val="auto"/>
                <w:highlight w:val="none"/>
              </w:rPr>
            </w:pPr>
            <w:r>
              <w:rPr>
                <w:color w:val="auto"/>
                <w:spacing w:val="8"/>
                <w:highlight w:val="none"/>
              </w:rPr>
              <w:t>项目管理系统软件</w:t>
            </w:r>
          </w:p>
        </w:tc>
        <w:tc>
          <w:tcPr>
            <w:tcW w:w="1351" w:type="dxa"/>
            <w:vAlign w:val="top"/>
          </w:tcPr>
          <w:p w14:paraId="07BFFD9F">
            <w:pPr>
              <w:pStyle w:val="23"/>
              <w:spacing w:before="70" w:line="228" w:lineRule="auto"/>
              <w:ind w:left="475"/>
              <w:rPr>
                <w:color w:val="auto"/>
                <w:highlight w:val="none"/>
              </w:rPr>
            </w:pPr>
            <w:r>
              <w:rPr>
                <w:color w:val="auto"/>
                <w:spacing w:val="2"/>
                <w:highlight w:val="none"/>
              </w:rPr>
              <w:t>总额</w:t>
            </w:r>
          </w:p>
        </w:tc>
        <w:tc>
          <w:tcPr>
            <w:tcW w:w="1198" w:type="dxa"/>
            <w:vAlign w:val="top"/>
          </w:tcPr>
          <w:p w14:paraId="7992F9D1">
            <w:pPr>
              <w:pStyle w:val="23"/>
              <w:spacing w:before="71" w:line="270" w:lineRule="exact"/>
              <w:ind w:left="567"/>
              <w:rPr>
                <w:color w:val="auto"/>
                <w:highlight w:val="none"/>
              </w:rPr>
            </w:pPr>
            <w:r>
              <w:rPr>
                <w:color w:val="auto"/>
                <w:position w:val="1"/>
                <w:highlight w:val="none"/>
              </w:rPr>
              <w:t>1</w:t>
            </w:r>
          </w:p>
        </w:tc>
        <w:tc>
          <w:tcPr>
            <w:tcW w:w="1649" w:type="dxa"/>
            <w:vAlign w:val="top"/>
          </w:tcPr>
          <w:p w14:paraId="1D448BF1">
            <w:pPr>
              <w:rPr>
                <w:rFonts w:ascii="Arial"/>
                <w:color w:val="auto"/>
                <w:sz w:val="21"/>
                <w:highlight w:val="none"/>
              </w:rPr>
            </w:pPr>
          </w:p>
        </w:tc>
        <w:tc>
          <w:tcPr>
            <w:tcW w:w="1649" w:type="dxa"/>
            <w:vAlign w:val="top"/>
          </w:tcPr>
          <w:p w14:paraId="4B02A9EA">
            <w:pPr>
              <w:rPr>
                <w:rFonts w:ascii="Arial"/>
                <w:color w:val="auto"/>
                <w:sz w:val="21"/>
                <w:highlight w:val="none"/>
              </w:rPr>
            </w:pPr>
          </w:p>
        </w:tc>
        <w:tc>
          <w:tcPr>
            <w:tcW w:w="3766" w:type="dxa"/>
            <w:vAlign w:val="top"/>
          </w:tcPr>
          <w:p w14:paraId="19FF7AC1">
            <w:pPr>
              <w:pStyle w:val="23"/>
              <w:spacing w:before="70" w:line="228" w:lineRule="auto"/>
              <w:ind w:left="418"/>
              <w:rPr>
                <w:color w:val="auto"/>
                <w:highlight w:val="none"/>
              </w:rPr>
            </w:pPr>
            <w:r>
              <w:rPr>
                <w:color w:val="auto"/>
                <w:spacing w:val="9"/>
                <w:highlight w:val="none"/>
              </w:rPr>
              <w:t>按招标文件规定的固定金额填报</w:t>
            </w:r>
          </w:p>
        </w:tc>
      </w:tr>
      <w:tr w14:paraId="70EB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2025D3D0">
            <w:pPr>
              <w:pStyle w:val="23"/>
              <w:spacing w:before="71" w:line="270" w:lineRule="exact"/>
              <w:ind w:left="532"/>
              <w:rPr>
                <w:color w:val="auto"/>
                <w:highlight w:val="none"/>
              </w:rPr>
            </w:pPr>
            <w:r>
              <w:rPr>
                <w:color w:val="auto"/>
                <w:position w:val="1"/>
                <w:highlight w:val="none"/>
              </w:rPr>
              <w:t>2</w:t>
            </w:r>
          </w:p>
        </w:tc>
        <w:tc>
          <w:tcPr>
            <w:tcW w:w="3452" w:type="dxa"/>
            <w:vAlign w:val="top"/>
          </w:tcPr>
          <w:p w14:paraId="5923C459">
            <w:pPr>
              <w:pStyle w:val="23"/>
              <w:spacing w:before="71" w:line="228" w:lineRule="auto"/>
              <w:ind w:left="891"/>
              <w:rPr>
                <w:color w:val="auto"/>
                <w:highlight w:val="none"/>
              </w:rPr>
            </w:pPr>
            <w:r>
              <w:rPr>
                <w:color w:val="auto"/>
                <w:spacing w:val="8"/>
                <w:highlight w:val="none"/>
              </w:rPr>
              <w:t>监理适岗培训费用</w:t>
            </w:r>
          </w:p>
        </w:tc>
        <w:tc>
          <w:tcPr>
            <w:tcW w:w="1351" w:type="dxa"/>
            <w:vAlign w:val="top"/>
          </w:tcPr>
          <w:p w14:paraId="10460DD9">
            <w:pPr>
              <w:pStyle w:val="23"/>
              <w:spacing w:before="71" w:line="228" w:lineRule="auto"/>
              <w:ind w:left="475"/>
              <w:rPr>
                <w:color w:val="auto"/>
                <w:highlight w:val="none"/>
              </w:rPr>
            </w:pPr>
            <w:r>
              <w:rPr>
                <w:color w:val="auto"/>
                <w:spacing w:val="2"/>
                <w:highlight w:val="none"/>
              </w:rPr>
              <w:t>总额</w:t>
            </w:r>
          </w:p>
        </w:tc>
        <w:tc>
          <w:tcPr>
            <w:tcW w:w="1198" w:type="dxa"/>
            <w:vAlign w:val="top"/>
          </w:tcPr>
          <w:p w14:paraId="0239393F">
            <w:pPr>
              <w:pStyle w:val="23"/>
              <w:spacing w:before="71" w:line="270" w:lineRule="exact"/>
              <w:ind w:left="567"/>
              <w:rPr>
                <w:color w:val="auto"/>
                <w:highlight w:val="none"/>
              </w:rPr>
            </w:pPr>
            <w:r>
              <w:rPr>
                <w:color w:val="auto"/>
                <w:position w:val="1"/>
                <w:highlight w:val="none"/>
              </w:rPr>
              <w:t>1</w:t>
            </w:r>
          </w:p>
        </w:tc>
        <w:tc>
          <w:tcPr>
            <w:tcW w:w="1649" w:type="dxa"/>
            <w:vAlign w:val="top"/>
          </w:tcPr>
          <w:p w14:paraId="5EC1852E">
            <w:pPr>
              <w:rPr>
                <w:rFonts w:ascii="Arial"/>
                <w:color w:val="auto"/>
                <w:sz w:val="21"/>
                <w:highlight w:val="none"/>
              </w:rPr>
            </w:pPr>
          </w:p>
        </w:tc>
        <w:tc>
          <w:tcPr>
            <w:tcW w:w="1649" w:type="dxa"/>
            <w:vAlign w:val="top"/>
          </w:tcPr>
          <w:p w14:paraId="68BAA087">
            <w:pPr>
              <w:rPr>
                <w:rFonts w:ascii="Arial"/>
                <w:color w:val="auto"/>
                <w:sz w:val="21"/>
                <w:highlight w:val="none"/>
              </w:rPr>
            </w:pPr>
          </w:p>
        </w:tc>
        <w:tc>
          <w:tcPr>
            <w:tcW w:w="3766" w:type="dxa"/>
            <w:vAlign w:val="top"/>
          </w:tcPr>
          <w:p w14:paraId="70E1D851">
            <w:pPr>
              <w:pStyle w:val="23"/>
              <w:spacing w:before="71" w:line="228" w:lineRule="auto"/>
              <w:ind w:left="418"/>
              <w:rPr>
                <w:color w:val="auto"/>
                <w:highlight w:val="none"/>
              </w:rPr>
            </w:pPr>
            <w:r>
              <w:rPr>
                <w:color w:val="auto"/>
                <w:spacing w:val="9"/>
                <w:highlight w:val="none"/>
              </w:rPr>
              <w:t>按招标文件规定的固定金额填报</w:t>
            </w:r>
          </w:p>
        </w:tc>
      </w:tr>
      <w:tr w14:paraId="653F6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53" w:type="dxa"/>
            <w:vAlign w:val="top"/>
          </w:tcPr>
          <w:p w14:paraId="6B965AE0">
            <w:pPr>
              <w:pStyle w:val="23"/>
              <w:spacing w:before="237" w:line="268" w:lineRule="exact"/>
              <w:ind w:left="533"/>
              <w:rPr>
                <w:color w:val="auto"/>
                <w:highlight w:val="none"/>
              </w:rPr>
            </w:pPr>
            <w:r>
              <w:rPr>
                <w:color w:val="auto"/>
                <w:position w:val="1"/>
                <w:highlight w:val="none"/>
              </w:rPr>
              <w:t>3</w:t>
            </w:r>
          </w:p>
        </w:tc>
        <w:tc>
          <w:tcPr>
            <w:tcW w:w="3452" w:type="dxa"/>
            <w:vAlign w:val="top"/>
          </w:tcPr>
          <w:p w14:paraId="0614CADA">
            <w:pPr>
              <w:pStyle w:val="23"/>
              <w:spacing w:before="33" w:line="227" w:lineRule="auto"/>
              <w:ind w:left="154"/>
              <w:rPr>
                <w:color w:val="auto"/>
                <w:highlight w:val="none"/>
              </w:rPr>
            </w:pPr>
            <w:r>
              <w:rPr>
                <w:color w:val="auto"/>
                <w:spacing w:val="13"/>
                <w:highlight w:val="none"/>
              </w:rPr>
              <w:t>法人单位对“项目现场管理机构</w:t>
            </w:r>
            <w:r>
              <w:rPr>
                <w:color w:val="auto"/>
                <w:spacing w:val="-56"/>
                <w:highlight w:val="none"/>
              </w:rPr>
              <w:t xml:space="preserve"> </w:t>
            </w:r>
            <w:r>
              <w:rPr>
                <w:color w:val="auto"/>
                <w:spacing w:val="13"/>
                <w:highlight w:val="none"/>
              </w:rPr>
              <w:t>”</w:t>
            </w:r>
          </w:p>
          <w:p w14:paraId="5D1BA36A">
            <w:pPr>
              <w:pStyle w:val="23"/>
              <w:spacing w:before="161" w:line="228" w:lineRule="auto"/>
              <w:ind w:left="1011"/>
              <w:rPr>
                <w:color w:val="auto"/>
                <w:highlight w:val="none"/>
              </w:rPr>
            </w:pPr>
            <w:r>
              <w:rPr>
                <w:color w:val="auto"/>
                <w:spacing w:val="6"/>
                <w:highlight w:val="none"/>
              </w:rPr>
              <w:t>的监管和支持费</w:t>
            </w:r>
          </w:p>
        </w:tc>
        <w:tc>
          <w:tcPr>
            <w:tcW w:w="1351" w:type="dxa"/>
            <w:vAlign w:val="top"/>
          </w:tcPr>
          <w:p w14:paraId="3EE1B5E3">
            <w:pPr>
              <w:pStyle w:val="23"/>
              <w:spacing w:before="237" w:line="228" w:lineRule="auto"/>
              <w:ind w:left="475"/>
              <w:rPr>
                <w:color w:val="auto"/>
                <w:highlight w:val="none"/>
              </w:rPr>
            </w:pPr>
            <w:r>
              <w:rPr>
                <w:color w:val="auto"/>
                <w:spacing w:val="2"/>
                <w:highlight w:val="none"/>
              </w:rPr>
              <w:t>总额</w:t>
            </w:r>
          </w:p>
        </w:tc>
        <w:tc>
          <w:tcPr>
            <w:tcW w:w="1198" w:type="dxa"/>
            <w:vAlign w:val="top"/>
          </w:tcPr>
          <w:p w14:paraId="2686AF07">
            <w:pPr>
              <w:pStyle w:val="23"/>
              <w:spacing w:before="237" w:line="270" w:lineRule="exact"/>
              <w:ind w:left="567"/>
              <w:rPr>
                <w:color w:val="auto"/>
                <w:highlight w:val="none"/>
              </w:rPr>
            </w:pPr>
            <w:r>
              <w:rPr>
                <w:color w:val="auto"/>
                <w:position w:val="1"/>
                <w:highlight w:val="none"/>
              </w:rPr>
              <w:t>1</w:t>
            </w:r>
          </w:p>
        </w:tc>
        <w:tc>
          <w:tcPr>
            <w:tcW w:w="1649" w:type="dxa"/>
            <w:vAlign w:val="top"/>
          </w:tcPr>
          <w:p w14:paraId="1DCDD3E1">
            <w:pPr>
              <w:rPr>
                <w:rFonts w:ascii="Arial"/>
                <w:color w:val="auto"/>
                <w:sz w:val="21"/>
                <w:highlight w:val="none"/>
              </w:rPr>
            </w:pPr>
          </w:p>
        </w:tc>
        <w:tc>
          <w:tcPr>
            <w:tcW w:w="1649" w:type="dxa"/>
            <w:vAlign w:val="top"/>
          </w:tcPr>
          <w:p w14:paraId="20EEE5A2">
            <w:pPr>
              <w:rPr>
                <w:rFonts w:ascii="Arial"/>
                <w:color w:val="auto"/>
                <w:sz w:val="21"/>
                <w:highlight w:val="none"/>
              </w:rPr>
            </w:pPr>
          </w:p>
        </w:tc>
        <w:tc>
          <w:tcPr>
            <w:tcW w:w="3766" w:type="dxa"/>
            <w:vAlign w:val="top"/>
          </w:tcPr>
          <w:p w14:paraId="2B200EF5">
            <w:pPr>
              <w:pStyle w:val="23"/>
              <w:spacing w:before="237" w:line="228" w:lineRule="auto"/>
              <w:ind w:left="418"/>
              <w:rPr>
                <w:color w:val="auto"/>
                <w:highlight w:val="none"/>
              </w:rPr>
            </w:pPr>
            <w:r>
              <w:rPr>
                <w:color w:val="auto"/>
                <w:spacing w:val="9"/>
                <w:highlight w:val="none"/>
              </w:rPr>
              <w:t>按招标文件规定的固定金额填报</w:t>
            </w:r>
          </w:p>
        </w:tc>
      </w:tr>
      <w:tr w14:paraId="770C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2E8403FD">
            <w:pPr>
              <w:pStyle w:val="23"/>
              <w:spacing w:before="72" w:line="270" w:lineRule="exact"/>
              <w:ind w:left="528"/>
              <w:rPr>
                <w:color w:val="auto"/>
                <w:highlight w:val="none"/>
              </w:rPr>
            </w:pPr>
            <w:r>
              <w:rPr>
                <w:color w:val="auto"/>
                <w:position w:val="1"/>
                <w:highlight w:val="none"/>
              </w:rPr>
              <w:t>4</w:t>
            </w:r>
          </w:p>
        </w:tc>
        <w:tc>
          <w:tcPr>
            <w:tcW w:w="3452" w:type="dxa"/>
            <w:vAlign w:val="top"/>
          </w:tcPr>
          <w:p w14:paraId="4F0E1406">
            <w:pPr>
              <w:pStyle w:val="23"/>
              <w:spacing w:before="226" w:line="84" w:lineRule="exact"/>
              <w:ind w:left="1263"/>
              <w:rPr>
                <w:color w:val="auto"/>
                <w:highlight w:val="none"/>
              </w:rPr>
            </w:pPr>
            <w:r>
              <w:rPr>
                <w:color w:val="auto"/>
                <w:spacing w:val="4"/>
                <w:position w:val="1"/>
                <w:highlight w:val="none"/>
              </w:rPr>
              <w:t>.........</w:t>
            </w:r>
          </w:p>
        </w:tc>
        <w:tc>
          <w:tcPr>
            <w:tcW w:w="1351" w:type="dxa"/>
            <w:vAlign w:val="top"/>
          </w:tcPr>
          <w:p w14:paraId="69973D5B">
            <w:pPr>
              <w:rPr>
                <w:rFonts w:ascii="Arial"/>
                <w:color w:val="auto"/>
                <w:sz w:val="21"/>
                <w:highlight w:val="none"/>
              </w:rPr>
            </w:pPr>
          </w:p>
        </w:tc>
        <w:tc>
          <w:tcPr>
            <w:tcW w:w="1198" w:type="dxa"/>
            <w:vAlign w:val="top"/>
          </w:tcPr>
          <w:p w14:paraId="3E564754">
            <w:pPr>
              <w:rPr>
                <w:rFonts w:ascii="Arial"/>
                <w:color w:val="auto"/>
                <w:sz w:val="21"/>
                <w:highlight w:val="none"/>
              </w:rPr>
            </w:pPr>
          </w:p>
        </w:tc>
        <w:tc>
          <w:tcPr>
            <w:tcW w:w="1649" w:type="dxa"/>
            <w:vAlign w:val="top"/>
          </w:tcPr>
          <w:p w14:paraId="1001BA45">
            <w:pPr>
              <w:rPr>
                <w:rFonts w:ascii="Arial"/>
                <w:color w:val="auto"/>
                <w:sz w:val="21"/>
                <w:highlight w:val="none"/>
              </w:rPr>
            </w:pPr>
          </w:p>
        </w:tc>
        <w:tc>
          <w:tcPr>
            <w:tcW w:w="1649" w:type="dxa"/>
            <w:vAlign w:val="top"/>
          </w:tcPr>
          <w:p w14:paraId="394E45E0">
            <w:pPr>
              <w:rPr>
                <w:rFonts w:ascii="Arial"/>
                <w:color w:val="auto"/>
                <w:sz w:val="21"/>
                <w:highlight w:val="none"/>
              </w:rPr>
            </w:pPr>
          </w:p>
        </w:tc>
        <w:tc>
          <w:tcPr>
            <w:tcW w:w="3766" w:type="dxa"/>
            <w:vAlign w:val="top"/>
          </w:tcPr>
          <w:p w14:paraId="7B199E52">
            <w:pPr>
              <w:rPr>
                <w:rFonts w:ascii="Arial"/>
                <w:color w:val="auto"/>
                <w:sz w:val="21"/>
                <w:highlight w:val="none"/>
              </w:rPr>
            </w:pPr>
          </w:p>
        </w:tc>
      </w:tr>
      <w:tr w14:paraId="4137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3" w:type="dxa"/>
            <w:vAlign w:val="top"/>
          </w:tcPr>
          <w:p w14:paraId="566236F9">
            <w:pPr>
              <w:pStyle w:val="23"/>
              <w:spacing w:before="33" w:line="361" w:lineRule="auto"/>
              <w:ind w:left="278" w:right="277" w:firstLine="93"/>
              <w:rPr>
                <w:color w:val="auto"/>
                <w:highlight w:val="none"/>
              </w:rPr>
            </w:pPr>
            <w:r>
              <w:rPr>
                <w:color w:val="auto"/>
                <w:spacing w:val="4"/>
                <w:highlight w:val="none"/>
              </w:rPr>
              <w:t>合计</w:t>
            </w:r>
            <w:r>
              <w:rPr>
                <w:color w:val="auto"/>
                <w:spacing w:val="-3"/>
                <w:highlight w:val="none"/>
              </w:rPr>
              <w:t>（元）</w:t>
            </w:r>
          </w:p>
        </w:tc>
        <w:tc>
          <w:tcPr>
            <w:tcW w:w="3452" w:type="dxa"/>
            <w:vAlign w:val="top"/>
          </w:tcPr>
          <w:p w14:paraId="65BD89CC">
            <w:pPr>
              <w:rPr>
                <w:rFonts w:ascii="Arial"/>
                <w:color w:val="auto"/>
                <w:sz w:val="21"/>
                <w:highlight w:val="none"/>
              </w:rPr>
            </w:pPr>
          </w:p>
        </w:tc>
        <w:tc>
          <w:tcPr>
            <w:tcW w:w="1351" w:type="dxa"/>
            <w:vAlign w:val="top"/>
          </w:tcPr>
          <w:p w14:paraId="69694D8C">
            <w:pPr>
              <w:rPr>
                <w:rFonts w:ascii="Arial"/>
                <w:color w:val="auto"/>
                <w:sz w:val="21"/>
                <w:highlight w:val="none"/>
              </w:rPr>
            </w:pPr>
          </w:p>
        </w:tc>
        <w:tc>
          <w:tcPr>
            <w:tcW w:w="1198" w:type="dxa"/>
            <w:vAlign w:val="top"/>
          </w:tcPr>
          <w:p w14:paraId="1FF4AB77">
            <w:pPr>
              <w:rPr>
                <w:rFonts w:ascii="Arial"/>
                <w:color w:val="auto"/>
                <w:sz w:val="21"/>
                <w:highlight w:val="none"/>
              </w:rPr>
            </w:pPr>
          </w:p>
        </w:tc>
        <w:tc>
          <w:tcPr>
            <w:tcW w:w="1649" w:type="dxa"/>
            <w:vAlign w:val="top"/>
          </w:tcPr>
          <w:p w14:paraId="614ED535">
            <w:pPr>
              <w:rPr>
                <w:rFonts w:ascii="Arial"/>
                <w:color w:val="auto"/>
                <w:sz w:val="21"/>
                <w:highlight w:val="none"/>
              </w:rPr>
            </w:pPr>
          </w:p>
        </w:tc>
        <w:tc>
          <w:tcPr>
            <w:tcW w:w="1649" w:type="dxa"/>
            <w:vAlign w:val="top"/>
          </w:tcPr>
          <w:p w14:paraId="397314A3">
            <w:pPr>
              <w:rPr>
                <w:rFonts w:ascii="Arial"/>
                <w:color w:val="auto"/>
                <w:sz w:val="21"/>
                <w:highlight w:val="none"/>
              </w:rPr>
            </w:pPr>
          </w:p>
        </w:tc>
        <w:tc>
          <w:tcPr>
            <w:tcW w:w="3766" w:type="dxa"/>
            <w:vAlign w:val="top"/>
          </w:tcPr>
          <w:p w14:paraId="69657DAC">
            <w:pPr>
              <w:rPr>
                <w:rFonts w:ascii="Arial"/>
                <w:color w:val="auto"/>
                <w:sz w:val="21"/>
                <w:highlight w:val="none"/>
              </w:rPr>
            </w:pPr>
          </w:p>
        </w:tc>
      </w:tr>
    </w:tbl>
    <w:p w14:paraId="5E0DEE24">
      <w:pPr>
        <w:rPr>
          <w:rFonts w:ascii="Arial"/>
          <w:color w:val="auto"/>
          <w:sz w:val="21"/>
          <w:highlight w:val="none"/>
        </w:rPr>
      </w:pPr>
    </w:p>
    <w:p w14:paraId="7FE5F738">
      <w:pPr>
        <w:rPr>
          <w:rFonts w:ascii="Arial"/>
          <w:color w:val="auto"/>
          <w:sz w:val="21"/>
          <w:highlight w:val="none"/>
        </w:rPr>
      </w:pPr>
    </w:p>
    <w:p w14:paraId="49ABC311">
      <w:pPr>
        <w:rPr>
          <w:rFonts w:ascii="Arial"/>
          <w:color w:val="auto"/>
          <w:sz w:val="21"/>
          <w:highlight w:val="none"/>
        </w:rPr>
      </w:pPr>
    </w:p>
    <w:p w14:paraId="36568F9C">
      <w:pPr>
        <w:rPr>
          <w:rFonts w:ascii="Arial"/>
          <w:color w:val="auto"/>
          <w:sz w:val="21"/>
          <w:highlight w:val="none"/>
        </w:rPr>
      </w:pPr>
    </w:p>
    <w:p w14:paraId="25DB2775">
      <w:pPr>
        <w:rPr>
          <w:rFonts w:ascii="Arial"/>
          <w:color w:val="auto"/>
          <w:sz w:val="21"/>
          <w:highlight w:val="none"/>
        </w:rPr>
      </w:pPr>
    </w:p>
    <w:p w14:paraId="4E7333CE">
      <w:pPr>
        <w:rPr>
          <w:rFonts w:ascii="Arial"/>
          <w:color w:val="auto"/>
          <w:sz w:val="21"/>
          <w:highlight w:val="none"/>
        </w:rPr>
      </w:pPr>
    </w:p>
    <w:p w14:paraId="580005F9">
      <w:pPr>
        <w:rPr>
          <w:rFonts w:ascii="Arial"/>
          <w:color w:val="auto"/>
          <w:sz w:val="21"/>
          <w:highlight w:val="none"/>
        </w:rPr>
      </w:pPr>
    </w:p>
    <w:p w14:paraId="7FB8E50A">
      <w:pPr>
        <w:rPr>
          <w:rFonts w:ascii="Arial"/>
          <w:color w:val="auto"/>
          <w:sz w:val="21"/>
          <w:highlight w:val="none"/>
        </w:rPr>
      </w:pPr>
    </w:p>
    <w:p w14:paraId="5CD03E05">
      <w:pPr>
        <w:rPr>
          <w:rFonts w:ascii="Arial"/>
          <w:color w:val="auto"/>
          <w:sz w:val="21"/>
          <w:highlight w:val="none"/>
        </w:rPr>
      </w:pPr>
    </w:p>
    <w:p w14:paraId="2014724C">
      <w:pPr>
        <w:rPr>
          <w:rFonts w:ascii="Arial"/>
          <w:color w:val="auto"/>
          <w:sz w:val="21"/>
          <w:highlight w:val="none"/>
        </w:rPr>
      </w:pPr>
    </w:p>
    <w:p w14:paraId="17D6BF0F">
      <w:pPr>
        <w:rPr>
          <w:rFonts w:ascii="Arial"/>
          <w:color w:val="auto"/>
          <w:sz w:val="21"/>
          <w:highlight w:val="none"/>
        </w:rPr>
      </w:pPr>
    </w:p>
    <w:p w14:paraId="52150EF6">
      <w:pPr>
        <w:rPr>
          <w:rFonts w:ascii="Arial"/>
          <w:color w:val="auto"/>
          <w:sz w:val="21"/>
          <w:highlight w:val="none"/>
        </w:rPr>
      </w:pPr>
    </w:p>
    <w:p w14:paraId="52D09767">
      <w:pPr>
        <w:rPr>
          <w:rFonts w:ascii="Arial"/>
          <w:color w:val="auto"/>
          <w:sz w:val="21"/>
          <w:highlight w:val="none"/>
        </w:rPr>
      </w:pPr>
    </w:p>
    <w:p w14:paraId="16D72B32">
      <w:pPr>
        <w:rPr>
          <w:rFonts w:ascii="Arial"/>
          <w:color w:val="auto"/>
          <w:sz w:val="21"/>
          <w:highlight w:val="none"/>
        </w:rPr>
      </w:pPr>
    </w:p>
    <w:p w14:paraId="06777540">
      <w:pPr>
        <w:spacing w:line="373" w:lineRule="auto"/>
        <w:rPr>
          <w:rFonts w:ascii="宋体" w:hAnsi="宋体" w:eastAsia="宋体" w:cs="宋体"/>
          <w:color w:val="auto"/>
          <w:sz w:val="18"/>
          <w:szCs w:val="18"/>
          <w:highlight w:val="none"/>
        </w:rPr>
        <w:sectPr>
          <w:footerReference r:id="rId71" w:type="default"/>
          <w:pgSz w:w="16839" w:h="11906"/>
          <w:pgMar w:top="1012" w:right="1307" w:bottom="1297" w:left="1307" w:header="0" w:footer="1069" w:gutter="0"/>
          <w:pgNumType w:fmt="decimal"/>
          <w:cols w:space="720" w:num="1"/>
        </w:sectPr>
      </w:pPr>
    </w:p>
    <w:p w14:paraId="6B7E6F06">
      <w:pPr>
        <w:spacing w:before="55" w:line="212" w:lineRule="auto"/>
        <w:ind w:left="3076"/>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52"/>
          <w:sz w:val="28"/>
          <w:szCs w:val="28"/>
          <w:highlight w:val="none"/>
        </w:rPr>
        <w:t xml:space="preserve"> </w:t>
      </w:r>
      <w:r>
        <w:rPr>
          <w:rFonts w:ascii="宋体" w:hAnsi="宋体" w:eastAsia="宋体" w:cs="宋体"/>
          <w:b/>
          <w:bCs/>
          <w:color w:val="auto"/>
          <w:spacing w:val="-4"/>
          <w:sz w:val="28"/>
          <w:szCs w:val="28"/>
          <w:highlight w:val="none"/>
        </w:rPr>
        <w:t>8</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监理费用支付估算表</w:t>
      </w:r>
    </w:p>
    <w:tbl>
      <w:tblPr>
        <w:tblStyle w:val="22"/>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3"/>
        <w:gridCol w:w="661"/>
        <w:gridCol w:w="661"/>
        <w:gridCol w:w="661"/>
        <w:gridCol w:w="664"/>
        <w:gridCol w:w="660"/>
        <w:gridCol w:w="661"/>
        <w:gridCol w:w="661"/>
        <w:gridCol w:w="666"/>
        <w:gridCol w:w="1467"/>
        <w:gridCol w:w="923"/>
      </w:tblGrid>
      <w:tr w14:paraId="70A1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03" w:type="dxa"/>
            <w:vMerge w:val="restart"/>
            <w:tcBorders>
              <w:bottom w:val="nil"/>
              <w:tl2br w:val="single" w:color="000000" w:sz="8" w:space="0"/>
            </w:tcBorders>
            <w:vAlign w:val="top"/>
          </w:tcPr>
          <w:p w14:paraId="66E6CA66">
            <w:pPr>
              <w:pStyle w:val="23"/>
              <w:spacing w:before="208" w:line="277" w:lineRule="auto"/>
              <w:ind w:left="51" w:right="55" w:firstLine="1091"/>
              <w:rPr>
                <w:color w:val="auto"/>
                <w:highlight w:val="none"/>
              </w:rPr>
            </w:pPr>
            <w:r>
              <w:rPr>
                <w:color w:val="auto"/>
                <w:spacing w:val="-1"/>
                <w:highlight w:val="none"/>
              </w:rPr>
              <w:t>时间</w:t>
            </w:r>
            <w:r>
              <w:rPr>
                <w:color w:val="auto"/>
                <w:spacing w:val="3"/>
                <w:highlight w:val="none"/>
              </w:rPr>
              <w:t>项目</w:t>
            </w:r>
          </w:p>
        </w:tc>
        <w:tc>
          <w:tcPr>
            <w:tcW w:w="2647" w:type="dxa"/>
            <w:gridSpan w:val="4"/>
            <w:vAlign w:val="top"/>
          </w:tcPr>
          <w:p w14:paraId="768BBBC1">
            <w:pPr>
              <w:pStyle w:val="23"/>
              <w:tabs>
                <w:tab w:val="left" w:pos="1020"/>
              </w:tabs>
              <w:spacing w:before="165" w:line="216" w:lineRule="auto"/>
              <w:ind w:left="706"/>
              <w:rPr>
                <w:color w:val="auto"/>
                <w:highlight w:val="none"/>
              </w:rPr>
            </w:pPr>
            <w:r>
              <w:rPr>
                <w:color w:val="auto"/>
                <w:highlight w:val="none"/>
                <w:u w:val="single" w:color="auto"/>
              </w:rPr>
              <w:tab/>
            </w:r>
            <w:r>
              <w:rPr>
                <w:color w:val="auto"/>
                <w:spacing w:val="-88"/>
                <w:highlight w:val="none"/>
              </w:rPr>
              <w:t xml:space="preserve"> </w:t>
            </w:r>
            <w:r>
              <w:rPr>
                <w:color w:val="auto"/>
                <w:spacing w:val="2"/>
                <w:highlight w:val="none"/>
              </w:rPr>
              <w:t>年</w:t>
            </w:r>
            <w:r>
              <w:rPr>
                <w:color w:val="auto"/>
                <w:spacing w:val="-99"/>
                <w:highlight w:val="none"/>
              </w:rPr>
              <w:t xml:space="preserve"> </w:t>
            </w:r>
            <w:r>
              <w:rPr>
                <w:color w:val="auto"/>
                <w:spacing w:val="5"/>
                <w:highlight w:val="none"/>
                <w:u w:val="single" w:color="auto"/>
              </w:rPr>
              <w:t xml:space="preserve">   </w:t>
            </w:r>
            <w:r>
              <w:rPr>
                <w:color w:val="auto"/>
                <w:spacing w:val="-91"/>
                <w:highlight w:val="none"/>
              </w:rPr>
              <w:t xml:space="preserve"> </w:t>
            </w:r>
            <w:r>
              <w:rPr>
                <w:color w:val="auto"/>
                <w:spacing w:val="2"/>
                <w:highlight w:val="none"/>
              </w:rPr>
              <w:t>季度</w:t>
            </w:r>
          </w:p>
        </w:tc>
        <w:tc>
          <w:tcPr>
            <w:tcW w:w="2648" w:type="dxa"/>
            <w:gridSpan w:val="4"/>
            <w:vAlign w:val="top"/>
          </w:tcPr>
          <w:p w14:paraId="04219E43">
            <w:pPr>
              <w:pStyle w:val="23"/>
              <w:tabs>
                <w:tab w:val="left" w:pos="1005"/>
              </w:tabs>
              <w:spacing w:before="165" w:line="216" w:lineRule="auto"/>
              <w:ind w:left="692"/>
              <w:rPr>
                <w:color w:val="auto"/>
                <w:highlight w:val="none"/>
              </w:rPr>
            </w:pPr>
            <w:r>
              <w:rPr>
                <w:color w:val="auto"/>
                <w:highlight w:val="none"/>
                <w:u w:val="single" w:color="auto"/>
              </w:rPr>
              <w:tab/>
            </w:r>
            <w:r>
              <w:rPr>
                <w:color w:val="auto"/>
                <w:spacing w:val="-88"/>
                <w:highlight w:val="none"/>
              </w:rPr>
              <w:t xml:space="preserve"> </w:t>
            </w:r>
            <w:r>
              <w:rPr>
                <w:color w:val="auto"/>
                <w:spacing w:val="2"/>
                <w:highlight w:val="none"/>
              </w:rPr>
              <w:t>年</w:t>
            </w:r>
            <w:r>
              <w:rPr>
                <w:color w:val="auto"/>
                <w:spacing w:val="5"/>
                <w:highlight w:val="none"/>
                <w:u w:val="single" w:color="auto"/>
              </w:rPr>
              <w:t xml:space="preserve">   </w:t>
            </w:r>
            <w:r>
              <w:rPr>
                <w:color w:val="auto"/>
                <w:spacing w:val="-90"/>
                <w:highlight w:val="none"/>
              </w:rPr>
              <w:t xml:space="preserve"> </w:t>
            </w:r>
            <w:r>
              <w:rPr>
                <w:color w:val="auto"/>
                <w:spacing w:val="2"/>
                <w:highlight w:val="none"/>
              </w:rPr>
              <w:t>季度</w:t>
            </w:r>
          </w:p>
        </w:tc>
        <w:tc>
          <w:tcPr>
            <w:tcW w:w="1467" w:type="dxa"/>
            <w:vMerge w:val="restart"/>
            <w:tcBorders>
              <w:bottom w:val="nil"/>
            </w:tcBorders>
            <w:vAlign w:val="top"/>
          </w:tcPr>
          <w:p w14:paraId="7EE96A30">
            <w:pPr>
              <w:spacing w:line="302" w:lineRule="auto"/>
              <w:rPr>
                <w:rFonts w:ascii="Arial"/>
                <w:color w:val="auto"/>
                <w:sz w:val="21"/>
                <w:highlight w:val="none"/>
              </w:rPr>
            </w:pPr>
          </w:p>
          <w:p w14:paraId="4A3C7A62">
            <w:pPr>
              <w:pStyle w:val="23"/>
              <w:spacing w:before="65" w:line="228" w:lineRule="auto"/>
              <w:ind w:left="215"/>
              <w:rPr>
                <w:color w:val="auto"/>
                <w:highlight w:val="none"/>
              </w:rPr>
            </w:pPr>
            <w:r>
              <w:rPr>
                <w:color w:val="auto"/>
                <w:spacing w:val="8"/>
                <w:highlight w:val="none"/>
              </w:rPr>
              <w:t>缺陷责任期</w:t>
            </w:r>
          </w:p>
        </w:tc>
        <w:tc>
          <w:tcPr>
            <w:tcW w:w="923" w:type="dxa"/>
            <w:vMerge w:val="restart"/>
            <w:tcBorders>
              <w:bottom w:val="nil"/>
            </w:tcBorders>
            <w:vAlign w:val="top"/>
          </w:tcPr>
          <w:p w14:paraId="30FCAE4D">
            <w:pPr>
              <w:spacing w:line="302" w:lineRule="auto"/>
              <w:rPr>
                <w:rFonts w:ascii="Arial"/>
                <w:color w:val="auto"/>
                <w:sz w:val="21"/>
                <w:highlight w:val="none"/>
              </w:rPr>
            </w:pPr>
          </w:p>
          <w:p w14:paraId="3251F726">
            <w:pPr>
              <w:pStyle w:val="23"/>
              <w:spacing w:before="65" w:line="229" w:lineRule="auto"/>
              <w:ind w:left="258"/>
              <w:rPr>
                <w:color w:val="auto"/>
                <w:highlight w:val="none"/>
              </w:rPr>
            </w:pPr>
            <w:r>
              <w:rPr>
                <w:color w:val="auto"/>
                <w:spacing w:val="4"/>
                <w:highlight w:val="none"/>
              </w:rPr>
              <w:t>合计</w:t>
            </w:r>
          </w:p>
        </w:tc>
      </w:tr>
      <w:tr w14:paraId="27B4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03" w:type="dxa"/>
            <w:vMerge w:val="continue"/>
            <w:tcBorders>
              <w:top w:val="nil"/>
              <w:tl2br w:val="single" w:color="000000" w:sz="8" w:space="0"/>
            </w:tcBorders>
            <w:vAlign w:val="top"/>
          </w:tcPr>
          <w:p w14:paraId="2004D9FA">
            <w:pPr>
              <w:rPr>
                <w:rFonts w:ascii="Arial"/>
                <w:color w:val="auto"/>
                <w:sz w:val="21"/>
                <w:highlight w:val="none"/>
              </w:rPr>
            </w:pPr>
          </w:p>
        </w:tc>
        <w:tc>
          <w:tcPr>
            <w:tcW w:w="661" w:type="dxa"/>
            <w:vAlign w:val="top"/>
          </w:tcPr>
          <w:p w14:paraId="1030A1F9">
            <w:pPr>
              <w:pStyle w:val="23"/>
              <w:spacing w:before="158" w:line="218" w:lineRule="auto"/>
              <w:ind w:left="296"/>
              <w:rPr>
                <w:color w:val="auto"/>
                <w:highlight w:val="none"/>
              </w:rPr>
            </w:pPr>
            <w:r>
              <w:rPr>
                <w:color w:val="auto"/>
                <w:highlight w:val="none"/>
              </w:rPr>
              <w:t>1</w:t>
            </w:r>
          </w:p>
        </w:tc>
        <w:tc>
          <w:tcPr>
            <w:tcW w:w="661" w:type="dxa"/>
            <w:vAlign w:val="top"/>
          </w:tcPr>
          <w:p w14:paraId="4F9C4EAF">
            <w:pPr>
              <w:pStyle w:val="23"/>
              <w:spacing w:before="158" w:line="218" w:lineRule="auto"/>
              <w:ind w:left="284"/>
              <w:rPr>
                <w:color w:val="auto"/>
                <w:highlight w:val="none"/>
              </w:rPr>
            </w:pPr>
            <w:r>
              <w:rPr>
                <w:color w:val="auto"/>
                <w:highlight w:val="none"/>
              </w:rPr>
              <w:t>2</w:t>
            </w:r>
          </w:p>
        </w:tc>
        <w:tc>
          <w:tcPr>
            <w:tcW w:w="661" w:type="dxa"/>
            <w:vAlign w:val="top"/>
          </w:tcPr>
          <w:p w14:paraId="5EE7FECC">
            <w:pPr>
              <w:pStyle w:val="23"/>
              <w:spacing w:before="158" w:line="218" w:lineRule="auto"/>
              <w:ind w:left="285"/>
              <w:rPr>
                <w:color w:val="auto"/>
                <w:highlight w:val="none"/>
              </w:rPr>
            </w:pPr>
            <w:r>
              <w:rPr>
                <w:color w:val="auto"/>
                <w:highlight w:val="none"/>
              </w:rPr>
              <w:t>3</w:t>
            </w:r>
          </w:p>
        </w:tc>
        <w:tc>
          <w:tcPr>
            <w:tcW w:w="664" w:type="dxa"/>
            <w:vAlign w:val="top"/>
          </w:tcPr>
          <w:p w14:paraId="58EA530B">
            <w:pPr>
              <w:pStyle w:val="23"/>
              <w:spacing w:before="158" w:line="218" w:lineRule="auto"/>
              <w:ind w:left="284"/>
              <w:rPr>
                <w:color w:val="auto"/>
                <w:highlight w:val="none"/>
              </w:rPr>
            </w:pPr>
            <w:r>
              <w:rPr>
                <w:color w:val="auto"/>
                <w:highlight w:val="none"/>
              </w:rPr>
              <w:t>4</w:t>
            </w:r>
          </w:p>
        </w:tc>
        <w:tc>
          <w:tcPr>
            <w:tcW w:w="660" w:type="dxa"/>
            <w:vAlign w:val="top"/>
          </w:tcPr>
          <w:p w14:paraId="607238F9">
            <w:pPr>
              <w:pStyle w:val="23"/>
              <w:spacing w:before="158" w:line="218" w:lineRule="auto"/>
              <w:ind w:left="298"/>
              <w:rPr>
                <w:color w:val="auto"/>
                <w:highlight w:val="none"/>
              </w:rPr>
            </w:pPr>
            <w:r>
              <w:rPr>
                <w:color w:val="auto"/>
                <w:highlight w:val="none"/>
              </w:rPr>
              <w:t>1</w:t>
            </w:r>
          </w:p>
        </w:tc>
        <w:tc>
          <w:tcPr>
            <w:tcW w:w="661" w:type="dxa"/>
            <w:vAlign w:val="top"/>
          </w:tcPr>
          <w:p w14:paraId="37C81E0A">
            <w:pPr>
              <w:pStyle w:val="23"/>
              <w:spacing w:before="158" w:line="218" w:lineRule="auto"/>
              <w:ind w:left="285"/>
              <w:rPr>
                <w:color w:val="auto"/>
                <w:highlight w:val="none"/>
              </w:rPr>
            </w:pPr>
            <w:r>
              <w:rPr>
                <w:color w:val="auto"/>
                <w:highlight w:val="none"/>
              </w:rPr>
              <w:t>2</w:t>
            </w:r>
          </w:p>
        </w:tc>
        <w:tc>
          <w:tcPr>
            <w:tcW w:w="661" w:type="dxa"/>
            <w:vAlign w:val="top"/>
          </w:tcPr>
          <w:p w14:paraId="6BCE4654">
            <w:pPr>
              <w:pStyle w:val="23"/>
              <w:spacing w:before="158" w:line="218" w:lineRule="auto"/>
              <w:ind w:left="288"/>
              <w:rPr>
                <w:color w:val="auto"/>
                <w:highlight w:val="none"/>
              </w:rPr>
            </w:pPr>
            <w:r>
              <w:rPr>
                <w:color w:val="auto"/>
                <w:highlight w:val="none"/>
              </w:rPr>
              <w:t>3</w:t>
            </w:r>
          </w:p>
        </w:tc>
        <w:tc>
          <w:tcPr>
            <w:tcW w:w="666" w:type="dxa"/>
            <w:vAlign w:val="top"/>
          </w:tcPr>
          <w:p w14:paraId="44F687F3">
            <w:pPr>
              <w:pStyle w:val="23"/>
              <w:spacing w:before="158" w:line="218" w:lineRule="auto"/>
              <w:ind w:left="285"/>
              <w:rPr>
                <w:color w:val="auto"/>
                <w:highlight w:val="none"/>
              </w:rPr>
            </w:pPr>
            <w:r>
              <w:rPr>
                <w:color w:val="auto"/>
                <w:highlight w:val="none"/>
              </w:rPr>
              <w:t>4</w:t>
            </w:r>
          </w:p>
        </w:tc>
        <w:tc>
          <w:tcPr>
            <w:tcW w:w="1467" w:type="dxa"/>
            <w:vMerge w:val="continue"/>
            <w:tcBorders>
              <w:top w:val="nil"/>
            </w:tcBorders>
            <w:vAlign w:val="top"/>
          </w:tcPr>
          <w:p w14:paraId="4788CAF3">
            <w:pPr>
              <w:rPr>
                <w:rFonts w:ascii="Arial"/>
                <w:color w:val="auto"/>
                <w:sz w:val="21"/>
                <w:highlight w:val="none"/>
              </w:rPr>
            </w:pPr>
          </w:p>
        </w:tc>
        <w:tc>
          <w:tcPr>
            <w:tcW w:w="923" w:type="dxa"/>
            <w:vMerge w:val="continue"/>
            <w:tcBorders>
              <w:top w:val="nil"/>
            </w:tcBorders>
            <w:vAlign w:val="top"/>
          </w:tcPr>
          <w:p w14:paraId="7B87D185">
            <w:pPr>
              <w:rPr>
                <w:rFonts w:ascii="Arial"/>
                <w:color w:val="auto"/>
                <w:sz w:val="21"/>
                <w:highlight w:val="none"/>
              </w:rPr>
            </w:pPr>
          </w:p>
        </w:tc>
      </w:tr>
      <w:tr w14:paraId="134D2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4A637A63">
            <w:pPr>
              <w:pStyle w:val="23"/>
              <w:spacing w:before="260" w:line="216" w:lineRule="auto"/>
              <w:ind w:left="46"/>
              <w:rPr>
                <w:color w:val="auto"/>
                <w:highlight w:val="none"/>
              </w:rPr>
            </w:pPr>
            <w:r>
              <w:rPr>
                <w:color w:val="auto"/>
                <w:spacing w:val="8"/>
                <w:highlight w:val="none"/>
              </w:rPr>
              <w:t>监理人员服务费</w:t>
            </w:r>
          </w:p>
        </w:tc>
        <w:tc>
          <w:tcPr>
            <w:tcW w:w="661" w:type="dxa"/>
            <w:vAlign w:val="top"/>
          </w:tcPr>
          <w:p w14:paraId="0E041733">
            <w:pPr>
              <w:rPr>
                <w:rFonts w:ascii="Arial"/>
                <w:color w:val="auto"/>
                <w:sz w:val="21"/>
                <w:highlight w:val="none"/>
              </w:rPr>
            </w:pPr>
          </w:p>
        </w:tc>
        <w:tc>
          <w:tcPr>
            <w:tcW w:w="661" w:type="dxa"/>
            <w:vAlign w:val="top"/>
          </w:tcPr>
          <w:p w14:paraId="16FC2CCC">
            <w:pPr>
              <w:rPr>
                <w:rFonts w:ascii="Arial"/>
                <w:color w:val="auto"/>
                <w:sz w:val="21"/>
                <w:highlight w:val="none"/>
              </w:rPr>
            </w:pPr>
          </w:p>
        </w:tc>
        <w:tc>
          <w:tcPr>
            <w:tcW w:w="661" w:type="dxa"/>
            <w:vAlign w:val="top"/>
          </w:tcPr>
          <w:p w14:paraId="494CD12F">
            <w:pPr>
              <w:rPr>
                <w:rFonts w:ascii="Arial"/>
                <w:color w:val="auto"/>
                <w:sz w:val="21"/>
                <w:highlight w:val="none"/>
              </w:rPr>
            </w:pPr>
          </w:p>
        </w:tc>
        <w:tc>
          <w:tcPr>
            <w:tcW w:w="664" w:type="dxa"/>
            <w:vAlign w:val="top"/>
          </w:tcPr>
          <w:p w14:paraId="38EB6918">
            <w:pPr>
              <w:rPr>
                <w:rFonts w:ascii="Arial"/>
                <w:color w:val="auto"/>
                <w:sz w:val="21"/>
                <w:highlight w:val="none"/>
              </w:rPr>
            </w:pPr>
          </w:p>
        </w:tc>
        <w:tc>
          <w:tcPr>
            <w:tcW w:w="660" w:type="dxa"/>
            <w:vAlign w:val="top"/>
          </w:tcPr>
          <w:p w14:paraId="329D9483">
            <w:pPr>
              <w:rPr>
                <w:rFonts w:ascii="Arial"/>
                <w:color w:val="auto"/>
                <w:sz w:val="21"/>
                <w:highlight w:val="none"/>
              </w:rPr>
            </w:pPr>
          </w:p>
        </w:tc>
        <w:tc>
          <w:tcPr>
            <w:tcW w:w="661" w:type="dxa"/>
            <w:vAlign w:val="top"/>
          </w:tcPr>
          <w:p w14:paraId="5A89BAF1">
            <w:pPr>
              <w:rPr>
                <w:rFonts w:ascii="Arial"/>
                <w:color w:val="auto"/>
                <w:sz w:val="21"/>
                <w:highlight w:val="none"/>
              </w:rPr>
            </w:pPr>
          </w:p>
        </w:tc>
        <w:tc>
          <w:tcPr>
            <w:tcW w:w="661" w:type="dxa"/>
            <w:vAlign w:val="top"/>
          </w:tcPr>
          <w:p w14:paraId="5AF1C0A7">
            <w:pPr>
              <w:rPr>
                <w:rFonts w:ascii="Arial"/>
                <w:color w:val="auto"/>
                <w:sz w:val="21"/>
                <w:highlight w:val="none"/>
              </w:rPr>
            </w:pPr>
          </w:p>
        </w:tc>
        <w:tc>
          <w:tcPr>
            <w:tcW w:w="666" w:type="dxa"/>
            <w:vAlign w:val="top"/>
          </w:tcPr>
          <w:p w14:paraId="30E605B8">
            <w:pPr>
              <w:rPr>
                <w:rFonts w:ascii="Arial"/>
                <w:color w:val="auto"/>
                <w:sz w:val="21"/>
                <w:highlight w:val="none"/>
              </w:rPr>
            </w:pPr>
          </w:p>
        </w:tc>
        <w:tc>
          <w:tcPr>
            <w:tcW w:w="1467" w:type="dxa"/>
            <w:vAlign w:val="top"/>
          </w:tcPr>
          <w:p w14:paraId="4898E716">
            <w:pPr>
              <w:rPr>
                <w:rFonts w:ascii="Arial"/>
                <w:color w:val="auto"/>
                <w:sz w:val="21"/>
                <w:highlight w:val="none"/>
              </w:rPr>
            </w:pPr>
          </w:p>
        </w:tc>
        <w:tc>
          <w:tcPr>
            <w:tcW w:w="923" w:type="dxa"/>
            <w:vAlign w:val="top"/>
          </w:tcPr>
          <w:p w14:paraId="6CC3AE81">
            <w:pPr>
              <w:rPr>
                <w:rFonts w:ascii="Arial"/>
                <w:color w:val="auto"/>
                <w:sz w:val="21"/>
                <w:highlight w:val="none"/>
              </w:rPr>
            </w:pPr>
          </w:p>
        </w:tc>
      </w:tr>
      <w:tr w14:paraId="7C48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6F05BA3C">
            <w:pPr>
              <w:pStyle w:val="23"/>
              <w:spacing w:before="260" w:line="216" w:lineRule="auto"/>
              <w:ind w:left="46"/>
              <w:rPr>
                <w:color w:val="auto"/>
                <w:highlight w:val="none"/>
              </w:rPr>
            </w:pPr>
            <w:r>
              <w:rPr>
                <w:color w:val="auto"/>
                <w:spacing w:val="8"/>
                <w:highlight w:val="none"/>
              </w:rPr>
              <w:t>监理办公设施费</w:t>
            </w:r>
          </w:p>
        </w:tc>
        <w:tc>
          <w:tcPr>
            <w:tcW w:w="661" w:type="dxa"/>
            <w:vAlign w:val="top"/>
          </w:tcPr>
          <w:p w14:paraId="592EA87A">
            <w:pPr>
              <w:rPr>
                <w:rFonts w:ascii="Arial"/>
                <w:color w:val="auto"/>
                <w:sz w:val="21"/>
                <w:highlight w:val="none"/>
              </w:rPr>
            </w:pPr>
          </w:p>
        </w:tc>
        <w:tc>
          <w:tcPr>
            <w:tcW w:w="661" w:type="dxa"/>
            <w:vAlign w:val="top"/>
          </w:tcPr>
          <w:p w14:paraId="62BD17CA">
            <w:pPr>
              <w:rPr>
                <w:rFonts w:ascii="Arial"/>
                <w:color w:val="auto"/>
                <w:sz w:val="21"/>
                <w:highlight w:val="none"/>
              </w:rPr>
            </w:pPr>
          </w:p>
        </w:tc>
        <w:tc>
          <w:tcPr>
            <w:tcW w:w="661" w:type="dxa"/>
            <w:vAlign w:val="top"/>
          </w:tcPr>
          <w:p w14:paraId="6C29B690">
            <w:pPr>
              <w:rPr>
                <w:rFonts w:ascii="Arial"/>
                <w:color w:val="auto"/>
                <w:sz w:val="21"/>
                <w:highlight w:val="none"/>
              </w:rPr>
            </w:pPr>
          </w:p>
        </w:tc>
        <w:tc>
          <w:tcPr>
            <w:tcW w:w="664" w:type="dxa"/>
            <w:vAlign w:val="top"/>
          </w:tcPr>
          <w:p w14:paraId="4A23B731">
            <w:pPr>
              <w:rPr>
                <w:rFonts w:ascii="Arial"/>
                <w:color w:val="auto"/>
                <w:sz w:val="21"/>
                <w:highlight w:val="none"/>
              </w:rPr>
            </w:pPr>
          </w:p>
        </w:tc>
        <w:tc>
          <w:tcPr>
            <w:tcW w:w="660" w:type="dxa"/>
            <w:vAlign w:val="top"/>
          </w:tcPr>
          <w:p w14:paraId="78815E29">
            <w:pPr>
              <w:rPr>
                <w:rFonts w:ascii="Arial"/>
                <w:color w:val="auto"/>
                <w:sz w:val="21"/>
                <w:highlight w:val="none"/>
              </w:rPr>
            </w:pPr>
          </w:p>
        </w:tc>
        <w:tc>
          <w:tcPr>
            <w:tcW w:w="661" w:type="dxa"/>
            <w:vAlign w:val="top"/>
          </w:tcPr>
          <w:p w14:paraId="2D7A397B">
            <w:pPr>
              <w:rPr>
                <w:rFonts w:ascii="Arial"/>
                <w:color w:val="auto"/>
                <w:sz w:val="21"/>
                <w:highlight w:val="none"/>
              </w:rPr>
            </w:pPr>
          </w:p>
        </w:tc>
        <w:tc>
          <w:tcPr>
            <w:tcW w:w="661" w:type="dxa"/>
            <w:vAlign w:val="top"/>
          </w:tcPr>
          <w:p w14:paraId="3ABD2B14">
            <w:pPr>
              <w:rPr>
                <w:rFonts w:ascii="Arial"/>
                <w:color w:val="auto"/>
                <w:sz w:val="21"/>
                <w:highlight w:val="none"/>
              </w:rPr>
            </w:pPr>
          </w:p>
        </w:tc>
        <w:tc>
          <w:tcPr>
            <w:tcW w:w="666" w:type="dxa"/>
            <w:vAlign w:val="top"/>
          </w:tcPr>
          <w:p w14:paraId="19AEF088">
            <w:pPr>
              <w:rPr>
                <w:rFonts w:ascii="Arial"/>
                <w:color w:val="auto"/>
                <w:sz w:val="21"/>
                <w:highlight w:val="none"/>
              </w:rPr>
            </w:pPr>
          </w:p>
        </w:tc>
        <w:tc>
          <w:tcPr>
            <w:tcW w:w="1467" w:type="dxa"/>
            <w:vAlign w:val="top"/>
          </w:tcPr>
          <w:p w14:paraId="1BBC4A30">
            <w:pPr>
              <w:rPr>
                <w:rFonts w:ascii="Arial"/>
                <w:color w:val="auto"/>
                <w:sz w:val="21"/>
                <w:highlight w:val="none"/>
              </w:rPr>
            </w:pPr>
          </w:p>
        </w:tc>
        <w:tc>
          <w:tcPr>
            <w:tcW w:w="923" w:type="dxa"/>
            <w:vAlign w:val="top"/>
          </w:tcPr>
          <w:p w14:paraId="53CFD535">
            <w:pPr>
              <w:rPr>
                <w:rFonts w:ascii="Arial"/>
                <w:color w:val="auto"/>
                <w:sz w:val="21"/>
                <w:highlight w:val="none"/>
              </w:rPr>
            </w:pPr>
          </w:p>
        </w:tc>
      </w:tr>
      <w:tr w14:paraId="4C508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7F7A8586">
            <w:pPr>
              <w:pStyle w:val="23"/>
              <w:spacing w:before="262" w:line="214" w:lineRule="auto"/>
              <w:ind w:left="46"/>
              <w:rPr>
                <w:color w:val="auto"/>
                <w:highlight w:val="none"/>
              </w:rPr>
            </w:pPr>
            <w:r>
              <w:rPr>
                <w:color w:val="auto"/>
                <w:spacing w:val="8"/>
                <w:highlight w:val="none"/>
              </w:rPr>
              <w:t>监理交通设施费</w:t>
            </w:r>
          </w:p>
        </w:tc>
        <w:tc>
          <w:tcPr>
            <w:tcW w:w="661" w:type="dxa"/>
            <w:vAlign w:val="top"/>
          </w:tcPr>
          <w:p w14:paraId="4C098145">
            <w:pPr>
              <w:rPr>
                <w:rFonts w:ascii="Arial"/>
                <w:color w:val="auto"/>
                <w:sz w:val="21"/>
                <w:highlight w:val="none"/>
              </w:rPr>
            </w:pPr>
          </w:p>
        </w:tc>
        <w:tc>
          <w:tcPr>
            <w:tcW w:w="661" w:type="dxa"/>
            <w:vAlign w:val="top"/>
          </w:tcPr>
          <w:p w14:paraId="242D391B">
            <w:pPr>
              <w:rPr>
                <w:rFonts w:ascii="Arial"/>
                <w:color w:val="auto"/>
                <w:sz w:val="21"/>
                <w:highlight w:val="none"/>
              </w:rPr>
            </w:pPr>
          </w:p>
        </w:tc>
        <w:tc>
          <w:tcPr>
            <w:tcW w:w="661" w:type="dxa"/>
            <w:vAlign w:val="top"/>
          </w:tcPr>
          <w:p w14:paraId="1637CCB9">
            <w:pPr>
              <w:rPr>
                <w:rFonts w:ascii="Arial"/>
                <w:color w:val="auto"/>
                <w:sz w:val="21"/>
                <w:highlight w:val="none"/>
              </w:rPr>
            </w:pPr>
          </w:p>
        </w:tc>
        <w:tc>
          <w:tcPr>
            <w:tcW w:w="664" w:type="dxa"/>
            <w:vAlign w:val="top"/>
          </w:tcPr>
          <w:p w14:paraId="3E7E6127">
            <w:pPr>
              <w:rPr>
                <w:rFonts w:ascii="Arial"/>
                <w:color w:val="auto"/>
                <w:sz w:val="21"/>
                <w:highlight w:val="none"/>
              </w:rPr>
            </w:pPr>
          </w:p>
        </w:tc>
        <w:tc>
          <w:tcPr>
            <w:tcW w:w="660" w:type="dxa"/>
            <w:vAlign w:val="top"/>
          </w:tcPr>
          <w:p w14:paraId="2477F6B8">
            <w:pPr>
              <w:rPr>
                <w:rFonts w:ascii="Arial"/>
                <w:color w:val="auto"/>
                <w:sz w:val="21"/>
                <w:highlight w:val="none"/>
              </w:rPr>
            </w:pPr>
          </w:p>
        </w:tc>
        <w:tc>
          <w:tcPr>
            <w:tcW w:w="661" w:type="dxa"/>
            <w:vAlign w:val="top"/>
          </w:tcPr>
          <w:p w14:paraId="1A3740E6">
            <w:pPr>
              <w:rPr>
                <w:rFonts w:ascii="Arial"/>
                <w:color w:val="auto"/>
                <w:sz w:val="21"/>
                <w:highlight w:val="none"/>
              </w:rPr>
            </w:pPr>
          </w:p>
        </w:tc>
        <w:tc>
          <w:tcPr>
            <w:tcW w:w="661" w:type="dxa"/>
            <w:vAlign w:val="top"/>
          </w:tcPr>
          <w:p w14:paraId="79F692AE">
            <w:pPr>
              <w:rPr>
                <w:rFonts w:ascii="Arial"/>
                <w:color w:val="auto"/>
                <w:sz w:val="21"/>
                <w:highlight w:val="none"/>
              </w:rPr>
            </w:pPr>
          </w:p>
        </w:tc>
        <w:tc>
          <w:tcPr>
            <w:tcW w:w="666" w:type="dxa"/>
            <w:vAlign w:val="top"/>
          </w:tcPr>
          <w:p w14:paraId="723926A2">
            <w:pPr>
              <w:rPr>
                <w:rFonts w:ascii="Arial"/>
                <w:color w:val="auto"/>
                <w:sz w:val="21"/>
                <w:highlight w:val="none"/>
              </w:rPr>
            </w:pPr>
          </w:p>
        </w:tc>
        <w:tc>
          <w:tcPr>
            <w:tcW w:w="1467" w:type="dxa"/>
            <w:vAlign w:val="top"/>
          </w:tcPr>
          <w:p w14:paraId="60958F52">
            <w:pPr>
              <w:rPr>
                <w:rFonts w:ascii="Arial"/>
                <w:color w:val="auto"/>
                <w:sz w:val="21"/>
                <w:highlight w:val="none"/>
              </w:rPr>
            </w:pPr>
          </w:p>
        </w:tc>
        <w:tc>
          <w:tcPr>
            <w:tcW w:w="923" w:type="dxa"/>
            <w:vAlign w:val="top"/>
          </w:tcPr>
          <w:p w14:paraId="308A1B67">
            <w:pPr>
              <w:rPr>
                <w:rFonts w:ascii="Arial"/>
                <w:color w:val="auto"/>
                <w:sz w:val="21"/>
                <w:highlight w:val="none"/>
              </w:rPr>
            </w:pPr>
          </w:p>
        </w:tc>
      </w:tr>
      <w:tr w14:paraId="1ABA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3420A704">
            <w:pPr>
              <w:pStyle w:val="23"/>
              <w:spacing w:before="262" w:line="214" w:lineRule="auto"/>
              <w:ind w:left="46"/>
              <w:rPr>
                <w:color w:val="auto"/>
                <w:highlight w:val="none"/>
              </w:rPr>
            </w:pPr>
            <w:r>
              <w:rPr>
                <w:color w:val="auto"/>
                <w:spacing w:val="8"/>
                <w:highlight w:val="none"/>
              </w:rPr>
              <w:t>监理试验设施费</w:t>
            </w:r>
          </w:p>
        </w:tc>
        <w:tc>
          <w:tcPr>
            <w:tcW w:w="661" w:type="dxa"/>
            <w:vAlign w:val="top"/>
          </w:tcPr>
          <w:p w14:paraId="3992230E">
            <w:pPr>
              <w:rPr>
                <w:rFonts w:ascii="Arial"/>
                <w:color w:val="auto"/>
                <w:sz w:val="21"/>
                <w:highlight w:val="none"/>
              </w:rPr>
            </w:pPr>
          </w:p>
        </w:tc>
        <w:tc>
          <w:tcPr>
            <w:tcW w:w="661" w:type="dxa"/>
            <w:vAlign w:val="top"/>
          </w:tcPr>
          <w:p w14:paraId="5F36056B">
            <w:pPr>
              <w:rPr>
                <w:rFonts w:ascii="Arial"/>
                <w:color w:val="auto"/>
                <w:sz w:val="21"/>
                <w:highlight w:val="none"/>
              </w:rPr>
            </w:pPr>
          </w:p>
        </w:tc>
        <w:tc>
          <w:tcPr>
            <w:tcW w:w="661" w:type="dxa"/>
            <w:vAlign w:val="top"/>
          </w:tcPr>
          <w:p w14:paraId="700D41B8">
            <w:pPr>
              <w:rPr>
                <w:rFonts w:ascii="Arial"/>
                <w:color w:val="auto"/>
                <w:sz w:val="21"/>
                <w:highlight w:val="none"/>
              </w:rPr>
            </w:pPr>
          </w:p>
        </w:tc>
        <w:tc>
          <w:tcPr>
            <w:tcW w:w="664" w:type="dxa"/>
            <w:vAlign w:val="top"/>
          </w:tcPr>
          <w:p w14:paraId="78E054C5">
            <w:pPr>
              <w:rPr>
                <w:rFonts w:ascii="Arial"/>
                <w:color w:val="auto"/>
                <w:sz w:val="21"/>
                <w:highlight w:val="none"/>
              </w:rPr>
            </w:pPr>
          </w:p>
        </w:tc>
        <w:tc>
          <w:tcPr>
            <w:tcW w:w="660" w:type="dxa"/>
            <w:vAlign w:val="top"/>
          </w:tcPr>
          <w:p w14:paraId="4B651A45">
            <w:pPr>
              <w:rPr>
                <w:rFonts w:ascii="Arial"/>
                <w:color w:val="auto"/>
                <w:sz w:val="21"/>
                <w:highlight w:val="none"/>
              </w:rPr>
            </w:pPr>
          </w:p>
        </w:tc>
        <w:tc>
          <w:tcPr>
            <w:tcW w:w="661" w:type="dxa"/>
            <w:vAlign w:val="top"/>
          </w:tcPr>
          <w:p w14:paraId="5E03AE96">
            <w:pPr>
              <w:rPr>
                <w:rFonts w:ascii="Arial"/>
                <w:color w:val="auto"/>
                <w:sz w:val="21"/>
                <w:highlight w:val="none"/>
              </w:rPr>
            </w:pPr>
          </w:p>
        </w:tc>
        <w:tc>
          <w:tcPr>
            <w:tcW w:w="661" w:type="dxa"/>
            <w:vAlign w:val="top"/>
          </w:tcPr>
          <w:p w14:paraId="2DD421F1">
            <w:pPr>
              <w:rPr>
                <w:rFonts w:ascii="Arial"/>
                <w:color w:val="auto"/>
                <w:sz w:val="21"/>
                <w:highlight w:val="none"/>
              </w:rPr>
            </w:pPr>
          </w:p>
        </w:tc>
        <w:tc>
          <w:tcPr>
            <w:tcW w:w="666" w:type="dxa"/>
            <w:vAlign w:val="top"/>
          </w:tcPr>
          <w:p w14:paraId="33BE4928">
            <w:pPr>
              <w:rPr>
                <w:rFonts w:ascii="Arial"/>
                <w:color w:val="auto"/>
                <w:sz w:val="21"/>
                <w:highlight w:val="none"/>
              </w:rPr>
            </w:pPr>
          </w:p>
        </w:tc>
        <w:tc>
          <w:tcPr>
            <w:tcW w:w="1467" w:type="dxa"/>
            <w:vAlign w:val="top"/>
          </w:tcPr>
          <w:p w14:paraId="03CC16AC">
            <w:pPr>
              <w:rPr>
                <w:rFonts w:ascii="Arial"/>
                <w:color w:val="auto"/>
                <w:sz w:val="21"/>
                <w:highlight w:val="none"/>
              </w:rPr>
            </w:pPr>
          </w:p>
        </w:tc>
        <w:tc>
          <w:tcPr>
            <w:tcW w:w="923" w:type="dxa"/>
            <w:vAlign w:val="top"/>
          </w:tcPr>
          <w:p w14:paraId="095939E0">
            <w:pPr>
              <w:rPr>
                <w:rFonts w:ascii="Arial"/>
                <w:color w:val="auto"/>
                <w:sz w:val="21"/>
                <w:highlight w:val="none"/>
              </w:rPr>
            </w:pPr>
          </w:p>
        </w:tc>
      </w:tr>
      <w:tr w14:paraId="2208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03" w:type="dxa"/>
            <w:vAlign w:val="top"/>
          </w:tcPr>
          <w:p w14:paraId="1C0F008D">
            <w:pPr>
              <w:pStyle w:val="23"/>
              <w:spacing w:before="264" w:line="213" w:lineRule="auto"/>
              <w:ind w:left="46"/>
              <w:rPr>
                <w:color w:val="auto"/>
                <w:highlight w:val="none"/>
              </w:rPr>
            </w:pPr>
            <w:r>
              <w:rPr>
                <w:color w:val="auto"/>
                <w:spacing w:val="8"/>
                <w:highlight w:val="none"/>
              </w:rPr>
              <w:t>监理生活设施费</w:t>
            </w:r>
          </w:p>
        </w:tc>
        <w:tc>
          <w:tcPr>
            <w:tcW w:w="661" w:type="dxa"/>
            <w:vAlign w:val="top"/>
          </w:tcPr>
          <w:p w14:paraId="07BBA806">
            <w:pPr>
              <w:rPr>
                <w:rFonts w:ascii="Arial"/>
                <w:color w:val="auto"/>
                <w:sz w:val="21"/>
                <w:highlight w:val="none"/>
              </w:rPr>
            </w:pPr>
          </w:p>
        </w:tc>
        <w:tc>
          <w:tcPr>
            <w:tcW w:w="661" w:type="dxa"/>
            <w:vAlign w:val="top"/>
          </w:tcPr>
          <w:p w14:paraId="73760416">
            <w:pPr>
              <w:rPr>
                <w:rFonts w:ascii="Arial"/>
                <w:color w:val="auto"/>
                <w:sz w:val="21"/>
                <w:highlight w:val="none"/>
              </w:rPr>
            </w:pPr>
          </w:p>
        </w:tc>
        <w:tc>
          <w:tcPr>
            <w:tcW w:w="661" w:type="dxa"/>
            <w:vAlign w:val="top"/>
          </w:tcPr>
          <w:p w14:paraId="65CC5DBF">
            <w:pPr>
              <w:rPr>
                <w:rFonts w:ascii="Arial"/>
                <w:color w:val="auto"/>
                <w:sz w:val="21"/>
                <w:highlight w:val="none"/>
              </w:rPr>
            </w:pPr>
          </w:p>
        </w:tc>
        <w:tc>
          <w:tcPr>
            <w:tcW w:w="664" w:type="dxa"/>
            <w:vAlign w:val="top"/>
          </w:tcPr>
          <w:p w14:paraId="4606C3E9">
            <w:pPr>
              <w:rPr>
                <w:rFonts w:ascii="Arial"/>
                <w:color w:val="auto"/>
                <w:sz w:val="21"/>
                <w:highlight w:val="none"/>
              </w:rPr>
            </w:pPr>
          </w:p>
        </w:tc>
        <w:tc>
          <w:tcPr>
            <w:tcW w:w="660" w:type="dxa"/>
            <w:vAlign w:val="top"/>
          </w:tcPr>
          <w:p w14:paraId="118FC35A">
            <w:pPr>
              <w:rPr>
                <w:rFonts w:ascii="Arial"/>
                <w:color w:val="auto"/>
                <w:sz w:val="21"/>
                <w:highlight w:val="none"/>
              </w:rPr>
            </w:pPr>
          </w:p>
        </w:tc>
        <w:tc>
          <w:tcPr>
            <w:tcW w:w="661" w:type="dxa"/>
            <w:vAlign w:val="top"/>
          </w:tcPr>
          <w:p w14:paraId="31E4B3E7">
            <w:pPr>
              <w:rPr>
                <w:rFonts w:ascii="Arial"/>
                <w:color w:val="auto"/>
                <w:sz w:val="21"/>
                <w:highlight w:val="none"/>
              </w:rPr>
            </w:pPr>
          </w:p>
        </w:tc>
        <w:tc>
          <w:tcPr>
            <w:tcW w:w="661" w:type="dxa"/>
            <w:vAlign w:val="top"/>
          </w:tcPr>
          <w:p w14:paraId="65EA642B">
            <w:pPr>
              <w:rPr>
                <w:rFonts w:ascii="Arial"/>
                <w:color w:val="auto"/>
                <w:sz w:val="21"/>
                <w:highlight w:val="none"/>
              </w:rPr>
            </w:pPr>
          </w:p>
        </w:tc>
        <w:tc>
          <w:tcPr>
            <w:tcW w:w="666" w:type="dxa"/>
            <w:vAlign w:val="top"/>
          </w:tcPr>
          <w:p w14:paraId="6DF75C96">
            <w:pPr>
              <w:rPr>
                <w:rFonts w:ascii="Arial"/>
                <w:color w:val="auto"/>
                <w:sz w:val="21"/>
                <w:highlight w:val="none"/>
              </w:rPr>
            </w:pPr>
          </w:p>
        </w:tc>
        <w:tc>
          <w:tcPr>
            <w:tcW w:w="1467" w:type="dxa"/>
            <w:vAlign w:val="top"/>
          </w:tcPr>
          <w:p w14:paraId="13512F99">
            <w:pPr>
              <w:rPr>
                <w:rFonts w:ascii="Arial"/>
                <w:color w:val="auto"/>
                <w:sz w:val="21"/>
                <w:highlight w:val="none"/>
              </w:rPr>
            </w:pPr>
          </w:p>
        </w:tc>
        <w:tc>
          <w:tcPr>
            <w:tcW w:w="923" w:type="dxa"/>
            <w:vAlign w:val="top"/>
          </w:tcPr>
          <w:p w14:paraId="3C2725CC">
            <w:pPr>
              <w:rPr>
                <w:rFonts w:ascii="Arial"/>
                <w:color w:val="auto"/>
                <w:sz w:val="21"/>
                <w:highlight w:val="none"/>
              </w:rPr>
            </w:pPr>
          </w:p>
        </w:tc>
      </w:tr>
      <w:tr w14:paraId="1F93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03" w:type="dxa"/>
            <w:vAlign w:val="top"/>
          </w:tcPr>
          <w:p w14:paraId="24DA1691">
            <w:pPr>
              <w:pStyle w:val="23"/>
              <w:spacing w:before="263" w:line="214" w:lineRule="auto"/>
              <w:ind w:left="46"/>
              <w:rPr>
                <w:color w:val="auto"/>
                <w:highlight w:val="none"/>
              </w:rPr>
            </w:pPr>
            <w:r>
              <w:rPr>
                <w:color w:val="auto"/>
                <w:spacing w:val="7"/>
                <w:highlight w:val="none"/>
              </w:rPr>
              <w:t>其他费用</w:t>
            </w:r>
          </w:p>
        </w:tc>
        <w:tc>
          <w:tcPr>
            <w:tcW w:w="661" w:type="dxa"/>
            <w:vAlign w:val="top"/>
          </w:tcPr>
          <w:p w14:paraId="049C6FE2">
            <w:pPr>
              <w:rPr>
                <w:rFonts w:ascii="Arial"/>
                <w:color w:val="auto"/>
                <w:sz w:val="21"/>
                <w:highlight w:val="none"/>
              </w:rPr>
            </w:pPr>
          </w:p>
        </w:tc>
        <w:tc>
          <w:tcPr>
            <w:tcW w:w="661" w:type="dxa"/>
            <w:vAlign w:val="top"/>
          </w:tcPr>
          <w:p w14:paraId="3C52C08B">
            <w:pPr>
              <w:rPr>
                <w:rFonts w:ascii="Arial"/>
                <w:color w:val="auto"/>
                <w:sz w:val="21"/>
                <w:highlight w:val="none"/>
              </w:rPr>
            </w:pPr>
          </w:p>
        </w:tc>
        <w:tc>
          <w:tcPr>
            <w:tcW w:w="661" w:type="dxa"/>
            <w:vAlign w:val="top"/>
          </w:tcPr>
          <w:p w14:paraId="1F328ED9">
            <w:pPr>
              <w:rPr>
                <w:rFonts w:ascii="Arial"/>
                <w:color w:val="auto"/>
                <w:sz w:val="21"/>
                <w:highlight w:val="none"/>
              </w:rPr>
            </w:pPr>
          </w:p>
        </w:tc>
        <w:tc>
          <w:tcPr>
            <w:tcW w:w="664" w:type="dxa"/>
            <w:vAlign w:val="top"/>
          </w:tcPr>
          <w:p w14:paraId="553A45A9">
            <w:pPr>
              <w:rPr>
                <w:rFonts w:ascii="Arial"/>
                <w:color w:val="auto"/>
                <w:sz w:val="21"/>
                <w:highlight w:val="none"/>
              </w:rPr>
            </w:pPr>
          </w:p>
        </w:tc>
        <w:tc>
          <w:tcPr>
            <w:tcW w:w="660" w:type="dxa"/>
            <w:vAlign w:val="top"/>
          </w:tcPr>
          <w:p w14:paraId="0B2A75A2">
            <w:pPr>
              <w:rPr>
                <w:rFonts w:ascii="Arial"/>
                <w:color w:val="auto"/>
                <w:sz w:val="21"/>
                <w:highlight w:val="none"/>
              </w:rPr>
            </w:pPr>
          </w:p>
        </w:tc>
        <w:tc>
          <w:tcPr>
            <w:tcW w:w="661" w:type="dxa"/>
            <w:vAlign w:val="top"/>
          </w:tcPr>
          <w:p w14:paraId="78D1628B">
            <w:pPr>
              <w:rPr>
                <w:rFonts w:ascii="Arial"/>
                <w:color w:val="auto"/>
                <w:sz w:val="21"/>
                <w:highlight w:val="none"/>
              </w:rPr>
            </w:pPr>
          </w:p>
        </w:tc>
        <w:tc>
          <w:tcPr>
            <w:tcW w:w="661" w:type="dxa"/>
            <w:vAlign w:val="top"/>
          </w:tcPr>
          <w:p w14:paraId="1729B183">
            <w:pPr>
              <w:rPr>
                <w:rFonts w:ascii="Arial"/>
                <w:color w:val="auto"/>
                <w:sz w:val="21"/>
                <w:highlight w:val="none"/>
              </w:rPr>
            </w:pPr>
          </w:p>
        </w:tc>
        <w:tc>
          <w:tcPr>
            <w:tcW w:w="666" w:type="dxa"/>
            <w:vAlign w:val="top"/>
          </w:tcPr>
          <w:p w14:paraId="07EBB999">
            <w:pPr>
              <w:rPr>
                <w:rFonts w:ascii="Arial"/>
                <w:color w:val="auto"/>
                <w:sz w:val="21"/>
                <w:highlight w:val="none"/>
              </w:rPr>
            </w:pPr>
          </w:p>
        </w:tc>
        <w:tc>
          <w:tcPr>
            <w:tcW w:w="1467" w:type="dxa"/>
            <w:vAlign w:val="top"/>
          </w:tcPr>
          <w:p w14:paraId="7D0C2181">
            <w:pPr>
              <w:rPr>
                <w:rFonts w:ascii="Arial"/>
                <w:color w:val="auto"/>
                <w:sz w:val="21"/>
                <w:highlight w:val="none"/>
              </w:rPr>
            </w:pPr>
          </w:p>
        </w:tc>
        <w:tc>
          <w:tcPr>
            <w:tcW w:w="923" w:type="dxa"/>
            <w:vAlign w:val="top"/>
          </w:tcPr>
          <w:p w14:paraId="7A6BC60F">
            <w:pPr>
              <w:rPr>
                <w:rFonts w:ascii="Arial"/>
                <w:color w:val="auto"/>
                <w:sz w:val="21"/>
                <w:highlight w:val="none"/>
              </w:rPr>
            </w:pPr>
          </w:p>
        </w:tc>
      </w:tr>
      <w:tr w14:paraId="28515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03" w:type="dxa"/>
            <w:vAlign w:val="top"/>
          </w:tcPr>
          <w:p w14:paraId="0073F51B">
            <w:pPr>
              <w:pStyle w:val="23"/>
              <w:spacing w:before="265" w:line="216" w:lineRule="auto"/>
              <w:ind w:left="46"/>
              <w:rPr>
                <w:color w:val="auto"/>
                <w:highlight w:val="none"/>
              </w:rPr>
            </w:pPr>
            <w:r>
              <w:rPr>
                <w:color w:val="auto"/>
                <w:spacing w:val="4"/>
                <w:highlight w:val="none"/>
              </w:rPr>
              <w:t>合计</w:t>
            </w:r>
          </w:p>
        </w:tc>
        <w:tc>
          <w:tcPr>
            <w:tcW w:w="661" w:type="dxa"/>
            <w:vAlign w:val="top"/>
          </w:tcPr>
          <w:p w14:paraId="541003ED">
            <w:pPr>
              <w:rPr>
                <w:rFonts w:ascii="Arial"/>
                <w:color w:val="auto"/>
                <w:sz w:val="21"/>
                <w:highlight w:val="none"/>
              </w:rPr>
            </w:pPr>
          </w:p>
        </w:tc>
        <w:tc>
          <w:tcPr>
            <w:tcW w:w="661" w:type="dxa"/>
            <w:vAlign w:val="top"/>
          </w:tcPr>
          <w:p w14:paraId="0F68BD98">
            <w:pPr>
              <w:rPr>
                <w:rFonts w:ascii="Arial"/>
                <w:color w:val="auto"/>
                <w:sz w:val="21"/>
                <w:highlight w:val="none"/>
              </w:rPr>
            </w:pPr>
          </w:p>
        </w:tc>
        <w:tc>
          <w:tcPr>
            <w:tcW w:w="661" w:type="dxa"/>
            <w:vAlign w:val="top"/>
          </w:tcPr>
          <w:p w14:paraId="692811A3">
            <w:pPr>
              <w:rPr>
                <w:rFonts w:ascii="Arial"/>
                <w:color w:val="auto"/>
                <w:sz w:val="21"/>
                <w:highlight w:val="none"/>
              </w:rPr>
            </w:pPr>
          </w:p>
        </w:tc>
        <w:tc>
          <w:tcPr>
            <w:tcW w:w="664" w:type="dxa"/>
            <w:vAlign w:val="top"/>
          </w:tcPr>
          <w:p w14:paraId="39ADD4B1">
            <w:pPr>
              <w:rPr>
                <w:rFonts w:ascii="Arial"/>
                <w:color w:val="auto"/>
                <w:sz w:val="21"/>
                <w:highlight w:val="none"/>
              </w:rPr>
            </w:pPr>
          </w:p>
        </w:tc>
        <w:tc>
          <w:tcPr>
            <w:tcW w:w="660" w:type="dxa"/>
            <w:vAlign w:val="top"/>
          </w:tcPr>
          <w:p w14:paraId="3578DDDD">
            <w:pPr>
              <w:rPr>
                <w:rFonts w:ascii="Arial"/>
                <w:color w:val="auto"/>
                <w:sz w:val="21"/>
                <w:highlight w:val="none"/>
              </w:rPr>
            </w:pPr>
          </w:p>
        </w:tc>
        <w:tc>
          <w:tcPr>
            <w:tcW w:w="661" w:type="dxa"/>
            <w:vAlign w:val="top"/>
          </w:tcPr>
          <w:p w14:paraId="43599A79">
            <w:pPr>
              <w:rPr>
                <w:rFonts w:ascii="Arial"/>
                <w:color w:val="auto"/>
                <w:sz w:val="21"/>
                <w:highlight w:val="none"/>
              </w:rPr>
            </w:pPr>
          </w:p>
        </w:tc>
        <w:tc>
          <w:tcPr>
            <w:tcW w:w="661" w:type="dxa"/>
            <w:vAlign w:val="top"/>
          </w:tcPr>
          <w:p w14:paraId="32E70543">
            <w:pPr>
              <w:rPr>
                <w:rFonts w:ascii="Arial"/>
                <w:color w:val="auto"/>
                <w:sz w:val="21"/>
                <w:highlight w:val="none"/>
              </w:rPr>
            </w:pPr>
          </w:p>
        </w:tc>
        <w:tc>
          <w:tcPr>
            <w:tcW w:w="666" w:type="dxa"/>
            <w:vAlign w:val="top"/>
          </w:tcPr>
          <w:p w14:paraId="5F3A5F90">
            <w:pPr>
              <w:rPr>
                <w:rFonts w:ascii="Arial"/>
                <w:color w:val="auto"/>
                <w:sz w:val="21"/>
                <w:highlight w:val="none"/>
              </w:rPr>
            </w:pPr>
          </w:p>
        </w:tc>
        <w:tc>
          <w:tcPr>
            <w:tcW w:w="1467" w:type="dxa"/>
            <w:vAlign w:val="top"/>
          </w:tcPr>
          <w:p w14:paraId="7DEEF2F5">
            <w:pPr>
              <w:rPr>
                <w:rFonts w:ascii="Arial"/>
                <w:color w:val="auto"/>
                <w:sz w:val="21"/>
                <w:highlight w:val="none"/>
              </w:rPr>
            </w:pPr>
          </w:p>
        </w:tc>
        <w:tc>
          <w:tcPr>
            <w:tcW w:w="923" w:type="dxa"/>
            <w:vAlign w:val="top"/>
          </w:tcPr>
          <w:p w14:paraId="04319DEC">
            <w:pPr>
              <w:rPr>
                <w:rFonts w:ascii="Arial"/>
                <w:color w:val="auto"/>
                <w:sz w:val="21"/>
                <w:highlight w:val="none"/>
              </w:rPr>
            </w:pPr>
          </w:p>
        </w:tc>
      </w:tr>
    </w:tbl>
    <w:p w14:paraId="07569706">
      <w:pPr>
        <w:spacing w:line="254" w:lineRule="auto"/>
        <w:rPr>
          <w:rFonts w:ascii="Arial"/>
          <w:color w:val="auto"/>
          <w:sz w:val="21"/>
          <w:highlight w:val="none"/>
        </w:rPr>
      </w:pPr>
    </w:p>
    <w:p w14:paraId="3CC0853D">
      <w:pPr>
        <w:spacing w:line="254" w:lineRule="auto"/>
        <w:rPr>
          <w:rFonts w:ascii="Arial"/>
          <w:color w:val="auto"/>
          <w:sz w:val="21"/>
          <w:highlight w:val="none"/>
        </w:rPr>
      </w:pPr>
    </w:p>
    <w:p w14:paraId="0C728AD0">
      <w:pPr>
        <w:spacing w:line="254" w:lineRule="auto"/>
        <w:rPr>
          <w:rFonts w:ascii="Arial"/>
          <w:color w:val="auto"/>
          <w:sz w:val="21"/>
          <w:highlight w:val="none"/>
        </w:rPr>
      </w:pPr>
    </w:p>
    <w:p w14:paraId="48F09654">
      <w:pPr>
        <w:spacing w:line="254" w:lineRule="auto"/>
        <w:rPr>
          <w:rFonts w:ascii="Arial"/>
          <w:color w:val="auto"/>
          <w:sz w:val="21"/>
          <w:highlight w:val="none"/>
        </w:rPr>
      </w:pPr>
    </w:p>
    <w:p w14:paraId="20D06F6F">
      <w:pPr>
        <w:spacing w:line="254" w:lineRule="auto"/>
        <w:rPr>
          <w:rFonts w:ascii="Arial"/>
          <w:color w:val="auto"/>
          <w:sz w:val="21"/>
          <w:highlight w:val="none"/>
        </w:rPr>
      </w:pPr>
    </w:p>
    <w:p w14:paraId="6026EAC3">
      <w:pPr>
        <w:spacing w:before="65" w:line="227" w:lineRule="auto"/>
        <w:ind w:left="1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 本表应按附件</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和附件</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监理人员和监理设施</w:t>
      </w:r>
      <w:r>
        <w:rPr>
          <w:rFonts w:ascii="宋体" w:hAnsi="宋体" w:eastAsia="宋体" w:cs="宋体"/>
          <w:color w:val="auto"/>
          <w:spacing w:val="7"/>
          <w:sz w:val="20"/>
          <w:szCs w:val="20"/>
          <w:highlight w:val="none"/>
        </w:rPr>
        <w:t>进场时间及数量安排计算相应的费用。</w:t>
      </w:r>
    </w:p>
    <w:p w14:paraId="5B0B76CC">
      <w:pPr>
        <w:spacing w:before="155" w:line="226"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本表各项合计费用应与监理服务费用报价汇总表相一致。</w:t>
      </w:r>
    </w:p>
    <w:p w14:paraId="2CAC4602">
      <w:pPr>
        <w:spacing w:before="153" w:line="227" w:lineRule="auto"/>
        <w:ind w:left="5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 本表将作为监理合同履行过程中委托人支付监理费</w:t>
      </w:r>
      <w:r>
        <w:rPr>
          <w:rFonts w:ascii="宋体" w:hAnsi="宋体" w:eastAsia="宋体" w:cs="宋体"/>
          <w:color w:val="auto"/>
          <w:spacing w:val="8"/>
          <w:sz w:val="20"/>
          <w:szCs w:val="20"/>
          <w:highlight w:val="none"/>
        </w:rPr>
        <w:t>用的参考依据。</w:t>
      </w:r>
    </w:p>
    <w:p w14:paraId="5DE78931">
      <w:pPr>
        <w:spacing w:line="227" w:lineRule="auto"/>
        <w:rPr>
          <w:rFonts w:ascii="宋体" w:hAnsi="宋体" w:eastAsia="宋体" w:cs="宋体"/>
          <w:color w:val="auto"/>
          <w:sz w:val="20"/>
          <w:szCs w:val="20"/>
          <w:highlight w:val="none"/>
        </w:rPr>
        <w:sectPr>
          <w:footerReference r:id="rId72" w:type="default"/>
          <w:pgSz w:w="11906" w:h="16839"/>
          <w:pgMar w:top="1402" w:right="1308" w:bottom="1297" w:left="1304" w:header="0" w:footer="1067" w:gutter="0"/>
          <w:pgNumType w:fmt="decimal"/>
          <w:cols w:space="720" w:num="1"/>
        </w:sectPr>
      </w:pPr>
    </w:p>
    <w:p w14:paraId="7B2499B7">
      <w:pPr>
        <w:spacing w:before="56" w:line="219" w:lineRule="auto"/>
        <w:ind w:left="2534"/>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附件</w:t>
      </w:r>
      <w:r>
        <w:rPr>
          <w:rFonts w:ascii="宋体" w:hAnsi="宋体" w:eastAsia="宋体" w:cs="宋体"/>
          <w:color w:val="auto"/>
          <w:spacing w:val="-27"/>
          <w:sz w:val="28"/>
          <w:szCs w:val="28"/>
          <w:highlight w:val="none"/>
        </w:rPr>
        <w:t xml:space="preserve"> </w:t>
      </w:r>
      <w:r>
        <w:rPr>
          <w:rFonts w:ascii="宋体" w:hAnsi="宋体" w:eastAsia="宋体" w:cs="宋体"/>
          <w:b/>
          <w:bCs/>
          <w:color w:val="auto"/>
          <w:spacing w:val="-6"/>
          <w:sz w:val="28"/>
          <w:szCs w:val="28"/>
          <w:highlight w:val="none"/>
        </w:rPr>
        <w:t>1</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监理人员工作计划安排表</w:t>
      </w:r>
    </w:p>
    <w:p w14:paraId="4B657D0A">
      <w:pPr>
        <w:spacing w:before="20" w:line="228" w:lineRule="auto"/>
        <w:ind w:left="1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color="auto"/>
        </w:rPr>
        <w:t xml:space="preserve">         </w:t>
      </w:r>
    </w:p>
    <w:p w14:paraId="32F843C8">
      <w:pPr>
        <w:spacing w:line="113" w:lineRule="exact"/>
        <w:rPr>
          <w:color w:val="auto"/>
          <w:highlight w:val="none"/>
        </w:rPr>
      </w:pPr>
    </w:p>
    <w:tbl>
      <w:tblPr>
        <w:tblStyle w:val="22"/>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1628"/>
        <w:gridCol w:w="805"/>
        <w:gridCol w:w="635"/>
        <w:gridCol w:w="348"/>
        <w:gridCol w:w="348"/>
        <w:gridCol w:w="350"/>
        <w:gridCol w:w="348"/>
        <w:gridCol w:w="349"/>
        <w:gridCol w:w="351"/>
        <w:gridCol w:w="349"/>
        <w:gridCol w:w="349"/>
        <w:gridCol w:w="426"/>
        <w:gridCol w:w="426"/>
        <w:gridCol w:w="426"/>
        <w:gridCol w:w="429"/>
        <w:gridCol w:w="526"/>
        <w:gridCol w:w="735"/>
      </w:tblGrid>
      <w:tr w14:paraId="1D05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Merge w:val="restart"/>
            <w:tcBorders>
              <w:bottom w:val="nil"/>
            </w:tcBorders>
            <w:textDirection w:val="tbRlV"/>
            <w:vAlign w:val="top"/>
          </w:tcPr>
          <w:p w14:paraId="199F597A">
            <w:pPr>
              <w:pStyle w:val="23"/>
              <w:spacing w:before="123" w:line="218" w:lineRule="auto"/>
              <w:ind w:left="308"/>
              <w:rPr>
                <w:color w:val="auto"/>
                <w:highlight w:val="none"/>
              </w:rPr>
            </w:pPr>
            <w:r>
              <w:rPr>
                <w:color w:val="auto"/>
                <w:spacing w:val="8"/>
                <w:highlight w:val="none"/>
              </w:rPr>
              <w:t>序</w:t>
            </w:r>
            <w:r>
              <w:rPr>
                <w:color w:val="auto"/>
                <w:spacing w:val="-38"/>
                <w:highlight w:val="none"/>
              </w:rPr>
              <w:t xml:space="preserve"> </w:t>
            </w:r>
            <w:r>
              <w:rPr>
                <w:color w:val="auto"/>
                <w:spacing w:val="8"/>
                <w:highlight w:val="none"/>
              </w:rPr>
              <w:t>号</w:t>
            </w:r>
          </w:p>
        </w:tc>
        <w:tc>
          <w:tcPr>
            <w:tcW w:w="1628" w:type="dxa"/>
            <w:vMerge w:val="restart"/>
            <w:tcBorders>
              <w:bottom w:val="nil"/>
            </w:tcBorders>
            <w:vAlign w:val="top"/>
          </w:tcPr>
          <w:p w14:paraId="72797249">
            <w:pPr>
              <w:spacing w:line="378" w:lineRule="auto"/>
              <w:rPr>
                <w:rFonts w:ascii="Arial"/>
                <w:color w:val="auto"/>
                <w:sz w:val="21"/>
                <w:highlight w:val="none"/>
              </w:rPr>
            </w:pPr>
          </w:p>
          <w:p w14:paraId="2E4DB90B">
            <w:pPr>
              <w:pStyle w:val="23"/>
              <w:spacing w:before="65" w:line="229" w:lineRule="auto"/>
              <w:ind w:left="608"/>
              <w:rPr>
                <w:color w:val="auto"/>
                <w:highlight w:val="none"/>
              </w:rPr>
            </w:pPr>
            <w:r>
              <w:rPr>
                <w:color w:val="auto"/>
                <w:spacing w:val="3"/>
                <w:highlight w:val="none"/>
              </w:rPr>
              <w:t>人员</w:t>
            </w:r>
          </w:p>
        </w:tc>
        <w:tc>
          <w:tcPr>
            <w:tcW w:w="805" w:type="dxa"/>
            <w:vMerge w:val="restart"/>
            <w:tcBorders>
              <w:bottom w:val="nil"/>
            </w:tcBorders>
            <w:vAlign w:val="top"/>
          </w:tcPr>
          <w:p w14:paraId="6F56960A">
            <w:pPr>
              <w:pStyle w:val="23"/>
              <w:spacing w:before="172" w:line="228" w:lineRule="auto"/>
              <w:ind w:left="198"/>
              <w:rPr>
                <w:color w:val="auto"/>
                <w:highlight w:val="none"/>
              </w:rPr>
            </w:pPr>
            <w:r>
              <w:rPr>
                <w:color w:val="auto"/>
                <w:spacing w:val="4"/>
                <w:highlight w:val="none"/>
              </w:rPr>
              <w:t>驻场</w:t>
            </w:r>
          </w:p>
          <w:p w14:paraId="2AED848D">
            <w:pPr>
              <w:pStyle w:val="23"/>
              <w:spacing w:before="23" w:line="254" w:lineRule="auto"/>
              <w:ind w:left="104" w:right="102" w:firstLine="102"/>
              <w:rPr>
                <w:color w:val="auto"/>
                <w:highlight w:val="none"/>
              </w:rPr>
            </w:pPr>
            <w:r>
              <w:rPr>
                <w:color w:val="auto"/>
                <w:spacing w:val="-1"/>
                <w:highlight w:val="none"/>
              </w:rPr>
              <w:t>时间</w:t>
            </w:r>
            <w:r>
              <w:rPr>
                <w:color w:val="auto"/>
                <w:spacing w:val="-3"/>
                <w:highlight w:val="none"/>
              </w:rPr>
              <w:t>（月）</w:t>
            </w:r>
          </w:p>
        </w:tc>
        <w:tc>
          <w:tcPr>
            <w:tcW w:w="5134" w:type="dxa"/>
            <w:gridSpan w:val="13"/>
            <w:vAlign w:val="top"/>
          </w:tcPr>
          <w:p w14:paraId="1EC2F5AC">
            <w:pPr>
              <w:pStyle w:val="23"/>
              <w:spacing w:before="168" w:line="228" w:lineRule="auto"/>
              <w:ind w:left="1052"/>
              <w:rPr>
                <w:color w:val="auto"/>
                <w:highlight w:val="none"/>
              </w:rPr>
            </w:pPr>
            <w:r>
              <w:rPr>
                <w:color w:val="auto"/>
                <w:spacing w:val="7"/>
                <w:highlight w:val="none"/>
              </w:rPr>
              <w:t>监理人员投入安排（共   个月）</w:t>
            </w:r>
          </w:p>
        </w:tc>
        <w:tc>
          <w:tcPr>
            <w:tcW w:w="526" w:type="dxa"/>
            <w:vMerge w:val="restart"/>
            <w:tcBorders>
              <w:bottom w:val="nil"/>
            </w:tcBorders>
            <w:textDirection w:val="tbRlV"/>
            <w:vAlign w:val="top"/>
          </w:tcPr>
          <w:p w14:paraId="1E7AA246">
            <w:pPr>
              <w:pStyle w:val="23"/>
              <w:spacing w:before="154" w:line="217" w:lineRule="auto"/>
              <w:ind w:left="308"/>
              <w:rPr>
                <w:color w:val="auto"/>
                <w:highlight w:val="none"/>
              </w:rPr>
            </w:pPr>
            <w:r>
              <w:rPr>
                <w:color w:val="auto"/>
                <w:spacing w:val="8"/>
                <w:highlight w:val="none"/>
              </w:rPr>
              <w:t>合</w:t>
            </w:r>
            <w:r>
              <w:rPr>
                <w:color w:val="auto"/>
                <w:spacing w:val="-38"/>
                <w:highlight w:val="none"/>
              </w:rPr>
              <w:t xml:space="preserve"> </w:t>
            </w:r>
            <w:r>
              <w:rPr>
                <w:color w:val="auto"/>
                <w:spacing w:val="8"/>
                <w:highlight w:val="none"/>
              </w:rPr>
              <w:t>计</w:t>
            </w:r>
          </w:p>
        </w:tc>
        <w:tc>
          <w:tcPr>
            <w:tcW w:w="735" w:type="dxa"/>
            <w:vMerge w:val="restart"/>
            <w:tcBorders>
              <w:bottom w:val="nil"/>
            </w:tcBorders>
            <w:vAlign w:val="top"/>
          </w:tcPr>
          <w:p w14:paraId="1E0548DF">
            <w:pPr>
              <w:spacing w:line="378" w:lineRule="auto"/>
              <w:rPr>
                <w:rFonts w:ascii="Arial"/>
                <w:color w:val="auto"/>
                <w:sz w:val="21"/>
                <w:highlight w:val="none"/>
              </w:rPr>
            </w:pPr>
          </w:p>
          <w:p w14:paraId="20E9D0EC">
            <w:pPr>
              <w:pStyle w:val="23"/>
              <w:spacing w:before="65" w:line="229" w:lineRule="auto"/>
              <w:ind w:left="165"/>
              <w:rPr>
                <w:color w:val="auto"/>
                <w:highlight w:val="none"/>
              </w:rPr>
            </w:pPr>
            <w:r>
              <w:rPr>
                <w:color w:val="auto"/>
                <w:spacing w:val="3"/>
                <w:highlight w:val="none"/>
              </w:rPr>
              <w:t>备注</w:t>
            </w:r>
          </w:p>
        </w:tc>
      </w:tr>
      <w:tr w14:paraId="181C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58" w:type="dxa"/>
            <w:vMerge w:val="continue"/>
            <w:tcBorders>
              <w:top w:val="nil"/>
            </w:tcBorders>
            <w:textDirection w:val="tbRlV"/>
            <w:vAlign w:val="top"/>
          </w:tcPr>
          <w:p w14:paraId="794E9C57">
            <w:pPr>
              <w:rPr>
                <w:rFonts w:ascii="Arial"/>
                <w:color w:val="auto"/>
                <w:sz w:val="21"/>
                <w:highlight w:val="none"/>
              </w:rPr>
            </w:pPr>
          </w:p>
        </w:tc>
        <w:tc>
          <w:tcPr>
            <w:tcW w:w="1628" w:type="dxa"/>
            <w:vMerge w:val="continue"/>
            <w:tcBorders>
              <w:top w:val="nil"/>
            </w:tcBorders>
            <w:vAlign w:val="top"/>
          </w:tcPr>
          <w:p w14:paraId="689CD448">
            <w:pPr>
              <w:rPr>
                <w:rFonts w:ascii="Arial"/>
                <w:color w:val="auto"/>
                <w:sz w:val="21"/>
                <w:highlight w:val="none"/>
              </w:rPr>
            </w:pPr>
          </w:p>
        </w:tc>
        <w:tc>
          <w:tcPr>
            <w:tcW w:w="805" w:type="dxa"/>
            <w:vMerge w:val="continue"/>
            <w:tcBorders>
              <w:top w:val="nil"/>
            </w:tcBorders>
            <w:vAlign w:val="top"/>
          </w:tcPr>
          <w:p w14:paraId="5D7B537E">
            <w:pPr>
              <w:rPr>
                <w:rFonts w:ascii="Arial"/>
                <w:color w:val="auto"/>
                <w:sz w:val="21"/>
                <w:highlight w:val="none"/>
              </w:rPr>
            </w:pPr>
          </w:p>
        </w:tc>
        <w:tc>
          <w:tcPr>
            <w:tcW w:w="635" w:type="dxa"/>
            <w:vAlign w:val="top"/>
          </w:tcPr>
          <w:p w14:paraId="10ABEA7D">
            <w:pPr>
              <w:pStyle w:val="23"/>
              <w:spacing w:before="163" w:line="270" w:lineRule="exact"/>
              <w:ind w:left="286"/>
              <w:rPr>
                <w:color w:val="auto"/>
                <w:highlight w:val="none"/>
              </w:rPr>
            </w:pPr>
            <w:r>
              <w:rPr>
                <w:color w:val="auto"/>
                <w:position w:val="1"/>
                <w:highlight w:val="none"/>
              </w:rPr>
              <w:t>1</w:t>
            </w:r>
          </w:p>
        </w:tc>
        <w:tc>
          <w:tcPr>
            <w:tcW w:w="348" w:type="dxa"/>
            <w:vAlign w:val="top"/>
          </w:tcPr>
          <w:p w14:paraId="0ED61F6F">
            <w:pPr>
              <w:pStyle w:val="23"/>
              <w:spacing w:before="163" w:line="270" w:lineRule="exact"/>
              <w:ind w:left="130"/>
              <w:rPr>
                <w:color w:val="auto"/>
                <w:highlight w:val="none"/>
              </w:rPr>
            </w:pPr>
            <w:r>
              <w:rPr>
                <w:color w:val="auto"/>
                <w:position w:val="1"/>
                <w:highlight w:val="none"/>
              </w:rPr>
              <w:t>2</w:t>
            </w:r>
          </w:p>
        </w:tc>
        <w:tc>
          <w:tcPr>
            <w:tcW w:w="348" w:type="dxa"/>
            <w:vAlign w:val="top"/>
          </w:tcPr>
          <w:p w14:paraId="76B0891F">
            <w:pPr>
              <w:pStyle w:val="23"/>
              <w:spacing w:before="163" w:line="269" w:lineRule="exact"/>
              <w:ind w:left="132"/>
              <w:rPr>
                <w:color w:val="auto"/>
                <w:highlight w:val="none"/>
              </w:rPr>
            </w:pPr>
            <w:r>
              <w:rPr>
                <w:color w:val="auto"/>
                <w:position w:val="1"/>
                <w:highlight w:val="none"/>
              </w:rPr>
              <w:t>3</w:t>
            </w:r>
          </w:p>
        </w:tc>
        <w:tc>
          <w:tcPr>
            <w:tcW w:w="350" w:type="dxa"/>
            <w:vAlign w:val="top"/>
          </w:tcPr>
          <w:p w14:paraId="7238CC37">
            <w:pPr>
              <w:pStyle w:val="23"/>
              <w:spacing w:before="163" w:line="270" w:lineRule="exact"/>
              <w:ind w:left="127"/>
              <w:rPr>
                <w:color w:val="auto"/>
                <w:highlight w:val="none"/>
              </w:rPr>
            </w:pPr>
            <w:r>
              <w:rPr>
                <w:color w:val="auto"/>
                <w:position w:val="1"/>
                <w:highlight w:val="none"/>
              </w:rPr>
              <w:t>4</w:t>
            </w:r>
          </w:p>
        </w:tc>
        <w:tc>
          <w:tcPr>
            <w:tcW w:w="348" w:type="dxa"/>
            <w:vAlign w:val="top"/>
          </w:tcPr>
          <w:p w14:paraId="6190C9BA">
            <w:pPr>
              <w:pStyle w:val="23"/>
              <w:spacing w:before="163" w:line="269" w:lineRule="exact"/>
              <w:ind w:left="132"/>
              <w:rPr>
                <w:color w:val="auto"/>
                <w:highlight w:val="none"/>
              </w:rPr>
            </w:pPr>
            <w:r>
              <w:rPr>
                <w:color w:val="auto"/>
                <w:position w:val="1"/>
                <w:highlight w:val="none"/>
              </w:rPr>
              <w:t>5</w:t>
            </w:r>
          </w:p>
        </w:tc>
        <w:tc>
          <w:tcPr>
            <w:tcW w:w="349" w:type="dxa"/>
            <w:vAlign w:val="top"/>
          </w:tcPr>
          <w:p w14:paraId="3EC35186">
            <w:pPr>
              <w:pStyle w:val="23"/>
              <w:spacing w:before="163" w:line="269" w:lineRule="exact"/>
              <w:ind w:left="130"/>
              <w:rPr>
                <w:color w:val="auto"/>
                <w:highlight w:val="none"/>
              </w:rPr>
            </w:pPr>
            <w:r>
              <w:rPr>
                <w:color w:val="auto"/>
                <w:position w:val="1"/>
                <w:highlight w:val="none"/>
              </w:rPr>
              <w:t>6</w:t>
            </w:r>
          </w:p>
        </w:tc>
        <w:tc>
          <w:tcPr>
            <w:tcW w:w="351" w:type="dxa"/>
            <w:vAlign w:val="top"/>
          </w:tcPr>
          <w:p w14:paraId="3F83F4AF">
            <w:pPr>
              <w:pStyle w:val="23"/>
              <w:spacing w:before="163" w:line="269" w:lineRule="exact"/>
              <w:ind w:left="135"/>
              <w:rPr>
                <w:color w:val="auto"/>
                <w:highlight w:val="none"/>
              </w:rPr>
            </w:pPr>
            <w:r>
              <w:rPr>
                <w:color w:val="auto"/>
                <w:position w:val="1"/>
                <w:highlight w:val="none"/>
              </w:rPr>
              <w:t>7</w:t>
            </w:r>
          </w:p>
        </w:tc>
        <w:tc>
          <w:tcPr>
            <w:tcW w:w="349" w:type="dxa"/>
            <w:vAlign w:val="top"/>
          </w:tcPr>
          <w:p w14:paraId="7758C9C8">
            <w:pPr>
              <w:pStyle w:val="23"/>
              <w:spacing w:before="163" w:line="269" w:lineRule="exact"/>
              <w:ind w:left="130"/>
              <w:rPr>
                <w:color w:val="auto"/>
                <w:highlight w:val="none"/>
              </w:rPr>
            </w:pPr>
            <w:r>
              <w:rPr>
                <w:color w:val="auto"/>
                <w:position w:val="1"/>
                <w:highlight w:val="none"/>
              </w:rPr>
              <w:t>8</w:t>
            </w:r>
          </w:p>
        </w:tc>
        <w:tc>
          <w:tcPr>
            <w:tcW w:w="349" w:type="dxa"/>
            <w:vAlign w:val="top"/>
          </w:tcPr>
          <w:p w14:paraId="188BDBCD">
            <w:pPr>
              <w:pStyle w:val="23"/>
              <w:spacing w:before="163" w:line="269" w:lineRule="exact"/>
              <w:ind w:left="129"/>
              <w:rPr>
                <w:color w:val="auto"/>
                <w:highlight w:val="none"/>
              </w:rPr>
            </w:pPr>
            <w:r>
              <w:rPr>
                <w:color w:val="auto"/>
                <w:position w:val="1"/>
                <w:highlight w:val="none"/>
              </w:rPr>
              <w:t>9</w:t>
            </w:r>
          </w:p>
        </w:tc>
        <w:tc>
          <w:tcPr>
            <w:tcW w:w="426" w:type="dxa"/>
            <w:vAlign w:val="top"/>
          </w:tcPr>
          <w:p w14:paraId="0DEC6AA4">
            <w:pPr>
              <w:pStyle w:val="23"/>
              <w:spacing w:before="163" w:line="269" w:lineRule="exact"/>
              <w:ind w:left="131"/>
              <w:rPr>
                <w:color w:val="auto"/>
                <w:highlight w:val="none"/>
              </w:rPr>
            </w:pPr>
            <w:r>
              <w:rPr>
                <w:color w:val="auto"/>
                <w:spacing w:val="-7"/>
                <w:position w:val="1"/>
                <w:highlight w:val="none"/>
              </w:rPr>
              <w:t>10</w:t>
            </w:r>
          </w:p>
        </w:tc>
        <w:tc>
          <w:tcPr>
            <w:tcW w:w="426" w:type="dxa"/>
            <w:vAlign w:val="top"/>
          </w:tcPr>
          <w:p w14:paraId="69BAF657">
            <w:pPr>
              <w:pStyle w:val="23"/>
              <w:spacing w:before="163" w:line="270" w:lineRule="exact"/>
              <w:ind w:left="129"/>
              <w:rPr>
                <w:color w:val="auto"/>
                <w:highlight w:val="none"/>
              </w:rPr>
            </w:pPr>
            <w:r>
              <w:rPr>
                <w:color w:val="auto"/>
                <w:spacing w:val="-7"/>
                <w:position w:val="1"/>
                <w:highlight w:val="none"/>
              </w:rPr>
              <w:t>11</w:t>
            </w:r>
          </w:p>
        </w:tc>
        <w:tc>
          <w:tcPr>
            <w:tcW w:w="426" w:type="dxa"/>
            <w:vAlign w:val="top"/>
          </w:tcPr>
          <w:p w14:paraId="520AF69E">
            <w:pPr>
              <w:pStyle w:val="23"/>
              <w:spacing w:before="163" w:line="270" w:lineRule="exact"/>
              <w:ind w:left="131"/>
              <w:rPr>
                <w:color w:val="auto"/>
                <w:highlight w:val="none"/>
              </w:rPr>
            </w:pPr>
            <w:r>
              <w:rPr>
                <w:color w:val="auto"/>
                <w:spacing w:val="-7"/>
                <w:position w:val="1"/>
                <w:highlight w:val="none"/>
              </w:rPr>
              <w:t>12</w:t>
            </w:r>
          </w:p>
        </w:tc>
        <w:tc>
          <w:tcPr>
            <w:tcW w:w="429" w:type="dxa"/>
            <w:vAlign w:val="top"/>
          </w:tcPr>
          <w:p w14:paraId="4738BB05">
            <w:pPr>
              <w:pStyle w:val="23"/>
              <w:spacing w:before="163" w:line="324" w:lineRule="exact"/>
              <w:ind w:left="129"/>
              <w:rPr>
                <w:color w:val="auto"/>
                <w:highlight w:val="none"/>
              </w:rPr>
            </w:pPr>
            <w:r>
              <w:rPr>
                <w:color w:val="auto"/>
                <w:position w:val="2"/>
                <w:highlight w:val="none"/>
              </w:rPr>
              <w:t>…</w:t>
            </w:r>
          </w:p>
        </w:tc>
        <w:tc>
          <w:tcPr>
            <w:tcW w:w="526" w:type="dxa"/>
            <w:vMerge w:val="continue"/>
            <w:tcBorders>
              <w:top w:val="nil"/>
            </w:tcBorders>
            <w:textDirection w:val="tbRlV"/>
            <w:vAlign w:val="top"/>
          </w:tcPr>
          <w:p w14:paraId="3C1EDBC6">
            <w:pPr>
              <w:rPr>
                <w:rFonts w:ascii="Arial"/>
                <w:color w:val="auto"/>
                <w:sz w:val="21"/>
                <w:highlight w:val="none"/>
              </w:rPr>
            </w:pPr>
          </w:p>
        </w:tc>
        <w:tc>
          <w:tcPr>
            <w:tcW w:w="735" w:type="dxa"/>
            <w:vMerge w:val="continue"/>
            <w:tcBorders>
              <w:top w:val="nil"/>
            </w:tcBorders>
            <w:vAlign w:val="top"/>
          </w:tcPr>
          <w:p w14:paraId="2B444EBA">
            <w:pPr>
              <w:rPr>
                <w:rFonts w:ascii="Arial"/>
                <w:color w:val="auto"/>
                <w:sz w:val="21"/>
                <w:highlight w:val="none"/>
              </w:rPr>
            </w:pPr>
          </w:p>
        </w:tc>
      </w:tr>
      <w:tr w14:paraId="4677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608A8AC3">
            <w:pPr>
              <w:pStyle w:val="23"/>
              <w:spacing w:before="165" w:line="270" w:lineRule="exact"/>
              <w:ind w:left="197"/>
              <w:rPr>
                <w:color w:val="auto"/>
                <w:highlight w:val="none"/>
              </w:rPr>
            </w:pPr>
            <w:r>
              <w:rPr>
                <w:color w:val="auto"/>
                <w:position w:val="1"/>
                <w:highlight w:val="none"/>
              </w:rPr>
              <w:t>1</w:t>
            </w:r>
          </w:p>
        </w:tc>
        <w:tc>
          <w:tcPr>
            <w:tcW w:w="1628" w:type="dxa"/>
            <w:vAlign w:val="top"/>
          </w:tcPr>
          <w:p w14:paraId="4C2B172E">
            <w:pPr>
              <w:pStyle w:val="23"/>
              <w:spacing w:before="165" w:line="228" w:lineRule="auto"/>
              <w:ind w:left="192"/>
              <w:rPr>
                <w:color w:val="auto"/>
                <w:highlight w:val="none"/>
              </w:rPr>
            </w:pPr>
            <w:r>
              <w:rPr>
                <w:color w:val="auto"/>
                <w:spacing w:val="7"/>
                <w:highlight w:val="none"/>
              </w:rPr>
              <w:t>总监理工程师</w:t>
            </w:r>
          </w:p>
        </w:tc>
        <w:tc>
          <w:tcPr>
            <w:tcW w:w="805" w:type="dxa"/>
            <w:vAlign w:val="top"/>
          </w:tcPr>
          <w:p w14:paraId="69346944">
            <w:pPr>
              <w:rPr>
                <w:rFonts w:ascii="Arial"/>
                <w:color w:val="auto"/>
                <w:sz w:val="21"/>
                <w:highlight w:val="none"/>
              </w:rPr>
            </w:pPr>
          </w:p>
        </w:tc>
        <w:tc>
          <w:tcPr>
            <w:tcW w:w="635" w:type="dxa"/>
            <w:vAlign w:val="top"/>
          </w:tcPr>
          <w:p w14:paraId="26EBD424">
            <w:pPr>
              <w:rPr>
                <w:rFonts w:ascii="Arial"/>
                <w:color w:val="auto"/>
                <w:sz w:val="21"/>
                <w:highlight w:val="none"/>
              </w:rPr>
            </w:pPr>
          </w:p>
        </w:tc>
        <w:tc>
          <w:tcPr>
            <w:tcW w:w="348" w:type="dxa"/>
            <w:vAlign w:val="top"/>
          </w:tcPr>
          <w:p w14:paraId="59211203">
            <w:pPr>
              <w:rPr>
                <w:rFonts w:ascii="Arial"/>
                <w:color w:val="auto"/>
                <w:sz w:val="21"/>
                <w:highlight w:val="none"/>
              </w:rPr>
            </w:pPr>
          </w:p>
        </w:tc>
        <w:tc>
          <w:tcPr>
            <w:tcW w:w="348" w:type="dxa"/>
            <w:vAlign w:val="top"/>
          </w:tcPr>
          <w:p w14:paraId="2C4C0E4C">
            <w:pPr>
              <w:rPr>
                <w:rFonts w:ascii="Arial"/>
                <w:color w:val="auto"/>
                <w:sz w:val="21"/>
                <w:highlight w:val="none"/>
              </w:rPr>
            </w:pPr>
          </w:p>
        </w:tc>
        <w:tc>
          <w:tcPr>
            <w:tcW w:w="350" w:type="dxa"/>
            <w:vAlign w:val="top"/>
          </w:tcPr>
          <w:p w14:paraId="3ABB98D3">
            <w:pPr>
              <w:rPr>
                <w:rFonts w:ascii="Arial"/>
                <w:color w:val="auto"/>
                <w:sz w:val="21"/>
                <w:highlight w:val="none"/>
              </w:rPr>
            </w:pPr>
          </w:p>
        </w:tc>
        <w:tc>
          <w:tcPr>
            <w:tcW w:w="348" w:type="dxa"/>
            <w:vAlign w:val="top"/>
          </w:tcPr>
          <w:p w14:paraId="5AA79437">
            <w:pPr>
              <w:rPr>
                <w:rFonts w:ascii="Arial"/>
                <w:color w:val="auto"/>
                <w:sz w:val="21"/>
                <w:highlight w:val="none"/>
              </w:rPr>
            </w:pPr>
          </w:p>
        </w:tc>
        <w:tc>
          <w:tcPr>
            <w:tcW w:w="349" w:type="dxa"/>
            <w:vAlign w:val="top"/>
          </w:tcPr>
          <w:p w14:paraId="6FB5D5D2">
            <w:pPr>
              <w:rPr>
                <w:rFonts w:ascii="Arial"/>
                <w:color w:val="auto"/>
                <w:sz w:val="21"/>
                <w:highlight w:val="none"/>
              </w:rPr>
            </w:pPr>
          </w:p>
        </w:tc>
        <w:tc>
          <w:tcPr>
            <w:tcW w:w="351" w:type="dxa"/>
            <w:vAlign w:val="top"/>
          </w:tcPr>
          <w:p w14:paraId="12690FE5">
            <w:pPr>
              <w:rPr>
                <w:rFonts w:ascii="Arial"/>
                <w:color w:val="auto"/>
                <w:sz w:val="21"/>
                <w:highlight w:val="none"/>
              </w:rPr>
            </w:pPr>
          </w:p>
        </w:tc>
        <w:tc>
          <w:tcPr>
            <w:tcW w:w="349" w:type="dxa"/>
            <w:vAlign w:val="top"/>
          </w:tcPr>
          <w:p w14:paraId="6E1F16E8">
            <w:pPr>
              <w:rPr>
                <w:rFonts w:ascii="Arial"/>
                <w:color w:val="auto"/>
                <w:sz w:val="21"/>
                <w:highlight w:val="none"/>
              </w:rPr>
            </w:pPr>
          </w:p>
        </w:tc>
        <w:tc>
          <w:tcPr>
            <w:tcW w:w="349" w:type="dxa"/>
            <w:vAlign w:val="top"/>
          </w:tcPr>
          <w:p w14:paraId="2FBC14CC">
            <w:pPr>
              <w:rPr>
                <w:rFonts w:ascii="Arial"/>
                <w:color w:val="auto"/>
                <w:sz w:val="21"/>
                <w:highlight w:val="none"/>
              </w:rPr>
            </w:pPr>
          </w:p>
        </w:tc>
        <w:tc>
          <w:tcPr>
            <w:tcW w:w="426" w:type="dxa"/>
            <w:vAlign w:val="top"/>
          </w:tcPr>
          <w:p w14:paraId="4581270A">
            <w:pPr>
              <w:rPr>
                <w:rFonts w:ascii="Arial"/>
                <w:color w:val="auto"/>
                <w:sz w:val="21"/>
                <w:highlight w:val="none"/>
              </w:rPr>
            </w:pPr>
          </w:p>
        </w:tc>
        <w:tc>
          <w:tcPr>
            <w:tcW w:w="426" w:type="dxa"/>
            <w:vAlign w:val="top"/>
          </w:tcPr>
          <w:p w14:paraId="751ACD3B">
            <w:pPr>
              <w:rPr>
                <w:rFonts w:ascii="Arial"/>
                <w:color w:val="auto"/>
                <w:sz w:val="21"/>
                <w:highlight w:val="none"/>
              </w:rPr>
            </w:pPr>
          </w:p>
        </w:tc>
        <w:tc>
          <w:tcPr>
            <w:tcW w:w="426" w:type="dxa"/>
            <w:vAlign w:val="top"/>
          </w:tcPr>
          <w:p w14:paraId="0BD0D968">
            <w:pPr>
              <w:rPr>
                <w:rFonts w:ascii="Arial"/>
                <w:color w:val="auto"/>
                <w:sz w:val="21"/>
                <w:highlight w:val="none"/>
              </w:rPr>
            </w:pPr>
          </w:p>
        </w:tc>
        <w:tc>
          <w:tcPr>
            <w:tcW w:w="429" w:type="dxa"/>
            <w:vAlign w:val="top"/>
          </w:tcPr>
          <w:p w14:paraId="1DF0DF8F">
            <w:pPr>
              <w:rPr>
                <w:rFonts w:ascii="Arial"/>
                <w:color w:val="auto"/>
                <w:sz w:val="21"/>
                <w:highlight w:val="none"/>
              </w:rPr>
            </w:pPr>
          </w:p>
        </w:tc>
        <w:tc>
          <w:tcPr>
            <w:tcW w:w="526" w:type="dxa"/>
            <w:vAlign w:val="top"/>
          </w:tcPr>
          <w:p w14:paraId="5DCB2CB9">
            <w:pPr>
              <w:rPr>
                <w:rFonts w:ascii="Arial"/>
                <w:color w:val="auto"/>
                <w:sz w:val="21"/>
                <w:highlight w:val="none"/>
              </w:rPr>
            </w:pPr>
          </w:p>
        </w:tc>
        <w:tc>
          <w:tcPr>
            <w:tcW w:w="735" w:type="dxa"/>
            <w:vAlign w:val="top"/>
          </w:tcPr>
          <w:p w14:paraId="36B57442">
            <w:pPr>
              <w:rPr>
                <w:rFonts w:ascii="Arial"/>
                <w:color w:val="auto"/>
                <w:sz w:val="21"/>
                <w:highlight w:val="none"/>
              </w:rPr>
            </w:pPr>
          </w:p>
        </w:tc>
      </w:tr>
      <w:tr w14:paraId="6DCF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0601ED08">
            <w:pPr>
              <w:pStyle w:val="23"/>
              <w:spacing w:before="167" w:line="270" w:lineRule="exact"/>
              <w:ind w:left="184"/>
              <w:rPr>
                <w:color w:val="auto"/>
                <w:highlight w:val="none"/>
              </w:rPr>
            </w:pPr>
            <w:r>
              <w:rPr>
                <w:color w:val="auto"/>
                <w:position w:val="1"/>
                <w:highlight w:val="none"/>
              </w:rPr>
              <w:t>2</w:t>
            </w:r>
          </w:p>
        </w:tc>
        <w:tc>
          <w:tcPr>
            <w:tcW w:w="1628" w:type="dxa"/>
            <w:vAlign w:val="top"/>
          </w:tcPr>
          <w:p w14:paraId="0F0B21A1">
            <w:pPr>
              <w:pStyle w:val="23"/>
              <w:spacing w:before="32" w:line="234"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3CF320F3">
            <w:pPr>
              <w:rPr>
                <w:rFonts w:ascii="Arial"/>
                <w:color w:val="auto"/>
                <w:sz w:val="21"/>
                <w:highlight w:val="none"/>
              </w:rPr>
            </w:pPr>
          </w:p>
        </w:tc>
        <w:tc>
          <w:tcPr>
            <w:tcW w:w="635" w:type="dxa"/>
            <w:vAlign w:val="top"/>
          </w:tcPr>
          <w:p w14:paraId="112784C8">
            <w:pPr>
              <w:rPr>
                <w:rFonts w:ascii="Arial"/>
                <w:color w:val="auto"/>
                <w:sz w:val="21"/>
                <w:highlight w:val="none"/>
              </w:rPr>
            </w:pPr>
          </w:p>
        </w:tc>
        <w:tc>
          <w:tcPr>
            <w:tcW w:w="348" w:type="dxa"/>
            <w:vAlign w:val="top"/>
          </w:tcPr>
          <w:p w14:paraId="599AA4B8">
            <w:pPr>
              <w:rPr>
                <w:rFonts w:ascii="Arial"/>
                <w:color w:val="auto"/>
                <w:sz w:val="21"/>
                <w:highlight w:val="none"/>
              </w:rPr>
            </w:pPr>
          </w:p>
        </w:tc>
        <w:tc>
          <w:tcPr>
            <w:tcW w:w="348" w:type="dxa"/>
            <w:vAlign w:val="top"/>
          </w:tcPr>
          <w:p w14:paraId="79A6A134">
            <w:pPr>
              <w:rPr>
                <w:rFonts w:ascii="Arial"/>
                <w:color w:val="auto"/>
                <w:sz w:val="21"/>
                <w:highlight w:val="none"/>
              </w:rPr>
            </w:pPr>
          </w:p>
        </w:tc>
        <w:tc>
          <w:tcPr>
            <w:tcW w:w="350" w:type="dxa"/>
            <w:vAlign w:val="top"/>
          </w:tcPr>
          <w:p w14:paraId="76E40D1B">
            <w:pPr>
              <w:rPr>
                <w:rFonts w:ascii="Arial"/>
                <w:color w:val="auto"/>
                <w:sz w:val="21"/>
                <w:highlight w:val="none"/>
              </w:rPr>
            </w:pPr>
          </w:p>
        </w:tc>
        <w:tc>
          <w:tcPr>
            <w:tcW w:w="348" w:type="dxa"/>
            <w:vAlign w:val="top"/>
          </w:tcPr>
          <w:p w14:paraId="44C548D2">
            <w:pPr>
              <w:rPr>
                <w:rFonts w:ascii="Arial"/>
                <w:color w:val="auto"/>
                <w:sz w:val="21"/>
                <w:highlight w:val="none"/>
              </w:rPr>
            </w:pPr>
          </w:p>
        </w:tc>
        <w:tc>
          <w:tcPr>
            <w:tcW w:w="349" w:type="dxa"/>
            <w:vAlign w:val="top"/>
          </w:tcPr>
          <w:p w14:paraId="3DBD8D08">
            <w:pPr>
              <w:rPr>
                <w:rFonts w:ascii="Arial"/>
                <w:color w:val="auto"/>
                <w:sz w:val="21"/>
                <w:highlight w:val="none"/>
              </w:rPr>
            </w:pPr>
          </w:p>
        </w:tc>
        <w:tc>
          <w:tcPr>
            <w:tcW w:w="351" w:type="dxa"/>
            <w:vAlign w:val="top"/>
          </w:tcPr>
          <w:p w14:paraId="55197BB8">
            <w:pPr>
              <w:rPr>
                <w:rFonts w:ascii="Arial"/>
                <w:color w:val="auto"/>
                <w:sz w:val="21"/>
                <w:highlight w:val="none"/>
              </w:rPr>
            </w:pPr>
          </w:p>
        </w:tc>
        <w:tc>
          <w:tcPr>
            <w:tcW w:w="349" w:type="dxa"/>
            <w:vAlign w:val="top"/>
          </w:tcPr>
          <w:p w14:paraId="38F624C9">
            <w:pPr>
              <w:rPr>
                <w:rFonts w:ascii="Arial"/>
                <w:color w:val="auto"/>
                <w:sz w:val="21"/>
                <w:highlight w:val="none"/>
              </w:rPr>
            </w:pPr>
          </w:p>
        </w:tc>
        <w:tc>
          <w:tcPr>
            <w:tcW w:w="349" w:type="dxa"/>
            <w:vAlign w:val="top"/>
          </w:tcPr>
          <w:p w14:paraId="5C747B19">
            <w:pPr>
              <w:rPr>
                <w:rFonts w:ascii="Arial"/>
                <w:color w:val="auto"/>
                <w:sz w:val="21"/>
                <w:highlight w:val="none"/>
              </w:rPr>
            </w:pPr>
          </w:p>
        </w:tc>
        <w:tc>
          <w:tcPr>
            <w:tcW w:w="426" w:type="dxa"/>
            <w:vAlign w:val="top"/>
          </w:tcPr>
          <w:p w14:paraId="49CA455B">
            <w:pPr>
              <w:rPr>
                <w:rFonts w:ascii="Arial"/>
                <w:color w:val="auto"/>
                <w:sz w:val="21"/>
                <w:highlight w:val="none"/>
              </w:rPr>
            </w:pPr>
          </w:p>
        </w:tc>
        <w:tc>
          <w:tcPr>
            <w:tcW w:w="426" w:type="dxa"/>
            <w:vAlign w:val="top"/>
          </w:tcPr>
          <w:p w14:paraId="02C1BF48">
            <w:pPr>
              <w:rPr>
                <w:rFonts w:ascii="Arial"/>
                <w:color w:val="auto"/>
                <w:sz w:val="21"/>
                <w:highlight w:val="none"/>
              </w:rPr>
            </w:pPr>
          </w:p>
        </w:tc>
        <w:tc>
          <w:tcPr>
            <w:tcW w:w="426" w:type="dxa"/>
            <w:vAlign w:val="top"/>
          </w:tcPr>
          <w:p w14:paraId="03988CCF">
            <w:pPr>
              <w:rPr>
                <w:rFonts w:ascii="Arial"/>
                <w:color w:val="auto"/>
                <w:sz w:val="21"/>
                <w:highlight w:val="none"/>
              </w:rPr>
            </w:pPr>
          </w:p>
        </w:tc>
        <w:tc>
          <w:tcPr>
            <w:tcW w:w="429" w:type="dxa"/>
            <w:vAlign w:val="top"/>
          </w:tcPr>
          <w:p w14:paraId="4F667698">
            <w:pPr>
              <w:rPr>
                <w:rFonts w:ascii="Arial"/>
                <w:color w:val="auto"/>
                <w:sz w:val="21"/>
                <w:highlight w:val="none"/>
              </w:rPr>
            </w:pPr>
          </w:p>
        </w:tc>
        <w:tc>
          <w:tcPr>
            <w:tcW w:w="526" w:type="dxa"/>
            <w:vAlign w:val="top"/>
          </w:tcPr>
          <w:p w14:paraId="017EA718">
            <w:pPr>
              <w:rPr>
                <w:rFonts w:ascii="Arial"/>
                <w:color w:val="auto"/>
                <w:sz w:val="21"/>
                <w:highlight w:val="none"/>
              </w:rPr>
            </w:pPr>
          </w:p>
        </w:tc>
        <w:tc>
          <w:tcPr>
            <w:tcW w:w="735" w:type="dxa"/>
            <w:vAlign w:val="top"/>
          </w:tcPr>
          <w:p w14:paraId="1144A2D8">
            <w:pPr>
              <w:rPr>
                <w:rFonts w:ascii="Arial"/>
                <w:color w:val="auto"/>
                <w:sz w:val="21"/>
                <w:highlight w:val="none"/>
              </w:rPr>
            </w:pPr>
          </w:p>
        </w:tc>
      </w:tr>
      <w:tr w14:paraId="534C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10DE7A45">
            <w:pPr>
              <w:pStyle w:val="23"/>
              <w:spacing w:before="167" w:line="269" w:lineRule="exact"/>
              <w:ind w:left="185"/>
              <w:rPr>
                <w:color w:val="auto"/>
                <w:highlight w:val="none"/>
              </w:rPr>
            </w:pPr>
            <w:r>
              <w:rPr>
                <w:color w:val="auto"/>
                <w:position w:val="1"/>
                <w:highlight w:val="none"/>
              </w:rPr>
              <w:t>3</w:t>
            </w:r>
          </w:p>
        </w:tc>
        <w:tc>
          <w:tcPr>
            <w:tcW w:w="1628" w:type="dxa"/>
            <w:vAlign w:val="top"/>
          </w:tcPr>
          <w:p w14:paraId="0A1200E1">
            <w:pPr>
              <w:pStyle w:val="23"/>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4CF2B10A">
            <w:pPr>
              <w:rPr>
                <w:rFonts w:ascii="Arial"/>
                <w:color w:val="auto"/>
                <w:sz w:val="21"/>
                <w:highlight w:val="none"/>
              </w:rPr>
            </w:pPr>
          </w:p>
        </w:tc>
        <w:tc>
          <w:tcPr>
            <w:tcW w:w="635" w:type="dxa"/>
            <w:vAlign w:val="top"/>
          </w:tcPr>
          <w:p w14:paraId="4F4F8A45">
            <w:pPr>
              <w:rPr>
                <w:rFonts w:ascii="Arial"/>
                <w:color w:val="auto"/>
                <w:sz w:val="21"/>
                <w:highlight w:val="none"/>
              </w:rPr>
            </w:pPr>
          </w:p>
        </w:tc>
        <w:tc>
          <w:tcPr>
            <w:tcW w:w="348" w:type="dxa"/>
            <w:vAlign w:val="top"/>
          </w:tcPr>
          <w:p w14:paraId="6D2D57BC">
            <w:pPr>
              <w:rPr>
                <w:rFonts w:ascii="Arial"/>
                <w:color w:val="auto"/>
                <w:sz w:val="21"/>
                <w:highlight w:val="none"/>
              </w:rPr>
            </w:pPr>
          </w:p>
        </w:tc>
        <w:tc>
          <w:tcPr>
            <w:tcW w:w="348" w:type="dxa"/>
            <w:vAlign w:val="top"/>
          </w:tcPr>
          <w:p w14:paraId="0B2DE505">
            <w:pPr>
              <w:rPr>
                <w:rFonts w:ascii="Arial"/>
                <w:color w:val="auto"/>
                <w:sz w:val="21"/>
                <w:highlight w:val="none"/>
              </w:rPr>
            </w:pPr>
          </w:p>
        </w:tc>
        <w:tc>
          <w:tcPr>
            <w:tcW w:w="350" w:type="dxa"/>
            <w:vAlign w:val="top"/>
          </w:tcPr>
          <w:p w14:paraId="48941FAE">
            <w:pPr>
              <w:rPr>
                <w:rFonts w:ascii="Arial"/>
                <w:color w:val="auto"/>
                <w:sz w:val="21"/>
                <w:highlight w:val="none"/>
              </w:rPr>
            </w:pPr>
          </w:p>
        </w:tc>
        <w:tc>
          <w:tcPr>
            <w:tcW w:w="348" w:type="dxa"/>
            <w:vAlign w:val="top"/>
          </w:tcPr>
          <w:p w14:paraId="0F3029FD">
            <w:pPr>
              <w:rPr>
                <w:rFonts w:ascii="Arial"/>
                <w:color w:val="auto"/>
                <w:sz w:val="21"/>
                <w:highlight w:val="none"/>
              </w:rPr>
            </w:pPr>
          </w:p>
        </w:tc>
        <w:tc>
          <w:tcPr>
            <w:tcW w:w="349" w:type="dxa"/>
            <w:vAlign w:val="top"/>
          </w:tcPr>
          <w:p w14:paraId="12C97CA0">
            <w:pPr>
              <w:rPr>
                <w:rFonts w:ascii="Arial"/>
                <w:color w:val="auto"/>
                <w:sz w:val="21"/>
                <w:highlight w:val="none"/>
              </w:rPr>
            </w:pPr>
          </w:p>
        </w:tc>
        <w:tc>
          <w:tcPr>
            <w:tcW w:w="351" w:type="dxa"/>
            <w:vAlign w:val="top"/>
          </w:tcPr>
          <w:p w14:paraId="72063E10">
            <w:pPr>
              <w:rPr>
                <w:rFonts w:ascii="Arial"/>
                <w:color w:val="auto"/>
                <w:sz w:val="21"/>
                <w:highlight w:val="none"/>
              </w:rPr>
            </w:pPr>
          </w:p>
        </w:tc>
        <w:tc>
          <w:tcPr>
            <w:tcW w:w="349" w:type="dxa"/>
            <w:vAlign w:val="top"/>
          </w:tcPr>
          <w:p w14:paraId="0CD5D437">
            <w:pPr>
              <w:rPr>
                <w:rFonts w:ascii="Arial"/>
                <w:color w:val="auto"/>
                <w:sz w:val="21"/>
                <w:highlight w:val="none"/>
              </w:rPr>
            </w:pPr>
          </w:p>
        </w:tc>
        <w:tc>
          <w:tcPr>
            <w:tcW w:w="349" w:type="dxa"/>
            <w:vAlign w:val="top"/>
          </w:tcPr>
          <w:p w14:paraId="4F064238">
            <w:pPr>
              <w:rPr>
                <w:rFonts w:ascii="Arial"/>
                <w:color w:val="auto"/>
                <w:sz w:val="21"/>
                <w:highlight w:val="none"/>
              </w:rPr>
            </w:pPr>
          </w:p>
        </w:tc>
        <w:tc>
          <w:tcPr>
            <w:tcW w:w="426" w:type="dxa"/>
            <w:vAlign w:val="top"/>
          </w:tcPr>
          <w:p w14:paraId="28637C68">
            <w:pPr>
              <w:rPr>
                <w:rFonts w:ascii="Arial"/>
                <w:color w:val="auto"/>
                <w:sz w:val="21"/>
                <w:highlight w:val="none"/>
              </w:rPr>
            </w:pPr>
          </w:p>
        </w:tc>
        <w:tc>
          <w:tcPr>
            <w:tcW w:w="426" w:type="dxa"/>
            <w:vAlign w:val="top"/>
          </w:tcPr>
          <w:p w14:paraId="1A41038E">
            <w:pPr>
              <w:rPr>
                <w:rFonts w:ascii="Arial"/>
                <w:color w:val="auto"/>
                <w:sz w:val="21"/>
                <w:highlight w:val="none"/>
              </w:rPr>
            </w:pPr>
          </w:p>
        </w:tc>
        <w:tc>
          <w:tcPr>
            <w:tcW w:w="426" w:type="dxa"/>
            <w:vAlign w:val="top"/>
          </w:tcPr>
          <w:p w14:paraId="73106177">
            <w:pPr>
              <w:rPr>
                <w:rFonts w:ascii="Arial"/>
                <w:color w:val="auto"/>
                <w:sz w:val="21"/>
                <w:highlight w:val="none"/>
              </w:rPr>
            </w:pPr>
          </w:p>
        </w:tc>
        <w:tc>
          <w:tcPr>
            <w:tcW w:w="429" w:type="dxa"/>
            <w:vAlign w:val="top"/>
          </w:tcPr>
          <w:p w14:paraId="7526881B">
            <w:pPr>
              <w:rPr>
                <w:rFonts w:ascii="Arial"/>
                <w:color w:val="auto"/>
                <w:sz w:val="21"/>
                <w:highlight w:val="none"/>
              </w:rPr>
            </w:pPr>
          </w:p>
        </w:tc>
        <w:tc>
          <w:tcPr>
            <w:tcW w:w="526" w:type="dxa"/>
            <w:vAlign w:val="top"/>
          </w:tcPr>
          <w:p w14:paraId="79F2DCCE">
            <w:pPr>
              <w:rPr>
                <w:rFonts w:ascii="Arial"/>
                <w:color w:val="auto"/>
                <w:sz w:val="21"/>
                <w:highlight w:val="none"/>
              </w:rPr>
            </w:pPr>
          </w:p>
        </w:tc>
        <w:tc>
          <w:tcPr>
            <w:tcW w:w="735" w:type="dxa"/>
            <w:vAlign w:val="top"/>
          </w:tcPr>
          <w:p w14:paraId="7ABD9B5B">
            <w:pPr>
              <w:rPr>
                <w:rFonts w:ascii="Arial"/>
                <w:color w:val="auto"/>
                <w:sz w:val="21"/>
                <w:highlight w:val="none"/>
              </w:rPr>
            </w:pPr>
          </w:p>
        </w:tc>
      </w:tr>
      <w:tr w14:paraId="4E066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5AA5A74F">
            <w:pPr>
              <w:pStyle w:val="23"/>
              <w:spacing w:before="168" w:line="270" w:lineRule="exact"/>
              <w:ind w:left="180"/>
              <w:rPr>
                <w:color w:val="auto"/>
                <w:highlight w:val="none"/>
              </w:rPr>
            </w:pPr>
            <w:r>
              <w:rPr>
                <w:color w:val="auto"/>
                <w:position w:val="1"/>
                <w:highlight w:val="none"/>
              </w:rPr>
              <w:t>4</w:t>
            </w:r>
          </w:p>
        </w:tc>
        <w:tc>
          <w:tcPr>
            <w:tcW w:w="1628" w:type="dxa"/>
            <w:vAlign w:val="top"/>
          </w:tcPr>
          <w:p w14:paraId="52FD9844">
            <w:pPr>
              <w:pStyle w:val="23"/>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6F16781D">
            <w:pPr>
              <w:rPr>
                <w:rFonts w:ascii="Arial"/>
                <w:color w:val="auto"/>
                <w:sz w:val="21"/>
                <w:highlight w:val="none"/>
              </w:rPr>
            </w:pPr>
          </w:p>
        </w:tc>
        <w:tc>
          <w:tcPr>
            <w:tcW w:w="635" w:type="dxa"/>
            <w:vAlign w:val="top"/>
          </w:tcPr>
          <w:p w14:paraId="7F75B9BA">
            <w:pPr>
              <w:rPr>
                <w:rFonts w:ascii="Arial"/>
                <w:color w:val="auto"/>
                <w:sz w:val="21"/>
                <w:highlight w:val="none"/>
              </w:rPr>
            </w:pPr>
          </w:p>
        </w:tc>
        <w:tc>
          <w:tcPr>
            <w:tcW w:w="348" w:type="dxa"/>
            <w:vAlign w:val="top"/>
          </w:tcPr>
          <w:p w14:paraId="0075F0AF">
            <w:pPr>
              <w:rPr>
                <w:rFonts w:ascii="Arial"/>
                <w:color w:val="auto"/>
                <w:sz w:val="21"/>
                <w:highlight w:val="none"/>
              </w:rPr>
            </w:pPr>
          </w:p>
        </w:tc>
        <w:tc>
          <w:tcPr>
            <w:tcW w:w="348" w:type="dxa"/>
            <w:vAlign w:val="top"/>
          </w:tcPr>
          <w:p w14:paraId="0AEB7509">
            <w:pPr>
              <w:rPr>
                <w:rFonts w:ascii="Arial"/>
                <w:color w:val="auto"/>
                <w:sz w:val="21"/>
                <w:highlight w:val="none"/>
              </w:rPr>
            </w:pPr>
          </w:p>
        </w:tc>
        <w:tc>
          <w:tcPr>
            <w:tcW w:w="350" w:type="dxa"/>
            <w:vAlign w:val="top"/>
          </w:tcPr>
          <w:p w14:paraId="78B64D1F">
            <w:pPr>
              <w:rPr>
                <w:rFonts w:ascii="Arial"/>
                <w:color w:val="auto"/>
                <w:sz w:val="21"/>
                <w:highlight w:val="none"/>
              </w:rPr>
            </w:pPr>
          </w:p>
        </w:tc>
        <w:tc>
          <w:tcPr>
            <w:tcW w:w="348" w:type="dxa"/>
            <w:vAlign w:val="top"/>
          </w:tcPr>
          <w:p w14:paraId="1B0EBBCC">
            <w:pPr>
              <w:rPr>
                <w:rFonts w:ascii="Arial"/>
                <w:color w:val="auto"/>
                <w:sz w:val="21"/>
                <w:highlight w:val="none"/>
              </w:rPr>
            </w:pPr>
          </w:p>
        </w:tc>
        <w:tc>
          <w:tcPr>
            <w:tcW w:w="349" w:type="dxa"/>
            <w:vAlign w:val="top"/>
          </w:tcPr>
          <w:p w14:paraId="730D7F7A">
            <w:pPr>
              <w:rPr>
                <w:rFonts w:ascii="Arial"/>
                <w:color w:val="auto"/>
                <w:sz w:val="21"/>
                <w:highlight w:val="none"/>
              </w:rPr>
            </w:pPr>
          </w:p>
        </w:tc>
        <w:tc>
          <w:tcPr>
            <w:tcW w:w="351" w:type="dxa"/>
            <w:vAlign w:val="top"/>
          </w:tcPr>
          <w:p w14:paraId="3FEE1726">
            <w:pPr>
              <w:rPr>
                <w:rFonts w:ascii="Arial"/>
                <w:color w:val="auto"/>
                <w:sz w:val="21"/>
                <w:highlight w:val="none"/>
              </w:rPr>
            </w:pPr>
          </w:p>
        </w:tc>
        <w:tc>
          <w:tcPr>
            <w:tcW w:w="349" w:type="dxa"/>
            <w:vAlign w:val="top"/>
          </w:tcPr>
          <w:p w14:paraId="6C6389ED">
            <w:pPr>
              <w:rPr>
                <w:rFonts w:ascii="Arial"/>
                <w:color w:val="auto"/>
                <w:sz w:val="21"/>
                <w:highlight w:val="none"/>
              </w:rPr>
            </w:pPr>
          </w:p>
        </w:tc>
        <w:tc>
          <w:tcPr>
            <w:tcW w:w="349" w:type="dxa"/>
            <w:vAlign w:val="top"/>
          </w:tcPr>
          <w:p w14:paraId="5DBE1475">
            <w:pPr>
              <w:rPr>
                <w:rFonts w:ascii="Arial"/>
                <w:color w:val="auto"/>
                <w:sz w:val="21"/>
                <w:highlight w:val="none"/>
              </w:rPr>
            </w:pPr>
          </w:p>
        </w:tc>
        <w:tc>
          <w:tcPr>
            <w:tcW w:w="426" w:type="dxa"/>
            <w:vAlign w:val="top"/>
          </w:tcPr>
          <w:p w14:paraId="295C7E3B">
            <w:pPr>
              <w:rPr>
                <w:rFonts w:ascii="Arial"/>
                <w:color w:val="auto"/>
                <w:sz w:val="21"/>
                <w:highlight w:val="none"/>
              </w:rPr>
            </w:pPr>
          </w:p>
        </w:tc>
        <w:tc>
          <w:tcPr>
            <w:tcW w:w="426" w:type="dxa"/>
            <w:vAlign w:val="top"/>
          </w:tcPr>
          <w:p w14:paraId="363ACE33">
            <w:pPr>
              <w:rPr>
                <w:rFonts w:ascii="Arial"/>
                <w:color w:val="auto"/>
                <w:sz w:val="21"/>
                <w:highlight w:val="none"/>
              </w:rPr>
            </w:pPr>
          </w:p>
        </w:tc>
        <w:tc>
          <w:tcPr>
            <w:tcW w:w="426" w:type="dxa"/>
            <w:vAlign w:val="top"/>
          </w:tcPr>
          <w:p w14:paraId="594508B8">
            <w:pPr>
              <w:rPr>
                <w:rFonts w:ascii="Arial"/>
                <w:color w:val="auto"/>
                <w:sz w:val="21"/>
                <w:highlight w:val="none"/>
              </w:rPr>
            </w:pPr>
          </w:p>
        </w:tc>
        <w:tc>
          <w:tcPr>
            <w:tcW w:w="429" w:type="dxa"/>
            <w:vAlign w:val="top"/>
          </w:tcPr>
          <w:p w14:paraId="22761D51">
            <w:pPr>
              <w:rPr>
                <w:rFonts w:ascii="Arial"/>
                <w:color w:val="auto"/>
                <w:sz w:val="21"/>
                <w:highlight w:val="none"/>
              </w:rPr>
            </w:pPr>
          </w:p>
        </w:tc>
        <w:tc>
          <w:tcPr>
            <w:tcW w:w="526" w:type="dxa"/>
            <w:vAlign w:val="top"/>
          </w:tcPr>
          <w:p w14:paraId="278282D2">
            <w:pPr>
              <w:rPr>
                <w:rFonts w:ascii="Arial"/>
                <w:color w:val="auto"/>
                <w:sz w:val="21"/>
                <w:highlight w:val="none"/>
              </w:rPr>
            </w:pPr>
          </w:p>
        </w:tc>
        <w:tc>
          <w:tcPr>
            <w:tcW w:w="735" w:type="dxa"/>
            <w:vAlign w:val="top"/>
          </w:tcPr>
          <w:p w14:paraId="4BB9F8AA">
            <w:pPr>
              <w:rPr>
                <w:rFonts w:ascii="Arial"/>
                <w:color w:val="auto"/>
                <w:sz w:val="21"/>
                <w:highlight w:val="none"/>
              </w:rPr>
            </w:pPr>
          </w:p>
        </w:tc>
      </w:tr>
      <w:tr w14:paraId="3D38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58" w:type="dxa"/>
            <w:vAlign w:val="top"/>
          </w:tcPr>
          <w:p w14:paraId="7528C1EA">
            <w:pPr>
              <w:pStyle w:val="23"/>
              <w:spacing w:before="168" w:line="269" w:lineRule="exact"/>
              <w:ind w:left="185"/>
              <w:rPr>
                <w:color w:val="auto"/>
                <w:highlight w:val="none"/>
              </w:rPr>
            </w:pPr>
            <w:r>
              <w:rPr>
                <w:color w:val="auto"/>
                <w:position w:val="1"/>
                <w:highlight w:val="none"/>
              </w:rPr>
              <w:t>5</w:t>
            </w:r>
          </w:p>
        </w:tc>
        <w:tc>
          <w:tcPr>
            <w:tcW w:w="1628" w:type="dxa"/>
            <w:vAlign w:val="top"/>
          </w:tcPr>
          <w:p w14:paraId="2319F0FD">
            <w:pPr>
              <w:pStyle w:val="23"/>
              <w:spacing w:before="35" w:line="232"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1F3F784A">
            <w:pPr>
              <w:rPr>
                <w:rFonts w:ascii="Arial"/>
                <w:color w:val="auto"/>
                <w:sz w:val="21"/>
                <w:highlight w:val="none"/>
              </w:rPr>
            </w:pPr>
          </w:p>
        </w:tc>
        <w:tc>
          <w:tcPr>
            <w:tcW w:w="635" w:type="dxa"/>
            <w:vAlign w:val="top"/>
          </w:tcPr>
          <w:p w14:paraId="5BF00CE5">
            <w:pPr>
              <w:rPr>
                <w:rFonts w:ascii="Arial"/>
                <w:color w:val="auto"/>
                <w:sz w:val="21"/>
                <w:highlight w:val="none"/>
              </w:rPr>
            </w:pPr>
          </w:p>
        </w:tc>
        <w:tc>
          <w:tcPr>
            <w:tcW w:w="348" w:type="dxa"/>
            <w:vAlign w:val="top"/>
          </w:tcPr>
          <w:p w14:paraId="1C7E7090">
            <w:pPr>
              <w:rPr>
                <w:rFonts w:ascii="Arial"/>
                <w:color w:val="auto"/>
                <w:sz w:val="21"/>
                <w:highlight w:val="none"/>
              </w:rPr>
            </w:pPr>
          </w:p>
        </w:tc>
        <w:tc>
          <w:tcPr>
            <w:tcW w:w="348" w:type="dxa"/>
            <w:vAlign w:val="top"/>
          </w:tcPr>
          <w:p w14:paraId="0211E718">
            <w:pPr>
              <w:rPr>
                <w:rFonts w:ascii="Arial"/>
                <w:color w:val="auto"/>
                <w:sz w:val="21"/>
                <w:highlight w:val="none"/>
              </w:rPr>
            </w:pPr>
          </w:p>
        </w:tc>
        <w:tc>
          <w:tcPr>
            <w:tcW w:w="350" w:type="dxa"/>
            <w:vAlign w:val="top"/>
          </w:tcPr>
          <w:p w14:paraId="7F4ABF35">
            <w:pPr>
              <w:rPr>
                <w:rFonts w:ascii="Arial"/>
                <w:color w:val="auto"/>
                <w:sz w:val="21"/>
                <w:highlight w:val="none"/>
              </w:rPr>
            </w:pPr>
          </w:p>
        </w:tc>
        <w:tc>
          <w:tcPr>
            <w:tcW w:w="348" w:type="dxa"/>
            <w:vAlign w:val="top"/>
          </w:tcPr>
          <w:p w14:paraId="7D45E375">
            <w:pPr>
              <w:rPr>
                <w:rFonts w:ascii="Arial"/>
                <w:color w:val="auto"/>
                <w:sz w:val="21"/>
                <w:highlight w:val="none"/>
              </w:rPr>
            </w:pPr>
          </w:p>
        </w:tc>
        <w:tc>
          <w:tcPr>
            <w:tcW w:w="349" w:type="dxa"/>
            <w:vAlign w:val="top"/>
          </w:tcPr>
          <w:p w14:paraId="51D400BA">
            <w:pPr>
              <w:rPr>
                <w:rFonts w:ascii="Arial"/>
                <w:color w:val="auto"/>
                <w:sz w:val="21"/>
                <w:highlight w:val="none"/>
              </w:rPr>
            </w:pPr>
          </w:p>
        </w:tc>
        <w:tc>
          <w:tcPr>
            <w:tcW w:w="351" w:type="dxa"/>
            <w:vAlign w:val="top"/>
          </w:tcPr>
          <w:p w14:paraId="3EEC9FC3">
            <w:pPr>
              <w:rPr>
                <w:rFonts w:ascii="Arial"/>
                <w:color w:val="auto"/>
                <w:sz w:val="21"/>
                <w:highlight w:val="none"/>
              </w:rPr>
            </w:pPr>
          </w:p>
        </w:tc>
        <w:tc>
          <w:tcPr>
            <w:tcW w:w="349" w:type="dxa"/>
            <w:vAlign w:val="top"/>
          </w:tcPr>
          <w:p w14:paraId="3EAD0DAE">
            <w:pPr>
              <w:rPr>
                <w:rFonts w:ascii="Arial"/>
                <w:color w:val="auto"/>
                <w:sz w:val="21"/>
                <w:highlight w:val="none"/>
              </w:rPr>
            </w:pPr>
          </w:p>
        </w:tc>
        <w:tc>
          <w:tcPr>
            <w:tcW w:w="349" w:type="dxa"/>
            <w:vAlign w:val="top"/>
          </w:tcPr>
          <w:p w14:paraId="797B5774">
            <w:pPr>
              <w:rPr>
                <w:rFonts w:ascii="Arial"/>
                <w:color w:val="auto"/>
                <w:sz w:val="21"/>
                <w:highlight w:val="none"/>
              </w:rPr>
            </w:pPr>
          </w:p>
        </w:tc>
        <w:tc>
          <w:tcPr>
            <w:tcW w:w="426" w:type="dxa"/>
            <w:vAlign w:val="top"/>
          </w:tcPr>
          <w:p w14:paraId="1E740A37">
            <w:pPr>
              <w:rPr>
                <w:rFonts w:ascii="Arial"/>
                <w:color w:val="auto"/>
                <w:sz w:val="21"/>
                <w:highlight w:val="none"/>
              </w:rPr>
            </w:pPr>
          </w:p>
        </w:tc>
        <w:tc>
          <w:tcPr>
            <w:tcW w:w="426" w:type="dxa"/>
            <w:vAlign w:val="top"/>
          </w:tcPr>
          <w:p w14:paraId="5A514066">
            <w:pPr>
              <w:rPr>
                <w:rFonts w:ascii="Arial"/>
                <w:color w:val="auto"/>
                <w:sz w:val="21"/>
                <w:highlight w:val="none"/>
              </w:rPr>
            </w:pPr>
          </w:p>
        </w:tc>
        <w:tc>
          <w:tcPr>
            <w:tcW w:w="426" w:type="dxa"/>
            <w:vAlign w:val="top"/>
          </w:tcPr>
          <w:p w14:paraId="77B1D383">
            <w:pPr>
              <w:rPr>
                <w:rFonts w:ascii="Arial"/>
                <w:color w:val="auto"/>
                <w:sz w:val="21"/>
                <w:highlight w:val="none"/>
              </w:rPr>
            </w:pPr>
          </w:p>
        </w:tc>
        <w:tc>
          <w:tcPr>
            <w:tcW w:w="429" w:type="dxa"/>
            <w:vAlign w:val="top"/>
          </w:tcPr>
          <w:p w14:paraId="11637D1C">
            <w:pPr>
              <w:rPr>
                <w:rFonts w:ascii="Arial"/>
                <w:color w:val="auto"/>
                <w:sz w:val="21"/>
                <w:highlight w:val="none"/>
              </w:rPr>
            </w:pPr>
          </w:p>
        </w:tc>
        <w:tc>
          <w:tcPr>
            <w:tcW w:w="526" w:type="dxa"/>
            <w:vAlign w:val="top"/>
          </w:tcPr>
          <w:p w14:paraId="72D6C673">
            <w:pPr>
              <w:rPr>
                <w:rFonts w:ascii="Arial"/>
                <w:color w:val="auto"/>
                <w:sz w:val="21"/>
                <w:highlight w:val="none"/>
              </w:rPr>
            </w:pPr>
          </w:p>
        </w:tc>
        <w:tc>
          <w:tcPr>
            <w:tcW w:w="735" w:type="dxa"/>
            <w:vAlign w:val="top"/>
          </w:tcPr>
          <w:p w14:paraId="223BD8A4">
            <w:pPr>
              <w:rPr>
                <w:rFonts w:ascii="Arial"/>
                <w:color w:val="auto"/>
                <w:sz w:val="21"/>
                <w:highlight w:val="none"/>
              </w:rPr>
            </w:pPr>
          </w:p>
        </w:tc>
      </w:tr>
      <w:tr w14:paraId="7C45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04B6FFDE">
            <w:pPr>
              <w:pStyle w:val="23"/>
              <w:spacing w:before="172" w:line="268" w:lineRule="exact"/>
              <w:ind w:left="183"/>
              <w:rPr>
                <w:color w:val="auto"/>
                <w:highlight w:val="none"/>
              </w:rPr>
            </w:pPr>
            <w:r>
              <w:rPr>
                <w:color w:val="auto"/>
                <w:position w:val="1"/>
                <w:highlight w:val="none"/>
              </w:rPr>
              <w:t>6</w:t>
            </w:r>
          </w:p>
        </w:tc>
        <w:tc>
          <w:tcPr>
            <w:tcW w:w="1628" w:type="dxa"/>
            <w:vAlign w:val="top"/>
          </w:tcPr>
          <w:p w14:paraId="1D5ADBF0">
            <w:pPr>
              <w:pStyle w:val="23"/>
              <w:spacing w:before="35"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28748032">
            <w:pPr>
              <w:rPr>
                <w:rFonts w:ascii="Arial"/>
                <w:color w:val="auto"/>
                <w:sz w:val="21"/>
                <w:highlight w:val="none"/>
              </w:rPr>
            </w:pPr>
          </w:p>
        </w:tc>
        <w:tc>
          <w:tcPr>
            <w:tcW w:w="635" w:type="dxa"/>
            <w:vAlign w:val="top"/>
          </w:tcPr>
          <w:p w14:paraId="649F8277">
            <w:pPr>
              <w:rPr>
                <w:rFonts w:ascii="Arial"/>
                <w:color w:val="auto"/>
                <w:sz w:val="21"/>
                <w:highlight w:val="none"/>
              </w:rPr>
            </w:pPr>
          </w:p>
        </w:tc>
        <w:tc>
          <w:tcPr>
            <w:tcW w:w="348" w:type="dxa"/>
            <w:vAlign w:val="top"/>
          </w:tcPr>
          <w:p w14:paraId="211DFD79">
            <w:pPr>
              <w:rPr>
                <w:rFonts w:ascii="Arial"/>
                <w:color w:val="auto"/>
                <w:sz w:val="21"/>
                <w:highlight w:val="none"/>
              </w:rPr>
            </w:pPr>
          </w:p>
        </w:tc>
        <w:tc>
          <w:tcPr>
            <w:tcW w:w="348" w:type="dxa"/>
            <w:vAlign w:val="top"/>
          </w:tcPr>
          <w:p w14:paraId="3C33EE61">
            <w:pPr>
              <w:rPr>
                <w:rFonts w:ascii="Arial"/>
                <w:color w:val="auto"/>
                <w:sz w:val="21"/>
                <w:highlight w:val="none"/>
              </w:rPr>
            </w:pPr>
          </w:p>
        </w:tc>
        <w:tc>
          <w:tcPr>
            <w:tcW w:w="350" w:type="dxa"/>
            <w:vAlign w:val="top"/>
          </w:tcPr>
          <w:p w14:paraId="0DDC7262">
            <w:pPr>
              <w:rPr>
                <w:rFonts w:ascii="Arial"/>
                <w:color w:val="auto"/>
                <w:sz w:val="21"/>
                <w:highlight w:val="none"/>
              </w:rPr>
            </w:pPr>
          </w:p>
        </w:tc>
        <w:tc>
          <w:tcPr>
            <w:tcW w:w="348" w:type="dxa"/>
            <w:vAlign w:val="top"/>
          </w:tcPr>
          <w:p w14:paraId="14856295">
            <w:pPr>
              <w:rPr>
                <w:rFonts w:ascii="Arial"/>
                <w:color w:val="auto"/>
                <w:sz w:val="21"/>
                <w:highlight w:val="none"/>
              </w:rPr>
            </w:pPr>
          </w:p>
        </w:tc>
        <w:tc>
          <w:tcPr>
            <w:tcW w:w="349" w:type="dxa"/>
            <w:vAlign w:val="top"/>
          </w:tcPr>
          <w:p w14:paraId="21AD169B">
            <w:pPr>
              <w:rPr>
                <w:rFonts w:ascii="Arial"/>
                <w:color w:val="auto"/>
                <w:sz w:val="21"/>
                <w:highlight w:val="none"/>
              </w:rPr>
            </w:pPr>
          </w:p>
        </w:tc>
        <w:tc>
          <w:tcPr>
            <w:tcW w:w="351" w:type="dxa"/>
            <w:vAlign w:val="top"/>
          </w:tcPr>
          <w:p w14:paraId="3E4BB1A7">
            <w:pPr>
              <w:rPr>
                <w:rFonts w:ascii="Arial"/>
                <w:color w:val="auto"/>
                <w:sz w:val="21"/>
                <w:highlight w:val="none"/>
              </w:rPr>
            </w:pPr>
          </w:p>
        </w:tc>
        <w:tc>
          <w:tcPr>
            <w:tcW w:w="349" w:type="dxa"/>
            <w:vAlign w:val="top"/>
          </w:tcPr>
          <w:p w14:paraId="034FF64E">
            <w:pPr>
              <w:rPr>
                <w:rFonts w:ascii="Arial"/>
                <w:color w:val="auto"/>
                <w:sz w:val="21"/>
                <w:highlight w:val="none"/>
              </w:rPr>
            </w:pPr>
          </w:p>
        </w:tc>
        <w:tc>
          <w:tcPr>
            <w:tcW w:w="349" w:type="dxa"/>
            <w:vAlign w:val="top"/>
          </w:tcPr>
          <w:p w14:paraId="7A75401A">
            <w:pPr>
              <w:rPr>
                <w:rFonts w:ascii="Arial"/>
                <w:color w:val="auto"/>
                <w:sz w:val="21"/>
                <w:highlight w:val="none"/>
              </w:rPr>
            </w:pPr>
          </w:p>
        </w:tc>
        <w:tc>
          <w:tcPr>
            <w:tcW w:w="426" w:type="dxa"/>
            <w:vAlign w:val="top"/>
          </w:tcPr>
          <w:p w14:paraId="228A6A80">
            <w:pPr>
              <w:rPr>
                <w:rFonts w:ascii="Arial"/>
                <w:color w:val="auto"/>
                <w:sz w:val="21"/>
                <w:highlight w:val="none"/>
              </w:rPr>
            </w:pPr>
          </w:p>
        </w:tc>
        <w:tc>
          <w:tcPr>
            <w:tcW w:w="426" w:type="dxa"/>
            <w:vAlign w:val="top"/>
          </w:tcPr>
          <w:p w14:paraId="2344605E">
            <w:pPr>
              <w:rPr>
                <w:rFonts w:ascii="Arial"/>
                <w:color w:val="auto"/>
                <w:sz w:val="21"/>
                <w:highlight w:val="none"/>
              </w:rPr>
            </w:pPr>
          </w:p>
        </w:tc>
        <w:tc>
          <w:tcPr>
            <w:tcW w:w="426" w:type="dxa"/>
            <w:vAlign w:val="top"/>
          </w:tcPr>
          <w:p w14:paraId="6B6AC099">
            <w:pPr>
              <w:rPr>
                <w:rFonts w:ascii="Arial"/>
                <w:color w:val="auto"/>
                <w:sz w:val="21"/>
                <w:highlight w:val="none"/>
              </w:rPr>
            </w:pPr>
          </w:p>
        </w:tc>
        <w:tc>
          <w:tcPr>
            <w:tcW w:w="429" w:type="dxa"/>
            <w:vAlign w:val="top"/>
          </w:tcPr>
          <w:p w14:paraId="46013440">
            <w:pPr>
              <w:rPr>
                <w:rFonts w:ascii="Arial"/>
                <w:color w:val="auto"/>
                <w:sz w:val="21"/>
                <w:highlight w:val="none"/>
              </w:rPr>
            </w:pPr>
          </w:p>
        </w:tc>
        <w:tc>
          <w:tcPr>
            <w:tcW w:w="526" w:type="dxa"/>
            <w:vAlign w:val="top"/>
          </w:tcPr>
          <w:p w14:paraId="457259EE">
            <w:pPr>
              <w:rPr>
                <w:rFonts w:ascii="Arial"/>
                <w:color w:val="auto"/>
                <w:sz w:val="21"/>
                <w:highlight w:val="none"/>
              </w:rPr>
            </w:pPr>
          </w:p>
        </w:tc>
        <w:tc>
          <w:tcPr>
            <w:tcW w:w="735" w:type="dxa"/>
            <w:vAlign w:val="top"/>
          </w:tcPr>
          <w:p w14:paraId="3679380C">
            <w:pPr>
              <w:rPr>
                <w:rFonts w:ascii="Arial"/>
                <w:color w:val="auto"/>
                <w:sz w:val="21"/>
                <w:highlight w:val="none"/>
              </w:rPr>
            </w:pPr>
          </w:p>
        </w:tc>
      </w:tr>
      <w:tr w14:paraId="7F57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5464C659">
            <w:pPr>
              <w:pStyle w:val="23"/>
              <w:spacing w:before="169" w:line="268" w:lineRule="exact"/>
              <w:ind w:left="186"/>
              <w:rPr>
                <w:color w:val="auto"/>
                <w:highlight w:val="none"/>
              </w:rPr>
            </w:pPr>
            <w:r>
              <w:rPr>
                <w:color w:val="auto"/>
                <w:position w:val="1"/>
                <w:highlight w:val="none"/>
              </w:rPr>
              <w:t>7</w:t>
            </w:r>
          </w:p>
        </w:tc>
        <w:tc>
          <w:tcPr>
            <w:tcW w:w="1628" w:type="dxa"/>
            <w:vAlign w:val="top"/>
          </w:tcPr>
          <w:p w14:paraId="1CBCF394">
            <w:pPr>
              <w:pStyle w:val="23"/>
              <w:spacing w:before="35"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0C8AF113">
            <w:pPr>
              <w:rPr>
                <w:rFonts w:ascii="Arial"/>
                <w:color w:val="auto"/>
                <w:sz w:val="21"/>
                <w:highlight w:val="none"/>
              </w:rPr>
            </w:pPr>
          </w:p>
        </w:tc>
        <w:tc>
          <w:tcPr>
            <w:tcW w:w="635" w:type="dxa"/>
            <w:vAlign w:val="top"/>
          </w:tcPr>
          <w:p w14:paraId="1D645DCC">
            <w:pPr>
              <w:rPr>
                <w:rFonts w:ascii="Arial"/>
                <w:color w:val="auto"/>
                <w:sz w:val="21"/>
                <w:highlight w:val="none"/>
              </w:rPr>
            </w:pPr>
          </w:p>
        </w:tc>
        <w:tc>
          <w:tcPr>
            <w:tcW w:w="348" w:type="dxa"/>
            <w:vAlign w:val="top"/>
          </w:tcPr>
          <w:p w14:paraId="1DB7E847">
            <w:pPr>
              <w:rPr>
                <w:rFonts w:ascii="Arial"/>
                <w:color w:val="auto"/>
                <w:sz w:val="21"/>
                <w:highlight w:val="none"/>
              </w:rPr>
            </w:pPr>
          </w:p>
        </w:tc>
        <w:tc>
          <w:tcPr>
            <w:tcW w:w="348" w:type="dxa"/>
            <w:vAlign w:val="top"/>
          </w:tcPr>
          <w:p w14:paraId="1A707083">
            <w:pPr>
              <w:rPr>
                <w:rFonts w:ascii="Arial"/>
                <w:color w:val="auto"/>
                <w:sz w:val="21"/>
                <w:highlight w:val="none"/>
              </w:rPr>
            </w:pPr>
          </w:p>
        </w:tc>
        <w:tc>
          <w:tcPr>
            <w:tcW w:w="350" w:type="dxa"/>
            <w:vAlign w:val="top"/>
          </w:tcPr>
          <w:p w14:paraId="77AE5C9F">
            <w:pPr>
              <w:rPr>
                <w:rFonts w:ascii="Arial"/>
                <w:color w:val="auto"/>
                <w:sz w:val="21"/>
                <w:highlight w:val="none"/>
              </w:rPr>
            </w:pPr>
          </w:p>
        </w:tc>
        <w:tc>
          <w:tcPr>
            <w:tcW w:w="348" w:type="dxa"/>
            <w:vAlign w:val="top"/>
          </w:tcPr>
          <w:p w14:paraId="0A7E345F">
            <w:pPr>
              <w:rPr>
                <w:rFonts w:ascii="Arial"/>
                <w:color w:val="auto"/>
                <w:sz w:val="21"/>
                <w:highlight w:val="none"/>
              </w:rPr>
            </w:pPr>
          </w:p>
        </w:tc>
        <w:tc>
          <w:tcPr>
            <w:tcW w:w="349" w:type="dxa"/>
            <w:vAlign w:val="top"/>
          </w:tcPr>
          <w:p w14:paraId="451353A6">
            <w:pPr>
              <w:rPr>
                <w:rFonts w:ascii="Arial"/>
                <w:color w:val="auto"/>
                <w:sz w:val="21"/>
                <w:highlight w:val="none"/>
              </w:rPr>
            </w:pPr>
          </w:p>
        </w:tc>
        <w:tc>
          <w:tcPr>
            <w:tcW w:w="351" w:type="dxa"/>
            <w:vAlign w:val="top"/>
          </w:tcPr>
          <w:p w14:paraId="5EBC4729">
            <w:pPr>
              <w:rPr>
                <w:rFonts w:ascii="Arial"/>
                <w:color w:val="auto"/>
                <w:sz w:val="21"/>
                <w:highlight w:val="none"/>
              </w:rPr>
            </w:pPr>
          </w:p>
        </w:tc>
        <w:tc>
          <w:tcPr>
            <w:tcW w:w="349" w:type="dxa"/>
            <w:vAlign w:val="top"/>
          </w:tcPr>
          <w:p w14:paraId="5770067B">
            <w:pPr>
              <w:rPr>
                <w:rFonts w:ascii="Arial"/>
                <w:color w:val="auto"/>
                <w:sz w:val="21"/>
                <w:highlight w:val="none"/>
              </w:rPr>
            </w:pPr>
          </w:p>
        </w:tc>
        <w:tc>
          <w:tcPr>
            <w:tcW w:w="349" w:type="dxa"/>
            <w:vAlign w:val="top"/>
          </w:tcPr>
          <w:p w14:paraId="6232AFE1">
            <w:pPr>
              <w:rPr>
                <w:rFonts w:ascii="Arial"/>
                <w:color w:val="auto"/>
                <w:sz w:val="21"/>
                <w:highlight w:val="none"/>
              </w:rPr>
            </w:pPr>
          </w:p>
        </w:tc>
        <w:tc>
          <w:tcPr>
            <w:tcW w:w="426" w:type="dxa"/>
            <w:vAlign w:val="top"/>
          </w:tcPr>
          <w:p w14:paraId="38053823">
            <w:pPr>
              <w:rPr>
                <w:rFonts w:ascii="Arial"/>
                <w:color w:val="auto"/>
                <w:sz w:val="21"/>
                <w:highlight w:val="none"/>
              </w:rPr>
            </w:pPr>
          </w:p>
        </w:tc>
        <w:tc>
          <w:tcPr>
            <w:tcW w:w="426" w:type="dxa"/>
            <w:vAlign w:val="top"/>
          </w:tcPr>
          <w:p w14:paraId="49D46B2F">
            <w:pPr>
              <w:rPr>
                <w:rFonts w:ascii="Arial"/>
                <w:color w:val="auto"/>
                <w:sz w:val="21"/>
                <w:highlight w:val="none"/>
              </w:rPr>
            </w:pPr>
          </w:p>
        </w:tc>
        <w:tc>
          <w:tcPr>
            <w:tcW w:w="426" w:type="dxa"/>
            <w:vAlign w:val="top"/>
          </w:tcPr>
          <w:p w14:paraId="687DE19C">
            <w:pPr>
              <w:rPr>
                <w:rFonts w:ascii="Arial"/>
                <w:color w:val="auto"/>
                <w:sz w:val="21"/>
                <w:highlight w:val="none"/>
              </w:rPr>
            </w:pPr>
          </w:p>
        </w:tc>
        <w:tc>
          <w:tcPr>
            <w:tcW w:w="429" w:type="dxa"/>
            <w:vAlign w:val="top"/>
          </w:tcPr>
          <w:p w14:paraId="2F31E7FE">
            <w:pPr>
              <w:rPr>
                <w:rFonts w:ascii="Arial"/>
                <w:color w:val="auto"/>
                <w:sz w:val="21"/>
                <w:highlight w:val="none"/>
              </w:rPr>
            </w:pPr>
          </w:p>
        </w:tc>
        <w:tc>
          <w:tcPr>
            <w:tcW w:w="526" w:type="dxa"/>
            <w:vAlign w:val="top"/>
          </w:tcPr>
          <w:p w14:paraId="449E361F">
            <w:pPr>
              <w:rPr>
                <w:rFonts w:ascii="Arial"/>
                <w:color w:val="auto"/>
                <w:sz w:val="21"/>
                <w:highlight w:val="none"/>
              </w:rPr>
            </w:pPr>
          </w:p>
        </w:tc>
        <w:tc>
          <w:tcPr>
            <w:tcW w:w="735" w:type="dxa"/>
            <w:vAlign w:val="top"/>
          </w:tcPr>
          <w:p w14:paraId="2F69FB60">
            <w:pPr>
              <w:rPr>
                <w:rFonts w:ascii="Arial"/>
                <w:color w:val="auto"/>
                <w:sz w:val="21"/>
                <w:highlight w:val="none"/>
              </w:rPr>
            </w:pPr>
          </w:p>
        </w:tc>
      </w:tr>
      <w:tr w14:paraId="0121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6A90E575">
            <w:pPr>
              <w:pStyle w:val="23"/>
              <w:spacing w:before="171" w:line="268" w:lineRule="exact"/>
              <w:ind w:left="182"/>
              <w:rPr>
                <w:color w:val="auto"/>
                <w:highlight w:val="none"/>
              </w:rPr>
            </w:pPr>
            <w:r>
              <w:rPr>
                <w:color w:val="auto"/>
                <w:position w:val="1"/>
                <w:highlight w:val="none"/>
              </w:rPr>
              <w:t>8</w:t>
            </w:r>
          </w:p>
        </w:tc>
        <w:tc>
          <w:tcPr>
            <w:tcW w:w="1628" w:type="dxa"/>
            <w:vAlign w:val="top"/>
          </w:tcPr>
          <w:p w14:paraId="1A0ADA7B">
            <w:pPr>
              <w:pStyle w:val="23"/>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5D03C39D">
            <w:pPr>
              <w:rPr>
                <w:rFonts w:ascii="Arial"/>
                <w:color w:val="auto"/>
                <w:sz w:val="21"/>
                <w:highlight w:val="none"/>
              </w:rPr>
            </w:pPr>
          </w:p>
        </w:tc>
        <w:tc>
          <w:tcPr>
            <w:tcW w:w="635" w:type="dxa"/>
            <w:vAlign w:val="top"/>
          </w:tcPr>
          <w:p w14:paraId="67CEAF79">
            <w:pPr>
              <w:rPr>
                <w:rFonts w:ascii="Arial"/>
                <w:color w:val="auto"/>
                <w:sz w:val="21"/>
                <w:highlight w:val="none"/>
              </w:rPr>
            </w:pPr>
          </w:p>
        </w:tc>
        <w:tc>
          <w:tcPr>
            <w:tcW w:w="348" w:type="dxa"/>
            <w:vAlign w:val="top"/>
          </w:tcPr>
          <w:p w14:paraId="0D6282D7">
            <w:pPr>
              <w:rPr>
                <w:rFonts w:ascii="Arial"/>
                <w:color w:val="auto"/>
                <w:sz w:val="21"/>
                <w:highlight w:val="none"/>
              </w:rPr>
            </w:pPr>
          </w:p>
        </w:tc>
        <w:tc>
          <w:tcPr>
            <w:tcW w:w="348" w:type="dxa"/>
            <w:vAlign w:val="top"/>
          </w:tcPr>
          <w:p w14:paraId="45A62E0C">
            <w:pPr>
              <w:rPr>
                <w:rFonts w:ascii="Arial"/>
                <w:color w:val="auto"/>
                <w:sz w:val="21"/>
                <w:highlight w:val="none"/>
              </w:rPr>
            </w:pPr>
          </w:p>
        </w:tc>
        <w:tc>
          <w:tcPr>
            <w:tcW w:w="350" w:type="dxa"/>
            <w:vAlign w:val="top"/>
          </w:tcPr>
          <w:p w14:paraId="031F6486">
            <w:pPr>
              <w:rPr>
                <w:rFonts w:ascii="Arial"/>
                <w:color w:val="auto"/>
                <w:sz w:val="21"/>
                <w:highlight w:val="none"/>
              </w:rPr>
            </w:pPr>
          </w:p>
        </w:tc>
        <w:tc>
          <w:tcPr>
            <w:tcW w:w="348" w:type="dxa"/>
            <w:vAlign w:val="top"/>
          </w:tcPr>
          <w:p w14:paraId="22FC5565">
            <w:pPr>
              <w:rPr>
                <w:rFonts w:ascii="Arial"/>
                <w:color w:val="auto"/>
                <w:sz w:val="21"/>
                <w:highlight w:val="none"/>
              </w:rPr>
            </w:pPr>
          </w:p>
        </w:tc>
        <w:tc>
          <w:tcPr>
            <w:tcW w:w="349" w:type="dxa"/>
            <w:vAlign w:val="top"/>
          </w:tcPr>
          <w:p w14:paraId="2D38B28C">
            <w:pPr>
              <w:rPr>
                <w:rFonts w:ascii="Arial"/>
                <w:color w:val="auto"/>
                <w:sz w:val="21"/>
                <w:highlight w:val="none"/>
              </w:rPr>
            </w:pPr>
          </w:p>
        </w:tc>
        <w:tc>
          <w:tcPr>
            <w:tcW w:w="351" w:type="dxa"/>
            <w:vAlign w:val="top"/>
          </w:tcPr>
          <w:p w14:paraId="2CF301BC">
            <w:pPr>
              <w:rPr>
                <w:rFonts w:ascii="Arial"/>
                <w:color w:val="auto"/>
                <w:sz w:val="21"/>
                <w:highlight w:val="none"/>
              </w:rPr>
            </w:pPr>
          </w:p>
        </w:tc>
        <w:tc>
          <w:tcPr>
            <w:tcW w:w="349" w:type="dxa"/>
            <w:vAlign w:val="top"/>
          </w:tcPr>
          <w:p w14:paraId="6B09CCA0">
            <w:pPr>
              <w:rPr>
                <w:rFonts w:ascii="Arial"/>
                <w:color w:val="auto"/>
                <w:sz w:val="21"/>
                <w:highlight w:val="none"/>
              </w:rPr>
            </w:pPr>
          </w:p>
        </w:tc>
        <w:tc>
          <w:tcPr>
            <w:tcW w:w="349" w:type="dxa"/>
            <w:vAlign w:val="top"/>
          </w:tcPr>
          <w:p w14:paraId="17E72239">
            <w:pPr>
              <w:rPr>
                <w:rFonts w:ascii="Arial"/>
                <w:color w:val="auto"/>
                <w:sz w:val="21"/>
                <w:highlight w:val="none"/>
              </w:rPr>
            </w:pPr>
          </w:p>
        </w:tc>
        <w:tc>
          <w:tcPr>
            <w:tcW w:w="426" w:type="dxa"/>
            <w:vAlign w:val="top"/>
          </w:tcPr>
          <w:p w14:paraId="44F8839A">
            <w:pPr>
              <w:rPr>
                <w:rFonts w:ascii="Arial"/>
                <w:color w:val="auto"/>
                <w:sz w:val="21"/>
                <w:highlight w:val="none"/>
              </w:rPr>
            </w:pPr>
          </w:p>
        </w:tc>
        <w:tc>
          <w:tcPr>
            <w:tcW w:w="426" w:type="dxa"/>
            <w:vAlign w:val="top"/>
          </w:tcPr>
          <w:p w14:paraId="6902D0B6">
            <w:pPr>
              <w:rPr>
                <w:rFonts w:ascii="Arial"/>
                <w:color w:val="auto"/>
                <w:sz w:val="21"/>
                <w:highlight w:val="none"/>
              </w:rPr>
            </w:pPr>
          </w:p>
        </w:tc>
        <w:tc>
          <w:tcPr>
            <w:tcW w:w="426" w:type="dxa"/>
            <w:vAlign w:val="top"/>
          </w:tcPr>
          <w:p w14:paraId="62572EB2">
            <w:pPr>
              <w:rPr>
                <w:rFonts w:ascii="Arial"/>
                <w:color w:val="auto"/>
                <w:sz w:val="21"/>
                <w:highlight w:val="none"/>
              </w:rPr>
            </w:pPr>
          </w:p>
        </w:tc>
        <w:tc>
          <w:tcPr>
            <w:tcW w:w="429" w:type="dxa"/>
            <w:vAlign w:val="top"/>
          </w:tcPr>
          <w:p w14:paraId="39E0E643">
            <w:pPr>
              <w:rPr>
                <w:rFonts w:ascii="Arial"/>
                <w:color w:val="auto"/>
                <w:sz w:val="21"/>
                <w:highlight w:val="none"/>
              </w:rPr>
            </w:pPr>
          </w:p>
        </w:tc>
        <w:tc>
          <w:tcPr>
            <w:tcW w:w="526" w:type="dxa"/>
            <w:vAlign w:val="top"/>
          </w:tcPr>
          <w:p w14:paraId="2C081B59">
            <w:pPr>
              <w:rPr>
                <w:rFonts w:ascii="Arial"/>
                <w:color w:val="auto"/>
                <w:sz w:val="21"/>
                <w:highlight w:val="none"/>
              </w:rPr>
            </w:pPr>
          </w:p>
        </w:tc>
        <w:tc>
          <w:tcPr>
            <w:tcW w:w="735" w:type="dxa"/>
            <w:vAlign w:val="top"/>
          </w:tcPr>
          <w:p w14:paraId="7F8B73A4">
            <w:pPr>
              <w:rPr>
                <w:rFonts w:ascii="Arial"/>
                <w:color w:val="auto"/>
                <w:sz w:val="21"/>
                <w:highlight w:val="none"/>
              </w:rPr>
            </w:pPr>
          </w:p>
        </w:tc>
      </w:tr>
      <w:tr w14:paraId="536C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60328B6E">
            <w:pPr>
              <w:pStyle w:val="23"/>
              <w:spacing w:before="171" w:line="269" w:lineRule="exact"/>
              <w:ind w:left="182"/>
              <w:rPr>
                <w:color w:val="auto"/>
                <w:highlight w:val="none"/>
              </w:rPr>
            </w:pPr>
            <w:r>
              <w:rPr>
                <w:color w:val="auto"/>
                <w:position w:val="1"/>
                <w:highlight w:val="none"/>
              </w:rPr>
              <w:t>9</w:t>
            </w:r>
          </w:p>
        </w:tc>
        <w:tc>
          <w:tcPr>
            <w:tcW w:w="1628" w:type="dxa"/>
            <w:vAlign w:val="top"/>
          </w:tcPr>
          <w:p w14:paraId="3C3926D2">
            <w:pPr>
              <w:pStyle w:val="23"/>
              <w:spacing w:before="37" w:line="232"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112281BE">
            <w:pPr>
              <w:rPr>
                <w:rFonts w:ascii="Arial"/>
                <w:color w:val="auto"/>
                <w:sz w:val="21"/>
                <w:highlight w:val="none"/>
              </w:rPr>
            </w:pPr>
          </w:p>
        </w:tc>
        <w:tc>
          <w:tcPr>
            <w:tcW w:w="635" w:type="dxa"/>
            <w:vAlign w:val="top"/>
          </w:tcPr>
          <w:p w14:paraId="555118E2">
            <w:pPr>
              <w:rPr>
                <w:rFonts w:ascii="Arial"/>
                <w:color w:val="auto"/>
                <w:sz w:val="21"/>
                <w:highlight w:val="none"/>
              </w:rPr>
            </w:pPr>
          </w:p>
        </w:tc>
        <w:tc>
          <w:tcPr>
            <w:tcW w:w="348" w:type="dxa"/>
            <w:vAlign w:val="top"/>
          </w:tcPr>
          <w:p w14:paraId="104A2F93">
            <w:pPr>
              <w:rPr>
                <w:rFonts w:ascii="Arial"/>
                <w:color w:val="auto"/>
                <w:sz w:val="21"/>
                <w:highlight w:val="none"/>
              </w:rPr>
            </w:pPr>
          </w:p>
        </w:tc>
        <w:tc>
          <w:tcPr>
            <w:tcW w:w="348" w:type="dxa"/>
            <w:vAlign w:val="top"/>
          </w:tcPr>
          <w:p w14:paraId="73CAAB59">
            <w:pPr>
              <w:rPr>
                <w:rFonts w:ascii="Arial"/>
                <w:color w:val="auto"/>
                <w:sz w:val="21"/>
                <w:highlight w:val="none"/>
              </w:rPr>
            </w:pPr>
          </w:p>
        </w:tc>
        <w:tc>
          <w:tcPr>
            <w:tcW w:w="350" w:type="dxa"/>
            <w:vAlign w:val="top"/>
          </w:tcPr>
          <w:p w14:paraId="34BA0BBF">
            <w:pPr>
              <w:rPr>
                <w:rFonts w:ascii="Arial"/>
                <w:color w:val="auto"/>
                <w:sz w:val="21"/>
                <w:highlight w:val="none"/>
              </w:rPr>
            </w:pPr>
          </w:p>
        </w:tc>
        <w:tc>
          <w:tcPr>
            <w:tcW w:w="348" w:type="dxa"/>
            <w:vAlign w:val="top"/>
          </w:tcPr>
          <w:p w14:paraId="6C440B13">
            <w:pPr>
              <w:rPr>
                <w:rFonts w:ascii="Arial"/>
                <w:color w:val="auto"/>
                <w:sz w:val="21"/>
                <w:highlight w:val="none"/>
              </w:rPr>
            </w:pPr>
          </w:p>
        </w:tc>
        <w:tc>
          <w:tcPr>
            <w:tcW w:w="349" w:type="dxa"/>
            <w:vAlign w:val="top"/>
          </w:tcPr>
          <w:p w14:paraId="3271E0D7">
            <w:pPr>
              <w:rPr>
                <w:rFonts w:ascii="Arial"/>
                <w:color w:val="auto"/>
                <w:sz w:val="21"/>
                <w:highlight w:val="none"/>
              </w:rPr>
            </w:pPr>
          </w:p>
        </w:tc>
        <w:tc>
          <w:tcPr>
            <w:tcW w:w="351" w:type="dxa"/>
            <w:vAlign w:val="top"/>
          </w:tcPr>
          <w:p w14:paraId="48DB8FB6">
            <w:pPr>
              <w:rPr>
                <w:rFonts w:ascii="Arial"/>
                <w:color w:val="auto"/>
                <w:sz w:val="21"/>
                <w:highlight w:val="none"/>
              </w:rPr>
            </w:pPr>
          </w:p>
        </w:tc>
        <w:tc>
          <w:tcPr>
            <w:tcW w:w="349" w:type="dxa"/>
            <w:vAlign w:val="top"/>
          </w:tcPr>
          <w:p w14:paraId="523D3CD8">
            <w:pPr>
              <w:rPr>
                <w:rFonts w:ascii="Arial"/>
                <w:color w:val="auto"/>
                <w:sz w:val="21"/>
                <w:highlight w:val="none"/>
              </w:rPr>
            </w:pPr>
          </w:p>
        </w:tc>
        <w:tc>
          <w:tcPr>
            <w:tcW w:w="349" w:type="dxa"/>
            <w:vAlign w:val="top"/>
          </w:tcPr>
          <w:p w14:paraId="7EEF0C69">
            <w:pPr>
              <w:rPr>
                <w:rFonts w:ascii="Arial"/>
                <w:color w:val="auto"/>
                <w:sz w:val="21"/>
                <w:highlight w:val="none"/>
              </w:rPr>
            </w:pPr>
          </w:p>
        </w:tc>
        <w:tc>
          <w:tcPr>
            <w:tcW w:w="426" w:type="dxa"/>
            <w:vAlign w:val="top"/>
          </w:tcPr>
          <w:p w14:paraId="4FD1341A">
            <w:pPr>
              <w:rPr>
                <w:rFonts w:ascii="Arial"/>
                <w:color w:val="auto"/>
                <w:sz w:val="21"/>
                <w:highlight w:val="none"/>
              </w:rPr>
            </w:pPr>
          </w:p>
        </w:tc>
        <w:tc>
          <w:tcPr>
            <w:tcW w:w="426" w:type="dxa"/>
            <w:vAlign w:val="top"/>
          </w:tcPr>
          <w:p w14:paraId="76FCAF96">
            <w:pPr>
              <w:rPr>
                <w:rFonts w:ascii="Arial"/>
                <w:color w:val="auto"/>
                <w:sz w:val="21"/>
                <w:highlight w:val="none"/>
              </w:rPr>
            </w:pPr>
          </w:p>
        </w:tc>
        <w:tc>
          <w:tcPr>
            <w:tcW w:w="426" w:type="dxa"/>
            <w:vAlign w:val="top"/>
          </w:tcPr>
          <w:p w14:paraId="09110099">
            <w:pPr>
              <w:rPr>
                <w:rFonts w:ascii="Arial"/>
                <w:color w:val="auto"/>
                <w:sz w:val="21"/>
                <w:highlight w:val="none"/>
              </w:rPr>
            </w:pPr>
          </w:p>
        </w:tc>
        <w:tc>
          <w:tcPr>
            <w:tcW w:w="429" w:type="dxa"/>
            <w:vAlign w:val="top"/>
          </w:tcPr>
          <w:p w14:paraId="1A536FB7">
            <w:pPr>
              <w:rPr>
                <w:rFonts w:ascii="Arial"/>
                <w:color w:val="auto"/>
                <w:sz w:val="21"/>
                <w:highlight w:val="none"/>
              </w:rPr>
            </w:pPr>
          </w:p>
        </w:tc>
        <w:tc>
          <w:tcPr>
            <w:tcW w:w="526" w:type="dxa"/>
            <w:vAlign w:val="top"/>
          </w:tcPr>
          <w:p w14:paraId="7961C747">
            <w:pPr>
              <w:rPr>
                <w:rFonts w:ascii="Arial"/>
                <w:color w:val="auto"/>
                <w:sz w:val="21"/>
                <w:highlight w:val="none"/>
              </w:rPr>
            </w:pPr>
          </w:p>
        </w:tc>
        <w:tc>
          <w:tcPr>
            <w:tcW w:w="735" w:type="dxa"/>
            <w:vAlign w:val="top"/>
          </w:tcPr>
          <w:p w14:paraId="5E8C42D9">
            <w:pPr>
              <w:rPr>
                <w:rFonts w:ascii="Arial"/>
                <w:color w:val="auto"/>
                <w:sz w:val="21"/>
                <w:highlight w:val="none"/>
              </w:rPr>
            </w:pPr>
          </w:p>
        </w:tc>
      </w:tr>
      <w:tr w14:paraId="70BF1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070BDA8F">
            <w:pPr>
              <w:pStyle w:val="23"/>
              <w:spacing w:before="168" w:line="269" w:lineRule="exact"/>
              <w:ind w:left="144"/>
              <w:rPr>
                <w:color w:val="auto"/>
                <w:highlight w:val="none"/>
              </w:rPr>
            </w:pPr>
            <w:r>
              <w:rPr>
                <w:color w:val="auto"/>
                <w:spacing w:val="-7"/>
                <w:position w:val="1"/>
                <w:highlight w:val="none"/>
              </w:rPr>
              <w:t>10</w:t>
            </w:r>
          </w:p>
        </w:tc>
        <w:tc>
          <w:tcPr>
            <w:tcW w:w="1628" w:type="dxa"/>
            <w:vAlign w:val="top"/>
          </w:tcPr>
          <w:p w14:paraId="6EF843D8">
            <w:pPr>
              <w:pStyle w:val="23"/>
              <w:spacing w:before="168" w:line="324" w:lineRule="exact"/>
              <w:ind w:left="619"/>
              <w:rPr>
                <w:color w:val="auto"/>
                <w:highlight w:val="none"/>
              </w:rPr>
            </w:pPr>
            <w:r>
              <w:rPr>
                <w:color w:val="auto"/>
                <w:spacing w:val="-2"/>
                <w:position w:val="2"/>
                <w:highlight w:val="none"/>
              </w:rPr>
              <w:t>……</w:t>
            </w:r>
          </w:p>
        </w:tc>
        <w:tc>
          <w:tcPr>
            <w:tcW w:w="805" w:type="dxa"/>
            <w:vAlign w:val="top"/>
          </w:tcPr>
          <w:p w14:paraId="4201E7E1">
            <w:pPr>
              <w:rPr>
                <w:rFonts w:ascii="Arial"/>
                <w:color w:val="auto"/>
                <w:sz w:val="21"/>
                <w:highlight w:val="none"/>
              </w:rPr>
            </w:pPr>
          </w:p>
        </w:tc>
        <w:tc>
          <w:tcPr>
            <w:tcW w:w="635" w:type="dxa"/>
            <w:vAlign w:val="top"/>
          </w:tcPr>
          <w:p w14:paraId="1AC67E5A">
            <w:pPr>
              <w:rPr>
                <w:rFonts w:ascii="Arial"/>
                <w:color w:val="auto"/>
                <w:sz w:val="21"/>
                <w:highlight w:val="none"/>
              </w:rPr>
            </w:pPr>
          </w:p>
        </w:tc>
        <w:tc>
          <w:tcPr>
            <w:tcW w:w="348" w:type="dxa"/>
            <w:vAlign w:val="top"/>
          </w:tcPr>
          <w:p w14:paraId="3627995D">
            <w:pPr>
              <w:rPr>
                <w:rFonts w:ascii="Arial"/>
                <w:color w:val="auto"/>
                <w:sz w:val="21"/>
                <w:highlight w:val="none"/>
              </w:rPr>
            </w:pPr>
          </w:p>
        </w:tc>
        <w:tc>
          <w:tcPr>
            <w:tcW w:w="348" w:type="dxa"/>
            <w:vAlign w:val="top"/>
          </w:tcPr>
          <w:p w14:paraId="3D064990">
            <w:pPr>
              <w:rPr>
                <w:rFonts w:ascii="Arial"/>
                <w:color w:val="auto"/>
                <w:sz w:val="21"/>
                <w:highlight w:val="none"/>
              </w:rPr>
            </w:pPr>
          </w:p>
        </w:tc>
        <w:tc>
          <w:tcPr>
            <w:tcW w:w="350" w:type="dxa"/>
            <w:vAlign w:val="top"/>
          </w:tcPr>
          <w:p w14:paraId="0B9245ED">
            <w:pPr>
              <w:rPr>
                <w:rFonts w:ascii="Arial"/>
                <w:color w:val="auto"/>
                <w:sz w:val="21"/>
                <w:highlight w:val="none"/>
              </w:rPr>
            </w:pPr>
          </w:p>
        </w:tc>
        <w:tc>
          <w:tcPr>
            <w:tcW w:w="348" w:type="dxa"/>
            <w:vAlign w:val="top"/>
          </w:tcPr>
          <w:p w14:paraId="69C2E4BE">
            <w:pPr>
              <w:rPr>
                <w:rFonts w:ascii="Arial"/>
                <w:color w:val="auto"/>
                <w:sz w:val="21"/>
                <w:highlight w:val="none"/>
              </w:rPr>
            </w:pPr>
          </w:p>
        </w:tc>
        <w:tc>
          <w:tcPr>
            <w:tcW w:w="349" w:type="dxa"/>
            <w:vAlign w:val="top"/>
          </w:tcPr>
          <w:p w14:paraId="694837A2">
            <w:pPr>
              <w:rPr>
                <w:rFonts w:ascii="Arial"/>
                <w:color w:val="auto"/>
                <w:sz w:val="21"/>
                <w:highlight w:val="none"/>
              </w:rPr>
            </w:pPr>
          </w:p>
        </w:tc>
        <w:tc>
          <w:tcPr>
            <w:tcW w:w="351" w:type="dxa"/>
            <w:vAlign w:val="top"/>
          </w:tcPr>
          <w:p w14:paraId="244BAACB">
            <w:pPr>
              <w:rPr>
                <w:rFonts w:ascii="Arial"/>
                <w:color w:val="auto"/>
                <w:sz w:val="21"/>
                <w:highlight w:val="none"/>
              </w:rPr>
            </w:pPr>
          </w:p>
        </w:tc>
        <w:tc>
          <w:tcPr>
            <w:tcW w:w="349" w:type="dxa"/>
            <w:vAlign w:val="top"/>
          </w:tcPr>
          <w:p w14:paraId="631327EC">
            <w:pPr>
              <w:rPr>
                <w:rFonts w:ascii="Arial"/>
                <w:color w:val="auto"/>
                <w:sz w:val="21"/>
                <w:highlight w:val="none"/>
              </w:rPr>
            </w:pPr>
          </w:p>
        </w:tc>
        <w:tc>
          <w:tcPr>
            <w:tcW w:w="349" w:type="dxa"/>
            <w:vAlign w:val="top"/>
          </w:tcPr>
          <w:p w14:paraId="61950770">
            <w:pPr>
              <w:rPr>
                <w:rFonts w:ascii="Arial"/>
                <w:color w:val="auto"/>
                <w:sz w:val="21"/>
                <w:highlight w:val="none"/>
              </w:rPr>
            </w:pPr>
          </w:p>
        </w:tc>
        <w:tc>
          <w:tcPr>
            <w:tcW w:w="426" w:type="dxa"/>
            <w:vAlign w:val="top"/>
          </w:tcPr>
          <w:p w14:paraId="086A390B">
            <w:pPr>
              <w:rPr>
                <w:rFonts w:ascii="Arial"/>
                <w:color w:val="auto"/>
                <w:sz w:val="21"/>
                <w:highlight w:val="none"/>
              </w:rPr>
            </w:pPr>
          </w:p>
        </w:tc>
        <w:tc>
          <w:tcPr>
            <w:tcW w:w="426" w:type="dxa"/>
            <w:vAlign w:val="top"/>
          </w:tcPr>
          <w:p w14:paraId="16F3C725">
            <w:pPr>
              <w:rPr>
                <w:rFonts w:ascii="Arial"/>
                <w:color w:val="auto"/>
                <w:sz w:val="21"/>
                <w:highlight w:val="none"/>
              </w:rPr>
            </w:pPr>
          </w:p>
        </w:tc>
        <w:tc>
          <w:tcPr>
            <w:tcW w:w="426" w:type="dxa"/>
            <w:vAlign w:val="top"/>
          </w:tcPr>
          <w:p w14:paraId="7523931F">
            <w:pPr>
              <w:rPr>
                <w:rFonts w:ascii="Arial"/>
                <w:color w:val="auto"/>
                <w:sz w:val="21"/>
                <w:highlight w:val="none"/>
              </w:rPr>
            </w:pPr>
          </w:p>
        </w:tc>
        <w:tc>
          <w:tcPr>
            <w:tcW w:w="429" w:type="dxa"/>
            <w:vAlign w:val="top"/>
          </w:tcPr>
          <w:p w14:paraId="1DD995E7">
            <w:pPr>
              <w:rPr>
                <w:rFonts w:ascii="Arial"/>
                <w:color w:val="auto"/>
                <w:sz w:val="21"/>
                <w:highlight w:val="none"/>
              </w:rPr>
            </w:pPr>
          </w:p>
        </w:tc>
        <w:tc>
          <w:tcPr>
            <w:tcW w:w="526" w:type="dxa"/>
            <w:vAlign w:val="top"/>
          </w:tcPr>
          <w:p w14:paraId="25861797">
            <w:pPr>
              <w:rPr>
                <w:rFonts w:ascii="Arial"/>
                <w:color w:val="auto"/>
                <w:sz w:val="21"/>
                <w:highlight w:val="none"/>
              </w:rPr>
            </w:pPr>
          </w:p>
        </w:tc>
        <w:tc>
          <w:tcPr>
            <w:tcW w:w="735" w:type="dxa"/>
            <w:vAlign w:val="top"/>
          </w:tcPr>
          <w:p w14:paraId="04FF5A32">
            <w:pPr>
              <w:rPr>
                <w:rFonts w:ascii="Arial"/>
                <w:color w:val="auto"/>
                <w:sz w:val="21"/>
                <w:highlight w:val="none"/>
              </w:rPr>
            </w:pPr>
          </w:p>
        </w:tc>
      </w:tr>
      <w:tr w14:paraId="589EE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6B3C775F">
            <w:pPr>
              <w:pStyle w:val="23"/>
              <w:spacing w:before="168" w:line="270" w:lineRule="exact"/>
              <w:ind w:left="144"/>
              <w:rPr>
                <w:color w:val="auto"/>
                <w:highlight w:val="none"/>
              </w:rPr>
            </w:pPr>
            <w:r>
              <w:rPr>
                <w:color w:val="auto"/>
                <w:spacing w:val="-7"/>
                <w:position w:val="1"/>
                <w:highlight w:val="none"/>
              </w:rPr>
              <w:t>11</w:t>
            </w:r>
          </w:p>
        </w:tc>
        <w:tc>
          <w:tcPr>
            <w:tcW w:w="1628" w:type="dxa"/>
            <w:vAlign w:val="top"/>
          </w:tcPr>
          <w:p w14:paraId="4ACF8427">
            <w:pPr>
              <w:pStyle w:val="23"/>
              <w:spacing w:before="168" w:line="324" w:lineRule="exact"/>
              <w:ind w:left="619"/>
              <w:rPr>
                <w:color w:val="auto"/>
                <w:highlight w:val="none"/>
              </w:rPr>
            </w:pPr>
            <w:r>
              <w:rPr>
                <w:color w:val="auto"/>
                <w:spacing w:val="-2"/>
                <w:position w:val="2"/>
                <w:highlight w:val="none"/>
              </w:rPr>
              <w:t>……</w:t>
            </w:r>
          </w:p>
        </w:tc>
        <w:tc>
          <w:tcPr>
            <w:tcW w:w="805" w:type="dxa"/>
            <w:vAlign w:val="top"/>
          </w:tcPr>
          <w:p w14:paraId="67F9A03C">
            <w:pPr>
              <w:rPr>
                <w:rFonts w:ascii="Arial"/>
                <w:color w:val="auto"/>
                <w:sz w:val="21"/>
                <w:highlight w:val="none"/>
              </w:rPr>
            </w:pPr>
          </w:p>
        </w:tc>
        <w:tc>
          <w:tcPr>
            <w:tcW w:w="635" w:type="dxa"/>
            <w:vAlign w:val="top"/>
          </w:tcPr>
          <w:p w14:paraId="49EAA293">
            <w:pPr>
              <w:rPr>
                <w:rFonts w:ascii="Arial"/>
                <w:color w:val="auto"/>
                <w:sz w:val="21"/>
                <w:highlight w:val="none"/>
              </w:rPr>
            </w:pPr>
          </w:p>
        </w:tc>
        <w:tc>
          <w:tcPr>
            <w:tcW w:w="348" w:type="dxa"/>
            <w:vAlign w:val="top"/>
          </w:tcPr>
          <w:p w14:paraId="4803D98E">
            <w:pPr>
              <w:rPr>
                <w:rFonts w:ascii="Arial"/>
                <w:color w:val="auto"/>
                <w:sz w:val="21"/>
                <w:highlight w:val="none"/>
              </w:rPr>
            </w:pPr>
          </w:p>
        </w:tc>
        <w:tc>
          <w:tcPr>
            <w:tcW w:w="348" w:type="dxa"/>
            <w:vAlign w:val="top"/>
          </w:tcPr>
          <w:p w14:paraId="2322317E">
            <w:pPr>
              <w:rPr>
                <w:rFonts w:ascii="Arial"/>
                <w:color w:val="auto"/>
                <w:sz w:val="21"/>
                <w:highlight w:val="none"/>
              </w:rPr>
            </w:pPr>
          </w:p>
        </w:tc>
        <w:tc>
          <w:tcPr>
            <w:tcW w:w="350" w:type="dxa"/>
            <w:vAlign w:val="top"/>
          </w:tcPr>
          <w:p w14:paraId="68F4A9BC">
            <w:pPr>
              <w:rPr>
                <w:rFonts w:ascii="Arial"/>
                <w:color w:val="auto"/>
                <w:sz w:val="21"/>
                <w:highlight w:val="none"/>
              </w:rPr>
            </w:pPr>
          </w:p>
        </w:tc>
        <w:tc>
          <w:tcPr>
            <w:tcW w:w="348" w:type="dxa"/>
            <w:vAlign w:val="top"/>
          </w:tcPr>
          <w:p w14:paraId="2E783E38">
            <w:pPr>
              <w:rPr>
                <w:rFonts w:ascii="Arial"/>
                <w:color w:val="auto"/>
                <w:sz w:val="21"/>
                <w:highlight w:val="none"/>
              </w:rPr>
            </w:pPr>
          </w:p>
        </w:tc>
        <w:tc>
          <w:tcPr>
            <w:tcW w:w="349" w:type="dxa"/>
            <w:vAlign w:val="top"/>
          </w:tcPr>
          <w:p w14:paraId="0BB15224">
            <w:pPr>
              <w:rPr>
                <w:rFonts w:ascii="Arial"/>
                <w:color w:val="auto"/>
                <w:sz w:val="21"/>
                <w:highlight w:val="none"/>
              </w:rPr>
            </w:pPr>
          </w:p>
        </w:tc>
        <w:tc>
          <w:tcPr>
            <w:tcW w:w="351" w:type="dxa"/>
            <w:vAlign w:val="top"/>
          </w:tcPr>
          <w:p w14:paraId="4A8CCFA0">
            <w:pPr>
              <w:rPr>
                <w:rFonts w:ascii="Arial"/>
                <w:color w:val="auto"/>
                <w:sz w:val="21"/>
                <w:highlight w:val="none"/>
              </w:rPr>
            </w:pPr>
          </w:p>
        </w:tc>
        <w:tc>
          <w:tcPr>
            <w:tcW w:w="349" w:type="dxa"/>
            <w:vAlign w:val="top"/>
          </w:tcPr>
          <w:p w14:paraId="58E092B1">
            <w:pPr>
              <w:rPr>
                <w:rFonts w:ascii="Arial"/>
                <w:color w:val="auto"/>
                <w:sz w:val="21"/>
                <w:highlight w:val="none"/>
              </w:rPr>
            </w:pPr>
          </w:p>
        </w:tc>
        <w:tc>
          <w:tcPr>
            <w:tcW w:w="349" w:type="dxa"/>
            <w:vAlign w:val="top"/>
          </w:tcPr>
          <w:p w14:paraId="39602CD2">
            <w:pPr>
              <w:rPr>
                <w:rFonts w:ascii="Arial"/>
                <w:color w:val="auto"/>
                <w:sz w:val="21"/>
                <w:highlight w:val="none"/>
              </w:rPr>
            </w:pPr>
          </w:p>
        </w:tc>
        <w:tc>
          <w:tcPr>
            <w:tcW w:w="426" w:type="dxa"/>
            <w:vAlign w:val="top"/>
          </w:tcPr>
          <w:p w14:paraId="0E221094">
            <w:pPr>
              <w:rPr>
                <w:rFonts w:ascii="Arial"/>
                <w:color w:val="auto"/>
                <w:sz w:val="21"/>
                <w:highlight w:val="none"/>
              </w:rPr>
            </w:pPr>
          </w:p>
        </w:tc>
        <w:tc>
          <w:tcPr>
            <w:tcW w:w="426" w:type="dxa"/>
            <w:vAlign w:val="top"/>
          </w:tcPr>
          <w:p w14:paraId="6F20C595">
            <w:pPr>
              <w:rPr>
                <w:rFonts w:ascii="Arial"/>
                <w:color w:val="auto"/>
                <w:sz w:val="21"/>
                <w:highlight w:val="none"/>
              </w:rPr>
            </w:pPr>
          </w:p>
        </w:tc>
        <w:tc>
          <w:tcPr>
            <w:tcW w:w="426" w:type="dxa"/>
            <w:vAlign w:val="top"/>
          </w:tcPr>
          <w:p w14:paraId="56B551D4">
            <w:pPr>
              <w:rPr>
                <w:rFonts w:ascii="Arial"/>
                <w:color w:val="auto"/>
                <w:sz w:val="21"/>
                <w:highlight w:val="none"/>
              </w:rPr>
            </w:pPr>
          </w:p>
        </w:tc>
        <w:tc>
          <w:tcPr>
            <w:tcW w:w="429" w:type="dxa"/>
            <w:vAlign w:val="top"/>
          </w:tcPr>
          <w:p w14:paraId="6C9671C4">
            <w:pPr>
              <w:rPr>
                <w:rFonts w:ascii="Arial"/>
                <w:color w:val="auto"/>
                <w:sz w:val="21"/>
                <w:highlight w:val="none"/>
              </w:rPr>
            </w:pPr>
          </w:p>
        </w:tc>
        <w:tc>
          <w:tcPr>
            <w:tcW w:w="526" w:type="dxa"/>
            <w:vAlign w:val="top"/>
          </w:tcPr>
          <w:p w14:paraId="65F28A24">
            <w:pPr>
              <w:rPr>
                <w:rFonts w:ascii="Arial"/>
                <w:color w:val="auto"/>
                <w:sz w:val="21"/>
                <w:highlight w:val="none"/>
              </w:rPr>
            </w:pPr>
          </w:p>
        </w:tc>
        <w:tc>
          <w:tcPr>
            <w:tcW w:w="735" w:type="dxa"/>
            <w:vAlign w:val="top"/>
          </w:tcPr>
          <w:p w14:paraId="35D23E64">
            <w:pPr>
              <w:rPr>
                <w:rFonts w:ascii="Arial"/>
                <w:color w:val="auto"/>
                <w:sz w:val="21"/>
                <w:highlight w:val="none"/>
              </w:rPr>
            </w:pPr>
          </w:p>
        </w:tc>
      </w:tr>
      <w:tr w14:paraId="1271D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05BA3280">
            <w:pPr>
              <w:pStyle w:val="23"/>
              <w:spacing w:before="167" w:line="270" w:lineRule="exact"/>
              <w:ind w:left="144"/>
              <w:rPr>
                <w:color w:val="auto"/>
                <w:highlight w:val="none"/>
              </w:rPr>
            </w:pPr>
            <w:r>
              <w:rPr>
                <w:color w:val="auto"/>
                <w:spacing w:val="-7"/>
                <w:position w:val="1"/>
                <w:highlight w:val="none"/>
              </w:rPr>
              <w:t>12</w:t>
            </w:r>
          </w:p>
        </w:tc>
        <w:tc>
          <w:tcPr>
            <w:tcW w:w="1628" w:type="dxa"/>
            <w:vAlign w:val="top"/>
          </w:tcPr>
          <w:p w14:paraId="59DB1D8F">
            <w:pPr>
              <w:pStyle w:val="23"/>
              <w:spacing w:before="167" w:line="324" w:lineRule="exact"/>
              <w:ind w:left="619"/>
              <w:rPr>
                <w:color w:val="auto"/>
                <w:highlight w:val="none"/>
              </w:rPr>
            </w:pPr>
            <w:r>
              <w:rPr>
                <w:color w:val="auto"/>
                <w:spacing w:val="-2"/>
                <w:position w:val="2"/>
                <w:highlight w:val="none"/>
              </w:rPr>
              <w:t>……</w:t>
            </w:r>
          </w:p>
        </w:tc>
        <w:tc>
          <w:tcPr>
            <w:tcW w:w="805" w:type="dxa"/>
            <w:vAlign w:val="top"/>
          </w:tcPr>
          <w:p w14:paraId="6C9D7A89">
            <w:pPr>
              <w:rPr>
                <w:rFonts w:ascii="Arial"/>
                <w:color w:val="auto"/>
                <w:sz w:val="21"/>
                <w:highlight w:val="none"/>
              </w:rPr>
            </w:pPr>
          </w:p>
        </w:tc>
        <w:tc>
          <w:tcPr>
            <w:tcW w:w="635" w:type="dxa"/>
            <w:vAlign w:val="top"/>
          </w:tcPr>
          <w:p w14:paraId="1716D23D">
            <w:pPr>
              <w:rPr>
                <w:rFonts w:ascii="Arial"/>
                <w:color w:val="auto"/>
                <w:sz w:val="21"/>
                <w:highlight w:val="none"/>
              </w:rPr>
            </w:pPr>
          </w:p>
        </w:tc>
        <w:tc>
          <w:tcPr>
            <w:tcW w:w="348" w:type="dxa"/>
            <w:vAlign w:val="top"/>
          </w:tcPr>
          <w:p w14:paraId="04E01C70">
            <w:pPr>
              <w:rPr>
                <w:rFonts w:ascii="Arial"/>
                <w:color w:val="auto"/>
                <w:sz w:val="21"/>
                <w:highlight w:val="none"/>
              </w:rPr>
            </w:pPr>
          </w:p>
        </w:tc>
        <w:tc>
          <w:tcPr>
            <w:tcW w:w="348" w:type="dxa"/>
            <w:vAlign w:val="top"/>
          </w:tcPr>
          <w:p w14:paraId="72390D84">
            <w:pPr>
              <w:rPr>
                <w:rFonts w:ascii="Arial"/>
                <w:color w:val="auto"/>
                <w:sz w:val="21"/>
                <w:highlight w:val="none"/>
              </w:rPr>
            </w:pPr>
          </w:p>
        </w:tc>
        <w:tc>
          <w:tcPr>
            <w:tcW w:w="350" w:type="dxa"/>
            <w:vAlign w:val="top"/>
          </w:tcPr>
          <w:p w14:paraId="60AD4888">
            <w:pPr>
              <w:rPr>
                <w:rFonts w:ascii="Arial"/>
                <w:color w:val="auto"/>
                <w:sz w:val="21"/>
                <w:highlight w:val="none"/>
              </w:rPr>
            </w:pPr>
          </w:p>
        </w:tc>
        <w:tc>
          <w:tcPr>
            <w:tcW w:w="348" w:type="dxa"/>
            <w:vAlign w:val="top"/>
          </w:tcPr>
          <w:p w14:paraId="1491B5A3">
            <w:pPr>
              <w:rPr>
                <w:rFonts w:ascii="Arial"/>
                <w:color w:val="auto"/>
                <w:sz w:val="21"/>
                <w:highlight w:val="none"/>
              </w:rPr>
            </w:pPr>
          </w:p>
        </w:tc>
        <w:tc>
          <w:tcPr>
            <w:tcW w:w="349" w:type="dxa"/>
            <w:vAlign w:val="top"/>
          </w:tcPr>
          <w:p w14:paraId="582AB8BD">
            <w:pPr>
              <w:rPr>
                <w:rFonts w:ascii="Arial"/>
                <w:color w:val="auto"/>
                <w:sz w:val="21"/>
                <w:highlight w:val="none"/>
              </w:rPr>
            </w:pPr>
          </w:p>
        </w:tc>
        <w:tc>
          <w:tcPr>
            <w:tcW w:w="351" w:type="dxa"/>
            <w:vAlign w:val="top"/>
          </w:tcPr>
          <w:p w14:paraId="4B3B64D5">
            <w:pPr>
              <w:rPr>
                <w:rFonts w:ascii="Arial"/>
                <w:color w:val="auto"/>
                <w:sz w:val="21"/>
                <w:highlight w:val="none"/>
              </w:rPr>
            </w:pPr>
          </w:p>
        </w:tc>
        <w:tc>
          <w:tcPr>
            <w:tcW w:w="349" w:type="dxa"/>
            <w:vAlign w:val="top"/>
          </w:tcPr>
          <w:p w14:paraId="3BB0CBB2">
            <w:pPr>
              <w:rPr>
                <w:rFonts w:ascii="Arial"/>
                <w:color w:val="auto"/>
                <w:sz w:val="21"/>
                <w:highlight w:val="none"/>
              </w:rPr>
            </w:pPr>
          </w:p>
        </w:tc>
        <w:tc>
          <w:tcPr>
            <w:tcW w:w="349" w:type="dxa"/>
            <w:vAlign w:val="top"/>
          </w:tcPr>
          <w:p w14:paraId="131EFE0A">
            <w:pPr>
              <w:rPr>
                <w:rFonts w:ascii="Arial"/>
                <w:color w:val="auto"/>
                <w:sz w:val="21"/>
                <w:highlight w:val="none"/>
              </w:rPr>
            </w:pPr>
          </w:p>
        </w:tc>
        <w:tc>
          <w:tcPr>
            <w:tcW w:w="426" w:type="dxa"/>
            <w:vAlign w:val="top"/>
          </w:tcPr>
          <w:p w14:paraId="70577E13">
            <w:pPr>
              <w:rPr>
                <w:rFonts w:ascii="Arial"/>
                <w:color w:val="auto"/>
                <w:sz w:val="21"/>
                <w:highlight w:val="none"/>
              </w:rPr>
            </w:pPr>
          </w:p>
        </w:tc>
        <w:tc>
          <w:tcPr>
            <w:tcW w:w="426" w:type="dxa"/>
            <w:vAlign w:val="top"/>
          </w:tcPr>
          <w:p w14:paraId="13BDBE9C">
            <w:pPr>
              <w:rPr>
                <w:rFonts w:ascii="Arial"/>
                <w:color w:val="auto"/>
                <w:sz w:val="21"/>
                <w:highlight w:val="none"/>
              </w:rPr>
            </w:pPr>
          </w:p>
        </w:tc>
        <w:tc>
          <w:tcPr>
            <w:tcW w:w="426" w:type="dxa"/>
            <w:vAlign w:val="top"/>
          </w:tcPr>
          <w:p w14:paraId="389E39F2">
            <w:pPr>
              <w:rPr>
                <w:rFonts w:ascii="Arial"/>
                <w:color w:val="auto"/>
                <w:sz w:val="21"/>
                <w:highlight w:val="none"/>
              </w:rPr>
            </w:pPr>
          </w:p>
        </w:tc>
        <w:tc>
          <w:tcPr>
            <w:tcW w:w="429" w:type="dxa"/>
            <w:vAlign w:val="top"/>
          </w:tcPr>
          <w:p w14:paraId="39BDE7A4">
            <w:pPr>
              <w:rPr>
                <w:rFonts w:ascii="Arial"/>
                <w:color w:val="auto"/>
                <w:sz w:val="21"/>
                <w:highlight w:val="none"/>
              </w:rPr>
            </w:pPr>
          </w:p>
        </w:tc>
        <w:tc>
          <w:tcPr>
            <w:tcW w:w="526" w:type="dxa"/>
            <w:vAlign w:val="top"/>
          </w:tcPr>
          <w:p w14:paraId="3D07C5BD">
            <w:pPr>
              <w:rPr>
                <w:rFonts w:ascii="Arial"/>
                <w:color w:val="auto"/>
                <w:sz w:val="21"/>
                <w:highlight w:val="none"/>
              </w:rPr>
            </w:pPr>
          </w:p>
        </w:tc>
        <w:tc>
          <w:tcPr>
            <w:tcW w:w="735" w:type="dxa"/>
            <w:vAlign w:val="top"/>
          </w:tcPr>
          <w:p w14:paraId="05DAD2E9">
            <w:pPr>
              <w:rPr>
                <w:rFonts w:ascii="Arial"/>
                <w:color w:val="auto"/>
                <w:sz w:val="21"/>
                <w:highlight w:val="none"/>
              </w:rPr>
            </w:pPr>
          </w:p>
        </w:tc>
      </w:tr>
      <w:tr w14:paraId="76FE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051C4CCB">
            <w:pPr>
              <w:pStyle w:val="23"/>
              <w:spacing w:before="167" w:line="268" w:lineRule="exact"/>
              <w:ind w:left="144"/>
              <w:rPr>
                <w:color w:val="auto"/>
                <w:highlight w:val="none"/>
              </w:rPr>
            </w:pPr>
            <w:r>
              <w:rPr>
                <w:color w:val="auto"/>
                <w:spacing w:val="-7"/>
                <w:position w:val="1"/>
                <w:highlight w:val="none"/>
              </w:rPr>
              <w:t>13</w:t>
            </w:r>
          </w:p>
        </w:tc>
        <w:tc>
          <w:tcPr>
            <w:tcW w:w="1628" w:type="dxa"/>
            <w:vAlign w:val="top"/>
          </w:tcPr>
          <w:p w14:paraId="0F06C91A">
            <w:pPr>
              <w:pStyle w:val="23"/>
              <w:spacing w:before="167" w:line="324" w:lineRule="exact"/>
              <w:ind w:left="619"/>
              <w:rPr>
                <w:color w:val="auto"/>
                <w:highlight w:val="none"/>
              </w:rPr>
            </w:pPr>
            <w:r>
              <w:rPr>
                <w:color w:val="auto"/>
                <w:spacing w:val="-2"/>
                <w:position w:val="2"/>
                <w:highlight w:val="none"/>
              </w:rPr>
              <w:t>……</w:t>
            </w:r>
          </w:p>
        </w:tc>
        <w:tc>
          <w:tcPr>
            <w:tcW w:w="805" w:type="dxa"/>
            <w:vAlign w:val="top"/>
          </w:tcPr>
          <w:p w14:paraId="41595797">
            <w:pPr>
              <w:rPr>
                <w:rFonts w:ascii="Arial"/>
                <w:color w:val="auto"/>
                <w:sz w:val="21"/>
                <w:highlight w:val="none"/>
              </w:rPr>
            </w:pPr>
          </w:p>
        </w:tc>
        <w:tc>
          <w:tcPr>
            <w:tcW w:w="635" w:type="dxa"/>
            <w:vAlign w:val="top"/>
          </w:tcPr>
          <w:p w14:paraId="600C7228">
            <w:pPr>
              <w:rPr>
                <w:rFonts w:ascii="Arial"/>
                <w:color w:val="auto"/>
                <w:sz w:val="21"/>
                <w:highlight w:val="none"/>
              </w:rPr>
            </w:pPr>
          </w:p>
        </w:tc>
        <w:tc>
          <w:tcPr>
            <w:tcW w:w="348" w:type="dxa"/>
            <w:vAlign w:val="top"/>
          </w:tcPr>
          <w:p w14:paraId="7FF24607">
            <w:pPr>
              <w:rPr>
                <w:rFonts w:ascii="Arial"/>
                <w:color w:val="auto"/>
                <w:sz w:val="21"/>
                <w:highlight w:val="none"/>
              </w:rPr>
            </w:pPr>
          </w:p>
        </w:tc>
        <w:tc>
          <w:tcPr>
            <w:tcW w:w="348" w:type="dxa"/>
            <w:vAlign w:val="top"/>
          </w:tcPr>
          <w:p w14:paraId="04FD1FF6">
            <w:pPr>
              <w:rPr>
                <w:rFonts w:ascii="Arial"/>
                <w:color w:val="auto"/>
                <w:sz w:val="21"/>
                <w:highlight w:val="none"/>
              </w:rPr>
            </w:pPr>
          </w:p>
        </w:tc>
        <w:tc>
          <w:tcPr>
            <w:tcW w:w="350" w:type="dxa"/>
            <w:vAlign w:val="top"/>
          </w:tcPr>
          <w:p w14:paraId="772399DB">
            <w:pPr>
              <w:rPr>
                <w:rFonts w:ascii="Arial"/>
                <w:color w:val="auto"/>
                <w:sz w:val="21"/>
                <w:highlight w:val="none"/>
              </w:rPr>
            </w:pPr>
          </w:p>
        </w:tc>
        <w:tc>
          <w:tcPr>
            <w:tcW w:w="348" w:type="dxa"/>
            <w:vAlign w:val="top"/>
          </w:tcPr>
          <w:p w14:paraId="1F0EB9BD">
            <w:pPr>
              <w:rPr>
                <w:rFonts w:ascii="Arial"/>
                <w:color w:val="auto"/>
                <w:sz w:val="21"/>
                <w:highlight w:val="none"/>
              </w:rPr>
            </w:pPr>
          </w:p>
        </w:tc>
        <w:tc>
          <w:tcPr>
            <w:tcW w:w="349" w:type="dxa"/>
            <w:vAlign w:val="top"/>
          </w:tcPr>
          <w:p w14:paraId="42124C8F">
            <w:pPr>
              <w:rPr>
                <w:rFonts w:ascii="Arial"/>
                <w:color w:val="auto"/>
                <w:sz w:val="21"/>
                <w:highlight w:val="none"/>
              </w:rPr>
            </w:pPr>
          </w:p>
        </w:tc>
        <w:tc>
          <w:tcPr>
            <w:tcW w:w="351" w:type="dxa"/>
            <w:vAlign w:val="top"/>
          </w:tcPr>
          <w:p w14:paraId="0EE172E7">
            <w:pPr>
              <w:rPr>
                <w:rFonts w:ascii="Arial"/>
                <w:color w:val="auto"/>
                <w:sz w:val="21"/>
                <w:highlight w:val="none"/>
              </w:rPr>
            </w:pPr>
          </w:p>
        </w:tc>
        <w:tc>
          <w:tcPr>
            <w:tcW w:w="349" w:type="dxa"/>
            <w:vAlign w:val="top"/>
          </w:tcPr>
          <w:p w14:paraId="095679A2">
            <w:pPr>
              <w:rPr>
                <w:rFonts w:ascii="Arial"/>
                <w:color w:val="auto"/>
                <w:sz w:val="21"/>
                <w:highlight w:val="none"/>
              </w:rPr>
            </w:pPr>
          </w:p>
        </w:tc>
        <w:tc>
          <w:tcPr>
            <w:tcW w:w="349" w:type="dxa"/>
            <w:vAlign w:val="top"/>
          </w:tcPr>
          <w:p w14:paraId="7E99EEE3">
            <w:pPr>
              <w:rPr>
                <w:rFonts w:ascii="Arial"/>
                <w:color w:val="auto"/>
                <w:sz w:val="21"/>
                <w:highlight w:val="none"/>
              </w:rPr>
            </w:pPr>
          </w:p>
        </w:tc>
        <w:tc>
          <w:tcPr>
            <w:tcW w:w="426" w:type="dxa"/>
            <w:vAlign w:val="top"/>
          </w:tcPr>
          <w:p w14:paraId="4315C15A">
            <w:pPr>
              <w:rPr>
                <w:rFonts w:ascii="Arial"/>
                <w:color w:val="auto"/>
                <w:sz w:val="21"/>
                <w:highlight w:val="none"/>
              </w:rPr>
            </w:pPr>
          </w:p>
        </w:tc>
        <w:tc>
          <w:tcPr>
            <w:tcW w:w="426" w:type="dxa"/>
            <w:vAlign w:val="top"/>
          </w:tcPr>
          <w:p w14:paraId="5E4D8B9C">
            <w:pPr>
              <w:rPr>
                <w:rFonts w:ascii="Arial"/>
                <w:color w:val="auto"/>
                <w:sz w:val="21"/>
                <w:highlight w:val="none"/>
              </w:rPr>
            </w:pPr>
          </w:p>
        </w:tc>
        <w:tc>
          <w:tcPr>
            <w:tcW w:w="426" w:type="dxa"/>
            <w:vAlign w:val="top"/>
          </w:tcPr>
          <w:p w14:paraId="2928B363">
            <w:pPr>
              <w:rPr>
                <w:rFonts w:ascii="Arial"/>
                <w:color w:val="auto"/>
                <w:sz w:val="21"/>
                <w:highlight w:val="none"/>
              </w:rPr>
            </w:pPr>
          </w:p>
        </w:tc>
        <w:tc>
          <w:tcPr>
            <w:tcW w:w="429" w:type="dxa"/>
            <w:vAlign w:val="top"/>
          </w:tcPr>
          <w:p w14:paraId="4C1A2223">
            <w:pPr>
              <w:rPr>
                <w:rFonts w:ascii="Arial"/>
                <w:color w:val="auto"/>
                <w:sz w:val="21"/>
                <w:highlight w:val="none"/>
              </w:rPr>
            </w:pPr>
          </w:p>
        </w:tc>
        <w:tc>
          <w:tcPr>
            <w:tcW w:w="526" w:type="dxa"/>
            <w:vAlign w:val="top"/>
          </w:tcPr>
          <w:p w14:paraId="0507FBCE">
            <w:pPr>
              <w:rPr>
                <w:rFonts w:ascii="Arial"/>
                <w:color w:val="auto"/>
                <w:sz w:val="21"/>
                <w:highlight w:val="none"/>
              </w:rPr>
            </w:pPr>
          </w:p>
        </w:tc>
        <w:tc>
          <w:tcPr>
            <w:tcW w:w="735" w:type="dxa"/>
            <w:vAlign w:val="top"/>
          </w:tcPr>
          <w:p w14:paraId="06C64B76">
            <w:pPr>
              <w:rPr>
                <w:rFonts w:ascii="Arial"/>
                <w:color w:val="auto"/>
                <w:sz w:val="21"/>
                <w:highlight w:val="none"/>
              </w:rPr>
            </w:pPr>
          </w:p>
        </w:tc>
      </w:tr>
      <w:tr w14:paraId="5E49E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3FF6943B">
            <w:pPr>
              <w:pStyle w:val="23"/>
              <w:spacing w:before="169" w:line="270" w:lineRule="exact"/>
              <w:ind w:left="144"/>
              <w:rPr>
                <w:color w:val="auto"/>
                <w:highlight w:val="none"/>
              </w:rPr>
            </w:pPr>
            <w:r>
              <w:rPr>
                <w:color w:val="auto"/>
                <w:spacing w:val="-7"/>
                <w:position w:val="1"/>
                <w:highlight w:val="none"/>
              </w:rPr>
              <w:t>14</w:t>
            </w:r>
          </w:p>
        </w:tc>
        <w:tc>
          <w:tcPr>
            <w:tcW w:w="1628" w:type="dxa"/>
            <w:vAlign w:val="top"/>
          </w:tcPr>
          <w:p w14:paraId="2E47E4B5">
            <w:pPr>
              <w:pStyle w:val="23"/>
              <w:spacing w:before="169" w:line="324" w:lineRule="exact"/>
              <w:ind w:left="619"/>
              <w:rPr>
                <w:color w:val="auto"/>
                <w:highlight w:val="none"/>
              </w:rPr>
            </w:pPr>
            <w:r>
              <w:rPr>
                <w:color w:val="auto"/>
                <w:spacing w:val="-2"/>
                <w:position w:val="2"/>
                <w:highlight w:val="none"/>
              </w:rPr>
              <w:t>……</w:t>
            </w:r>
          </w:p>
        </w:tc>
        <w:tc>
          <w:tcPr>
            <w:tcW w:w="805" w:type="dxa"/>
            <w:vAlign w:val="top"/>
          </w:tcPr>
          <w:p w14:paraId="7838C287">
            <w:pPr>
              <w:rPr>
                <w:rFonts w:ascii="Arial"/>
                <w:color w:val="auto"/>
                <w:sz w:val="21"/>
                <w:highlight w:val="none"/>
              </w:rPr>
            </w:pPr>
          </w:p>
        </w:tc>
        <w:tc>
          <w:tcPr>
            <w:tcW w:w="635" w:type="dxa"/>
            <w:vAlign w:val="top"/>
          </w:tcPr>
          <w:p w14:paraId="001076EA">
            <w:pPr>
              <w:rPr>
                <w:rFonts w:ascii="Arial"/>
                <w:color w:val="auto"/>
                <w:sz w:val="21"/>
                <w:highlight w:val="none"/>
              </w:rPr>
            </w:pPr>
          </w:p>
        </w:tc>
        <w:tc>
          <w:tcPr>
            <w:tcW w:w="348" w:type="dxa"/>
            <w:vAlign w:val="top"/>
          </w:tcPr>
          <w:p w14:paraId="1C680F9B">
            <w:pPr>
              <w:rPr>
                <w:rFonts w:ascii="Arial"/>
                <w:color w:val="auto"/>
                <w:sz w:val="21"/>
                <w:highlight w:val="none"/>
              </w:rPr>
            </w:pPr>
          </w:p>
        </w:tc>
        <w:tc>
          <w:tcPr>
            <w:tcW w:w="348" w:type="dxa"/>
            <w:vAlign w:val="top"/>
          </w:tcPr>
          <w:p w14:paraId="126239B4">
            <w:pPr>
              <w:rPr>
                <w:rFonts w:ascii="Arial"/>
                <w:color w:val="auto"/>
                <w:sz w:val="21"/>
                <w:highlight w:val="none"/>
              </w:rPr>
            </w:pPr>
          </w:p>
        </w:tc>
        <w:tc>
          <w:tcPr>
            <w:tcW w:w="350" w:type="dxa"/>
            <w:vAlign w:val="top"/>
          </w:tcPr>
          <w:p w14:paraId="26482471">
            <w:pPr>
              <w:rPr>
                <w:rFonts w:ascii="Arial"/>
                <w:color w:val="auto"/>
                <w:sz w:val="21"/>
                <w:highlight w:val="none"/>
              </w:rPr>
            </w:pPr>
          </w:p>
        </w:tc>
        <w:tc>
          <w:tcPr>
            <w:tcW w:w="348" w:type="dxa"/>
            <w:vAlign w:val="top"/>
          </w:tcPr>
          <w:p w14:paraId="19568D28">
            <w:pPr>
              <w:rPr>
                <w:rFonts w:ascii="Arial"/>
                <w:color w:val="auto"/>
                <w:sz w:val="21"/>
                <w:highlight w:val="none"/>
              </w:rPr>
            </w:pPr>
          </w:p>
        </w:tc>
        <w:tc>
          <w:tcPr>
            <w:tcW w:w="349" w:type="dxa"/>
            <w:vAlign w:val="top"/>
          </w:tcPr>
          <w:p w14:paraId="228E2472">
            <w:pPr>
              <w:rPr>
                <w:rFonts w:ascii="Arial"/>
                <w:color w:val="auto"/>
                <w:sz w:val="21"/>
                <w:highlight w:val="none"/>
              </w:rPr>
            </w:pPr>
          </w:p>
        </w:tc>
        <w:tc>
          <w:tcPr>
            <w:tcW w:w="351" w:type="dxa"/>
            <w:vAlign w:val="top"/>
          </w:tcPr>
          <w:p w14:paraId="3514F367">
            <w:pPr>
              <w:rPr>
                <w:rFonts w:ascii="Arial"/>
                <w:color w:val="auto"/>
                <w:sz w:val="21"/>
                <w:highlight w:val="none"/>
              </w:rPr>
            </w:pPr>
          </w:p>
        </w:tc>
        <w:tc>
          <w:tcPr>
            <w:tcW w:w="349" w:type="dxa"/>
            <w:vAlign w:val="top"/>
          </w:tcPr>
          <w:p w14:paraId="30096C95">
            <w:pPr>
              <w:rPr>
                <w:rFonts w:ascii="Arial"/>
                <w:color w:val="auto"/>
                <w:sz w:val="21"/>
                <w:highlight w:val="none"/>
              </w:rPr>
            </w:pPr>
          </w:p>
        </w:tc>
        <w:tc>
          <w:tcPr>
            <w:tcW w:w="349" w:type="dxa"/>
            <w:vAlign w:val="top"/>
          </w:tcPr>
          <w:p w14:paraId="2A2CE64E">
            <w:pPr>
              <w:rPr>
                <w:rFonts w:ascii="Arial"/>
                <w:color w:val="auto"/>
                <w:sz w:val="21"/>
                <w:highlight w:val="none"/>
              </w:rPr>
            </w:pPr>
          </w:p>
        </w:tc>
        <w:tc>
          <w:tcPr>
            <w:tcW w:w="426" w:type="dxa"/>
            <w:vAlign w:val="top"/>
          </w:tcPr>
          <w:p w14:paraId="5CA2F4CA">
            <w:pPr>
              <w:rPr>
                <w:rFonts w:ascii="Arial"/>
                <w:color w:val="auto"/>
                <w:sz w:val="21"/>
                <w:highlight w:val="none"/>
              </w:rPr>
            </w:pPr>
          </w:p>
        </w:tc>
        <w:tc>
          <w:tcPr>
            <w:tcW w:w="426" w:type="dxa"/>
            <w:vAlign w:val="top"/>
          </w:tcPr>
          <w:p w14:paraId="46009BFB">
            <w:pPr>
              <w:rPr>
                <w:rFonts w:ascii="Arial"/>
                <w:color w:val="auto"/>
                <w:sz w:val="21"/>
                <w:highlight w:val="none"/>
              </w:rPr>
            </w:pPr>
          </w:p>
        </w:tc>
        <w:tc>
          <w:tcPr>
            <w:tcW w:w="426" w:type="dxa"/>
            <w:vAlign w:val="top"/>
          </w:tcPr>
          <w:p w14:paraId="3CBFD8D7">
            <w:pPr>
              <w:rPr>
                <w:rFonts w:ascii="Arial"/>
                <w:color w:val="auto"/>
                <w:sz w:val="21"/>
                <w:highlight w:val="none"/>
              </w:rPr>
            </w:pPr>
          </w:p>
        </w:tc>
        <w:tc>
          <w:tcPr>
            <w:tcW w:w="429" w:type="dxa"/>
            <w:vAlign w:val="top"/>
          </w:tcPr>
          <w:p w14:paraId="56122C17">
            <w:pPr>
              <w:rPr>
                <w:rFonts w:ascii="Arial"/>
                <w:color w:val="auto"/>
                <w:sz w:val="21"/>
                <w:highlight w:val="none"/>
              </w:rPr>
            </w:pPr>
          </w:p>
        </w:tc>
        <w:tc>
          <w:tcPr>
            <w:tcW w:w="526" w:type="dxa"/>
            <w:vAlign w:val="top"/>
          </w:tcPr>
          <w:p w14:paraId="53AD17AD">
            <w:pPr>
              <w:rPr>
                <w:rFonts w:ascii="Arial"/>
                <w:color w:val="auto"/>
                <w:sz w:val="21"/>
                <w:highlight w:val="none"/>
              </w:rPr>
            </w:pPr>
          </w:p>
        </w:tc>
        <w:tc>
          <w:tcPr>
            <w:tcW w:w="735" w:type="dxa"/>
            <w:vAlign w:val="top"/>
          </w:tcPr>
          <w:p w14:paraId="4FD407FB">
            <w:pPr>
              <w:rPr>
                <w:rFonts w:ascii="Arial"/>
                <w:color w:val="auto"/>
                <w:sz w:val="21"/>
                <w:highlight w:val="none"/>
              </w:rPr>
            </w:pPr>
          </w:p>
        </w:tc>
      </w:tr>
      <w:tr w14:paraId="2215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10B18A7D">
            <w:pPr>
              <w:pStyle w:val="23"/>
              <w:spacing w:before="169" w:line="268" w:lineRule="exact"/>
              <w:ind w:left="144"/>
              <w:rPr>
                <w:color w:val="auto"/>
                <w:highlight w:val="none"/>
              </w:rPr>
            </w:pPr>
            <w:r>
              <w:rPr>
                <w:color w:val="auto"/>
                <w:spacing w:val="-7"/>
                <w:position w:val="1"/>
                <w:highlight w:val="none"/>
              </w:rPr>
              <w:t>15</w:t>
            </w:r>
          </w:p>
        </w:tc>
        <w:tc>
          <w:tcPr>
            <w:tcW w:w="1628" w:type="dxa"/>
            <w:vAlign w:val="top"/>
          </w:tcPr>
          <w:p w14:paraId="3A6017E8">
            <w:pPr>
              <w:pStyle w:val="23"/>
              <w:spacing w:before="169" w:line="324" w:lineRule="exact"/>
              <w:ind w:left="619"/>
              <w:rPr>
                <w:color w:val="auto"/>
                <w:highlight w:val="none"/>
              </w:rPr>
            </w:pPr>
            <w:r>
              <w:rPr>
                <w:color w:val="auto"/>
                <w:spacing w:val="-2"/>
                <w:position w:val="2"/>
                <w:highlight w:val="none"/>
              </w:rPr>
              <w:t>……</w:t>
            </w:r>
          </w:p>
        </w:tc>
        <w:tc>
          <w:tcPr>
            <w:tcW w:w="805" w:type="dxa"/>
            <w:vAlign w:val="top"/>
          </w:tcPr>
          <w:p w14:paraId="44A55AA9">
            <w:pPr>
              <w:rPr>
                <w:rFonts w:ascii="Arial"/>
                <w:color w:val="auto"/>
                <w:sz w:val="21"/>
                <w:highlight w:val="none"/>
              </w:rPr>
            </w:pPr>
          </w:p>
        </w:tc>
        <w:tc>
          <w:tcPr>
            <w:tcW w:w="635" w:type="dxa"/>
            <w:vAlign w:val="top"/>
          </w:tcPr>
          <w:p w14:paraId="64243C3E">
            <w:pPr>
              <w:rPr>
                <w:rFonts w:ascii="Arial"/>
                <w:color w:val="auto"/>
                <w:sz w:val="21"/>
                <w:highlight w:val="none"/>
              </w:rPr>
            </w:pPr>
          </w:p>
        </w:tc>
        <w:tc>
          <w:tcPr>
            <w:tcW w:w="348" w:type="dxa"/>
            <w:vAlign w:val="top"/>
          </w:tcPr>
          <w:p w14:paraId="319CE9C0">
            <w:pPr>
              <w:rPr>
                <w:rFonts w:ascii="Arial"/>
                <w:color w:val="auto"/>
                <w:sz w:val="21"/>
                <w:highlight w:val="none"/>
              </w:rPr>
            </w:pPr>
          </w:p>
        </w:tc>
        <w:tc>
          <w:tcPr>
            <w:tcW w:w="348" w:type="dxa"/>
            <w:vAlign w:val="top"/>
          </w:tcPr>
          <w:p w14:paraId="7DC4BFBA">
            <w:pPr>
              <w:rPr>
                <w:rFonts w:ascii="Arial"/>
                <w:color w:val="auto"/>
                <w:sz w:val="21"/>
                <w:highlight w:val="none"/>
              </w:rPr>
            </w:pPr>
          </w:p>
        </w:tc>
        <w:tc>
          <w:tcPr>
            <w:tcW w:w="350" w:type="dxa"/>
            <w:vAlign w:val="top"/>
          </w:tcPr>
          <w:p w14:paraId="04291B10">
            <w:pPr>
              <w:rPr>
                <w:rFonts w:ascii="Arial"/>
                <w:color w:val="auto"/>
                <w:sz w:val="21"/>
                <w:highlight w:val="none"/>
              </w:rPr>
            </w:pPr>
          </w:p>
        </w:tc>
        <w:tc>
          <w:tcPr>
            <w:tcW w:w="348" w:type="dxa"/>
            <w:vAlign w:val="top"/>
          </w:tcPr>
          <w:p w14:paraId="2A5AFAC1">
            <w:pPr>
              <w:rPr>
                <w:rFonts w:ascii="Arial"/>
                <w:color w:val="auto"/>
                <w:sz w:val="21"/>
                <w:highlight w:val="none"/>
              </w:rPr>
            </w:pPr>
          </w:p>
        </w:tc>
        <w:tc>
          <w:tcPr>
            <w:tcW w:w="349" w:type="dxa"/>
            <w:vAlign w:val="top"/>
          </w:tcPr>
          <w:p w14:paraId="3BD498AC">
            <w:pPr>
              <w:rPr>
                <w:rFonts w:ascii="Arial"/>
                <w:color w:val="auto"/>
                <w:sz w:val="21"/>
                <w:highlight w:val="none"/>
              </w:rPr>
            </w:pPr>
          </w:p>
        </w:tc>
        <w:tc>
          <w:tcPr>
            <w:tcW w:w="351" w:type="dxa"/>
            <w:vAlign w:val="top"/>
          </w:tcPr>
          <w:p w14:paraId="3AEA2A66">
            <w:pPr>
              <w:rPr>
                <w:rFonts w:ascii="Arial"/>
                <w:color w:val="auto"/>
                <w:sz w:val="21"/>
                <w:highlight w:val="none"/>
              </w:rPr>
            </w:pPr>
          </w:p>
        </w:tc>
        <w:tc>
          <w:tcPr>
            <w:tcW w:w="349" w:type="dxa"/>
            <w:vAlign w:val="top"/>
          </w:tcPr>
          <w:p w14:paraId="7F749D77">
            <w:pPr>
              <w:rPr>
                <w:rFonts w:ascii="Arial"/>
                <w:color w:val="auto"/>
                <w:sz w:val="21"/>
                <w:highlight w:val="none"/>
              </w:rPr>
            </w:pPr>
          </w:p>
        </w:tc>
        <w:tc>
          <w:tcPr>
            <w:tcW w:w="349" w:type="dxa"/>
            <w:vAlign w:val="top"/>
          </w:tcPr>
          <w:p w14:paraId="076098DF">
            <w:pPr>
              <w:rPr>
                <w:rFonts w:ascii="Arial"/>
                <w:color w:val="auto"/>
                <w:sz w:val="21"/>
                <w:highlight w:val="none"/>
              </w:rPr>
            </w:pPr>
          </w:p>
        </w:tc>
        <w:tc>
          <w:tcPr>
            <w:tcW w:w="426" w:type="dxa"/>
            <w:vAlign w:val="top"/>
          </w:tcPr>
          <w:p w14:paraId="615A3F33">
            <w:pPr>
              <w:rPr>
                <w:rFonts w:ascii="Arial"/>
                <w:color w:val="auto"/>
                <w:sz w:val="21"/>
                <w:highlight w:val="none"/>
              </w:rPr>
            </w:pPr>
          </w:p>
        </w:tc>
        <w:tc>
          <w:tcPr>
            <w:tcW w:w="426" w:type="dxa"/>
            <w:vAlign w:val="top"/>
          </w:tcPr>
          <w:p w14:paraId="4D4DC346">
            <w:pPr>
              <w:rPr>
                <w:rFonts w:ascii="Arial"/>
                <w:color w:val="auto"/>
                <w:sz w:val="21"/>
                <w:highlight w:val="none"/>
              </w:rPr>
            </w:pPr>
          </w:p>
        </w:tc>
        <w:tc>
          <w:tcPr>
            <w:tcW w:w="426" w:type="dxa"/>
            <w:vAlign w:val="top"/>
          </w:tcPr>
          <w:p w14:paraId="6CC98264">
            <w:pPr>
              <w:rPr>
                <w:rFonts w:ascii="Arial"/>
                <w:color w:val="auto"/>
                <w:sz w:val="21"/>
                <w:highlight w:val="none"/>
              </w:rPr>
            </w:pPr>
          </w:p>
        </w:tc>
        <w:tc>
          <w:tcPr>
            <w:tcW w:w="429" w:type="dxa"/>
            <w:vAlign w:val="top"/>
          </w:tcPr>
          <w:p w14:paraId="3AD2BB0E">
            <w:pPr>
              <w:rPr>
                <w:rFonts w:ascii="Arial"/>
                <w:color w:val="auto"/>
                <w:sz w:val="21"/>
                <w:highlight w:val="none"/>
              </w:rPr>
            </w:pPr>
          </w:p>
        </w:tc>
        <w:tc>
          <w:tcPr>
            <w:tcW w:w="526" w:type="dxa"/>
            <w:vAlign w:val="top"/>
          </w:tcPr>
          <w:p w14:paraId="65DF9DA3">
            <w:pPr>
              <w:rPr>
                <w:rFonts w:ascii="Arial"/>
                <w:color w:val="auto"/>
                <w:sz w:val="21"/>
                <w:highlight w:val="none"/>
              </w:rPr>
            </w:pPr>
          </w:p>
        </w:tc>
        <w:tc>
          <w:tcPr>
            <w:tcW w:w="735" w:type="dxa"/>
            <w:vAlign w:val="top"/>
          </w:tcPr>
          <w:p w14:paraId="2330EBEA">
            <w:pPr>
              <w:rPr>
                <w:rFonts w:ascii="Arial"/>
                <w:color w:val="auto"/>
                <w:sz w:val="21"/>
                <w:highlight w:val="none"/>
              </w:rPr>
            </w:pPr>
          </w:p>
        </w:tc>
      </w:tr>
      <w:tr w14:paraId="45D6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36091F4D">
            <w:pPr>
              <w:pStyle w:val="23"/>
              <w:spacing w:before="168" w:line="324" w:lineRule="exact"/>
              <w:ind w:left="141"/>
              <w:rPr>
                <w:color w:val="auto"/>
                <w:highlight w:val="none"/>
              </w:rPr>
            </w:pPr>
            <w:r>
              <w:rPr>
                <w:color w:val="auto"/>
                <w:position w:val="2"/>
                <w:highlight w:val="none"/>
              </w:rPr>
              <w:t>…</w:t>
            </w:r>
          </w:p>
        </w:tc>
        <w:tc>
          <w:tcPr>
            <w:tcW w:w="1628" w:type="dxa"/>
            <w:vAlign w:val="top"/>
          </w:tcPr>
          <w:p w14:paraId="52988275">
            <w:pPr>
              <w:pStyle w:val="23"/>
              <w:spacing w:before="168" w:line="324" w:lineRule="exact"/>
              <w:ind w:left="619"/>
              <w:rPr>
                <w:color w:val="auto"/>
                <w:highlight w:val="none"/>
              </w:rPr>
            </w:pPr>
            <w:r>
              <w:rPr>
                <w:color w:val="auto"/>
                <w:spacing w:val="-2"/>
                <w:position w:val="2"/>
                <w:highlight w:val="none"/>
              </w:rPr>
              <w:t>……</w:t>
            </w:r>
          </w:p>
        </w:tc>
        <w:tc>
          <w:tcPr>
            <w:tcW w:w="805" w:type="dxa"/>
            <w:vAlign w:val="top"/>
          </w:tcPr>
          <w:p w14:paraId="066D8A28">
            <w:pPr>
              <w:rPr>
                <w:rFonts w:ascii="Arial"/>
                <w:color w:val="auto"/>
                <w:sz w:val="21"/>
                <w:highlight w:val="none"/>
              </w:rPr>
            </w:pPr>
          </w:p>
        </w:tc>
        <w:tc>
          <w:tcPr>
            <w:tcW w:w="635" w:type="dxa"/>
            <w:vAlign w:val="top"/>
          </w:tcPr>
          <w:p w14:paraId="7DE02A07">
            <w:pPr>
              <w:rPr>
                <w:rFonts w:ascii="Arial"/>
                <w:color w:val="auto"/>
                <w:sz w:val="21"/>
                <w:highlight w:val="none"/>
              </w:rPr>
            </w:pPr>
          </w:p>
        </w:tc>
        <w:tc>
          <w:tcPr>
            <w:tcW w:w="348" w:type="dxa"/>
            <w:vAlign w:val="top"/>
          </w:tcPr>
          <w:p w14:paraId="79CC0148">
            <w:pPr>
              <w:rPr>
                <w:rFonts w:ascii="Arial"/>
                <w:color w:val="auto"/>
                <w:sz w:val="21"/>
                <w:highlight w:val="none"/>
              </w:rPr>
            </w:pPr>
          </w:p>
        </w:tc>
        <w:tc>
          <w:tcPr>
            <w:tcW w:w="348" w:type="dxa"/>
            <w:vAlign w:val="top"/>
          </w:tcPr>
          <w:p w14:paraId="74E8E129">
            <w:pPr>
              <w:rPr>
                <w:rFonts w:ascii="Arial"/>
                <w:color w:val="auto"/>
                <w:sz w:val="21"/>
                <w:highlight w:val="none"/>
              </w:rPr>
            </w:pPr>
          </w:p>
        </w:tc>
        <w:tc>
          <w:tcPr>
            <w:tcW w:w="350" w:type="dxa"/>
            <w:vAlign w:val="top"/>
          </w:tcPr>
          <w:p w14:paraId="393F8780">
            <w:pPr>
              <w:rPr>
                <w:rFonts w:ascii="Arial"/>
                <w:color w:val="auto"/>
                <w:sz w:val="21"/>
                <w:highlight w:val="none"/>
              </w:rPr>
            </w:pPr>
          </w:p>
        </w:tc>
        <w:tc>
          <w:tcPr>
            <w:tcW w:w="348" w:type="dxa"/>
            <w:vAlign w:val="top"/>
          </w:tcPr>
          <w:p w14:paraId="1C67218B">
            <w:pPr>
              <w:rPr>
                <w:rFonts w:ascii="Arial"/>
                <w:color w:val="auto"/>
                <w:sz w:val="21"/>
                <w:highlight w:val="none"/>
              </w:rPr>
            </w:pPr>
          </w:p>
        </w:tc>
        <w:tc>
          <w:tcPr>
            <w:tcW w:w="349" w:type="dxa"/>
            <w:vAlign w:val="top"/>
          </w:tcPr>
          <w:p w14:paraId="4F8464E4">
            <w:pPr>
              <w:rPr>
                <w:rFonts w:ascii="Arial"/>
                <w:color w:val="auto"/>
                <w:sz w:val="21"/>
                <w:highlight w:val="none"/>
              </w:rPr>
            </w:pPr>
          </w:p>
        </w:tc>
        <w:tc>
          <w:tcPr>
            <w:tcW w:w="351" w:type="dxa"/>
            <w:vAlign w:val="top"/>
          </w:tcPr>
          <w:p w14:paraId="3858F4A1">
            <w:pPr>
              <w:rPr>
                <w:rFonts w:ascii="Arial"/>
                <w:color w:val="auto"/>
                <w:sz w:val="21"/>
                <w:highlight w:val="none"/>
              </w:rPr>
            </w:pPr>
          </w:p>
        </w:tc>
        <w:tc>
          <w:tcPr>
            <w:tcW w:w="349" w:type="dxa"/>
            <w:vAlign w:val="top"/>
          </w:tcPr>
          <w:p w14:paraId="1E49FB60">
            <w:pPr>
              <w:rPr>
                <w:rFonts w:ascii="Arial"/>
                <w:color w:val="auto"/>
                <w:sz w:val="21"/>
                <w:highlight w:val="none"/>
              </w:rPr>
            </w:pPr>
          </w:p>
        </w:tc>
        <w:tc>
          <w:tcPr>
            <w:tcW w:w="349" w:type="dxa"/>
            <w:vAlign w:val="top"/>
          </w:tcPr>
          <w:p w14:paraId="0B65665E">
            <w:pPr>
              <w:rPr>
                <w:rFonts w:ascii="Arial"/>
                <w:color w:val="auto"/>
                <w:sz w:val="21"/>
                <w:highlight w:val="none"/>
              </w:rPr>
            </w:pPr>
          </w:p>
        </w:tc>
        <w:tc>
          <w:tcPr>
            <w:tcW w:w="426" w:type="dxa"/>
            <w:vAlign w:val="top"/>
          </w:tcPr>
          <w:p w14:paraId="124DECA2">
            <w:pPr>
              <w:rPr>
                <w:rFonts w:ascii="Arial"/>
                <w:color w:val="auto"/>
                <w:sz w:val="21"/>
                <w:highlight w:val="none"/>
              </w:rPr>
            </w:pPr>
          </w:p>
        </w:tc>
        <w:tc>
          <w:tcPr>
            <w:tcW w:w="426" w:type="dxa"/>
            <w:vAlign w:val="top"/>
          </w:tcPr>
          <w:p w14:paraId="6675A2BB">
            <w:pPr>
              <w:rPr>
                <w:rFonts w:ascii="Arial"/>
                <w:color w:val="auto"/>
                <w:sz w:val="21"/>
                <w:highlight w:val="none"/>
              </w:rPr>
            </w:pPr>
          </w:p>
        </w:tc>
        <w:tc>
          <w:tcPr>
            <w:tcW w:w="426" w:type="dxa"/>
            <w:vAlign w:val="top"/>
          </w:tcPr>
          <w:p w14:paraId="3BDC97EE">
            <w:pPr>
              <w:rPr>
                <w:rFonts w:ascii="Arial"/>
                <w:color w:val="auto"/>
                <w:sz w:val="21"/>
                <w:highlight w:val="none"/>
              </w:rPr>
            </w:pPr>
          </w:p>
        </w:tc>
        <w:tc>
          <w:tcPr>
            <w:tcW w:w="429" w:type="dxa"/>
            <w:vAlign w:val="top"/>
          </w:tcPr>
          <w:p w14:paraId="238EC9DD">
            <w:pPr>
              <w:rPr>
                <w:rFonts w:ascii="Arial"/>
                <w:color w:val="auto"/>
                <w:sz w:val="21"/>
                <w:highlight w:val="none"/>
              </w:rPr>
            </w:pPr>
          </w:p>
        </w:tc>
        <w:tc>
          <w:tcPr>
            <w:tcW w:w="526" w:type="dxa"/>
            <w:vAlign w:val="top"/>
          </w:tcPr>
          <w:p w14:paraId="7DBEEAEC">
            <w:pPr>
              <w:rPr>
                <w:rFonts w:ascii="Arial"/>
                <w:color w:val="auto"/>
                <w:sz w:val="21"/>
                <w:highlight w:val="none"/>
              </w:rPr>
            </w:pPr>
          </w:p>
        </w:tc>
        <w:tc>
          <w:tcPr>
            <w:tcW w:w="735" w:type="dxa"/>
            <w:vAlign w:val="top"/>
          </w:tcPr>
          <w:p w14:paraId="7CEFA572">
            <w:pPr>
              <w:rPr>
                <w:rFonts w:ascii="Arial"/>
                <w:color w:val="auto"/>
                <w:sz w:val="21"/>
                <w:highlight w:val="none"/>
              </w:rPr>
            </w:pPr>
          </w:p>
        </w:tc>
      </w:tr>
      <w:tr w14:paraId="2C2A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891" w:type="dxa"/>
            <w:gridSpan w:val="3"/>
            <w:vAlign w:val="top"/>
          </w:tcPr>
          <w:p w14:paraId="3AD8CF8E">
            <w:pPr>
              <w:pStyle w:val="23"/>
              <w:spacing w:before="95" w:line="228" w:lineRule="auto"/>
              <w:ind w:left="716"/>
              <w:rPr>
                <w:color w:val="auto"/>
                <w:highlight w:val="none"/>
              </w:rPr>
            </w:pPr>
            <w:r>
              <w:rPr>
                <w:color w:val="auto"/>
                <w:spacing w:val="8"/>
                <w:highlight w:val="none"/>
              </w:rPr>
              <w:t>每月应在工地的</w:t>
            </w:r>
          </w:p>
          <w:p w14:paraId="3D1D43CE">
            <w:pPr>
              <w:pStyle w:val="23"/>
              <w:spacing w:before="24" w:line="228" w:lineRule="auto"/>
              <w:ind w:left="403"/>
              <w:rPr>
                <w:color w:val="auto"/>
                <w:highlight w:val="none"/>
              </w:rPr>
            </w:pPr>
            <w:r>
              <w:rPr>
                <w:color w:val="auto"/>
                <w:spacing w:val="7"/>
                <w:highlight w:val="none"/>
              </w:rPr>
              <w:t>监理人员合计（人数）</w:t>
            </w:r>
          </w:p>
        </w:tc>
        <w:tc>
          <w:tcPr>
            <w:tcW w:w="635" w:type="dxa"/>
            <w:vAlign w:val="top"/>
          </w:tcPr>
          <w:p w14:paraId="3EAA514E">
            <w:pPr>
              <w:pStyle w:val="23"/>
              <w:spacing w:before="36" w:line="324" w:lineRule="exact"/>
              <w:ind w:left="126"/>
              <w:rPr>
                <w:color w:val="auto"/>
                <w:highlight w:val="none"/>
              </w:rPr>
            </w:pPr>
            <w:r>
              <w:rPr>
                <w:color w:val="auto"/>
                <w:spacing w:val="-2"/>
                <w:position w:val="2"/>
                <w:highlight w:val="none"/>
              </w:rPr>
              <w:t>……</w:t>
            </w:r>
          </w:p>
        </w:tc>
        <w:tc>
          <w:tcPr>
            <w:tcW w:w="348" w:type="dxa"/>
            <w:vAlign w:val="top"/>
          </w:tcPr>
          <w:p w14:paraId="109D133B">
            <w:pPr>
              <w:rPr>
                <w:rFonts w:ascii="Arial"/>
                <w:color w:val="auto"/>
                <w:sz w:val="21"/>
                <w:highlight w:val="none"/>
              </w:rPr>
            </w:pPr>
          </w:p>
        </w:tc>
        <w:tc>
          <w:tcPr>
            <w:tcW w:w="348" w:type="dxa"/>
            <w:vAlign w:val="top"/>
          </w:tcPr>
          <w:p w14:paraId="773D7473">
            <w:pPr>
              <w:rPr>
                <w:rFonts w:ascii="Arial"/>
                <w:color w:val="auto"/>
                <w:sz w:val="21"/>
                <w:highlight w:val="none"/>
              </w:rPr>
            </w:pPr>
          </w:p>
        </w:tc>
        <w:tc>
          <w:tcPr>
            <w:tcW w:w="350" w:type="dxa"/>
            <w:vAlign w:val="top"/>
          </w:tcPr>
          <w:p w14:paraId="296FCBC6">
            <w:pPr>
              <w:rPr>
                <w:rFonts w:ascii="Arial"/>
                <w:color w:val="auto"/>
                <w:sz w:val="21"/>
                <w:highlight w:val="none"/>
              </w:rPr>
            </w:pPr>
          </w:p>
        </w:tc>
        <w:tc>
          <w:tcPr>
            <w:tcW w:w="348" w:type="dxa"/>
            <w:vAlign w:val="top"/>
          </w:tcPr>
          <w:p w14:paraId="32D55D80">
            <w:pPr>
              <w:rPr>
                <w:rFonts w:ascii="Arial"/>
                <w:color w:val="auto"/>
                <w:sz w:val="21"/>
                <w:highlight w:val="none"/>
              </w:rPr>
            </w:pPr>
          </w:p>
        </w:tc>
        <w:tc>
          <w:tcPr>
            <w:tcW w:w="349" w:type="dxa"/>
            <w:vAlign w:val="top"/>
          </w:tcPr>
          <w:p w14:paraId="7DD899DE">
            <w:pPr>
              <w:rPr>
                <w:rFonts w:ascii="Arial"/>
                <w:color w:val="auto"/>
                <w:sz w:val="21"/>
                <w:highlight w:val="none"/>
              </w:rPr>
            </w:pPr>
          </w:p>
        </w:tc>
        <w:tc>
          <w:tcPr>
            <w:tcW w:w="351" w:type="dxa"/>
            <w:vAlign w:val="top"/>
          </w:tcPr>
          <w:p w14:paraId="18369478">
            <w:pPr>
              <w:rPr>
                <w:rFonts w:ascii="Arial"/>
                <w:color w:val="auto"/>
                <w:sz w:val="21"/>
                <w:highlight w:val="none"/>
              </w:rPr>
            </w:pPr>
          </w:p>
        </w:tc>
        <w:tc>
          <w:tcPr>
            <w:tcW w:w="349" w:type="dxa"/>
            <w:vAlign w:val="top"/>
          </w:tcPr>
          <w:p w14:paraId="79FDF860">
            <w:pPr>
              <w:rPr>
                <w:rFonts w:ascii="Arial"/>
                <w:color w:val="auto"/>
                <w:sz w:val="21"/>
                <w:highlight w:val="none"/>
              </w:rPr>
            </w:pPr>
          </w:p>
        </w:tc>
        <w:tc>
          <w:tcPr>
            <w:tcW w:w="349" w:type="dxa"/>
            <w:vAlign w:val="top"/>
          </w:tcPr>
          <w:p w14:paraId="5ED859DE">
            <w:pPr>
              <w:rPr>
                <w:rFonts w:ascii="Arial"/>
                <w:color w:val="auto"/>
                <w:sz w:val="21"/>
                <w:highlight w:val="none"/>
              </w:rPr>
            </w:pPr>
          </w:p>
        </w:tc>
        <w:tc>
          <w:tcPr>
            <w:tcW w:w="426" w:type="dxa"/>
            <w:vAlign w:val="top"/>
          </w:tcPr>
          <w:p w14:paraId="14981FAD">
            <w:pPr>
              <w:rPr>
                <w:rFonts w:ascii="Arial"/>
                <w:color w:val="auto"/>
                <w:sz w:val="21"/>
                <w:highlight w:val="none"/>
              </w:rPr>
            </w:pPr>
          </w:p>
        </w:tc>
        <w:tc>
          <w:tcPr>
            <w:tcW w:w="426" w:type="dxa"/>
            <w:vAlign w:val="top"/>
          </w:tcPr>
          <w:p w14:paraId="5CE97907">
            <w:pPr>
              <w:rPr>
                <w:rFonts w:ascii="Arial"/>
                <w:color w:val="auto"/>
                <w:sz w:val="21"/>
                <w:highlight w:val="none"/>
              </w:rPr>
            </w:pPr>
          </w:p>
        </w:tc>
        <w:tc>
          <w:tcPr>
            <w:tcW w:w="426" w:type="dxa"/>
            <w:vAlign w:val="top"/>
          </w:tcPr>
          <w:p w14:paraId="1E4F0DA5">
            <w:pPr>
              <w:rPr>
                <w:rFonts w:ascii="Arial"/>
                <w:color w:val="auto"/>
                <w:sz w:val="21"/>
                <w:highlight w:val="none"/>
              </w:rPr>
            </w:pPr>
          </w:p>
        </w:tc>
        <w:tc>
          <w:tcPr>
            <w:tcW w:w="429" w:type="dxa"/>
            <w:vAlign w:val="top"/>
          </w:tcPr>
          <w:p w14:paraId="72703275">
            <w:pPr>
              <w:rPr>
                <w:rFonts w:ascii="Arial"/>
                <w:color w:val="auto"/>
                <w:sz w:val="21"/>
                <w:highlight w:val="none"/>
              </w:rPr>
            </w:pPr>
          </w:p>
        </w:tc>
        <w:tc>
          <w:tcPr>
            <w:tcW w:w="526" w:type="dxa"/>
            <w:vAlign w:val="top"/>
          </w:tcPr>
          <w:p w14:paraId="7B164E82">
            <w:pPr>
              <w:rPr>
                <w:rFonts w:ascii="Arial"/>
                <w:color w:val="auto"/>
                <w:sz w:val="21"/>
                <w:highlight w:val="none"/>
              </w:rPr>
            </w:pPr>
          </w:p>
        </w:tc>
        <w:tc>
          <w:tcPr>
            <w:tcW w:w="735" w:type="dxa"/>
            <w:vAlign w:val="top"/>
          </w:tcPr>
          <w:p w14:paraId="54E05CB1">
            <w:pPr>
              <w:rPr>
                <w:rFonts w:ascii="Arial"/>
                <w:color w:val="auto"/>
                <w:sz w:val="21"/>
                <w:highlight w:val="none"/>
              </w:rPr>
            </w:pPr>
          </w:p>
        </w:tc>
      </w:tr>
    </w:tbl>
    <w:p w14:paraId="3BE61B51">
      <w:pPr>
        <w:spacing w:before="304" w:line="378" w:lineRule="auto"/>
        <w:ind w:left="1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注:按照拟投入本工程现场监理人员的计划在岗安排据实填报。在岗时间为:进场时间为当月第一日；</w:t>
      </w:r>
      <w:r>
        <w:rPr>
          <w:rFonts w:ascii="宋体" w:hAnsi="宋体" w:eastAsia="宋体" w:cs="宋体"/>
          <w:color w:val="auto"/>
          <w:spacing w:val="7"/>
          <w:sz w:val="20"/>
          <w:szCs w:val="20"/>
          <w:highlight w:val="none"/>
        </w:rPr>
        <w:t>在岗表示为“-</w:t>
      </w:r>
      <w:r>
        <w:rPr>
          <w:rFonts w:ascii="宋体" w:hAnsi="宋体" w:eastAsia="宋体" w:cs="宋体"/>
          <w:color w:val="auto"/>
          <w:spacing w:val="-66"/>
          <w:sz w:val="20"/>
          <w:szCs w:val="20"/>
          <w:highlight w:val="none"/>
        </w:rPr>
        <w:t xml:space="preserve"> </w:t>
      </w:r>
      <w:r>
        <w:rPr>
          <w:rFonts w:ascii="宋体" w:hAnsi="宋体" w:eastAsia="宋体" w:cs="宋体"/>
          <w:color w:val="auto"/>
          <w:spacing w:val="7"/>
          <w:sz w:val="20"/>
          <w:szCs w:val="20"/>
          <w:highlight w:val="none"/>
        </w:rPr>
        <w:t>”。</w:t>
      </w:r>
    </w:p>
    <w:p w14:paraId="0B512399">
      <w:pPr>
        <w:spacing w:line="378" w:lineRule="auto"/>
        <w:rPr>
          <w:rFonts w:ascii="宋体" w:hAnsi="宋体" w:eastAsia="宋体" w:cs="宋体"/>
          <w:color w:val="auto"/>
          <w:sz w:val="20"/>
          <w:szCs w:val="20"/>
          <w:highlight w:val="none"/>
        </w:rPr>
        <w:sectPr>
          <w:footerReference r:id="rId73" w:type="default"/>
          <w:pgSz w:w="11906" w:h="16839"/>
          <w:pgMar w:top="1402" w:right="1303" w:bottom="1297" w:left="1307" w:header="0" w:footer="1067" w:gutter="0"/>
          <w:pgNumType w:fmt="decimal"/>
          <w:cols w:space="720" w:num="1"/>
        </w:sectPr>
      </w:pPr>
    </w:p>
    <w:p w14:paraId="43AC141A">
      <w:pPr>
        <w:spacing w:before="56" w:line="219" w:lineRule="auto"/>
        <w:ind w:left="2679"/>
        <w:rPr>
          <w:rFonts w:ascii="宋体" w:hAnsi="宋体" w:eastAsia="宋体" w:cs="宋体"/>
          <w:color w:val="auto"/>
          <w:sz w:val="28"/>
          <w:szCs w:val="28"/>
          <w:highlight w:val="none"/>
        </w:rPr>
      </w:pPr>
      <w:r>
        <w:rPr>
          <w:rFonts w:ascii="宋体" w:hAnsi="宋体" w:eastAsia="宋体" w:cs="宋体"/>
          <w:b/>
          <w:bCs/>
          <w:color w:val="auto"/>
          <w:sz w:val="28"/>
          <w:szCs w:val="28"/>
          <w:highlight w:val="none"/>
        </w:rPr>
        <w:t>附件2</w:t>
      </w:r>
      <w:r>
        <w:rPr>
          <w:rFonts w:ascii="宋体" w:hAnsi="宋体" w:eastAsia="宋体" w:cs="宋体"/>
          <w:color w:val="auto"/>
          <w:sz w:val="28"/>
          <w:szCs w:val="28"/>
          <w:highlight w:val="none"/>
        </w:rPr>
        <w:t xml:space="preserve">   </w:t>
      </w:r>
      <w:r>
        <w:rPr>
          <w:rFonts w:ascii="宋体" w:hAnsi="宋体" w:eastAsia="宋体" w:cs="宋体"/>
          <w:b/>
          <w:bCs/>
          <w:color w:val="auto"/>
          <w:sz w:val="28"/>
          <w:szCs w:val="28"/>
          <w:highlight w:val="none"/>
        </w:rPr>
        <w:t>监理设施进出场时间表</w:t>
      </w:r>
    </w:p>
    <w:p w14:paraId="3C9E482E">
      <w:pPr>
        <w:spacing w:before="147"/>
        <w:rPr>
          <w:color w:val="auto"/>
          <w:highlight w:val="none"/>
        </w:rPr>
      </w:pPr>
    </w:p>
    <w:tbl>
      <w:tblPr>
        <w:tblStyle w:val="22"/>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1396"/>
        <w:gridCol w:w="1381"/>
        <w:gridCol w:w="1394"/>
        <w:gridCol w:w="2061"/>
        <w:gridCol w:w="1042"/>
      </w:tblGrid>
      <w:tr w14:paraId="11033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16" w:type="dxa"/>
            <w:vMerge w:val="restart"/>
            <w:tcBorders>
              <w:bottom w:val="nil"/>
            </w:tcBorders>
            <w:vAlign w:val="top"/>
          </w:tcPr>
          <w:p w14:paraId="45C4EFE9">
            <w:pPr>
              <w:spacing w:line="303" w:lineRule="auto"/>
              <w:rPr>
                <w:rFonts w:ascii="Arial"/>
                <w:color w:val="auto"/>
                <w:sz w:val="21"/>
                <w:highlight w:val="none"/>
              </w:rPr>
            </w:pPr>
          </w:p>
          <w:p w14:paraId="5389D65E">
            <w:pPr>
              <w:pStyle w:val="23"/>
              <w:spacing w:before="65" w:line="229" w:lineRule="auto"/>
              <w:ind w:left="813"/>
              <w:rPr>
                <w:color w:val="auto"/>
                <w:highlight w:val="none"/>
              </w:rPr>
            </w:pPr>
            <w:r>
              <w:rPr>
                <w:color w:val="auto"/>
                <w:spacing w:val="-1"/>
                <w:highlight w:val="none"/>
              </w:rPr>
              <w:t>时段</w:t>
            </w:r>
          </w:p>
        </w:tc>
        <w:tc>
          <w:tcPr>
            <w:tcW w:w="7274" w:type="dxa"/>
            <w:gridSpan w:val="5"/>
            <w:vAlign w:val="top"/>
          </w:tcPr>
          <w:p w14:paraId="1A4EE7FE">
            <w:pPr>
              <w:pStyle w:val="23"/>
              <w:spacing w:before="163" w:line="217" w:lineRule="auto"/>
              <w:ind w:left="3221"/>
              <w:rPr>
                <w:color w:val="auto"/>
                <w:highlight w:val="none"/>
              </w:rPr>
            </w:pPr>
            <w:r>
              <w:rPr>
                <w:color w:val="auto"/>
                <w:spacing w:val="7"/>
                <w:highlight w:val="none"/>
              </w:rPr>
              <w:t>监理设施</w:t>
            </w:r>
          </w:p>
        </w:tc>
      </w:tr>
      <w:tr w14:paraId="0FD7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Merge w:val="continue"/>
            <w:tcBorders>
              <w:top w:val="nil"/>
            </w:tcBorders>
            <w:vAlign w:val="top"/>
          </w:tcPr>
          <w:p w14:paraId="6489E91F">
            <w:pPr>
              <w:rPr>
                <w:rFonts w:ascii="Arial"/>
                <w:color w:val="auto"/>
                <w:sz w:val="21"/>
                <w:highlight w:val="none"/>
              </w:rPr>
            </w:pPr>
          </w:p>
        </w:tc>
        <w:tc>
          <w:tcPr>
            <w:tcW w:w="1396" w:type="dxa"/>
            <w:vAlign w:val="top"/>
          </w:tcPr>
          <w:p w14:paraId="0C8DB080">
            <w:pPr>
              <w:pStyle w:val="23"/>
              <w:spacing w:before="160" w:line="216" w:lineRule="auto"/>
              <w:ind w:left="287"/>
              <w:rPr>
                <w:color w:val="auto"/>
                <w:highlight w:val="none"/>
              </w:rPr>
            </w:pPr>
            <w:r>
              <w:rPr>
                <w:color w:val="auto"/>
                <w:spacing w:val="6"/>
                <w:highlight w:val="none"/>
              </w:rPr>
              <w:t>交通设施</w:t>
            </w:r>
          </w:p>
        </w:tc>
        <w:tc>
          <w:tcPr>
            <w:tcW w:w="1381" w:type="dxa"/>
            <w:vAlign w:val="top"/>
          </w:tcPr>
          <w:p w14:paraId="4305DE04">
            <w:pPr>
              <w:pStyle w:val="23"/>
              <w:spacing w:before="160" w:line="216" w:lineRule="auto"/>
              <w:ind w:left="280"/>
              <w:rPr>
                <w:color w:val="auto"/>
                <w:highlight w:val="none"/>
              </w:rPr>
            </w:pPr>
            <w:r>
              <w:rPr>
                <w:color w:val="auto"/>
                <w:spacing w:val="6"/>
                <w:highlight w:val="none"/>
              </w:rPr>
              <w:t>办公设施</w:t>
            </w:r>
          </w:p>
        </w:tc>
        <w:tc>
          <w:tcPr>
            <w:tcW w:w="1394" w:type="dxa"/>
            <w:vAlign w:val="top"/>
          </w:tcPr>
          <w:p w14:paraId="243B8DB8">
            <w:pPr>
              <w:pStyle w:val="23"/>
              <w:spacing w:before="160" w:line="216" w:lineRule="auto"/>
              <w:ind w:left="284"/>
              <w:rPr>
                <w:color w:val="auto"/>
                <w:highlight w:val="none"/>
              </w:rPr>
            </w:pPr>
            <w:r>
              <w:rPr>
                <w:color w:val="auto"/>
                <w:spacing w:val="6"/>
                <w:highlight w:val="none"/>
              </w:rPr>
              <w:t>生活设施</w:t>
            </w:r>
          </w:p>
        </w:tc>
        <w:tc>
          <w:tcPr>
            <w:tcW w:w="2061" w:type="dxa"/>
            <w:vAlign w:val="top"/>
          </w:tcPr>
          <w:p w14:paraId="50A836CC">
            <w:pPr>
              <w:pStyle w:val="23"/>
              <w:spacing w:before="160" w:line="216" w:lineRule="auto"/>
              <w:ind w:left="302"/>
              <w:rPr>
                <w:color w:val="auto"/>
                <w:highlight w:val="none"/>
              </w:rPr>
            </w:pPr>
            <w:r>
              <w:rPr>
                <w:color w:val="auto"/>
                <w:spacing w:val="8"/>
                <w:highlight w:val="none"/>
              </w:rPr>
              <w:t>试验、检测仪器</w:t>
            </w:r>
          </w:p>
        </w:tc>
        <w:tc>
          <w:tcPr>
            <w:tcW w:w="1042" w:type="dxa"/>
            <w:vAlign w:val="top"/>
          </w:tcPr>
          <w:p w14:paraId="0D5DE5D8">
            <w:pPr>
              <w:pStyle w:val="23"/>
              <w:spacing w:before="160" w:line="216" w:lineRule="auto"/>
              <w:ind w:left="318"/>
              <w:rPr>
                <w:color w:val="auto"/>
                <w:highlight w:val="none"/>
              </w:rPr>
            </w:pPr>
            <w:r>
              <w:rPr>
                <w:color w:val="auto"/>
                <w:spacing w:val="4"/>
                <w:highlight w:val="none"/>
              </w:rPr>
              <w:t>其他</w:t>
            </w:r>
          </w:p>
        </w:tc>
      </w:tr>
      <w:tr w14:paraId="7D89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4343D9DF">
            <w:pPr>
              <w:pStyle w:val="23"/>
              <w:spacing w:before="161" w:line="215"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73967857">
            <w:pPr>
              <w:rPr>
                <w:rFonts w:ascii="Arial"/>
                <w:color w:val="auto"/>
                <w:sz w:val="21"/>
                <w:highlight w:val="none"/>
              </w:rPr>
            </w:pPr>
          </w:p>
        </w:tc>
        <w:tc>
          <w:tcPr>
            <w:tcW w:w="1381" w:type="dxa"/>
            <w:vAlign w:val="top"/>
          </w:tcPr>
          <w:p w14:paraId="6CD32DB8">
            <w:pPr>
              <w:rPr>
                <w:rFonts w:ascii="Arial"/>
                <w:color w:val="auto"/>
                <w:sz w:val="21"/>
                <w:highlight w:val="none"/>
              </w:rPr>
            </w:pPr>
          </w:p>
        </w:tc>
        <w:tc>
          <w:tcPr>
            <w:tcW w:w="1394" w:type="dxa"/>
            <w:vAlign w:val="top"/>
          </w:tcPr>
          <w:p w14:paraId="374E97BE">
            <w:pPr>
              <w:rPr>
                <w:rFonts w:ascii="Arial"/>
                <w:color w:val="auto"/>
                <w:sz w:val="21"/>
                <w:highlight w:val="none"/>
              </w:rPr>
            </w:pPr>
          </w:p>
        </w:tc>
        <w:tc>
          <w:tcPr>
            <w:tcW w:w="2061" w:type="dxa"/>
            <w:vAlign w:val="top"/>
          </w:tcPr>
          <w:p w14:paraId="22DB0A4D">
            <w:pPr>
              <w:rPr>
                <w:rFonts w:ascii="Arial"/>
                <w:color w:val="auto"/>
                <w:sz w:val="21"/>
                <w:highlight w:val="none"/>
              </w:rPr>
            </w:pPr>
          </w:p>
        </w:tc>
        <w:tc>
          <w:tcPr>
            <w:tcW w:w="1042" w:type="dxa"/>
            <w:vAlign w:val="top"/>
          </w:tcPr>
          <w:p w14:paraId="509FA3FF">
            <w:pPr>
              <w:rPr>
                <w:rFonts w:ascii="Arial"/>
                <w:color w:val="auto"/>
                <w:sz w:val="21"/>
                <w:highlight w:val="none"/>
              </w:rPr>
            </w:pPr>
          </w:p>
        </w:tc>
      </w:tr>
      <w:tr w14:paraId="0B26D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50F1D8C9">
            <w:pPr>
              <w:pStyle w:val="23"/>
              <w:spacing w:before="163"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482E43B5">
            <w:pPr>
              <w:rPr>
                <w:rFonts w:ascii="Arial"/>
                <w:color w:val="auto"/>
                <w:sz w:val="21"/>
                <w:highlight w:val="none"/>
              </w:rPr>
            </w:pPr>
          </w:p>
        </w:tc>
        <w:tc>
          <w:tcPr>
            <w:tcW w:w="1381" w:type="dxa"/>
            <w:vAlign w:val="top"/>
          </w:tcPr>
          <w:p w14:paraId="107D6D24">
            <w:pPr>
              <w:rPr>
                <w:rFonts w:ascii="Arial"/>
                <w:color w:val="auto"/>
                <w:sz w:val="21"/>
                <w:highlight w:val="none"/>
              </w:rPr>
            </w:pPr>
          </w:p>
        </w:tc>
        <w:tc>
          <w:tcPr>
            <w:tcW w:w="1394" w:type="dxa"/>
            <w:vAlign w:val="top"/>
          </w:tcPr>
          <w:p w14:paraId="0679B073">
            <w:pPr>
              <w:rPr>
                <w:rFonts w:ascii="Arial"/>
                <w:color w:val="auto"/>
                <w:sz w:val="21"/>
                <w:highlight w:val="none"/>
              </w:rPr>
            </w:pPr>
          </w:p>
        </w:tc>
        <w:tc>
          <w:tcPr>
            <w:tcW w:w="2061" w:type="dxa"/>
            <w:vAlign w:val="top"/>
          </w:tcPr>
          <w:p w14:paraId="379EFDD6">
            <w:pPr>
              <w:rPr>
                <w:rFonts w:ascii="Arial"/>
                <w:color w:val="auto"/>
                <w:sz w:val="21"/>
                <w:highlight w:val="none"/>
              </w:rPr>
            </w:pPr>
          </w:p>
        </w:tc>
        <w:tc>
          <w:tcPr>
            <w:tcW w:w="1042" w:type="dxa"/>
            <w:vAlign w:val="top"/>
          </w:tcPr>
          <w:p w14:paraId="09E62C00">
            <w:pPr>
              <w:rPr>
                <w:rFonts w:ascii="Arial"/>
                <w:color w:val="auto"/>
                <w:sz w:val="21"/>
                <w:highlight w:val="none"/>
              </w:rPr>
            </w:pPr>
          </w:p>
        </w:tc>
      </w:tr>
      <w:tr w14:paraId="75DB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1E5760EA">
            <w:pPr>
              <w:pStyle w:val="23"/>
              <w:spacing w:before="164"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102BB21D">
            <w:pPr>
              <w:rPr>
                <w:rFonts w:ascii="Arial"/>
                <w:color w:val="auto"/>
                <w:sz w:val="21"/>
                <w:highlight w:val="none"/>
              </w:rPr>
            </w:pPr>
          </w:p>
        </w:tc>
        <w:tc>
          <w:tcPr>
            <w:tcW w:w="1381" w:type="dxa"/>
            <w:vAlign w:val="top"/>
          </w:tcPr>
          <w:p w14:paraId="1112450C">
            <w:pPr>
              <w:rPr>
                <w:rFonts w:ascii="Arial"/>
                <w:color w:val="auto"/>
                <w:sz w:val="21"/>
                <w:highlight w:val="none"/>
              </w:rPr>
            </w:pPr>
          </w:p>
        </w:tc>
        <w:tc>
          <w:tcPr>
            <w:tcW w:w="1394" w:type="dxa"/>
            <w:vAlign w:val="top"/>
          </w:tcPr>
          <w:p w14:paraId="7C3AB83F">
            <w:pPr>
              <w:rPr>
                <w:rFonts w:ascii="Arial"/>
                <w:color w:val="auto"/>
                <w:sz w:val="21"/>
                <w:highlight w:val="none"/>
              </w:rPr>
            </w:pPr>
          </w:p>
        </w:tc>
        <w:tc>
          <w:tcPr>
            <w:tcW w:w="2061" w:type="dxa"/>
            <w:vAlign w:val="top"/>
          </w:tcPr>
          <w:p w14:paraId="71C87FD6">
            <w:pPr>
              <w:rPr>
                <w:rFonts w:ascii="Arial"/>
                <w:color w:val="auto"/>
                <w:sz w:val="21"/>
                <w:highlight w:val="none"/>
              </w:rPr>
            </w:pPr>
          </w:p>
        </w:tc>
        <w:tc>
          <w:tcPr>
            <w:tcW w:w="1042" w:type="dxa"/>
            <w:vAlign w:val="top"/>
          </w:tcPr>
          <w:p w14:paraId="36910AA2">
            <w:pPr>
              <w:rPr>
                <w:rFonts w:ascii="Arial"/>
                <w:color w:val="auto"/>
                <w:sz w:val="21"/>
                <w:highlight w:val="none"/>
              </w:rPr>
            </w:pPr>
          </w:p>
        </w:tc>
      </w:tr>
      <w:tr w14:paraId="76B7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4221058E">
            <w:pPr>
              <w:pStyle w:val="23"/>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4A7D32FD">
            <w:pPr>
              <w:rPr>
                <w:rFonts w:ascii="Arial"/>
                <w:color w:val="auto"/>
                <w:sz w:val="21"/>
                <w:highlight w:val="none"/>
              </w:rPr>
            </w:pPr>
          </w:p>
        </w:tc>
        <w:tc>
          <w:tcPr>
            <w:tcW w:w="1381" w:type="dxa"/>
            <w:vAlign w:val="top"/>
          </w:tcPr>
          <w:p w14:paraId="67591DA4">
            <w:pPr>
              <w:rPr>
                <w:rFonts w:ascii="Arial"/>
                <w:color w:val="auto"/>
                <w:sz w:val="21"/>
                <w:highlight w:val="none"/>
              </w:rPr>
            </w:pPr>
          </w:p>
        </w:tc>
        <w:tc>
          <w:tcPr>
            <w:tcW w:w="1394" w:type="dxa"/>
            <w:vAlign w:val="top"/>
          </w:tcPr>
          <w:p w14:paraId="42E6F223">
            <w:pPr>
              <w:rPr>
                <w:rFonts w:ascii="Arial"/>
                <w:color w:val="auto"/>
                <w:sz w:val="21"/>
                <w:highlight w:val="none"/>
              </w:rPr>
            </w:pPr>
          </w:p>
        </w:tc>
        <w:tc>
          <w:tcPr>
            <w:tcW w:w="2061" w:type="dxa"/>
            <w:vAlign w:val="top"/>
          </w:tcPr>
          <w:p w14:paraId="1C73C0AF">
            <w:pPr>
              <w:rPr>
                <w:rFonts w:ascii="Arial"/>
                <w:color w:val="auto"/>
                <w:sz w:val="21"/>
                <w:highlight w:val="none"/>
              </w:rPr>
            </w:pPr>
          </w:p>
        </w:tc>
        <w:tc>
          <w:tcPr>
            <w:tcW w:w="1042" w:type="dxa"/>
            <w:vAlign w:val="top"/>
          </w:tcPr>
          <w:p w14:paraId="6C63234E">
            <w:pPr>
              <w:rPr>
                <w:rFonts w:ascii="Arial"/>
                <w:color w:val="auto"/>
                <w:sz w:val="21"/>
                <w:highlight w:val="none"/>
              </w:rPr>
            </w:pPr>
          </w:p>
        </w:tc>
      </w:tr>
      <w:tr w14:paraId="5F29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0E050940">
            <w:pPr>
              <w:pStyle w:val="23"/>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72C2792F">
            <w:pPr>
              <w:rPr>
                <w:rFonts w:ascii="Arial"/>
                <w:color w:val="auto"/>
                <w:sz w:val="21"/>
                <w:highlight w:val="none"/>
              </w:rPr>
            </w:pPr>
          </w:p>
        </w:tc>
        <w:tc>
          <w:tcPr>
            <w:tcW w:w="1381" w:type="dxa"/>
            <w:vAlign w:val="top"/>
          </w:tcPr>
          <w:p w14:paraId="604EBE52">
            <w:pPr>
              <w:rPr>
                <w:rFonts w:ascii="Arial"/>
                <w:color w:val="auto"/>
                <w:sz w:val="21"/>
                <w:highlight w:val="none"/>
              </w:rPr>
            </w:pPr>
          </w:p>
        </w:tc>
        <w:tc>
          <w:tcPr>
            <w:tcW w:w="1394" w:type="dxa"/>
            <w:vAlign w:val="top"/>
          </w:tcPr>
          <w:p w14:paraId="7A0B087F">
            <w:pPr>
              <w:rPr>
                <w:rFonts w:ascii="Arial"/>
                <w:color w:val="auto"/>
                <w:sz w:val="21"/>
                <w:highlight w:val="none"/>
              </w:rPr>
            </w:pPr>
          </w:p>
        </w:tc>
        <w:tc>
          <w:tcPr>
            <w:tcW w:w="2061" w:type="dxa"/>
            <w:vAlign w:val="top"/>
          </w:tcPr>
          <w:p w14:paraId="6F81F168">
            <w:pPr>
              <w:rPr>
                <w:rFonts w:ascii="Arial"/>
                <w:color w:val="auto"/>
                <w:sz w:val="21"/>
                <w:highlight w:val="none"/>
              </w:rPr>
            </w:pPr>
          </w:p>
        </w:tc>
        <w:tc>
          <w:tcPr>
            <w:tcW w:w="1042" w:type="dxa"/>
            <w:vAlign w:val="top"/>
          </w:tcPr>
          <w:p w14:paraId="1A56A71C">
            <w:pPr>
              <w:rPr>
                <w:rFonts w:ascii="Arial"/>
                <w:color w:val="auto"/>
                <w:sz w:val="21"/>
                <w:highlight w:val="none"/>
              </w:rPr>
            </w:pPr>
          </w:p>
        </w:tc>
      </w:tr>
      <w:tr w14:paraId="6C9D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67271C0A">
            <w:pPr>
              <w:pStyle w:val="23"/>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52A5FA86">
            <w:pPr>
              <w:rPr>
                <w:rFonts w:ascii="Arial"/>
                <w:color w:val="auto"/>
                <w:sz w:val="21"/>
                <w:highlight w:val="none"/>
              </w:rPr>
            </w:pPr>
          </w:p>
        </w:tc>
        <w:tc>
          <w:tcPr>
            <w:tcW w:w="1381" w:type="dxa"/>
            <w:vAlign w:val="top"/>
          </w:tcPr>
          <w:p w14:paraId="7B9B7710">
            <w:pPr>
              <w:rPr>
                <w:rFonts w:ascii="Arial"/>
                <w:color w:val="auto"/>
                <w:sz w:val="21"/>
                <w:highlight w:val="none"/>
              </w:rPr>
            </w:pPr>
          </w:p>
        </w:tc>
        <w:tc>
          <w:tcPr>
            <w:tcW w:w="1394" w:type="dxa"/>
            <w:vAlign w:val="top"/>
          </w:tcPr>
          <w:p w14:paraId="27CF1998">
            <w:pPr>
              <w:rPr>
                <w:rFonts w:ascii="Arial"/>
                <w:color w:val="auto"/>
                <w:sz w:val="21"/>
                <w:highlight w:val="none"/>
              </w:rPr>
            </w:pPr>
          </w:p>
        </w:tc>
        <w:tc>
          <w:tcPr>
            <w:tcW w:w="2061" w:type="dxa"/>
            <w:vAlign w:val="top"/>
          </w:tcPr>
          <w:p w14:paraId="628FB4A5">
            <w:pPr>
              <w:rPr>
                <w:rFonts w:ascii="Arial"/>
                <w:color w:val="auto"/>
                <w:sz w:val="21"/>
                <w:highlight w:val="none"/>
              </w:rPr>
            </w:pPr>
          </w:p>
        </w:tc>
        <w:tc>
          <w:tcPr>
            <w:tcW w:w="1042" w:type="dxa"/>
            <w:vAlign w:val="top"/>
          </w:tcPr>
          <w:p w14:paraId="2C6BAAA5">
            <w:pPr>
              <w:rPr>
                <w:rFonts w:ascii="Arial"/>
                <w:color w:val="auto"/>
                <w:sz w:val="21"/>
                <w:highlight w:val="none"/>
              </w:rPr>
            </w:pPr>
          </w:p>
        </w:tc>
      </w:tr>
      <w:tr w14:paraId="4186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518F8E7C">
            <w:pPr>
              <w:pStyle w:val="23"/>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307CF8A8">
            <w:pPr>
              <w:rPr>
                <w:rFonts w:ascii="Arial"/>
                <w:color w:val="auto"/>
                <w:sz w:val="21"/>
                <w:highlight w:val="none"/>
              </w:rPr>
            </w:pPr>
          </w:p>
        </w:tc>
        <w:tc>
          <w:tcPr>
            <w:tcW w:w="1381" w:type="dxa"/>
            <w:vAlign w:val="top"/>
          </w:tcPr>
          <w:p w14:paraId="2EBD1E79">
            <w:pPr>
              <w:rPr>
                <w:rFonts w:ascii="Arial"/>
                <w:color w:val="auto"/>
                <w:sz w:val="21"/>
                <w:highlight w:val="none"/>
              </w:rPr>
            </w:pPr>
          </w:p>
        </w:tc>
        <w:tc>
          <w:tcPr>
            <w:tcW w:w="1394" w:type="dxa"/>
            <w:vAlign w:val="top"/>
          </w:tcPr>
          <w:p w14:paraId="73F94B8C">
            <w:pPr>
              <w:rPr>
                <w:rFonts w:ascii="Arial"/>
                <w:color w:val="auto"/>
                <w:sz w:val="21"/>
                <w:highlight w:val="none"/>
              </w:rPr>
            </w:pPr>
          </w:p>
        </w:tc>
        <w:tc>
          <w:tcPr>
            <w:tcW w:w="2061" w:type="dxa"/>
            <w:vAlign w:val="top"/>
          </w:tcPr>
          <w:p w14:paraId="0595CCBE">
            <w:pPr>
              <w:rPr>
                <w:rFonts w:ascii="Arial"/>
                <w:color w:val="auto"/>
                <w:sz w:val="21"/>
                <w:highlight w:val="none"/>
              </w:rPr>
            </w:pPr>
          </w:p>
        </w:tc>
        <w:tc>
          <w:tcPr>
            <w:tcW w:w="1042" w:type="dxa"/>
            <w:vAlign w:val="top"/>
          </w:tcPr>
          <w:p w14:paraId="4B2B7038">
            <w:pPr>
              <w:rPr>
                <w:rFonts w:ascii="Arial"/>
                <w:color w:val="auto"/>
                <w:sz w:val="21"/>
                <w:highlight w:val="none"/>
              </w:rPr>
            </w:pPr>
          </w:p>
        </w:tc>
      </w:tr>
      <w:tr w14:paraId="17CE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09A04D0A">
            <w:pPr>
              <w:pStyle w:val="23"/>
              <w:spacing w:before="165"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5F32F877">
            <w:pPr>
              <w:rPr>
                <w:rFonts w:ascii="Arial"/>
                <w:color w:val="auto"/>
                <w:sz w:val="21"/>
                <w:highlight w:val="none"/>
              </w:rPr>
            </w:pPr>
          </w:p>
        </w:tc>
        <w:tc>
          <w:tcPr>
            <w:tcW w:w="1381" w:type="dxa"/>
            <w:vAlign w:val="top"/>
          </w:tcPr>
          <w:p w14:paraId="6127E2A1">
            <w:pPr>
              <w:rPr>
                <w:rFonts w:ascii="Arial"/>
                <w:color w:val="auto"/>
                <w:sz w:val="21"/>
                <w:highlight w:val="none"/>
              </w:rPr>
            </w:pPr>
          </w:p>
        </w:tc>
        <w:tc>
          <w:tcPr>
            <w:tcW w:w="1394" w:type="dxa"/>
            <w:vAlign w:val="top"/>
          </w:tcPr>
          <w:p w14:paraId="13406DA9">
            <w:pPr>
              <w:rPr>
                <w:rFonts w:ascii="Arial"/>
                <w:color w:val="auto"/>
                <w:sz w:val="21"/>
                <w:highlight w:val="none"/>
              </w:rPr>
            </w:pPr>
          </w:p>
        </w:tc>
        <w:tc>
          <w:tcPr>
            <w:tcW w:w="2061" w:type="dxa"/>
            <w:vAlign w:val="top"/>
          </w:tcPr>
          <w:p w14:paraId="4BE64F64">
            <w:pPr>
              <w:rPr>
                <w:rFonts w:ascii="Arial"/>
                <w:color w:val="auto"/>
                <w:sz w:val="21"/>
                <w:highlight w:val="none"/>
              </w:rPr>
            </w:pPr>
          </w:p>
        </w:tc>
        <w:tc>
          <w:tcPr>
            <w:tcW w:w="1042" w:type="dxa"/>
            <w:vAlign w:val="top"/>
          </w:tcPr>
          <w:p w14:paraId="15168D51">
            <w:pPr>
              <w:rPr>
                <w:rFonts w:ascii="Arial"/>
                <w:color w:val="auto"/>
                <w:sz w:val="21"/>
                <w:highlight w:val="none"/>
              </w:rPr>
            </w:pPr>
          </w:p>
        </w:tc>
      </w:tr>
      <w:tr w14:paraId="47C2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40DF96F2">
            <w:pPr>
              <w:pStyle w:val="23"/>
              <w:spacing w:before="165"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245EBD98">
            <w:pPr>
              <w:rPr>
                <w:rFonts w:ascii="Arial"/>
                <w:color w:val="auto"/>
                <w:sz w:val="21"/>
                <w:highlight w:val="none"/>
              </w:rPr>
            </w:pPr>
          </w:p>
        </w:tc>
        <w:tc>
          <w:tcPr>
            <w:tcW w:w="1381" w:type="dxa"/>
            <w:vAlign w:val="top"/>
          </w:tcPr>
          <w:p w14:paraId="0D7A8132">
            <w:pPr>
              <w:rPr>
                <w:rFonts w:ascii="Arial"/>
                <w:color w:val="auto"/>
                <w:sz w:val="21"/>
                <w:highlight w:val="none"/>
              </w:rPr>
            </w:pPr>
          </w:p>
        </w:tc>
        <w:tc>
          <w:tcPr>
            <w:tcW w:w="1394" w:type="dxa"/>
            <w:vAlign w:val="top"/>
          </w:tcPr>
          <w:p w14:paraId="7F332E76">
            <w:pPr>
              <w:rPr>
                <w:rFonts w:ascii="Arial"/>
                <w:color w:val="auto"/>
                <w:sz w:val="21"/>
                <w:highlight w:val="none"/>
              </w:rPr>
            </w:pPr>
          </w:p>
        </w:tc>
        <w:tc>
          <w:tcPr>
            <w:tcW w:w="2061" w:type="dxa"/>
            <w:vAlign w:val="top"/>
          </w:tcPr>
          <w:p w14:paraId="7D5B527E">
            <w:pPr>
              <w:rPr>
                <w:rFonts w:ascii="Arial"/>
                <w:color w:val="auto"/>
                <w:sz w:val="21"/>
                <w:highlight w:val="none"/>
              </w:rPr>
            </w:pPr>
          </w:p>
        </w:tc>
        <w:tc>
          <w:tcPr>
            <w:tcW w:w="1042" w:type="dxa"/>
            <w:vAlign w:val="top"/>
          </w:tcPr>
          <w:p w14:paraId="2980AA7D">
            <w:pPr>
              <w:rPr>
                <w:rFonts w:ascii="Arial"/>
                <w:color w:val="auto"/>
                <w:sz w:val="21"/>
                <w:highlight w:val="none"/>
              </w:rPr>
            </w:pPr>
          </w:p>
        </w:tc>
      </w:tr>
      <w:tr w14:paraId="3C37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63E08300">
            <w:pPr>
              <w:pStyle w:val="23"/>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06431E3C">
            <w:pPr>
              <w:rPr>
                <w:rFonts w:ascii="Arial"/>
                <w:color w:val="auto"/>
                <w:sz w:val="21"/>
                <w:highlight w:val="none"/>
              </w:rPr>
            </w:pPr>
          </w:p>
        </w:tc>
        <w:tc>
          <w:tcPr>
            <w:tcW w:w="1381" w:type="dxa"/>
            <w:vAlign w:val="top"/>
          </w:tcPr>
          <w:p w14:paraId="4DF3695F">
            <w:pPr>
              <w:rPr>
                <w:rFonts w:ascii="Arial"/>
                <w:color w:val="auto"/>
                <w:sz w:val="21"/>
                <w:highlight w:val="none"/>
              </w:rPr>
            </w:pPr>
          </w:p>
        </w:tc>
        <w:tc>
          <w:tcPr>
            <w:tcW w:w="1394" w:type="dxa"/>
            <w:vAlign w:val="top"/>
          </w:tcPr>
          <w:p w14:paraId="7B988DDD">
            <w:pPr>
              <w:rPr>
                <w:rFonts w:ascii="Arial"/>
                <w:color w:val="auto"/>
                <w:sz w:val="21"/>
                <w:highlight w:val="none"/>
              </w:rPr>
            </w:pPr>
          </w:p>
        </w:tc>
        <w:tc>
          <w:tcPr>
            <w:tcW w:w="2061" w:type="dxa"/>
            <w:vAlign w:val="top"/>
          </w:tcPr>
          <w:p w14:paraId="4E16795F">
            <w:pPr>
              <w:rPr>
                <w:rFonts w:ascii="Arial"/>
                <w:color w:val="auto"/>
                <w:sz w:val="21"/>
                <w:highlight w:val="none"/>
              </w:rPr>
            </w:pPr>
          </w:p>
        </w:tc>
        <w:tc>
          <w:tcPr>
            <w:tcW w:w="1042" w:type="dxa"/>
            <w:vAlign w:val="top"/>
          </w:tcPr>
          <w:p w14:paraId="1AB1B9DC">
            <w:pPr>
              <w:rPr>
                <w:rFonts w:ascii="Arial"/>
                <w:color w:val="auto"/>
                <w:sz w:val="21"/>
                <w:highlight w:val="none"/>
              </w:rPr>
            </w:pPr>
          </w:p>
        </w:tc>
      </w:tr>
      <w:tr w14:paraId="3A73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318939D8">
            <w:pPr>
              <w:pStyle w:val="23"/>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17BFA8DD">
            <w:pPr>
              <w:rPr>
                <w:rFonts w:ascii="Arial"/>
                <w:color w:val="auto"/>
                <w:sz w:val="21"/>
                <w:highlight w:val="none"/>
              </w:rPr>
            </w:pPr>
          </w:p>
        </w:tc>
        <w:tc>
          <w:tcPr>
            <w:tcW w:w="1381" w:type="dxa"/>
            <w:vAlign w:val="top"/>
          </w:tcPr>
          <w:p w14:paraId="15C7951D">
            <w:pPr>
              <w:rPr>
                <w:rFonts w:ascii="Arial"/>
                <w:color w:val="auto"/>
                <w:sz w:val="21"/>
                <w:highlight w:val="none"/>
              </w:rPr>
            </w:pPr>
          </w:p>
        </w:tc>
        <w:tc>
          <w:tcPr>
            <w:tcW w:w="1394" w:type="dxa"/>
            <w:vAlign w:val="top"/>
          </w:tcPr>
          <w:p w14:paraId="0834DEBE">
            <w:pPr>
              <w:rPr>
                <w:rFonts w:ascii="Arial"/>
                <w:color w:val="auto"/>
                <w:sz w:val="21"/>
                <w:highlight w:val="none"/>
              </w:rPr>
            </w:pPr>
          </w:p>
        </w:tc>
        <w:tc>
          <w:tcPr>
            <w:tcW w:w="2061" w:type="dxa"/>
            <w:vAlign w:val="top"/>
          </w:tcPr>
          <w:p w14:paraId="4863C9AB">
            <w:pPr>
              <w:rPr>
                <w:rFonts w:ascii="Arial"/>
                <w:color w:val="auto"/>
                <w:sz w:val="21"/>
                <w:highlight w:val="none"/>
              </w:rPr>
            </w:pPr>
          </w:p>
        </w:tc>
        <w:tc>
          <w:tcPr>
            <w:tcW w:w="1042" w:type="dxa"/>
            <w:vAlign w:val="top"/>
          </w:tcPr>
          <w:p w14:paraId="3B1342DC">
            <w:pPr>
              <w:rPr>
                <w:rFonts w:ascii="Arial"/>
                <w:color w:val="auto"/>
                <w:sz w:val="21"/>
                <w:highlight w:val="none"/>
              </w:rPr>
            </w:pPr>
          </w:p>
        </w:tc>
      </w:tr>
      <w:tr w14:paraId="0D796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6375DD7B">
            <w:pPr>
              <w:pStyle w:val="23"/>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18A63C17">
            <w:pPr>
              <w:rPr>
                <w:rFonts w:ascii="Arial"/>
                <w:color w:val="auto"/>
                <w:sz w:val="21"/>
                <w:highlight w:val="none"/>
              </w:rPr>
            </w:pPr>
          </w:p>
        </w:tc>
        <w:tc>
          <w:tcPr>
            <w:tcW w:w="1381" w:type="dxa"/>
            <w:vAlign w:val="top"/>
          </w:tcPr>
          <w:p w14:paraId="09158AD0">
            <w:pPr>
              <w:rPr>
                <w:rFonts w:ascii="Arial"/>
                <w:color w:val="auto"/>
                <w:sz w:val="21"/>
                <w:highlight w:val="none"/>
              </w:rPr>
            </w:pPr>
          </w:p>
        </w:tc>
        <w:tc>
          <w:tcPr>
            <w:tcW w:w="1394" w:type="dxa"/>
            <w:vAlign w:val="top"/>
          </w:tcPr>
          <w:p w14:paraId="6C0DD828">
            <w:pPr>
              <w:rPr>
                <w:rFonts w:ascii="Arial"/>
                <w:color w:val="auto"/>
                <w:sz w:val="21"/>
                <w:highlight w:val="none"/>
              </w:rPr>
            </w:pPr>
          </w:p>
        </w:tc>
        <w:tc>
          <w:tcPr>
            <w:tcW w:w="2061" w:type="dxa"/>
            <w:vAlign w:val="top"/>
          </w:tcPr>
          <w:p w14:paraId="10C38B8B">
            <w:pPr>
              <w:rPr>
                <w:rFonts w:ascii="Arial"/>
                <w:color w:val="auto"/>
                <w:sz w:val="21"/>
                <w:highlight w:val="none"/>
              </w:rPr>
            </w:pPr>
          </w:p>
        </w:tc>
        <w:tc>
          <w:tcPr>
            <w:tcW w:w="1042" w:type="dxa"/>
            <w:vAlign w:val="top"/>
          </w:tcPr>
          <w:p w14:paraId="66BD8D35">
            <w:pPr>
              <w:rPr>
                <w:rFonts w:ascii="Arial"/>
                <w:color w:val="auto"/>
                <w:sz w:val="21"/>
                <w:highlight w:val="none"/>
              </w:rPr>
            </w:pPr>
          </w:p>
        </w:tc>
      </w:tr>
      <w:tr w14:paraId="47F12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16" w:type="dxa"/>
            <w:vAlign w:val="top"/>
          </w:tcPr>
          <w:p w14:paraId="15F0B98E">
            <w:pPr>
              <w:pStyle w:val="23"/>
              <w:spacing w:before="165" w:line="216" w:lineRule="auto"/>
              <w:ind w:left="489"/>
              <w:rPr>
                <w:color w:val="auto"/>
                <w:highlight w:val="none"/>
              </w:rPr>
            </w:pPr>
            <w:r>
              <w:rPr>
                <w:color w:val="auto"/>
                <w:spacing w:val="8"/>
                <w:highlight w:val="none"/>
              </w:rPr>
              <w:t>缺陷责任期</w:t>
            </w:r>
          </w:p>
        </w:tc>
        <w:tc>
          <w:tcPr>
            <w:tcW w:w="1396" w:type="dxa"/>
            <w:vAlign w:val="top"/>
          </w:tcPr>
          <w:p w14:paraId="6E111AB3">
            <w:pPr>
              <w:rPr>
                <w:rFonts w:ascii="Arial"/>
                <w:color w:val="auto"/>
                <w:sz w:val="21"/>
                <w:highlight w:val="none"/>
              </w:rPr>
            </w:pPr>
          </w:p>
        </w:tc>
        <w:tc>
          <w:tcPr>
            <w:tcW w:w="1381" w:type="dxa"/>
            <w:vAlign w:val="top"/>
          </w:tcPr>
          <w:p w14:paraId="0668092F">
            <w:pPr>
              <w:rPr>
                <w:rFonts w:ascii="Arial"/>
                <w:color w:val="auto"/>
                <w:sz w:val="21"/>
                <w:highlight w:val="none"/>
              </w:rPr>
            </w:pPr>
          </w:p>
        </w:tc>
        <w:tc>
          <w:tcPr>
            <w:tcW w:w="1394" w:type="dxa"/>
            <w:vAlign w:val="top"/>
          </w:tcPr>
          <w:p w14:paraId="6EBAC3BD">
            <w:pPr>
              <w:rPr>
                <w:rFonts w:ascii="Arial"/>
                <w:color w:val="auto"/>
                <w:sz w:val="21"/>
                <w:highlight w:val="none"/>
              </w:rPr>
            </w:pPr>
          </w:p>
        </w:tc>
        <w:tc>
          <w:tcPr>
            <w:tcW w:w="2061" w:type="dxa"/>
            <w:vAlign w:val="top"/>
          </w:tcPr>
          <w:p w14:paraId="6F7D769D">
            <w:pPr>
              <w:rPr>
                <w:rFonts w:ascii="Arial"/>
                <w:color w:val="auto"/>
                <w:sz w:val="21"/>
                <w:highlight w:val="none"/>
              </w:rPr>
            </w:pPr>
          </w:p>
        </w:tc>
        <w:tc>
          <w:tcPr>
            <w:tcW w:w="1042" w:type="dxa"/>
            <w:vAlign w:val="top"/>
          </w:tcPr>
          <w:p w14:paraId="48853250">
            <w:pPr>
              <w:rPr>
                <w:rFonts w:ascii="Arial"/>
                <w:color w:val="auto"/>
                <w:sz w:val="21"/>
                <w:highlight w:val="none"/>
              </w:rPr>
            </w:pPr>
          </w:p>
        </w:tc>
      </w:tr>
    </w:tbl>
    <w:p w14:paraId="17DE4500">
      <w:pPr>
        <w:spacing w:line="316" w:lineRule="auto"/>
        <w:rPr>
          <w:rFonts w:ascii="Arial"/>
          <w:color w:val="auto"/>
          <w:sz w:val="21"/>
          <w:highlight w:val="none"/>
        </w:rPr>
      </w:pPr>
    </w:p>
    <w:p w14:paraId="30A4AD38">
      <w:pPr>
        <w:spacing w:line="316" w:lineRule="auto"/>
        <w:rPr>
          <w:rFonts w:ascii="Arial"/>
          <w:color w:val="auto"/>
          <w:sz w:val="21"/>
          <w:highlight w:val="none"/>
        </w:rPr>
      </w:pPr>
    </w:p>
    <w:p w14:paraId="08954ABE">
      <w:pPr>
        <w:rPr>
          <w:rFonts w:ascii="宋体" w:hAnsi="宋体" w:eastAsia="宋体" w:cs="宋体"/>
          <w:color w:val="auto"/>
          <w:spacing w:val="-5"/>
          <w:sz w:val="40"/>
          <w:szCs w:val="40"/>
          <w:highlight w:val="none"/>
        </w:rPr>
      </w:pPr>
    </w:p>
    <w:sectPr>
      <w:footerReference r:id="rId74" w:type="default"/>
      <w:pgSz w:w="11906" w:h="16839"/>
      <w:pgMar w:top="1402" w:right="1306" w:bottom="1297" w:left="1304" w:header="0" w:footer="10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6"/>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5383">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EE6F">
    <w:pPr>
      <w:spacing w:line="225" w:lineRule="auto"/>
      <w:ind w:left="4568"/>
      <w:rPr>
        <w:rFonts w:ascii="MingLiU-ExtB" w:hAnsi="MingLiU-ExtB" w:eastAsia="MingLiU-ExtB" w:cs="MingLiU-ExtB"/>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0E845">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890E845">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B61F">
    <w:pPr>
      <w:spacing w:line="225" w:lineRule="auto"/>
      <w:ind w:left="4570"/>
      <w:rPr>
        <w:rFonts w:ascii="MingLiU-ExtB" w:hAnsi="MingLiU-ExtB" w:eastAsia="MingLiU-ExtB" w:cs="MingLiU-ExtB"/>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250E">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B0C250E">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0A13">
    <w:pPr>
      <w:spacing w:line="225" w:lineRule="auto"/>
      <w:ind w:left="4568"/>
      <w:rPr>
        <w:rFonts w:ascii="MingLiU-ExtB" w:hAnsi="MingLiU-ExtB" w:eastAsia="MingLiU-ExtB" w:cs="MingLiU-ExtB"/>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8B877">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638B877">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26A5">
    <w:pPr>
      <w:spacing w:line="225" w:lineRule="auto"/>
      <w:ind w:left="4713"/>
      <w:rPr>
        <w:rFonts w:ascii="MingLiU-ExtB" w:hAnsi="MingLiU-ExtB" w:eastAsia="MingLiU-ExtB" w:cs="MingLiU-ExtB"/>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A6E9">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CEEA6E9">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3599">
    <w:pPr>
      <w:spacing w:line="225" w:lineRule="auto"/>
      <w:ind w:left="4451"/>
      <w:rPr>
        <w:rFonts w:ascii="MingLiU-ExtB" w:hAnsi="MingLiU-ExtB" w:eastAsia="MingLiU-ExtB" w:cs="MingLiU-ExtB"/>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14F88">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6314F88">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F712">
    <w:pPr>
      <w:spacing w:line="225" w:lineRule="auto"/>
      <w:ind w:left="4088"/>
      <w:rPr>
        <w:rFonts w:ascii="MingLiU-ExtB" w:hAnsi="MingLiU-ExtB" w:eastAsia="MingLiU-ExtB" w:cs="MingLiU-ExtB"/>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D34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EF1D34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817C">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FB829">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B7FB829">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77BF">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2A1B9">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222A1B9">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1152">
    <w:pPr>
      <w:spacing w:line="226" w:lineRule="auto"/>
      <w:ind w:left="4455"/>
      <w:rPr>
        <w:rFonts w:ascii="MingLiU-ExtB" w:hAnsi="MingLiU-ExtB" w:eastAsia="MingLiU-ExtB" w:cs="MingLiU-ExtB"/>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B278E">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8CB278E">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8C86">
    <w:pPr>
      <w:spacing w:line="226"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D3AD3">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2AD3AD3">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B7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E7DF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5E7DF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B330">
    <w:pPr>
      <w:spacing w:line="225"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8D75">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4EB8D75">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B5FF">
    <w:pPr>
      <w:spacing w:line="226"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AB467">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CFAB467">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3229">
    <w:pPr>
      <w:spacing w:line="225" w:lineRule="auto"/>
      <w:ind w:left="4455"/>
      <w:rPr>
        <w:rFonts w:ascii="MingLiU-ExtB" w:hAnsi="MingLiU-ExtB" w:eastAsia="MingLiU-ExtB" w:cs="MingLiU-ExtB"/>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F2D51">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B7F2D51">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36B5">
    <w:pPr>
      <w:spacing w:line="225"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6185">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43C6185">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2F4B">
    <w:pPr>
      <w:spacing w:line="226"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83FE">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64F83FE">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06AD">
    <w:pPr>
      <w:spacing w:line="225"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574C6">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7B574C6">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0512">
    <w:pPr>
      <w:spacing w:line="223" w:lineRule="auto"/>
      <w:ind w:left="4086"/>
      <w:rPr>
        <w:rFonts w:ascii="MingLiU-ExtB" w:hAnsi="MingLiU-ExtB" w:eastAsia="MingLiU-ExtB" w:cs="MingLiU-ExtB"/>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889E">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AAE889E">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BC6B">
    <w:pPr>
      <w:spacing w:line="225" w:lineRule="auto"/>
      <w:ind w:left="4445"/>
      <w:rPr>
        <w:rFonts w:ascii="MingLiU-ExtB" w:hAnsi="MingLiU-ExtB" w:eastAsia="MingLiU-ExtB" w:cs="MingLiU-ExtB"/>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5338">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5BD5338">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5267">
    <w:pPr>
      <w:spacing w:line="225"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2D526">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172D526">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D5E7">
    <w:pPr>
      <w:spacing w:line="227"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8045">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6B18045">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3C24">
    <w:pPr>
      <w:pStyle w:val="1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33F8">
    <w:pPr>
      <w:spacing w:line="225" w:lineRule="auto"/>
      <w:ind w:left="4532"/>
      <w:rPr>
        <w:rFonts w:ascii="MingLiU-ExtB" w:hAnsi="MingLiU-ExtB" w:eastAsia="MingLiU-ExtB" w:cs="MingLiU-ExtB"/>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A3E92">
                          <w:pPr>
                            <w:pStyle w:val="1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C0A3E92">
                    <w:pPr>
                      <w:pStyle w:val="1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425D">
    <w:pPr>
      <w:spacing w:line="226" w:lineRule="auto"/>
      <w:ind w:left="4412"/>
      <w:rPr>
        <w:rFonts w:ascii="MingLiU-ExtB" w:hAnsi="MingLiU-ExtB" w:eastAsia="MingLiU-ExtB" w:cs="MingLiU-ExtB"/>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ED5D7">
                          <w:pPr>
                            <w:pStyle w:val="10"/>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D6ED5D7">
                    <w:pPr>
                      <w:pStyle w:val="10"/>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938D">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D5C65">
                          <w:pPr>
                            <w:pStyle w:val="1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1F4D5C65">
                    <w:pPr>
                      <w:pStyle w:val="10"/>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EA89">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F76A1">
                          <w:pPr>
                            <w:pStyle w:val="10"/>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FAF76A1">
                    <w:pPr>
                      <w:pStyle w:val="10"/>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9F69">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814EE">
                          <w:pPr>
                            <w:pStyle w:val="10"/>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48814EE">
                    <w:pPr>
                      <w:pStyle w:val="10"/>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D70A">
    <w:pPr>
      <w:spacing w:line="227"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29C52">
                          <w:pPr>
                            <w:pStyle w:val="1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7829C52">
                    <w:pPr>
                      <w:pStyle w:val="10"/>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B816">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2127C">
                          <w:pPr>
                            <w:pStyle w:val="10"/>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6AC2127C">
                    <w:pPr>
                      <w:pStyle w:val="10"/>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3E0F2">
    <w:pPr>
      <w:spacing w:line="226"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9978C">
                          <w:pPr>
                            <w:pStyle w:val="1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FA9978C">
                    <w:pPr>
                      <w:pStyle w:val="1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22F0">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9E622">
                          <w:pPr>
                            <w:pStyle w:val="1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22B9E622">
                    <w:pPr>
                      <w:pStyle w:val="10"/>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1AA6">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7C668">
                          <w:pPr>
                            <w:pStyle w:val="1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C57C668">
                    <w:pPr>
                      <w:pStyle w:val="10"/>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DF05">
    <w:pPr>
      <w:pStyle w:val="10"/>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37C1F">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37C1F">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2FCB">
    <w:pPr>
      <w:spacing w:line="225" w:lineRule="auto"/>
      <w:ind w:left="4520"/>
      <w:rPr>
        <w:rFonts w:ascii="MingLiU-ExtB" w:hAnsi="MingLiU-ExtB" w:eastAsia="MingLiU-ExtB" w:cs="MingLiU-ExtB"/>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53CFA">
                          <w:pPr>
                            <w:pStyle w:val="10"/>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9653CFA">
                    <w:pPr>
                      <w:pStyle w:val="10"/>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3570">
    <w:pPr>
      <w:spacing w:line="225" w:lineRule="auto"/>
      <w:ind w:left="4412"/>
      <w:rPr>
        <w:rFonts w:ascii="MingLiU-ExtB" w:hAnsi="MingLiU-ExtB" w:eastAsia="MingLiU-ExtB" w:cs="MingLiU-ExtB"/>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BD737">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15BD737">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23B9">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6A6F1">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CC6A6F1">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7E6B">
    <w:pPr>
      <w:spacing w:line="225" w:lineRule="auto"/>
      <w:ind w:left="4421"/>
      <w:rPr>
        <w:rFonts w:ascii="MingLiU-ExtB" w:hAnsi="MingLiU-ExtB" w:eastAsia="MingLiU-ExtB" w:cs="MingLiU-ExtB"/>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D0D1">
                          <w:pPr>
                            <w:pStyle w:val="1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7775D0D1">
                    <w:pPr>
                      <w:pStyle w:val="10"/>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0462">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6B8E">
                          <w:pPr>
                            <w:pStyle w:val="1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26936B8E">
                    <w:pPr>
                      <w:pStyle w:val="10"/>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5CD7">
    <w:pPr>
      <w:spacing w:line="225" w:lineRule="auto"/>
      <w:ind w:left="4535"/>
      <w:rPr>
        <w:rFonts w:ascii="MingLiU-ExtB" w:hAnsi="MingLiU-ExtB" w:eastAsia="MingLiU-ExtB" w:cs="MingLiU-ExtB"/>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3101B">
                          <w:pPr>
                            <w:pStyle w:val="10"/>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D43101B">
                    <w:pPr>
                      <w:pStyle w:val="10"/>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5119">
    <w:pPr>
      <w:spacing w:line="225" w:lineRule="auto"/>
      <w:ind w:left="7000"/>
      <w:rPr>
        <w:rFonts w:ascii="MingLiU-ExtB" w:hAnsi="MingLiU-ExtB" w:eastAsia="MingLiU-ExtB" w:cs="MingLiU-ExtB"/>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4243">
                          <w:pPr>
                            <w:pStyle w:val="1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6D94243">
                    <w:pPr>
                      <w:pStyle w:val="10"/>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154A">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1028B">
                          <w:pPr>
                            <w:pStyle w:val="1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AF1028B">
                    <w:pPr>
                      <w:pStyle w:val="10"/>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6B28D">
    <w:pPr>
      <w:spacing w:line="223"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A84A4">
                          <w:pPr>
                            <w:pStyle w:val="10"/>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6DDA84A4">
                    <w:pPr>
                      <w:pStyle w:val="10"/>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31A6">
    <w:pPr>
      <w:spacing w:line="225" w:lineRule="auto"/>
      <w:ind w:left="4453"/>
      <w:rPr>
        <w:rFonts w:ascii="MingLiU-ExtB" w:hAnsi="MingLiU-ExtB" w:eastAsia="MingLiU-ExtB" w:cs="MingLiU-ExtB"/>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0ADA2">
                          <w:pPr>
                            <w:pStyle w:val="1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5570ADA2">
                    <w:pPr>
                      <w:pStyle w:val="10"/>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CA4A">
    <w:pPr>
      <w:spacing w:line="225" w:lineRule="auto"/>
      <w:ind w:left="4814"/>
      <w:rPr>
        <w:rFonts w:ascii="MingLiU-ExtB" w:hAnsi="MingLiU-ExtB" w:eastAsia="MingLiU-ExtB" w:cs="MingLiU-ExtB"/>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54680">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154680">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2BBB">
    <w:pPr>
      <w:spacing w:line="225" w:lineRule="auto"/>
      <w:ind w:left="4521"/>
      <w:rPr>
        <w:rFonts w:ascii="MingLiU-ExtB" w:hAnsi="MingLiU-ExtB" w:eastAsia="MingLiU-ExtB" w:cs="MingLiU-ExtB"/>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A52C4">
                          <w:pPr>
                            <w:pStyle w:val="10"/>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AFA52C4">
                    <w:pPr>
                      <w:pStyle w:val="10"/>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008A">
    <w:pPr>
      <w:spacing w:line="227"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1DE71">
                          <w:pPr>
                            <w:pStyle w:val="10"/>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451DE71">
                    <w:pPr>
                      <w:pStyle w:val="10"/>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E704">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1857E">
                          <w:pPr>
                            <w:pStyle w:val="10"/>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1491857E">
                    <w:pPr>
                      <w:pStyle w:val="10"/>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0EFB">
    <w:pPr>
      <w:spacing w:line="225" w:lineRule="auto"/>
      <w:ind w:left="4360"/>
      <w:rPr>
        <w:rFonts w:ascii="MingLiU-ExtB" w:hAnsi="MingLiU-ExtB" w:eastAsia="MingLiU-ExtB" w:cs="MingLiU-ExtB"/>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006FD">
                          <w:pPr>
                            <w:pStyle w:val="10"/>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242006FD">
                    <w:pPr>
                      <w:pStyle w:val="10"/>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CC78">
    <w:pPr>
      <w:spacing w:line="226"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F6159">
                          <w:pPr>
                            <w:pStyle w:val="1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1B3F6159">
                    <w:pPr>
                      <w:pStyle w:val="1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2524">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0E962">
                          <w:pPr>
                            <w:pStyle w:val="10"/>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B20E962">
                    <w:pPr>
                      <w:pStyle w:val="10"/>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1F926">
    <w:pPr>
      <w:spacing w:line="223"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5373C">
                          <w:pPr>
                            <w:pStyle w:val="10"/>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5F5373C">
                    <w:pPr>
                      <w:pStyle w:val="10"/>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06B6">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1C94B">
                          <w:pPr>
                            <w:pStyle w:val="10"/>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E81C94B">
                    <w:pPr>
                      <w:pStyle w:val="10"/>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C1D6">
    <w:pPr>
      <w:spacing w:line="225"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969BB">
                          <w:pPr>
                            <w:pStyle w:val="10"/>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B6969BB">
                    <w:pPr>
                      <w:pStyle w:val="10"/>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03C2">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34555">
                          <w:pPr>
                            <w:pStyle w:val="10"/>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2D934555">
                    <w:pPr>
                      <w:pStyle w:val="10"/>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5F33">
    <w:pPr>
      <w:spacing w:line="223" w:lineRule="auto"/>
      <w:ind w:left="4612"/>
      <w:rPr>
        <w:rFonts w:ascii="MingLiU-ExtB" w:hAnsi="MingLiU-ExtB" w:eastAsia="MingLiU-ExtB" w:cs="MingLiU-Ext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4281">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DF4281">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DAAB">
    <w:pPr>
      <w:spacing w:line="225" w:lineRule="auto"/>
      <w:ind w:left="6997"/>
      <w:rPr>
        <w:rFonts w:ascii="MingLiU-ExtB" w:hAnsi="MingLiU-ExtB" w:eastAsia="MingLiU-ExtB" w:cs="MingLiU-ExtB"/>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71743">
                          <w:pPr>
                            <w:pStyle w:val="10"/>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0771743">
                    <w:pPr>
                      <w:pStyle w:val="10"/>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DC98A">
    <w:pPr>
      <w:spacing w:line="225" w:lineRule="auto"/>
      <w:ind w:left="7000"/>
      <w:rPr>
        <w:rFonts w:ascii="MingLiU-ExtB" w:hAnsi="MingLiU-ExtB" w:eastAsia="MingLiU-ExtB" w:cs="MingLiU-ExtB"/>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3F7C5">
                          <w:pPr>
                            <w:pStyle w:val="1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2453F7C5">
                    <w:pPr>
                      <w:pStyle w:val="10"/>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255D">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339A3">
                          <w:pPr>
                            <w:pStyle w:val="10"/>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35E339A3">
                    <w:pPr>
                      <w:pStyle w:val="10"/>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221A">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8DF09">
                          <w:pPr>
                            <w:pStyle w:val="1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10D8DF09">
                    <w:pPr>
                      <w:pStyle w:val="10"/>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B48C">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D89C">
                          <w:pPr>
                            <w:pStyle w:val="10"/>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C67D89C">
                    <w:pPr>
                      <w:pStyle w:val="10"/>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1B3B">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CE80D">
                          <w:pPr>
                            <w:pStyle w:val="10"/>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4A8CE80D">
                    <w:pPr>
                      <w:pStyle w:val="10"/>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2863">
    <w:pPr>
      <w:spacing w:line="223" w:lineRule="auto"/>
      <w:ind w:left="6997"/>
      <w:rPr>
        <w:rFonts w:ascii="MingLiU-ExtB" w:hAnsi="MingLiU-ExtB" w:eastAsia="MingLiU-ExtB" w:cs="MingLiU-ExtB"/>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900A">
                          <w:pPr>
                            <w:pStyle w:val="10"/>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7DD1900A">
                    <w:pPr>
                      <w:pStyle w:val="10"/>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CC65">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4AB3A">
                          <w:pPr>
                            <w:pStyle w:val="10"/>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0714AB3A">
                    <w:pPr>
                      <w:pStyle w:val="10"/>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2D">
    <w:pPr>
      <w:spacing w:line="225" w:lineRule="auto"/>
      <w:ind w:left="4530"/>
      <w:rPr>
        <w:rFonts w:ascii="MingLiU-ExtB" w:hAnsi="MingLiU-ExtB" w:eastAsia="MingLiU-ExtB" w:cs="MingLiU-ExtB"/>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C3755">
                          <w:pPr>
                            <w:pStyle w:val="10"/>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5F1C3755">
                    <w:pPr>
                      <w:pStyle w:val="10"/>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6E10">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7852C">
                          <w:pPr>
                            <w:pStyle w:val="10"/>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1B7852C">
                    <w:pPr>
                      <w:pStyle w:val="10"/>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B1AE">
    <w:pPr>
      <w:spacing w:line="225" w:lineRule="auto"/>
      <w:ind w:left="4097"/>
      <w:rPr>
        <w:rFonts w:ascii="MingLiU-ExtB" w:hAnsi="MingLiU-ExtB" w:eastAsia="MingLiU-ExtB" w:cs="MingLiU-Ext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8CBE3">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9A8CBE3">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7540">
    <w:pPr>
      <w:spacing w:line="226"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0F743">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D00F743">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D326">
    <w:pPr>
      <w:spacing w:line="225" w:lineRule="auto"/>
      <w:ind w:left="4566"/>
      <w:rPr>
        <w:rFonts w:ascii="MingLiU-ExtB" w:hAnsi="MingLiU-ExtB" w:eastAsia="MingLiU-ExtB" w:cs="MingLiU-ExtB"/>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4C5A6">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B4C5A6">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1417B4FF">
      <w:pPr>
        <w:pStyle w:val="13"/>
        <w:spacing w:line="320" w:lineRule="atLeast"/>
        <w:ind w:left="180" w:hanging="180" w:hangingChars="100"/>
        <w:rPr>
          <w:rFonts w:hint="eastAsia"/>
        </w:rPr>
      </w:pPr>
      <w:r>
        <w:rPr>
          <w:rStyle w:val="21"/>
        </w:rPr>
        <w:footnoteRef/>
      </w:r>
      <w:r>
        <w:t xml:space="preserve"> 根据招标项目实际情况</w:t>
      </w:r>
      <w:r>
        <w:rPr>
          <w:rFonts w:hint="eastAsia"/>
        </w:rPr>
        <w:t>，本目内容可修改为“</w:t>
      </w:r>
      <w:r>
        <w:t>（1）施工期间的监理人员服务费根据各级监理人员服务费的报价总额按月度等额支付给监理人。监理人必须保证实际投入本项目的</w:t>
      </w:r>
      <w:r>
        <w:rPr>
          <w:rFonts w:hint="eastAsia"/>
        </w:rPr>
        <w:t>监理</w:t>
      </w:r>
      <w:r>
        <w:t>人员能满足本招标文件的要求和实际工作的需要，否则委托人将根据本合同第</w:t>
      </w:r>
      <w:r>
        <w:rPr>
          <w:rFonts w:hint="eastAsia"/>
        </w:rPr>
        <w:t>11</w:t>
      </w:r>
      <w:r>
        <w:t>.1.2项的规定从其报价总额中扣除违约赔偿金。</w:t>
      </w:r>
      <w:r>
        <w:rPr>
          <w:rFonts w:hint="eastAsia"/>
        </w:rPr>
        <w:t>”</w:t>
      </w:r>
    </w:p>
  </w:footnote>
  <w:footnote w:id="1">
    <w:p w14:paraId="08789F40">
      <w:pPr>
        <w:pStyle w:val="13"/>
        <w:tabs>
          <w:tab w:val="left" w:pos="3780"/>
        </w:tabs>
        <w:spacing w:line="340" w:lineRule="atLeast"/>
      </w:pPr>
      <w:r>
        <w:rPr>
          <w:rStyle w:val="21"/>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。”如委托人接受履约</w:t>
      </w:r>
      <w:r>
        <w:t>保函</w:t>
      </w:r>
      <w:r>
        <w:rPr>
          <w:rFonts w:hint="eastAsia"/>
        </w:rPr>
        <w:t>采用固定有效</w:t>
      </w:r>
      <w:r>
        <w:t>期，</w:t>
      </w:r>
      <w:r>
        <w:rPr>
          <w:rFonts w:hint="eastAsia"/>
        </w:rPr>
        <w:t>在</w:t>
      </w:r>
      <w:r>
        <w:t>专用合同条款中</w:t>
      </w:r>
      <w:r>
        <w:rPr>
          <w:rFonts w:hint="eastAsia"/>
        </w:rPr>
        <w:t>应</w:t>
      </w:r>
      <w:r>
        <w:t>增加</w:t>
      </w:r>
      <w:r>
        <w:rPr>
          <w:rFonts w:hint="eastAsia"/>
        </w:rPr>
        <w:t>保证设计人在履约</w:t>
      </w:r>
      <w:r>
        <w:t>保函失效</w:t>
      </w:r>
      <w:r>
        <w:rPr>
          <w:rFonts w:hint="eastAsia"/>
        </w:rPr>
        <w:t>日</w:t>
      </w:r>
      <w:r>
        <w:t>前向委托人出具后续阶段履约保函</w:t>
      </w:r>
      <w:r>
        <w:rPr>
          <w:rFonts w:hint="eastAsia"/>
        </w:rPr>
        <w:t>的约束性</w:t>
      </w:r>
      <w:r>
        <w:t>条款，直至委托人签发交工验收证书且监理人按照合同约定提交缺陷责任期保函之日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003C">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14036"/>
    <w:multiLevelType w:val="singleLevel"/>
    <w:tmpl w:val="F4014036"/>
    <w:lvl w:ilvl="0" w:tentative="0">
      <w:start w:val="1"/>
      <w:numFmt w:val="decimal"/>
      <w:suff w:val="space"/>
      <w:lvlText w:val="%1."/>
      <w:lvlJc w:val="left"/>
    </w:lvl>
  </w:abstractNum>
  <w:abstractNum w:abstractNumId="1">
    <w:nsid w:val="FA9C057D"/>
    <w:multiLevelType w:val="singleLevel"/>
    <w:tmpl w:val="FA9C057D"/>
    <w:lvl w:ilvl="0" w:tentative="0">
      <w:start w:val="4"/>
      <w:numFmt w:val="decimal"/>
      <w:suff w:val="space"/>
      <w:lvlText w:val="%1."/>
      <w:lvlJc w:val="left"/>
    </w:lvl>
  </w:abstractNum>
  <w:abstractNum w:abstractNumId="2">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31"/>
      <w:suff w:val="space"/>
      <w:lvlText w:val="%2."/>
      <w:lvlJc w:val="left"/>
      <w:pPr>
        <w:tabs>
          <w:tab w:val="left" w:pos="0"/>
        </w:tabs>
        <w:ind w:left="284" w:firstLine="0"/>
      </w:pPr>
      <w:rPr>
        <w:rFonts w:hint="eastAsia" w:ascii="宋体" w:hAnsi="宋体" w:eastAsia="宋体" w:cs="宋体"/>
      </w:rPr>
    </w:lvl>
    <w:lvl w:ilvl="2" w:tentative="0">
      <w:start w:val="1"/>
      <w:numFmt w:val="decimal"/>
      <w:pStyle w:val="30"/>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4"/>
    <w:footnote w:id="5"/>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86300"/>
    <w:rsid w:val="004C0647"/>
    <w:rsid w:val="0090270C"/>
    <w:rsid w:val="00D36B69"/>
    <w:rsid w:val="01505F15"/>
    <w:rsid w:val="018067FB"/>
    <w:rsid w:val="0198556B"/>
    <w:rsid w:val="02101F44"/>
    <w:rsid w:val="02413EFD"/>
    <w:rsid w:val="0265517B"/>
    <w:rsid w:val="033E696D"/>
    <w:rsid w:val="04376843"/>
    <w:rsid w:val="04703D0A"/>
    <w:rsid w:val="049918E5"/>
    <w:rsid w:val="04AC2FBA"/>
    <w:rsid w:val="04DF5F2E"/>
    <w:rsid w:val="05203B59"/>
    <w:rsid w:val="05375005"/>
    <w:rsid w:val="05914531"/>
    <w:rsid w:val="05E834AE"/>
    <w:rsid w:val="06033F82"/>
    <w:rsid w:val="067F1A0F"/>
    <w:rsid w:val="06A7718A"/>
    <w:rsid w:val="06CA61A3"/>
    <w:rsid w:val="071F4C46"/>
    <w:rsid w:val="07AE356D"/>
    <w:rsid w:val="07E5409F"/>
    <w:rsid w:val="07FE491D"/>
    <w:rsid w:val="081952B3"/>
    <w:rsid w:val="0822787F"/>
    <w:rsid w:val="0843413D"/>
    <w:rsid w:val="08934557"/>
    <w:rsid w:val="08980E61"/>
    <w:rsid w:val="08CD7A60"/>
    <w:rsid w:val="08DB6A0C"/>
    <w:rsid w:val="08FD32B2"/>
    <w:rsid w:val="09844198"/>
    <w:rsid w:val="09AB6350"/>
    <w:rsid w:val="0A075D0B"/>
    <w:rsid w:val="0A122902"/>
    <w:rsid w:val="0A6D0D3A"/>
    <w:rsid w:val="0AB87DA1"/>
    <w:rsid w:val="0B8B2C37"/>
    <w:rsid w:val="0BAA5B77"/>
    <w:rsid w:val="0C9327B6"/>
    <w:rsid w:val="0D256DDE"/>
    <w:rsid w:val="0D906017"/>
    <w:rsid w:val="0DC45A7B"/>
    <w:rsid w:val="0E163EA2"/>
    <w:rsid w:val="0E2C734E"/>
    <w:rsid w:val="0E4A266A"/>
    <w:rsid w:val="0E875E54"/>
    <w:rsid w:val="0EF95E3E"/>
    <w:rsid w:val="0F87169C"/>
    <w:rsid w:val="0FEF6A5D"/>
    <w:rsid w:val="1070093E"/>
    <w:rsid w:val="1074577C"/>
    <w:rsid w:val="11416A9A"/>
    <w:rsid w:val="11643A43"/>
    <w:rsid w:val="11CB2733"/>
    <w:rsid w:val="11F34DC7"/>
    <w:rsid w:val="12071A36"/>
    <w:rsid w:val="121A2A32"/>
    <w:rsid w:val="127C3C10"/>
    <w:rsid w:val="12B46AE6"/>
    <w:rsid w:val="12BA5C7D"/>
    <w:rsid w:val="12DE784D"/>
    <w:rsid w:val="134F427F"/>
    <w:rsid w:val="13E11AFB"/>
    <w:rsid w:val="13E42ED8"/>
    <w:rsid w:val="14400EA8"/>
    <w:rsid w:val="14877C8E"/>
    <w:rsid w:val="14943583"/>
    <w:rsid w:val="14EB7FD7"/>
    <w:rsid w:val="151561F8"/>
    <w:rsid w:val="153C564B"/>
    <w:rsid w:val="15612B32"/>
    <w:rsid w:val="1571543C"/>
    <w:rsid w:val="15DD2016"/>
    <w:rsid w:val="15E21042"/>
    <w:rsid w:val="16665322"/>
    <w:rsid w:val="16C240F4"/>
    <w:rsid w:val="16CD4552"/>
    <w:rsid w:val="171D7580"/>
    <w:rsid w:val="174001C6"/>
    <w:rsid w:val="17400B06"/>
    <w:rsid w:val="17F9206A"/>
    <w:rsid w:val="184E796B"/>
    <w:rsid w:val="18532FFB"/>
    <w:rsid w:val="187B739F"/>
    <w:rsid w:val="191F7A9B"/>
    <w:rsid w:val="193208CA"/>
    <w:rsid w:val="195919B3"/>
    <w:rsid w:val="196035AE"/>
    <w:rsid w:val="19806D21"/>
    <w:rsid w:val="19AD790D"/>
    <w:rsid w:val="19EA6CD0"/>
    <w:rsid w:val="1A24134C"/>
    <w:rsid w:val="1A257974"/>
    <w:rsid w:val="1A6A7BF0"/>
    <w:rsid w:val="1AD0229D"/>
    <w:rsid w:val="1B0167A6"/>
    <w:rsid w:val="1B382083"/>
    <w:rsid w:val="1B421854"/>
    <w:rsid w:val="1B6D1746"/>
    <w:rsid w:val="1B9C027D"/>
    <w:rsid w:val="1C220434"/>
    <w:rsid w:val="1C420E24"/>
    <w:rsid w:val="1C521C7A"/>
    <w:rsid w:val="1C6A484E"/>
    <w:rsid w:val="1C6B61C2"/>
    <w:rsid w:val="1D2E664B"/>
    <w:rsid w:val="1DA65E17"/>
    <w:rsid w:val="1DDF2827"/>
    <w:rsid w:val="1DF36D83"/>
    <w:rsid w:val="1E2C37D2"/>
    <w:rsid w:val="1E366767"/>
    <w:rsid w:val="1E3D5039"/>
    <w:rsid w:val="1E4A3FC0"/>
    <w:rsid w:val="1EFA3E00"/>
    <w:rsid w:val="1F3A1996"/>
    <w:rsid w:val="1FC102B2"/>
    <w:rsid w:val="207350E1"/>
    <w:rsid w:val="2117172D"/>
    <w:rsid w:val="21543588"/>
    <w:rsid w:val="21D54B6F"/>
    <w:rsid w:val="221B313D"/>
    <w:rsid w:val="22553F99"/>
    <w:rsid w:val="23123443"/>
    <w:rsid w:val="235109AF"/>
    <w:rsid w:val="23994D98"/>
    <w:rsid w:val="23CF0E84"/>
    <w:rsid w:val="24364576"/>
    <w:rsid w:val="24433DED"/>
    <w:rsid w:val="247F027C"/>
    <w:rsid w:val="25495698"/>
    <w:rsid w:val="257356BC"/>
    <w:rsid w:val="26461511"/>
    <w:rsid w:val="26776E1F"/>
    <w:rsid w:val="26962499"/>
    <w:rsid w:val="275411F6"/>
    <w:rsid w:val="27766813"/>
    <w:rsid w:val="27E9484A"/>
    <w:rsid w:val="281C3EDC"/>
    <w:rsid w:val="283427BA"/>
    <w:rsid w:val="284460E4"/>
    <w:rsid w:val="28771E56"/>
    <w:rsid w:val="28A81A10"/>
    <w:rsid w:val="28BC3660"/>
    <w:rsid w:val="28FA4ACB"/>
    <w:rsid w:val="29A97CB7"/>
    <w:rsid w:val="29C273E5"/>
    <w:rsid w:val="29EF438A"/>
    <w:rsid w:val="2A1F61A6"/>
    <w:rsid w:val="2A491993"/>
    <w:rsid w:val="2AC75577"/>
    <w:rsid w:val="2ACB39C4"/>
    <w:rsid w:val="2B1D1237"/>
    <w:rsid w:val="2BA32F62"/>
    <w:rsid w:val="2BB71FB5"/>
    <w:rsid w:val="2C0538E9"/>
    <w:rsid w:val="2C091017"/>
    <w:rsid w:val="2C2A4C66"/>
    <w:rsid w:val="2D094162"/>
    <w:rsid w:val="2D2968FF"/>
    <w:rsid w:val="2D2E0C20"/>
    <w:rsid w:val="2D9E60D7"/>
    <w:rsid w:val="2DE031F3"/>
    <w:rsid w:val="2E1843DC"/>
    <w:rsid w:val="2E67780F"/>
    <w:rsid w:val="2EAE5EA6"/>
    <w:rsid w:val="2EFE3FF7"/>
    <w:rsid w:val="2F115796"/>
    <w:rsid w:val="2F3650DA"/>
    <w:rsid w:val="2F611EBB"/>
    <w:rsid w:val="2F9D7791"/>
    <w:rsid w:val="30247D84"/>
    <w:rsid w:val="30404B18"/>
    <w:rsid w:val="306646DA"/>
    <w:rsid w:val="30C23098"/>
    <w:rsid w:val="31131651"/>
    <w:rsid w:val="316F4012"/>
    <w:rsid w:val="323260A9"/>
    <w:rsid w:val="32695BC1"/>
    <w:rsid w:val="32C4034C"/>
    <w:rsid w:val="33E9051D"/>
    <w:rsid w:val="34722CD4"/>
    <w:rsid w:val="34767465"/>
    <w:rsid w:val="34E1639F"/>
    <w:rsid w:val="35446E64"/>
    <w:rsid w:val="355F614C"/>
    <w:rsid w:val="35661288"/>
    <w:rsid w:val="356C50F7"/>
    <w:rsid w:val="35960261"/>
    <w:rsid w:val="35C236B1"/>
    <w:rsid w:val="369E0EF6"/>
    <w:rsid w:val="36AA4432"/>
    <w:rsid w:val="37215F74"/>
    <w:rsid w:val="37567327"/>
    <w:rsid w:val="37797999"/>
    <w:rsid w:val="378D5AE2"/>
    <w:rsid w:val="37B24C58"/>
    <w:rsid w:val="37C93D50"/>
    <w:rsid w:val="37EB72B3"/>
    <w:rsid w:val="380D6A6C"/>
    <w:rsid w:val="38201673"/>
    <w:rsid w:val="382A2A41"/>
    <w:rsid w:val="388C0E59"/>
    <w:rsid w:val="389A29C0"/>
    <w:rsid w:val="38A52E99"/>
    <w:rsid w:val="38B82C06"/>
    <w:rsid w:val="38C70B1E"/>
    <w:rsid w:val="38CC1D4A"/>
    <w:rsid w:val="38D351C0"/>
    <w:rsid w:val="38E97FB1"/>
    <w:rsid w:val="39180AEB"/>
    <w:rsid w:val="39203CBF"/>
    <w:rsid w:val="393F55C0"/>
    <w:rsid w:val="39B575A2"/>
    <w:rsid w:val="3A030B34"/>
    <w:rsid w:val="3B2A2D58"/>
    <w:rsid w:val="3B895CD0"/>
    <w:rsid w:val="3B8F28D0"/>
    <w:rsid w:val="3BAA041B"/>
    <w:rsid w:val="3BD776DA"/>
    <w:rsid w:val="3BEC7784"/>
    <w:rsid w:val="3CA20800"/>
    <w:rsid w:val="3CAD59EE"/>
    <w:rsid w:val="3D057829"/>
    <w:rsid w:val="3D124D7F"/>
    <w:rsid w:val="3DAF05AF"/>
    <w:rsid w:val="3DE02C57"/>
    <w:rsid w:val="3E23127F"/>
    <w:rsid w:val="3E490945"/>
    <w:rsid w:val="3E4D7489"/>
    <w:rsid w:val="3E555110"/>
    <w:rsid w:val="3E7E1019"/>
    <w:rsid w:val="3F235940"/>
    <w:rsid w:val="3FDD26ED"/>
    <w:rsid w:val="40050660"/>
    <w:rsid w:val="401B4FB0"/>
    <w:rsid w:val="402C30CE"/>
    <w:rsid w:val="407E6B3E"/>
    <w:rsid w:val="409B3729"/>
    <w:rsid w:val="40BF69B9"/>
    <w:rsid w:val="40E7136E"/>
    <w:rsid w:val="40FE0030"/>
    <w:rsid w:val="41443B0A"/>
    <w:rsid w:val="41456B3D"/>
    <w:rsid w:val="418672B4"/>
    <w:rsid w:val="41B0188E"/>
    <w:rsid w:val="41BB295C"/>
    <w:rsid w:val="4205007B"/>
    <w:rsid w:val="425C3259"/>
    <w:rsid w:val="427C77E8"/>
    <w:rsid w:val="427C7D09"/>
    <w:rsid w:val="43087A30"/>
    <w:rsid w:val="430D6B32"/>
    <w:rsid w:val="43176703"/>
    <w:rsid w:val="438F6794"/>
    <w:rsid w:val="4391369E"/>
    <w:rsid w:val="43D22786"/>
    <w:rsid w:val="43FB7987"/>
    <w:rsid w:val="44872FC9"/>
    <w:rsid w:val="44A4014A"/>
    <w:rsid w:val="45573759"/>
    <w:rsid w:val="457B4694"/>
    <w:rsid w:val="45F2612A"/>
    <w:rsid w:val="460C34F8"/>
    <w:rsid w:val="460C5E7C"/>
    <w:rsid w:val="46DC1E07"/>
    <w:rsid w:val="46EA5546"/>
    <w:rsid w:val="47281C9C"/>
    <w:rsid w:val="47C56238"/>
    <w:rsid w:val="48007381"/>
    <w:rsid w:val="4910358D"/>
    <w:rsid w:val="49E427A6"/>
    <w:rsid w:val="4A187C57"/>
    <w:rsid w:val="4A362361"/>
    <w:rsid w:val="4A710F60"/>
    <w:rsid w:val="4A8741CA"/>
    <w:rsid w:val="4A8D1239"/>
    <w:rsid w:val="4AA87B9D"/>
    <w:rsid w:val="4AC109BF"/>
    <w:rsid w:val="4ACC6C2B"/>
    <w:rsid w:val="4AD122BB"/>
    <w:rsid w:val="4B310C69"/>
    <w:rsid w:val="4B3223A6"/>
    <w:rsid w:val="4BB8645E"/>
    <w:rsid w:val="4BBA27A1"/>
    <w:rsid w:val="4BC82845"/>
    <w:rsid w:val="4BE3142D"/>
    <w:rsid w:val="4C48060D"/>
    <w:rsid w:val="4C4874E2"/>
    <w:rsid w:val="4CAE1754"/>
    <w:rsid w:val="4E7378F2"/>
    <w:rsid w:val="4EB330D2"/>
    <w:rsid w:val="4EE003B8"/>
    <w:rsid w:val="4F1862AA"/>
    <w:rsid w:val="4F2A2ECF"/>
    <w:rsid w:val="4F660CD1"/>
    <w:rsid w:val="4F822A97"/>
    <w:rsid w:val="4F824AB9"/>
    <w:rsid w:val="4FE25169"/>
    <w:rsid w:val="508545E5"/>
    <w:rsid w:val="50B006B8"/>
    <w:rsid w:val="50CD6207"/>
    <w:rsid w:val="51255F55"/>
    <w:rsid w:val="512C3D35"/>
    <w:rsid w:val="5131125D"/>
    <w:rsid w:val="52007E97"/>
    <w:rsid w:val="52045C59"/>
    <w:rsid w:val="525672E6"/>
    <w:rsid w:val="52705CA9"/>
    <w:rsid w:val="527F4518"/>
    <w:rsid w:val="529B6283"/>
    <w:rsid w:val="53235275"/>
    <w:rsid w:val="53242390"/>
    <w:rsid w:val="532A16EF"/>
    <w:rsid w:val="535577A8"/>
    <w:rsid w:val="53D61877"/>
    <w:rsid w:val="54175631"/>
    <w:rsid w:val="54212AF2"/>
    <w:rsid w:val="548D462B"/>
    <w:rsid w:val="555467FF"/>
    <w:rsid w:val="55770A92"/>
    <w:rsid w:val="559A1FC3"/>
    <w:rsid w:val="55CC6FE2"/>
    <w:rsid w:val="55F906D3"/>
    <w:rsid w:val="56272DD3"/>
    <w:rsid w:val="562B5E8C"/>
    <w:rsid w:val="56697BB0"/>
    <w:rsid w:val="56D46032"/>
    <w:rsid w:val="56E56E54"/>
    <w:rsid w:val="571C1B8D"/>
    <w:rsid w:val="572B41B4"/>
    <w:rsid w:val="5751723E"/>
    <w:rsid w:val="57914481"/>
    <w:rsid w:val="57EC3BFE"/>
    <w:rsid w:val="57F473DA"/>
    <w:rsid w:val="58522703"/>
    <w:rsid w:val="58705F7F"/>
    <w:rsid w:val="589715D5"/>
    <w:rsid w:val="58BA4828"/>
    <w:rsid w:val="59305AC2"/>
    <w:rsid w:val="5A9102A6"/>
    <w:rsid w:val="5AE92129"/>
    <w:rsid w:val="5B58582D"/>
    <w:rsid w:val="5B6339F0"/>
    <w:rsid w:val="5B93724D"/>
    <w:rsid w:val="5B982433"/>
    <w:rsid w:val="5B9F3060"/>
    <w:rsid w:val="5BC11016"/>
    <w:rsid w:val="5BD05F88"/>
    <w:rsid w:val="5C9E45E6"/>
    <w:rsid w:val="5CDB3A5A"/>
    <w:rsid w:val="5DAA7FFC"/>
    <w:rsid w:val="5DB217C6"/>
    <w:rsid w:val="5E193449"/>
    <w:rsid w:val="5E4B2AFB"/>
    <w:rsid w:val="5E8E5228"/>
    <w:rsid w:val="5F881C77"/>
    <w:rsid w:val="5FB8795D"/>
    <w:rsid w:val="5FC37F08"/>
    <w:rsid w:val="5FEB19E8"/>
    <w:rsid w:val="6001125E"/>
    <w:rsid w:val="602838EF"/>
    <w:rsid w:val="604B0A34"/>
    <w:rsid w:val="608F2ABA"/>
    <w:rsid w:val="60A87A87"/>
    <w:rsid w:val="60B436AB"/>
    <w:rsid w:val="60DA339F"/>
    <w:rsid w:val="610A2B60"/>
    <w:rsid w:val="611F03B9"/>
    <w:rsid w:val="611F2AAF"/>
    <w:rsid w:val="614C4638"/>
    <w:rsid w:val="618D5C6B"/>
    <w:rsid w:val="61954B1F"/>
    <w:rsid w:val="619957F1"/>
    <w:rsid w:val="61E66498"/>
    <w:rsid w:val="61F7494E"/>
    <w:rsid w:val="62500A46"/>
    <w:rsid w:val="62600C89"/>
    <w:rsid w:val="63282E2F"/>
    <w:rsid w:val="63871BF1"/>
    <w:rsid w:val="639D1585"/>
    <w:rsid w:val="63A27E4A"/>
    <w:rsid w:val="63D71080"/>
    <w:rsid w:val="641A4BC0"/>
    <w:rsid w:val="64362F3E"/>
    <w:rsid w:val="647153D0"/>
    <w:rsid w:val="64982B6D"/>
    <w:rsid w:val="65562818"/>
    <w:rsid w:val="65965345"/>
    <w:rsid w:val="660E3AE9"/>
    <w:rsid w:val="66384800"/>
    <w:rsid w:val="66527BAE"/>
    <w:rsid w:val="666D7E19"/>
    <w:rsid w:val="667E2026"/>
    <w:rsid w:val="66C11F13"/>
    <w:rsid w:val="67184229"/>
    <w:rsid w:val="672E75A8"/>
    <w:rsid w:val="674A0261"/>
    <w:rsid w:val="67630340"/>
    <w:rsid w:val="67A376E5"/>
    <w:rsid w:val="67A907C5"/>
    <w:rsid w:val="687B6CC4"/>
    <w:rsid w:val="68880F3A"/>
    <w:rsid w:val="68D423D1"/>
    <w:rsid w:val="692F7608"/>
    <w:rsid w:val="69CA4922"/>
    <w:rsid w:val="6A677B50"/>
    <w:rsid w:val="6A8A71EB"/>
    <w:rsid w:val="6AA22005"/>
    <w:rsid w:val="6B686E01"/>
    <w:rsid w:val="6BAE1C75"/>
    <w:rsid w:val="6BC229B5"/>
    <w:rsid w:val="6C040682"/>
    <w:rsid w:val="6C1763DF"/>
    <w:rsid w:val="6C354F35"/>
    <w:rsid w:val="6C792A11"/>
    <w:rsid w:val="6C9C1458"/>
    <w:rsid w:val="6CCF798C"/>
    <w:rsid w:val="6CE23D5D"/>
    <w:rsid w:val="6D123218"/>
    <w:rsid w:val="6D725612"/>
    <w:rsid w:val="6DA63D6E"/>
    <w:rsid w:val="6DC96001"/>
    <w:rsid w:val="6DCA2D85"/>
    <w:rsid w:val="6DD62CAD"/>
    <w:rsid w:val="6E274D51"/>
    <w:rsid w:val="6E301E58"/>
    <w:rsid w:val="6E355449"/>
    <w:rsid w:val="6E6E1A43"/>
    <w:rsid w:val="6EBC10DE"/>
    <w:rsid w:val="6F132B65"/>
    <w:rsid w:val="6FB055DB"/>
    <w:rsid w:val="6FD601DD"/>
    <w:rsid w:val="6FF13F65"/>
    <w:rsid w:val="70AD3C34"/>
    <w:rsid w:val="712A45CE"/>
    <w:rsid w:val="712C0696"/>
    <w:rsid w:val="71303888"/>
    <w:rsid w:val="71347EB1"/>
    <w:rsid w:val="713A2523"/>
    <w:rsid w:val="71E0253D"/>
    <w:rsid w:val="72184F34"/>
    <w:rsid w:val="7245773D"/>
    <w:rsid w:val="724C2FD8"/>
    <w:rsid w:val="72A0114E"/>
    <w:rsid w:val="72A83B07"/>
    <w:rsid w:val="72A95415"/>
    <w:rsid w:val="72B92358"/>
    <w:rsid w:val="72E27499"/>
    <w:rsid w:val="72F5541E"/>
    <w:rsid w:val="72F85D20"/>
    <w:rsid w:val="73101192"/>
    <w:rsid w:val="7343262D"/>
    <w:rsid w:val="73571C35"/>
    <w:rsid w:val="73780439"/>
    <w:rsid w:val="7415295F"/>
    <w:rsid w:val="74324AFF"/>
    <w:rsid w:val="74620ED1"/>
    <w:rsid w:val="74AA048A"/>
    <w:rsid w:val="74DE41A5"/>
    <w:rsid w:val="74F47C43"/>
    <w:rsid w:val="74FD06B6"/>
    <w:rsid w:val="750D1BC6"/>
    <w:rsid w:val="752B5547"/>
    <w:rsid w:val="75A4312B"/>
    <w:rsid w:val="75BC563D"/>
    <w:rsid w:val="75E021D2"/>
    <w:rsid w:val="76680B61"/>
    <w:rsid w:val="768858BC"/>
    <w:rsid w:val="76AA3EB5"/>
    <w:rsid w:val="76CA63C9"/>
    <w:rsid w:val="76DB6026"/>
    <w:rsid w:val="7714467F"/>
    <w:rsid w:val="77452DDC"/>
    <w:rsid w:val="77613082"/>
    <w:rsid w:val="776A1499"/>
    <w:rsid w:val="77E23F4F"/>
    <w:rsid w:val="78B67C13"/>
    <w:rsid w:val="793236F3"/>
    <w:rsid w:val="79500F4C"/>
    <w:rsid w:val="79554FB7"/>
    <w:rsid w:val="797866AB"/>
    <w:rsid w:val="7979151E"/>
    <w:rsid w:val="79C3399F"/>
    <w:rsid w:val="79CD2C51"/>
    <w:rsid w:val="7A201EF3"/>
    <w:rsid w:val="7A635830"/>
    <w:rsid w:val="7A982578"/>
    <w:rsid w:val="7AB80698"/>
    <w:rsid w:val="7ACF47A6"/>
    <w:rsid w:val="7B024B7C"/>
    <w:rsid w:val="7B045B68"/>
    <w:rsid w:val="7B405AF6"/>
    <w:rsid w:val="7B5029EE"/>
    <w:rsid w:val="7B9A1258"/>
    <w:rsid w:val="7BEC31E9"/>
    <w:rsid w:val="7C95557C"/>
    <w:rsid w:val="7D902913"/>
    <w:rsid w:val="7D9F2B56"/>
    <w:rsid w:val="7E2A628E"/>
    <w:rsid w:val="7E3D5990"/>
    <w:rsid w:val="7E5D7F31"/>
    <w:rsid w:val="7E9D7358"/>
    <w:rsid w:val="7F0709B3"/>
    <w:rsid w:val="7F1E5CFC"/>
    <w:rsid w:val="7F337740"/>
    <w:rsid w:val="7F521573"/>
    <w:rsid w:val="7FA14865"/>
    <w:rsid w:val="7FC11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line="416" w:lineRule="auto"/>
      <w:outlineLvl w:val="1"/>
    </w:pPr>
    <w:rPr>
      <w:rFonts w:ascii="Arial" w:hAnsi="Arial"/>
      <w:b/>
      <w:bCs/>
      <w:sz w:val="24"/>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line="374" w:lineRule="auto"/>
      <w:outlineLvl w:val="3"/>
    </w:pPr>
    <w:rPr>
      <w:rFonts w:ascii="Arial" w:hAnsi="Arial"/>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正"/>
    <w:basedOn w:val="1"/>
    <w:unhideWhenUsed/>
    <w:qFormat/>
    <w:uiPriority w:val="99"/>
    <w:pPr>
      <w:widowControl w:val="0"/>
      <w:autoSpaceDE w:val="0"/>
      <w:autoSpaceDN w:val="0"/>
      <w:adjustRightInd w:val="0"/>
      <w:spacing w:line="560" w:lineRule="exact"/>
      <w:ind w:firstLine="561"/>
      <w:jc w:val="left"/>
    </w:pPr>
    <w:rPr>
      <w:rFonts w:hint="eastAsia" w:ascii="Calibri" w:hAnsi="Calibri"/>
      <w:sz w:val="28"/>
    </w:rPr>
  </w:style>
  <w:style w:type="paragraph" w:styleId="6">
    <w:name w:val="annotation text"/>
    <w:basedOn w:val="1"/>
    <w:qFormat/>
    <w:uiPriority w:val="0"/>
    <w:pPr>
      <w:jc w:val="left"/>
    </w:pPr>
  </w:style>
  <w:style w:type="paragraph" w:styleId="7">
    <w:name w:val="Body Text"/>
    <w:basedOn w:val="1"/>
    <w:semiHidden/>
    <w:qFormat/>
    <w:uiPriority w:val="0"/>
    <w:rPr>
      <w:rFonts w:ascii="黑体" w:hAnsi="黑体" w:eastAsia="黑体" w:cs="黑体"/>
      <w:sz w:val="52"/>
      <w:szCs w:val="52"/>
      <w:lang w:val="en-US" w:eastAsia="en-US" w:bidi="ar-SA"/>
    </w:rPr>
  </w:style>
  <w:style w:type="paragraph" w:styleId="8">
    <w:name w:val="Body Text Indent"/>
    <w:basedOn w:val="1"/>
    <w:next w:val="1"/>
    <w:qFormat/>
    <w:uiPriority w:val="0"/>
    <w:pPr>
      <w:ind w:firstLine="480" w:firstLineChars="200"/>
    </w:pPr>
    <w:rPr>
      <w:rFonts w:ascii="宋体" w:hAnsi="宋体"/>
      <w:sz w:val="24"/>
    </w:r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footnote text"/>
    <w:basedOn w:val="1"/>
    <w:qFormat/>
    <w:uiPriority w:val="0"/>
    <w:pPr>
      <w:snapToGrid w:val="0"/>
      <w:jc w:val="left"/>
    </w:pPr>
    <w:rPr>
      <w:rFonts w:eastAsia="宋体"/>
      <w:kern w:val="2"/>
      <w:sz w:val="18"/>
      <w:szCs w:val="18"/>
      <w:lang w:val="en-US" w:eastAsia="zh-CN" w:bidi="ar-SA"/>
    </w:rPr>
  </w:style>
  <w:style w:type="paragraph" w:styleId="14">
    <w:name w:val="toc 2"/>
    <w:basedOn w:val="1"/>
    <w:next w:val="1"/>
    <w:qFormat/>
    <w:uiPriority w:val="0"/>
    <w:pPr>
      <w:ind w:left="420" w:leftChars="200"/>
    </w:pPr>
  </w:style>
  <w:style w:type="paragraph" w:styleId="15">
    <w:name w:val="Body Text 2"/>
    <w:basedOn w:val="1"/>
    <w:qFormat/>
    <w:uiPriority w:val="0"/>
    <w:pPr>
      <w:spacing w:line="500" w:lineRule="exact"/>
    </w:pPr>
    <w:rPr>
      <w:rFonts w:ascii="宋体"/>
      <w:sz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7"/>
    <w:next w:val="1"/>
    <w:qFormat/>
    <w:uiPriority w:val="0"/>
    <w:pPr>
      <w:widowControl/>
      <w:ind w:firstLine="420" w:firstLineChars="100"/>
      <w:jc w:val="left"/>
    </w:pPr>
  </w:style>
  <w:style w:type="character" w:styleId="20">
    <w:name w:val="Strong"/>
    <w:basedOn w:val="19"/>
    <w:qFormat/>
    <w:uiPriority w:val="0"/>
    <w:rPr>
      <w:b/>
    </w:rPr>
  </w:style>
  <w:style w:type="character" w:styleId="21">
    <w:name w:val="footnote reference"/>
    <w:qFormat/>
    <w:uiPriority w:val="0"/>
    <w:rPr>
      <w:vertAlign w:val="superscript"/>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表格内容"/>
    <w:basedOn w:val="25"/>
    <w:unhideWhenUsed/>
    <w:qFormat/>
    <w:uiPriority w:val="99"/>
    <w:pPr>
      <w:ind w:firstLine="0" w:firstLineChars="0"/>
      <w:jc w:val="center"/>
    </w:pPr>
    <w:rPr>
      <w:rFonts w:hint="eastAsia"/>
      <w:sz w:val="24"/>
    </w:rPr>
  </w:style>
  <w:style w:type="paragraph" w:customStyle="1" w:styleId="25">
    <w:name w:val="招标正文"/>
    <w:basedOn w:val="1"/>
    <w:unhideWhenUsed/>
    <w:qFormat/>
    <w:uiPriority w:val="99"/>
    <w:pPr>
      <w:widowControl w:val="0"/>
      <w:autoSpaceDE w:val="0"/>
      <w:autoSpaceDN w:val="0"/>
      <w:adjustRightInd w:val="0"/>
      <w:ind w:firstLine="480" w:firstLineChars="200"/>
      <w:jc w:val="left"/>
    </w:pPr>
    <w:rPr>
      <w:rFonts w:hint="eastAsia"/>
      <w:sz w:val="24"/>
    </w:rPr>
  </w:style>
  <w:style w:type="paragraph" w:customStyle="1" w:styleId="26">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7">
    <w:name w:val="Table Paragraph"/>
    <w:basedOn w:val="1"/>
    <w:qFormat/>
    <w:uiPriority w:val="0"/>
  </w:style>
  <w:style w:type="paragraph" w:customStyle="1" w:styleId="28">
    <w:name w:val="条款正文"/>
    <w:basedOn w:val="25"/>
    <w:qFormat/>
    <w:uiPriority w:val="0"/>
    <w:pPr>
      <w:ind w:firstLine="0" w:firstLineChars="0"/>
    </w:pPr>
  </w:style>
  <w:style w:type="paragraph" w:customStyle="1" w:styleId="2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标题1.1"/>
    <w:basedOn w:val="25"/>
    <w:next w:val="1"/>
    <w:qFormat/>
    <w:uiPriority w:val="0"/>
    <w:pPr>
      <w:numPr>
        <w:ilvl w:val="2"/>
        <w:numId w:val="1"/>
      </w:numPr>
      <w:ind w:firstLineChars="0"/>
      <w:outlineLvl w:val="2"/>
    </w:pPr>
    <w:rPr>
      <w:rFonts w:ascii="Times New Roman" w:hAnsi="Times New Roman" w:eastAsia="宋体" w:cs="微软雅黑"/>
      <w:b/>
      <w:kern w:val="0"/>
      <w:sz w:val="24"/>
      <w:szCs w:val="24"/>
    </w:rPr>
  </w:style>
  <w:style w:type="paragraph" w:customStyle="1" w:styleId="31">
    <w:name w:val="标题1、"/>
    <w:basedOn w:val="3"/>
    <w:qFormat/>
    <w:uiPriority w:val="0"/>
    <w:pPr>
      <w:numPr>
        <w:ilvl w:val="1"/>
        <w:numId w:val="1"/>
      </w:numPr>
      <w:autoSpaceDE w:val="0"/>
      <w:autoSpaceDN w:val="0"/>
      <w:adjustRightInd w:val="0"/>
      <w:spacing w:before="50" w:beforeLines="50" w:line="416" w:lineRule="auto"/>
      <w:ind w:left="284"/>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1.png"/><Relationship Id="rId76" Type="http://schemas.openxmlformats.org/officeDocument/2006/relationships/hyperlink" Target="#bookmark150"/><Relationship Id="rId75" Type="http://schemas.openxmlformats.org/officeDocument/2006/relationships/theme" Target="theme/theme1.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header" Target="header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187</Pages>
  <Words>4725</Words>
  <Characters>5332</Characters>
  <TotalTime>2</TotalTime>
  <ScaleCrop>false</ScaleCrop>
  <LinksUpToDate>false</LinksUpToDate>
  <CharactersWithSpaces>5688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2026-01-08T14:58:00Z</dcterms:created>
  <dc:creator>袁静</dc:creator>
  <cp:lastModifiedBy>蔡小健 j1aN</cp:lastModifiedBy>
  <dcterms:modified xsi:type="dcterms:W3CDTF">2026-06-02T07:02:37Z</dcterms:modified>
  <dc:title>公路工程标准施工招标文件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2026-03-09T12:54:02Z</vt:filetime>
  </property>
  <property fmtid="{D5CDD505-2E9C-101B-9397-08002B2CF9AE}" pid="4" name="KSOTemplateDocerSaveRecord">
    <vt:lpwstr>eyJoZGlkIjoiNGE1ZmZhZmQyN2M1YTlhNTcwZTA4MDc5YjA5YThlNzAiLCJ1c2VySWQiOiIzMDE1NjQ2MzcifQ==</vt:lpwstr>
  </property>
  <property fmtid="{D5CDD505-2E9C-101B-9397-08002B2CF9AE}" pid="5" name="KSOProductBuildVer">
    <vt:lpwstr>2052-12.1.0.26375</vt:lpwstr>
  </property>
  <property fmtid="{D5CDD505-2E9C-101B-9397-08002B2CF9AE}" pid="6" name="ICV">
    <vt:lpwstr>D7190E9E727E455590940596136CF49D_13</vt:lpwstr>
  </property>
</Properties>
</file>