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7BB6">
      <w:pPr>
        <w:pStyle w:val="48"/>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韶关市武江区城区排水防涝系统改造项目（三期）A标施工</w:t>
      </w:r>
    </w:p>
    <w:p w14:paraId="737C064C">
      <w:pPr>
        <w:pStyle w:val="48"/>
        <w:spacing w:line="360" w:lineRule="auto"/>
        <w:jc w:val="center"/>
        <w:rPr>
          <w:rFonts w:hint="eastAsia" w:ascii="宋体" w:hAnsi="宋体" w:eastAsia="宋体" w:cs="宋体"/>
          <w:b/>
          <w:bCs/>
          <w:color w:val="auto"/>
          <w:sz w:val="52"/>
          <w:szCs w:val="52"/>
          <w:highlight w:val="none"/>
          <w:lang w:eastAsia="zh-CN"/>
        </w:rPr>
      </w:pPr>
    </w:p>
    <w:p w14:paraId="7F3BE48C">
      <w:pPr>
        <w:pStyle w:val="48"/>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8"/>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5"/>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204754C4">
        <w:tblPrEx>
          <w:tblCellMar>
            <w:top w:w="0" w:type="dxa"/>
            <w:left w:w="0" w:type="dxa"/>
            <w:bottom w:w="0" w:type="dxa"/>
            <w:right w:w="0" w:type="dxa"/>
          </w:tblCellMar>
        </w:tblPrEx>
        <w:trPr>
          <w:trHeight w:val="1057" w:hRule="atLeast"/>
        </w:trPr>
        <w:tc>
          <w:tcPr>
            <w:tcW w:w="4815" w:type="dxa"/>
            <w:noWrap w:val="0"/>
            <w:vAlign w:val="center"/>
          </w:tcPr>
          <w:p w14:paraId="45A2C9EA">
            <w:pPr>
              <w:pStyle w:val="49"/>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6B79DFF5">
            <w:pPr>
              <w:pStyle w:val="49"/>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韶关市武江区城市管理和综合执法局</w:t>
            </w:r>
          </w:p>
        </w:tc>
      </w:tr>
      <w:tr w14:paraId="71A5190E">
        <w:tblPrEx>
          <w:tblCellMar>
            <w:top w:w="0" w:type="dxa"/>
            <w:left w:w="0" w:type="dxa"/>
            <w:bottom w:w="0" w:type="dxa"/>
            <w:right w:w="0" w:type="dxa"/>
          </w:tblCellMar>
        </w:tblPrEx>
        <w:trPr>
          <w:trHeight w:val="1158" w:hRule="atLeast"/>
        </w:trPr>
        <w:tc>
          <w:tcPr>
            <w:tcW w:w="4815" w:type="dxa"/>
            <w:noWrap w:val="0"/>
            <w:vAlign w:val="center"/>
          </w:tcPr>
          <w:p w14:paraId="1804EA22">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1B329948">
            <w:pPr>
              <w:pStyle w:val="49"/>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1083" w:hRule="atLeast"/>
        </w:trPr>
        <w:tc>
          <w:tcPr>
            <w:tcW w:w="4815" w:type="dxa"/>
            <w:noWrap w:val="0"/>
            <w:vAlign w:val="center"/>
          </w:tcPr>
          <w:p w14:paraId="7CE13960">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7183D8E9">
            <w:pPr>
              <w:pStyle w:val="49"/>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1584FF1B">
        <w:tblPrEx>
          <w:tblCellMar>
            <w:top w:w="0" w:type="dxa"/>
            <w:left w:w="0" w:type="dxa"/>
            <w:bottom w:w="0" w:type="dxa"/>
            <w:right w:w="0" w:type="dxa"/>
          </w:tblCellMar>
        </w:tblPrEx>
        <w:trPr>
          <w:trHeight w:val="1192" w:hRule="atLeast"/>
        </w:trPr>
        <w:tc>
          <w:tcPr>
            <w:tcW w:w="4815" w:type="dxa"/>
            <w:noWrap w:val="0"/>
            <w:vAlign w:val="center"/>
          </w:tcPr>
          <w:p w14:paraId="7D1284AC">
            <w:pPr>
              <w:pStyle w:val="49"/>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1F91DA9">
            <w:pPr>
              <w:pStyle w:val="49"/>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1217" w:hRule="atLeast"/>
        </w:trPr>
        <w:tc>
          <w:tcPr>
            <w:tcW w:w="4815" w:type="dxa"/>
            <w:noWrap w:val="0"/>
            <w:vAlign w:val="center"/>
          </w:tcPr>
          <w:p w14:paraId="27D3040E">
            <w:pPr>
              <w:pStyle w:val="4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163F4C30">
            <w:pPr>
              <w:pStyle w:val="49"/>
              <w:spacing w:line="240" w:lineRule="auto"/>
              <w:rPr>
                <w:rFonts w:hint="eastAsia" w:hAnsi="宋体" w:cs="宋体"/>
                <w:color w:val="auto"/>
                <w:sz w:val="28"/>
                <w:szCs w:val="28"/>
                <w:highlight w:val="none"/>
              </w:rPr>
            </w:pPr>
          </w:p>
        </w:tc>
      </w:tr>
      <w:tr w14:paraId="779D13E8">
        <w:tblPrEx>
          <w:tblCellMar>
            <w:top w:w="0" w:type="dxa"/>
            <w:left w:w="0" w:type="dxa"/>
            <w:bottom w:w="0" w:type="dxa"/>
            <w:right w:w="0" w:type="dxa"/>
          </w:tblCellMar>
        </w:tblPrEx>
        <w:trPr>
          <w:trHeight w:val="950" w:hRule="atLeast"/>
        </w:trPr>
        <w:tc>
          <w:tcPr>
            <w:tcW w:w="4815" w:type="dxa"/>
            <w:noWrap w:val="0"/>
            <w:vAlign w:val="center"/>
          </w:tcPr>
          <w:p w14:paraId="1F32F23A">
            <w:pPr>
              <w:pStyle w:val="49"/>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4D1754B">
            <w:pPr>
              <w:pStyle w:val="49"/>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2DF2E24F">
      <w:pPr>
        <w:pStyle w:val="4"/>
        <w:rPr>
          <w:rFonts w:hint="eastAsia" w:ascii="宋体" w:hAnsi="宋体" w:eastAsia="宋体" w:cs="宋体"/>
          <w:b/>
          <w:bCs/>
          <w:color w:val="auto"/>
          <w:kern w:val="2"/>
          <w:sz w:val="56"/>
          <w:szCs w:val="72"/>
          <w:highlight w:val="none"/>
          <w:u w:val="none"/>
          <w:lang w:val="en-US" w:eastAsia="zh-CN" w:bidi="ar-SA"/>
        </w:rPr>
      </w:pPr>
    </w:p>
    <w:p w14:paraId="0751871B">
      <w:pPr>
        <w:rPr>
          <w:rFonts w:hint="eastAsia" w:ascii="宋体" w:hAnsi="宋体" w:eastAsia="宋体" w:cs="宋体"/>
          <w:b/>
          <w:bCs/>
          <w:color w:val="auto"/>
          <w:kern w:val="2"/>
          <w:sz w:val="56"/>
          <w:szCs w:val="72"/>
          <w:highlight w:val="none"/>
          <w:u w:val="none"/>
          <w:lang w:val="en-US" w:eastAsia="zh-CN" w:bidi="ar-SA"/>
        </w:rPr>
      </w:pPr>
    </w:p>
    <w:p w14:paraId="754B1189">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4EE0F0">
      <w:pPr>
        <w:rPr>
          <w:rFonts w:hint="eastAsia" w:ascii="宋体" w:hAnsi="宋体" w:eastAsia="宋体" w:cs="宋体"/>
          <w:color w:val="auto"/>
          <w:highlight w:val="none"/>
        </w:rPr>
      </w:pPr>
    </w:p>
    <w:p w14:paraId="16F7CD0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FC708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0223B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2F93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09B8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3F24B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4B9B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661F8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8D0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5DC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13DC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B395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678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D89D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515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F2D0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2195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A048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76608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ECD35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60A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BCF3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09DD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3D5A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9CB2B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EB922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CD9DE">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D727">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F5BD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7805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9130F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204D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ED6E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1671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1332B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1C23E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D390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DA451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4D1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F1F3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C733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F5ACA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472F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1C0CA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187F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D02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3C0A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E6BCE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A941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4F0D0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8493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D04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7D5A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326E9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BEDFF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8C87C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12ED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609A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41F3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0DB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AEA4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B5F87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7380D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六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90</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0020240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6"/>
        <w:spacing w:line="272" w:lineRule="auto"/>
        <w:rPr>
          <w:rFonts w:hint="eastAsia" w:ascii="宋体" w:hAnsi="宋体" w:eastAsia="宋体" w:cs="宋体"/>
          <w:color w:val="auto"/>
          <w:highlight w:val="none"/>
        </w:rPr>
      </w:pPr>
    </w:p>
    <w:p w14:paraId="1275B705">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spacing w:before="25"/>
        <w:rPr>
          <w:rFonts w:hint="eastAsia" w:ascii="宋体" w:hAnsi="宋体" w:eastAsia="宋体" w:cs="宋体"/>
          <w:color w:val="auto"/>
          <w:highlight w:val="none"/>
        </w:rPr>
      </w:pPr>
    </w:p>
    <w:tbl>
      <w:tblPr>
        <w:tblStyle w:val="15"/>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82" w:type="dxa"/>
            <w:vAlign w:val="top"/>
          </w:tcPr>
          <w:p w14:paraId="57F31717">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5E350CD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韶关市武江区城区排水防涝系统改造项目（三期）A标施工</w:t>
            </w:r>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7359E557">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韶关市武江区城市管理和综合执法局</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56E39C5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5A9B3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79223BF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韶武发改投审〔2025〕3 号、韶武发改投审〔2026〕20号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7228FB2F">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韶关市武江区</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681E1B8E">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2405-440203-17-01-545355</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5DE790D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区财政统筹解决，资金已落实</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491A7FE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韶关市武江区城市管理和综合执法局</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16D8FF60">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广东合正项目管理有限公司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582" w:type="dxa"/>
            <w:vAlign w:val="center"/>
          </w:tcPr>
          <w:p w14:paraId="5BBAB66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中誉设计有限公司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F381BD5">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6A44A4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E7CF5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☑建设内容：在芙蓉北一路、韶关大道、工业路、奥园后山、志福新村、教育路、人民南路等地点，新建管径为 DN300 -DN1200的排水管约2478米，新建规格为1500*500、1000*500、800*800的雨水渠约1148米等。包括排水管渠修建、道路路面修复等工程。（</w:t>
            </w:r>
            <w:r>
              <w:rPr>
                <w:rFonts w:hint="eastAsia" w:asciiTheme="minorEastAsia" w:hAnsiTheme="minorEastAsia" w:eastAsiaTheme="minorEastAsia" w:cstheme="minorEastAsia"/>
                <w:snapToGrid w:val="0"/>
                <w:color w:val="auto"/>
                <w:kern w:val="0"/>
                <w:sz w:val="21"/>
                <w:szCs w:val="21"/>
                <w:highlight w:val="none"/>
                <w:lang w:val="en-US" w:eastAsia="zh-CN"/>
              </w:rPr>
              <w:t>最终以施工图纸及工程量清单为准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2A78B69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项目概算总投资2068.98万元，其中工程费用1741.24万元，工程建设其他费用267.48万元，预备费用60.26万元。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trPr>
        <w:tc>
          <w:tcPr>
            <w:tcW w:w="582" w:type="dxa"/>
            <w:vAlign w:val="center"/>
          </w:tcPr>
          <w:p w14:paraId="47D18B68">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68E278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240个日历天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24C6737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240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6A9E83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7E4002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25225E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05CA0D4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7E3D7D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589E58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kern w:val="0"/>
                <w:sz w:val="21"/>
                <w:szCs w:val="21"/>
                <w:highlight w:val="none"/>
                <w:lang w:val="en-US" w:eastAsia="zh-CN"/>
              </w:rPr>
              <w:t>符合现行国家有关工程施工质量验收规范和标准的要求。</w:t>
            </w:r>
          </w:p>
          <w:p w14:paraId="688E24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2E385E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241D3E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493FED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5B69C0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B9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31CE4D3">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266E0A9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113BD1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1100D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59270BE1">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ajorEastAsia" w:hAnsiTheme="majorEastAsia" w:eastAsiaTheme="majorEastAsia" w:cstheme="majorEastAsia"/>
                <w:b w:val="0"/>
                <w:bCs/>
                <w:i w:val="0"/>
                <w:iCs/>
                <w:color w:val="auto"/>
                <w:kern w:val="2"/>
                <w:sz w:val="21"/>
                <w:szCs w:val="21"/>
                <w:highlight w:val="none"/>
                <w:lang w:val="en-US" w:eastAsia="zh-CN" w:bidi="ar-SA"/>
              </w:rPr>
              <w:t>本项目最高投标限价为人民币（大写）：壹仟陆佰柒拾贰万柒仟陆佰叁拾捌元叁角叁分（¥16727638.33元）；其中安全生产措施费不得低于255530.99元，暂列金额(统一报价)为：¥1305519.94元，专业工程暂估价(统一报价)为：¥124055.50元。</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spacing w:before="69" w:line="188"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6</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5CBDC5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38DC2C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u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b/>
                <w:bCs/>
                <w:snapToGrid w:val="0"/>
                <w:color w:val="auto"/>
                <w:kern w:val="0"/>
                <w:sz w:val="21"/>
                <w:szCs w:val="21"/>
                <w:highlight w:val="none"/>
                <w:u w:val="none"/>
                <w:lang w:eastAsia="zh-CN"/>
              </w:rPr>
              <w:t>市政公用工程施工总承包三级以上（含三级）资质。</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581B8B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市政公用工程 </w:t>
            </w:r>
            <w:r>
              <w:rPr>
                <w:rFonts w:hint="eastAsia" w:asciiTheme="minorEastAsia" w:hAnsiTheme="minorEastAsia" w:eastAsiaTheme="minorEastAsia" w:cstheme="minorEastAsia"/>
                <w:b w:val="0"/>
                <w:bCs w:val="0"/>
                <w:snapToGrid w:val="0"/>
                <w:color w:val="auto"/>
                <w:kern w:val="0"/>
                <w:sz w:val="21"/>
                <w:szCs w:val="21"/>
                <w:highlight w:val="none"/>
                <w:u w:val="none"/>
                <w:lang w:val="en-US" w:eastAsia="zh-CN"/>
              </w:rPr>
              <w:t>专业</w:t>
            </w:r>
            <w:r>
              <w:rPr>
                <w:rFonts w:hint="eastAsia"/>
                <w:snapToGrid w:val="0"/>
                <w:color w:val="auto"/>
                <w:kern w:val="0"/>
                <w:sz w:val="22"/>
                <w:highlight w:val="none"/>
                <w:lang w:eastAsia="zh-CN"/>
              </w:rPr>
              <w:t>一级或二级注册建造师</w:t>
            </w:r>
            <w:r>
              <w:rPr>
                <w:rFonts w:hint="eastAsia" w:asciiTheme="minorEastAsia" w:hAnsiTheme="minorEastAsia" w:eastAsiaTheme="minorEastAsia" w:cstheme="minorEastAsia"/>
                <w:snapToGrid w:val="0"/>
                <w:color w:val="auto"/>
                <w:kern w:val="0"/>
                <w:sz w:val="21"/>
                <w:szCs w:val="21"/>
                <w:highlight w:val="none"/>
                <w:lang w:val="en-US" w:eastAsia="zh-CN"/>
              </w:rPr>
              <w:t>，应持有住建部门印发的在使用有效期内的有效电子注册证书。同时均须具备有效安全生产考核合格证明（B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b/>
                <w:bCs/>
                <w:snapToGrid w:val="0"/>
                <w:color w:val="auto"/>
                <w:kern w:val="0"/>
                <w:sz w:val="21"/>
                <w:szCs w:val="21"/>
                <w:highlight w:val="none"/>
                <w:u w:val="single"/>
                <w:lang w:eastAsia="zh-CN"/>
              </w:rPr>
              <w:t>市政工程</w:t>
            </w:r>
            <w:r>
              <w:rPr>
                <w:rFonts w:hint="eastAsia" w:asciiTheme="minorEastAsia" w:hAnsiTheme="minorEastAsia" w:eastAsiaTheme="minorEastAsia" w:cstheme="minorEastAsia"/>
                <w:snapToGrid w:val="0"/>
                <w:color w:val="auto"/>
                <w:kern w:val="0"/>
                <w:sz w:val="21"/>
                <w:szCs w:val="21"/>
                <w:highlight w:val="none"/>
                <w:lang w:eastAsia="zh-CN"/>
              </w:rPr>
              <w:t>相关专业中级或以上技术职称。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5"/>
              <w:tblW w:w="7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69"/>
              <w:gridCol w:w="3081"/>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669" w:type="dxa"/>
                  <w:vAlign w:val="center"/>
                </w:tcPr>
                <w:p w14:paraId="67EB51C9">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269" w:type="dxa"/>
                  <w:vAlign w:val="center"/>
                </w:tcPr>
                <w:p w14:paraId="6F0BFDA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81" w:type="dxa"/>
                  <w:vAlign w:val="center"/>
                </w:tcPr>
                <w:p w14:paraId="2D127BFF">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69" w:type="dxa"/>
                  <w:vAlign w:val="center"/>
                </w:tcPr>
                <w:p w14:paraId="73002015">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p>
              </w:tc>
              <w:tc>
                <w:tcPr>
                  <w:tcW w:w="3269" w:type="dxa"/>
                  <w:vAlign w:val="center"/>
                </w:tcPr>
                <w:p w14:paraId="1D594C04">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韶关市武江区城市管理和综合执法局</w:t>
                  </w:r>
                </w:p>
              </w:tc>
              <w:tc>
                <w:tcPr>
                  <w:tcW w:w="3081" w:type="dxa"/>
                  <w:vAlign w:val="center"/>
                </w:tcPr>
                <w:p w14:paraId="77E9D97B">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9" w:type="dxa"/>
                  <w:vAlign w:val="center"/>
                </w:tcPr>
                <w:p w14:paraId="1AF59A03">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p>
              </w:tc>
              <w:tc>
                <w:tcPr>
                  <w:tcW w:w="3269" w:type="dxa"/>
                  <w:vAlign w:val="center"/>
                </w:tcPr>
                <w:p w14:paraId="7D534040">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广东合正项目管理有限公司</w:t>
                  </w:r>
                </w:p>
              </w:tc>
              <w:tc>
                <w:tcPr>
                  <w:tcW w:w="3081" w:type="dxa"/>
                  <w:vAlign w:val="center"/>
                </w:tcPr>
                <w:p w14:paraId="7C2FD604">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9" w:type="dxa"/>
                  <w:vAlign w:val="center"/>
                </w:tcPr>
                <w:p w14:paraId="4CCE75B5">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3269" w:type="dxa"/>
                  <w:vAlign w:val="center"/>
                </w:tcPr>
                <w:p w14:paraId="07AB9E42">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中誉设计有限公司</w:t>
                  </w:r>
                </w:p>
              </w:tc>
              <w:tc>
                <w:tcPr>
                  <w:tcW w:w="3081" w:type="dxa"/>
                  <w:vAlign w:val="center"/>
                </w:tcPr>
                <w:p w14:paraId="01F59B98">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r>
            <w:tr w14:paraId="018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9" w:type="dxa"/>
                  <w:vAlign w:val="center"/>
                </w:tcPr>
                <w:p w14:paraId="7A5F0693">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3269" w:type="dxa"/>
                  <w:shd w:val="clear" w:color="auto" w:fill="auto"/>
                  <w:vAlign w:val="center"/>
                </w:tcPr>
                <w:p w14:paraId="2BDF9BD9">
                  <w:pPr>
                    <w:pStyle w:val="23"/>
                    <w:wordWrap w:val="0"/>
                    <w:adjustRightInd w:val="0"/>
                    <w:snapToGrid w:val="0"/>
                    <w:spacing w:line="24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napToGrid w:val="0"/>
                      <w:color w:val="auto"/>
                      <w:kern w:val="0"/>
                      <w:sz w:val="22"/>
                      <w:szCs w:val="22"/>
                      <w:highlight w:val="none"/>
                    </w:rPr>
                    <w:t>智埔国际建设集团有限公司</w:t>
                  </w:r>
                </w:p>
              </w:tc>
              <w:tc>
                <w:tcPr>
                  <w:tcW w:w="3081" w:type="dxa"/>
                  <w:shd w:val="clear" w:color="auto" w:fill="auto"/>
                  <w:vAlign w:val="center"/>
                </w:tcPr>
                <w:p w14:paraId="0228517C">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造价咨询</w:t>
                  </w:r>
                  <w:r>
                    <w:rPr>
                      <w:rFonts w:hint="eastAsia" w:ascii="宋体" w:hAnsi="宋体" w:eastAsia="宋体" w:cs="宋体"/>
                      <w:snapToGrid w:val="0"/>
                      <w:color w:val="auto"/>
                      <w:kern w:val="0"/>
                      <w:sz w:val="22"/>
                      <w:szCs w:val="22"/>
                      <w:highlight w:val="none"/>
                    </w:rPr>
                    <w:t>单位</w:t>
                  </w:r>
                </w:p>
              </w:tc>
            </w:tr>
            <w:tr w14:paraId="3DC0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9" w:type="dxa"/>
                  <w:vAlign w:val="center"/>
                </w:tcPr>
                <w:p w14:paraId="077DF64C">
                  <w:pPr>
                    <w:pStyle w:val="23"/>
                    <w:wordWrap w:val="0"/>
                    <w:adjustRightInd w:val="0"/>
                    <w:snapToGrid w:val="0"/>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3269" w:type="dxa"/>
                  <w:shd w:val="clear" w:color="auto" w:fill="auto"/>
                  <w:vAlign w:val="center"/>
                </w:tcPr>
                <w:p w14:paraId="64B8CC9C">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广东省岩土勘测设计研究有限公司</w:t>
                  </w:r>
                </w:p>
              </w:tc>
              <w:tc>
                <w:tcPr>
                  <w:tcW w:w="3081" w:type="dxa"/>
                  <w:shd w:val="clear" w:color="auto" w:fill="auto"/>
                  <w:vAlign w:val="center"/>
                </w:tcPr>
                <w:p w14:paraId="53371FFC">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勘察</w:t>
                  </w:r>
                  <w:r>
                    <w:rPr>
                      <w:rFonts w:hint="eastAsia" w:ascii="宋体" w:hAnsi="宋体" w:eastAsia="宋体" w:cs="宋体"/>
                      <w:snapToGrid w:val="0"/>
                      <w:color w:val="auto"/>
                      <w:kern w:val="0"/>
                      <w:sz w:val="22"/>
                      <w:szCs w:val="22"/>
                      <w:highlight w:val="none"/>
                    </w:rPr>
                    <w:t>单位</w:t>
                  </w:r>
                </w:p>
              </w:tc>
            </w:tr>
            <w:tr w14:paraId="7C61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69" w:type="dxa"/>
                  <w:vAlign w:val="center"/>
                </w:tcPr>
                <w:p w14:paraId="298AFB0E">
                  <w:pPr>
                    <w:pStyle w:val="23"/>
                    <w:wordWrap w:val="0"/>
                    <w:adjustRightInd w:val="0"/>
                    <w:snapToGrid w:val="0"/>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3269" w:type="dxa"/>
                  <w:shd w:val="clear" w:color="auto" w:fill="auto"/>
                  <w:vAlign w:val="center"/>
                </w:tcPr>
                <w:p w14:paraId="6200B767">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广东粤湾施工图审查有限公司</w:t>
                  </w:r>
                </w:p>
              </w:tc>
              <w:tc>
                <w:tcPr>
                  <w:tcW w:w="3081" w:type="dxa"/>
                  <w:shd w:val="clear" w:color="auto" w:fill="auto"/>
                  <w:vAlign w:val="center"/>
                </w:tcPr>
                <w:p w14:paraId="74C818DF">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审图机构</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spacing w:before="19"/>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27</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spacing w:before="19"/>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spacing w:before="69" w:line="188" w:lineRule="auto"/>
              <w:ind w:left="205" w:left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spacing w:before="69" w:line="188" w:lineRule="auto"/>
              <w:ind w:left="205" w:left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35FD8C92">
            <w:pPr>
              <w:spacing w:before="69" w:line="188" w:lineRule="auto"/>
              <w:ind w:left="209" w:leftChars="0"/>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w:t>
            </w:r>
            <w:r>
              <w:rPr>
                <w:rFonts w:hint="eastAsia" w:asciiTheme="minorEastAsia" w:hAnsiTheme="minorEastAsia" w:eastAsiaTheme="minorEastAsia" w:cstheme="minorEastAsia"/>
                <w:color w:val="auto"/>
                <w:sz w:val="21"/>
                <w:szCs w:val="21"/>
                <w:highlight w:val="none"/>
              </w:rPr>
              <w:t>标委员会</w:t>
            </w:r>
          </w:p>
        </w:tc>
        <w:tc>
          <w:tcPr>
            <w:tcW w:w="7544" w:type="dxa"/>
            <w:vAlign w:val="center"/>
          </w:tcPr>
          <w:p w14:paraId="062BDE7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u w:val="none"/>
                <w:lang w:val="en-US" w:eastAsia="zh-CN"/>
              </w:rPr>
              <w:t>本</w:t>
            </w:r>
            <w:r>
              <w:rPr>
                <w:rFonts w:hint="eastAsia" w:asciiTheme="minorEastAsia" w:hAnsiTheme="minorEastAsia" w:eastAsiaTheme="minorEastAsia" w:cstheme="minorEastAsia"/>
                <w:color w:val="auto"/>
                <w:sz w:val="21"/>
                <w:szCs w:val="21"/>
                <w:highlight w:val="none"/>
                <w:u w:val="none"/>
                <w:lang w:eastAsia="zh-CN"/>
              </w:rPr>
              <w:t>项目</w:t>
            </w:r>
            <w:r>
              <w:rPr>
                <w:rFonts w:hint="eastAsia" w:asciiTheme="minorEastAsia" w:hAnsiTheme="minorEastAsia" w:eastAsiaTheme="minorEastAsia" w:cstheme="minorEastAsia"/>
                <w:color w:val="auto"/>
                <w:sz w:val="21"/>
                <w:szCs w:val="21"/>
                <w:highlight w:val="none"/>
                <w:u w:val="none"/>
              </w:rPr>
              <w:t>定标委员会</w:t>
            </w:r>
            <w:r>
              <w:rPr>
                <w:rFonts w:hint="eastAsia" w:asciiTheme="minorEastAsia" w:hAnsiTheme="minorEastAsia" w:eastAsiaTheme="minorEastAsia" w:cstheme="minorEastAsia"/>
                <w:color w:val="auto"/>
                <w:sz w:val="21"/>
                <w:szCs w:val="21"/>
                <w:highlight w:val="none"/>
                <w:u w:val="none"/>
                <w:lang w:eastAsia="zh-CN"/>
              </w:rPr>
              <w:t>组成人</w:t>
            </w:r>
            <w:r>
              <w:rPr>
                <w:rFonts w:hint="eastAsia" w:asciiTheme="minorEastAsia" w:hAnsiTheme="minorEastAsia" w:eastAsiaTheme="minorEastAsia" w:cstheme="minorEastAsia"/>
                <w:color w:val="auto"/>
                <w:sz w:val="21"/>
                <w:szCs w:val="21"/>
                <w:highlight w:val="none"/>
                <w:u w:val="none"/>
              </w:rPr>
              <w:t>员为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7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spacing w:before="69" w:line="188" w:lineRule="auto"/>
              <w:ind w:left="209" w:left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综合评分法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spacing w:before="258" w:line="188" w:lineRule="auto"/>
              <w:ind w:left="209" w:leftChars="0"/>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投标文件编制</w:t>
            </w:r>
            <w:r>
              <w:rPr>
                <w:rFonts w:hint="eastAsia" w:asciiTheme="minorEastAsia" w:hAnsiTheme="minorEastAsia" w:eastAsiaTheme="minorEastAsia" w:cstheme="minorEastAsia"/>
                <w:snapToGrid w:val="0"/>
                <w:color w:val="auto"/>
                <w:kern w:val="0"/>
                <w:sz w:val="21"/>
                <w:szCs w:val="21"/>
                <w:highlight w:val="none"/>
                <w:lang w:eastAsia="zh-CN"/>
              </w:rPr>
              <w:t>及</w:t>
            </w:r>
            <w:r>
              <w:rPr>
                <w:rFonts w:hint="eastAsia" w:asciiTheme="minorEastAsia" w:hAnsiTheme="minorEastAsia" w:eastAsiaTheme="minorEastAsia" w:cstheme="minorEastAsia"/>
                <w:snapToGrid w:val="0"/>
                <w:color w:val="auto"/>
                <w:kern w:val="0"/>
                <w:sz w:val="21"/>
                <w:szCs w:val="21"/>
                <w:highlight w:val="none"/>
              </w:rPr>
              <w:t>份数要求</w:t>
            </w:r>
          </w:p>
        </w:tc>
        <w:tc>
          <w:tcPr>
            <w:tcW w:w="7544" w:type="dxa"/>
            <w:vAlign w:val="center"/>
          </w:tcPr>
          <w:p w14:paraId="1D5081FB">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投标人须上传（递交）投标文件：</w:t>
            </w:r>
          </w:p>
          <w:p w14:paraId="5DFDF2C6">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1、电子投标文件一套：</w:t>
            </w:r>
          </w:p>
          <w:p w14:paraId="2D814D67">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（1）商务标书1份；</w:t>
            </w:r>
          </w:p>
          <w:p w14:paraId="3F9DD380">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（2）经济标书1份；</w:t>
            </w:r>
          </w:p>
          <w:p w14:paraId="16067C6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 xml:space="preserve">（3）施工组织设计1份； </w:t>
            </w:r>
          </w:p>
          <w:p w14:paraId="2048C2C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（4）定标文件1份；</w:t>
            </w:r>
          </w:p>
          <w:p w14:paraId="661E79A2">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2、对应评审要求的分项响应文件（如有）。</w:t>
            </w:r>
          </w:p>
          <w:p w14:paraId="4ABF173D">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spacing w:before="258" w:line="188" w:lineRule="auto"/>
              <w:ind w:left="209" w:leftChars="0"/>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采用</w:t>
            </w:r>
            <w:r>
              <w:rPr>
                <w:rFonts w:hint="eastAsia" w:asciiTheme="minorEastAsia" w:hAnsiTheme="minorEastAsia" w:eastAsiaTheme="minorEastAsia" w:cstheme="minorEastAsia"/>
                <w:b/>
                <w:bCs w:val="0"/>
                <w:snapToGrid w:val="0"/>
                <w:color w:val="auto"/>
                <w:kern w:val="0"/>
                <w:sz w:val="21"/>
                <w:szCs w:val="21"/>
                <w:highlight w:val="none"/>
                <w:lang w:val="en-US" w:eastAsia="zh-CN"/>
              </w:rPr>
              <w:t>评定分离</w:t>
            </w:r>
            <w:r>
              <w:rPr>
                <w:rFonts w:hint="eastAsia" w:asciiTheme="minorEastAsia" w:hAnsiTheme="minorEastAsia" w:eastAsiaTheme="minorEastAsia" w:cstheme="minorEastAsia"/>
                <w:bCs/>
                <w:snapToGrid w:val="0"/>
                <w:color w:val="auto"/>
                <w:kern w:val="0"/>
                <w:sz w:val="21"/>
                <w:szCs w:val="21"/>
                <w:highlight w:val="none"/>
                <w:lang w:val="en-US" w:eastAsia="zh-CN"/>
              </w:rPr>
              <w:t>的项目，应选定下列定标办法：</w:t>
            </w:r>
          </w:p>
          <w:p w14:paraId="389B1B0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☑票决数量法</w:t>
            </w:r>
          </w:p>
          <w:p w14:paraId="344C818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□票决计分法</w:t>
            </w:r>
          </w:p>
          <w:p w14:paraId="60102FE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□集体议事法</w:t>
            </w:r>
          </w:p>
          <w:p w14:paraId="4BE6FD5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□其他方法：</w:t>
            </w:r>
          </w:p>
        </w:tc>
      </w:tr>
      <w:tr w14:paraId="3A7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6D5AAE1">
            <w:pPr>
              <w:spacing w:before="19"/>
              <w:jc w:val="center"/>
              <w:rPr>
                <w:rFonts w:hint="default" w:asciiTheme="minorEastAsia" w:hAnsiTheme="minorEastAsia" w:eastAsiaTheme="minorEastAsia" w:cstheme="minorEastAsia"/>
                <w:strike w:val="0"/>
                <w:dstrike w:val="0"/>
                <w:color w:val="auto"/>
                <w:spacing w:val="-5"/>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35</w:t>
            </w:r>
          </w:p>
        </w:tc>
        <w:tc>
          <w:tcPr>
            <w:tcW w:w="1860" w:type="dxa"/>
            <w:vAlign w:val="center"/>
          </w:tcPr>
          <w:p w14:paraId="7DF194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trike w:val="0"/>
                <w:dstrike w:val="0"/>
                <w:snapToGrid w:val="0"/>
                <w:color w:val="auto"/>
                <w:kern w:val="0"/>
                <w:sz w:val="21"/>
                <w:szCs w:val="21"/>
                <w:highlight w:val="none"/>
                <w:lang w:val="en-US" w:eastAsia="zh-CN"/>
              </w:rPr>
            </w:pPr>
            <w:r>
              <w:rPr>
                <w:rFonts w:hint="eastAsia" w:asciiTheme="minorEastAsia" w:hAnsiTheme="minorEastAsia" w:eastAsiaTheme="minorEastAsia" w:cstheme="minorEastAsia"/>
                <w:strike w:val="0"/>
                <w:dstrike w:val="0"/>
                <w:color w:val="auto"/>
                <w:sz w:val="21"/>
                <w:szCs w:val="21"/>
                <w:highlight w:val="none"/>
              </w:rPr>
              <w:t>纳入百千万工程公益性项目</w:t>
            </w:r>
          </w:p>
        </w:tc>
        <w:tc>
          <w:tcPr>
            <w:tcW w:w="7544" w:type="dxa"/>
            <w:vAlign w:val="center"/>
          </w:tcPr>
          <w:p w14:paraId="3BE075B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trike w:val="0"/>
                <w:dstrike w:val="0"/>
                <w:snapToGrid w:val="0"/>
                <w:color w:val="auto"/>
                <w:kern w:val="0"/>
                <w:sz w:val="21"/>
                <w:szCs w:val="21"/>
                <w:highlight w:val="none"/>
                <w:lang w:val="en-US" w:eastAsia="zh-CN"/>
              </w:rPr>
            </w:pPr>
            <w:r>
              <w:rPr>
                <w:rFonts w:hint="eastAsia" w:asciiTheme="minorEastAsia" w:hAnsiTheme="minorEastAsia" w:eastAsiaTheme="minorEastAsia" w:cstheme="minorEastAsia"/>
                <w:bCs/>
                <w:strike w:val="0"/>
                <w:dstrike w:val="0"/>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spacing w:before="57" w:line="195"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932BDBC">
            <w:pPr>
              <w:spacing w:before="57" w:line="195"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本项目由中标人支付招标代理费及评标专家酬劳，代理费根据国家计委关于印发《招标代理服务收费管理暂行办法》的通知计价格[2002]1980号，</w:t>
            </w:r>
            <w:r>
              <w:rPr>
                <w:rFonts w:hint="eastAsia" w:asciiTheme="minorEastAsia" w:hAnsiTheme="minorEastAsia" w:eastAsiaTheme="minorEastAsia" w:cstheme="minorEastAsia"/>
                <w:snapToGrid w:val="0"/>
                <w:color w:val="auto"/>
                <w:kern w:val="0"/>
                <w:sz w:val="21"/>
                <w:szCs w:val="21"/>
                <w:highlight w:val="none"/>
                <w:lang w:val="en-US" w:eastAsia="zh-CN"/>
              </w:rPr>
              <w:t>按标准下浮40%，</w:t>
            </w:r>
            <w:r>
              <w:rPr>
                <w:rFonts w:hint="eastAsia" w:asciiTheme="minorEastAsia" w:hAnsiTheme="minorEastAsia" w:eastAsiaTheme="minorEastAsia" w:cstheme="minorEastAsia"/>
                <w:snapToGrid w:val="0"/>
                <w:color w:val="auto"/>
                <w:kern w:val="0"/>
                <w:sz w:val="21"/>
                <w:szCs w:val="21"/>
                <w:highlight w:val="none"/>
                <w:lang w:eastAsia="zh-CN"/>
              </w:rPr>
              <w:t>评标专家酬劳（包括食宿费用、交通费、专家评审 劳务费等） 由招标代理机构先垫付，中标人须在中标公告公示期结束后, 向招标代理机构一次性付清评标专家酬劳（以当天评委签收为准）。</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spacing w:before="69" w:line="188" w:lineRule="auto"/>
              <w:ind w:left="209"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05D7D285">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韶关市武江区城市管理和综合执法局</w:t>
            </w:r>
          </w:p>
          <w:p w14:paraId="114E3D57">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Theme="minorEastAsia" w:hAnsiTheme="minorEastAsia" w:eastAsiaTheme="minorEastAsia" w:cstheme="minorEastAsia"/>
                <w:snapToGrid w:val="0"/>
                <w:color w:val="auto"/>
                <w:kern w:val="0"/>
                <w:sz w:val="21"/>
                <w:szCs w:val="21"/>
                <w:highlight w:val="none"/>
                <w:lang w:eastAsia="zh-CN"/>
              </w:rPr>
              <w:t>韶关市武江区沙湖路 18 号</w:t>
            </w:r>
          </w:p>
          <w:p w14:paraId="485A58E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王工</w:t>
            </w:r>
          </w:p>
          <w:p w14:paraId="1EB1645E">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0751-8700765</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108C8FDE">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6B19B0A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广东合正项目管理有限公司</w:t>
            </w:r>
          </w:p>
          <w:p w14:paraId="453D0A92">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Theme="minorEastAsia" w:hAnsiTheme="minorEastAsia" w:eastAsiaTheme="minorEastAsia" w:cstheme="minorEastAsia"/>
                <w:snapToGrid w:val="0"/>
                <w:color w:val="auto"/>
                <w:kern w:val="0"/>
                <w:sz w:val="21"/>
                <w:szCs w:val="21"/>
                <w:highlight w:val="none"/>
                <w:lang w:val="en-US" w:eastAsia="zh-CN"/>
              </w:rPr>
              <w:t>韶关市武江区百旺大道42号莞韶双创中心研发办公楼五楼03号</w:t>
            </w:r>
          </w:p>
          <w:p w14:paraId="24F2482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项目负责人：</w:t>
            </w:r>
            <w:r>
              <w:rPr>
                <w:rFonts w:hint="eastAsia" w:asciiTheme="minorEastAsia" w:hAnsiTheme="minorEastAsia" w:eastAsiaTheme="minorEastAsia" w:cstheme="minorEastAsia"/>
                <w:snapToGrid w:val="0"/>
                <w:color w:val="auto"/>
                <w:kern w:val="0"/>
                <w:sz w:val="21"/>
                <w:szCs w:val="21"/>
                <w:highlight w:val="none"/>
                <w:lang w:val="en-US" w:eastAsia="zh-CN"/>
              </w:rPr>
              <w:t>何高练</w:t>
            </w:r>
          </w:p>
          <w:p w14:paraId="6A976851">
            <w:pPr>
              <w:wordWrap w:val="0"/>
              <w:adjustRightInd w:val="0"/>
              <w:snapToGrid w:val="0"/>
              <w:spacing w:line="360" w:lineRule="exact"/>
              <w:ind w:firstLine="210" w:firstLineChars="100"/>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经办人：</w:t>
            </w:r>
            <w:r>
              <w:rPr>
                <w:rFonts w:hint="eastAsia" w:asciiTheme="minorEastAsia" w:hAnsiTheme="minorEastAsia" w:eastAsiaTheme="minorEastAsia" w:cstheme="minorEastAsia"/>
                <w:snapToGrid w:val="0"/>
                <w:color w:val="auto"/>
                <w:kern w:val="0"/>
                <w:sz w:val="21"/>
                <w:szCs w:val="21"/>
                <w:highlight w:val="none"/>
                <w:lang w:val="en-US" w:eastAsia="zh-CN"/>
              </w:rPr>
              <w:t>孔坚莹、张慧新</w:t>
            </w:r>
          </w:p>
          <w:p w14:paraId="46941BE8">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电    话：</w:t>
            </w:r>
            <w:r>
              <w:rPr>
                <w:rFonts w:hint="eastAsia" w:asciiTheme="minorEastAsia" w:hAnsiTheme="minorEastAsia" w:eastAsiaTheme="minorEastAsia" w:cstheme="minorEastAsia"/>
                <w:snapToGrid w:val="0"/>
                <w:color w:val="auto"/>
                <w:kern w:val="0"/>
                <w:sz w:val="21"/>
                <w:szCs w:val="21"/>
                <w:highlight w:val="none"/>
                <w:lang w:val="en-US" w:eastAsia="zh-CN"/>
              </w:rPr>
              <w:t>0751-8219991</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913773C">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7FC7A8F3">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单位名称：韶关市公共资源交易中心</w:t>
            </w:r>
          </w:p>
          <w:p w14:paraId="115EFE1A">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办公地址：广东省韶关市武江区西联镇 </w:t>
            </w:r>
          </w:p>
          <w:p w14:paraId="6A307809">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联系人（部门）：工程交易股</w:t>
            </w:r>
          </w:p>
          <w:p w14:paraId="07CD1897">
            <w:pPr>
              <w:pStyle w:val="23"/>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联系电话：0751-8633211</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09465065">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749BC2A3">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单位名称：韶关市住房和城乡建设管理局</w:t>
            </w:r>
          </w:p>
          <w:p w14:paraId="0E3014EB">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办公地址：广东省韶关市武江区芙蓉东路5号</w:t>
            </w:r>
          </w:p>
          <w:p w14:paraId="4835FF21">
            <w:pPr>
              <w:pStyle w:val="23"/>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联系人（部门）：建筑业市场管理科</w:t>
            </w:r>
          </w:p>
          <w:p w14:paraId="6574C9CE">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联系电话：0751-8892601</w:t>
            </w:r>
          </w:p>
        </w:tc>
      </w:tr>
    </w:tbl>
    <w:p w14:paraId="353554BF">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6"/>
        <w:rPr>
          <w:rFonts w:hint="eastAsia" w:ascii="宋体" w:hAnsi="宋体" w:eastAsia="宋体" w:cs="宋体"/>
          <w:color w:val="auto"/>
          <w:highlight w:val="none"/>
        </w:rPr>
      </w:pPr>
    </w:p>
    <w:tbl>
      <w:tblPr>
        <w:tblStyle w:val="15"/>
        <w:tblW w:w="5008"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9"/>
        <w:gridCol w:w="1406"/>
        <w:gridCol w:w="7917"/>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招标公告</w:t>
            </w:r>
          </w:p>
          <w:p w14:paraId="725690E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820CA6E">
            <w:pPr>
              <w:pStyle w:val="23"/>
              <w:widowControl/>
              <w:snapToGrid w:val="0"/>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18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17</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rPr>
              <w:t xml:space="preserve"> </w:t>
            </w:r>
            <w:r>
              <w:rPr>
                <w:rFonts w:hint="eastAsia" w:asciiTheme="minorEastAsia" w:hAnsiTheme="minorEastAsia" w:eastAsiaTheme="minorEastAsia" w:cstheme="minorEastAsia"/>
                <w:color w:val="auto"/>
                <w:kern w:val="0"/>
                <w:sz w:val="21"/>
                <w:szCs w:val="21"/>
                <w:highlight w:val="none"/>
                <w:u w:val="none"/>
                <w:lang w:val="en-US" w:eastAsia="zh-CN"/>
              </w:rPr>
              <w:t>00</w:t>
            </w:r>
            <w:r>
              <w:rPr>
                <w:rFonts w:hint="eastAsia" w:asciiTheme="minorEastAsia" w:hAnsiTheme="minorEastAsia" w:eastAsiaTheme="minorEastAsia" w:cstheme="minorEastAsia"/>
                <w:color w:val="auto"/>
                <w:kern w:val="0"/>
                <w:sz w:val="21"/>
                <w:szCs w:val="21"/>
                <w:highlight w:val="none"/>
                <w:u w:val="none"/>
              </w:rPr>
              <w:t xml:space="preserve"> </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 xml:space="preserve"> </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E32C9F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获取招标文件</w:t>
            </w:r>
          </w:p>
          <w:p w14:paraId="23D91625">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C54F190">
            <w:pPr>
              <w:pStyle w:val="23"/>
              <w:widowControl/>
              <w:snapToGrid w:val="0"/>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rPr>
              <w:t xml:space="preserve"> </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网上提问</w:t>
            </w:r>
          </w:p>
          <w:p w14:paraId="4AC37F99">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B8D8C14">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u w:val="none"/>
              </w:rPr>
              <w:t>年</w:t>
            </w:r>
            <w:r>
              <w:rPr>
                <w:rFonts w:hint="eastAsia" w:asciiTheme="minorEastAsia" w:hAnsiTheme="minorEastAsia" w:eastAsiaTheme="minorEastAsia" w:cstheme="minorEastAsia"/>
                <w:color w:val="auto"/>
                <w:kern w:val="0"/>
                <w:sz w:val="21"/>
                <w:szCs w:val="21"/>
                <w:highlight w:val="none"/>
                <w:u w:val="none"/>
                <w:lang w:val="en-US" w:eastAsia="zh-CN"/>
              </w:rPr>
              <w:t>6</w:t>
            </w:r>
            <w:r>
              <w:rPr>
                <w:rFonts w:hint="eastAsia" w:asciiTheme="minorEastAsia" w:hAnsiTheme="minorEastAsia" w:eastAsiaTheme="minorEastAsia" w:cstheme="minorEastAsia"/>
                <w:color w:val="auto"/>
                <w:kern w:val="0"/>
                <w:sz w:val="21"/>
                <w:szCs w:val="21"/>
                <w:highlight w:val="none"/>
                <w:u w:val="none"/>
              </w:rPr>
              <w:t>月</w:t>
            </w:r>
            <w:r>
              <w:rPr>
                <w:rFonts w:hint="eastAsia" w:asciiTheme="minorEastAsia" w:hAnsiTheme="minorEastAsia" w:eastAsiaTheme="minorEastAsia" w:cstheme="minorEastAsia"/>
                <w:color w:val="auto"/>
                <w:kern w:val="0"/>
                <w:sz w:val="21"/>
                <w:szCs w:val="21"/>
                <w:highlight w:val="none"/>
                <w:u w:val="none"/>
                <w:lang w:val="en-US" w:eastAsia="zh-CN"/>
              </w:rPr>
              <w:t>29</w:t>
            </w:r>
            <w:r>
              <w:rPr>
                <w:rFonts w:hint="eastAsia" w:asciiTheme="minorEastAsia" w:hAnsiTheme="minorEastAsia" w:eastAsiaTheme="minorEastAsia" w:cstheme="minorEastAsia"/>
                <w:color w:val="auto"/>
                <w:kern w:val="0"/>
                <w:sz w:val="21"/>
                <w:szCs w:val="21"/>
                <w:highlight w:val="none"/>
                <w:u w:val="none"/>
              </w:rPr>
              <w:t xml:space="preserve">日 </w:t>
            </w:r>
            <w:r>
              <w:rPr>
                <w:rFonts w:hint="eastAsia" w:asciiTheme="minorEastAsia" w:hAnsiTheme="minorEastAsia" w:eastAsiaTheme="minorEastAsia" w:cstheme="minorEastAsia"/>
                <w:color w:val="auto"/>
                <w:kern w:val="0"/>
                <w:sz w:val="21"/>
                <w:szCs w:val="21"/>
                <w:highlight w:val="none"/>
                <w:u w:val="none"/>
                <w:lang w:val="en-US" w:eastAsia="zh-CN"/>
              </w:rPr>
              <w:t xml:space="preserve">16  </w:t>
            </w:r>
            <w:r>
              <w:rPr>
                <w:rFonts w:hint="eastAsia" w:asciiTheme="minorEastAsia" w:hAnsiTheme="minorEastAsia" w:eastAsiaTheme="minorEastAsia" w:cstheme="minorEastAsia"/>
                <w:color w:val="auto"/>
                <w:kern w:val="0"/>
                <w:sz w:val="21"/>
                <w:szCs w:val="21"/>
                <w:highlight w:val="none"/>
                <w:u w:val="none"/>
              </w:rPr>
              <w:t xml:space="preserve">时 </w:t>
            </w:r>
            <w:r>
              <w:rPr>
                <w:rFonts w:hint="eastAsia" w:asciiTheme="minorEastAsia" w:hAnsiTheme="minorEastAsia" w:eastAsiaTheme="minorEastAsia" w:cstheme="minorEastAsia"/>
                <w:color w:val="auto"/>
                <w:kern w:val="0"/>
                <w:sz w:val="21"/>
                <w:szCs w:val="21"/>
                <w:highlight w:val="none"/>
                <w:u w:val="none"/>
                <w:lang w:val="en-US" w:eastAsia="zh-CN"/>
              </w:rPr>
              <w:t xml:space="preserve">00 </w:t>
            </w:r>
            <w:r>
              <w:rPr>
                <w:rFonts w:hint="eastAsia" w:asciiTheme="minorEastAsia" w:hAnsiTheme="minorEastAsia" w:eastAsiaTheme="minorEastAsia" w:cstheme="minorEastAsia"/>
                <w:color w:val="auto"/>
                <w:kern w:val="0"/>
                <w:sz w:val="21"/>
                <w:szCs w:val="21"/>
                <w:highlight w:val="none"/>
                <w:u w:val="none"/>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网上答疑</w:t>
            </w:r>
          </w:p>
          <w:p w14:paraId="722BD18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B8ACE79">
            <w:pPr>
              <w:pStyle w:val="23"/>
              <w:widowControl/>
              <w:snapToGrid w:val="0"/>
              <w:ind w:firstLine="210" w:firstLineChars="100"/>
              <w:jc w:val="left"/>
              <w:rPr>
                <w:rFonts w:hint="eastAsia" w:asciiTheme="minorEastAsia" w:hAnsiTheme="minorEastAsia" w:eastAsiaTheme="minorEastAsia" w:cstheme="minorEastAsia"/>
                <w:snapToGrid w:val="0"/>
                <w:color w:val="auto"/>
                <w:kern w:val="0"/>
                <w:sz w:val="21"/>
                <w:szCs w:val="21"/>
                <w:highlight w:val="none"/>
                <w:u w:val="none"/>
              </w:rPr>
            </w:pP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u w:val="none"/>
              </w:rPr>
              <w:t>年</w:t>
            </w:r>
            <w:r>
              <w:rPr>
                <w:rFonts w:hint="eastAsia" w:asciiTheme="minorEastAsia" w:hAnsiTheme="minorEastAsia" w:eastAsiaTheme="minorEastAsia" w:cstheme="minorEastAsia"/>
                <w:color w:val="auto"/>
                <w:kern w:val="0"/>
                <w:sz w:val="21"/>
                <w:szCs w:val="21"/>
                <w:highlight w:val="none"/>
                <w:u w:val="none"/>
                <w:lang w:val="en-US" w:eastAsia="zh-CN"/>
              </w:rPr>
              <w:t>6</w:t>
            </w:r>
            <w:r>
              <w:rPr>
                <w:rFonts w:hint="eastAsia" w:asciiTheme="minorEastAsia" w:hAnsiTheme="minorEastAsia" w:eastAsiaTheme="minorEastAsia" w:cstheme="minorEastAsia"/>
                <w:color w:val="auto"/>
                <w:kern w:val="0"/>
                <w:sz w:val="21"/>
                <w:szCs w:val="21"/>
                <w:highlight w:val="none"/>
                <w:u w:val="none"/>
              </w:rPr>
              <w:t>月</w:t>
            </w:r>
            <w:r>
              <w:rPr>
                <w:rFonts w:hint="eastAsia" w:asciiTheme="minorEastAsia" w:hAnsiTheme="minorEastAsia" w:eastAsiaTheme="minorEastAsia" w:cstheme="minorEastAsia"/>
                <w:color w:val="auto"/>
                <w:kern w:val="0"/>
                <w:sz w:val="21"/>
                <w:szCs w:val="21"/>
                <w:highlight w:val="none"/>
                <w:u w:val="none"/>
                <w:lang w:val="en-US" w:eastAsia="zh-CN"/>
              </w:rPr>
              <w:t>29</w:t>
            </w:r>
            <w:r>
              <w:rPr>
                <w:rFonts w:hint="eastAsia" w:asciiTheme="minorEastAsia" w:hAnsiTheme="minorEastAsia" w:eastAsiaTheme="minorEastAsia" w:cstheme="minorEastAsia"/>
                <w:color w:val="auto"/>
                <w:kern w:val="0"/>
                <w:sz w:val="21"/>
                <w:szCs w:val="21"/>
                <w:highlight w:val="none"/>
                <w:u w:val="none"/>
              </w:rPr>
              <w:t>日 16 时 30 分至</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u w:val="none"/>
              </w:rPr>
              <w:t>年</w:t>
            </w:r>
            <w:r>
              <w:rPr>
                <w:rFonts w:hint="eastAsia" w:asciiTheme="minorEastAsia" w:hAnsiTheme="minorEastAsia" w:eastAsiaTheme="minorEastAsia" w:cstheme="minorEastAsia"/>
                <w:color w:val="auto"/>
                <w:kern w:val="0"/>
                <w:sz w:val="21"/>
                <w:szCs w:val="21"/>
                <w:highlight w:val="none"/>
                <w:u w:val="none"/>
                <w:lang w:val="en-US" w:eastAsia="zh-CN"/>
              </w:rPr>
              <w:t>7</w:t>
            </w:r>
            <w:r>
              <w:rPr>
                <w:rFonts w:hint="eastAsia" w:asciiTheme="minorEastAsia" w:hAnsiTheme="minorEastAsia" w:eastAsiaTheme="minorEastAsia" w:cstheme="minorEastAsia"/>
                <w:color w:val="auto"/>
                <w:kern w:val="0"/>
                <w:sz w:val="21"/>
                <w:szCs w:val="21"/>
                <w:highlight w:val="none"/>
                <w:u w:val="none"/>
              </w:rPr>
              <w:t>月</w:t>
            </w:r>
            <w:r>
              <w:rPr>
                <w:rFonts w:hint="eastAsia" w:asciiTheme="minorEastAsia" w:hAnsiTheme="minorEastAsia" w:eastAsiaTheme="minorEastAsia" w:cstheme="minorEastAsia"/>
                <w:color w:val="auto"/>
                <w:kern w:val="0"/>
                <w:sz w:val="21"/>
                <w:szCs w:val="21"/>
                <w:highlight w:val="none"/>
                <w:u w:val="none"/>
                <w:lang w:val="en-US" w:eastAsia="zh-CN"/>
              </w:rPr>
              <w:t>2</w:t>
            </w:r>
            <w:r>
              <w:rPr>
                <w:rFonts w:hint="eastAsia" w:asciiTheme="minorEastAsia" w:hAnsiTheme="minorEastAsia" w:eastAsiaTheme="minorEastAsia" w:cstheme="minorEastAsia"/>
                <w:color w:val="auto"/>
                <w:kern w:val="0"/>
                <w:sz w:val="21"/>
                <w:szCs w:val="21"/>
                <w:highlight w:val="none"/>
                <w:u w:val="none"/>
              </w:rPr>
              <w:t>日 16 时 00分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投标保证缴</w:t>
            </w:r>
          </w:p>
          <w:p w14:paraId="40601E3D">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55562EC">
            <w:pPr>
              <w:pStyle w:val="23"/>
              <w:widowControl/>
              <w:snapToGrid w:val="0"/>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投标保证金到账截止时间：</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rPr>
              <w:t>分；</w:t>
            </w:r>
          </w:p>
          <w:p w14:paraId="4524612A">
            <w:pPr>
              <w:pStyle w:val="23"/>
              <w:widowControl/>
              <w:snapToGrid w:val="0"/>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投标保证担保上传截止时间：</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rPr>
              <w:t>分；</w:t>
            </w:r>
          </w:p>
          <w:p w14:paraId="4C25299F">
            <w:pPr>
              <w:pStyle w:val="23"/>
              <w:widowControl/>
              <w:snapToGrid w:val="0"/>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投标保证保险投保截止时间：</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 xml:space="preserve"> 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电子投标</w:t>
            </w:r>
          </w:p>
          <w:p w14:paraId="0226D24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866DE13">
            <w:pPr>
              <w:pStyle w:val="23"/>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lang w:val="en-US" w:eastAsia="zh-CN"/>
              </w:rPr>
              <w:t>30</w:t>
            </w:r>
            <w:r>
              <w:rPr>
                <w:rFonts w:hint="eastAsia" w:asciiTheme="minorEastAsia" w:hAnsiTheme="minorEastAsia" w:eastAsiaTheme="minorEastAsia" w:cstheme="minorEastAsia"/>
                <w:color w:val="auto"/>
                <w:kern w:val="0"/>
                <w:sz w:val="21"/>
                <w:szCs w:val="21"/>
                <w:highlight w:val="none"/>
              </w:rPr>
              <w:t>分</w:t>
            </w:r>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78B85CE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D85F498">
            <w:pPr>
              <w:pStyle w:val="23"/>
              <w:widowControl/>
              <w:snapToGrid w:val="0"/>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lang w:val="en-US" w:eastAsia="zh-CN"/>
              </w:rPr>
              <w:t>00</w:t>
            </w:r>
            <w:r>
              <w:rPr>
                <w:rFonts w:hint="eastAsia" w:asciiTheme="minorEastAsia" w:hAnsiTheme="minorEastAsia" w:eastAsiaTheme="minorEastAsia" w:cstheme="minorEastAsia"/>
                <w:color w:val="auto"/>
                <w:kern w:val="0"/>
                <w:sz w:val="21"/>
                <w:szCs w:val="21"/>
                <w:highlight w:val="none"/>
              </w:rPr>
              <w:t>分至</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u w:val="none"/>
              </w:rPr>
              <w:t xml:space="preserve"> </w:t>
            </w:r>
            <w:r>
              <w:rPr>
                <w:rFonts w:hint="eastAsia" w:asciiTheme="minorEastAsia" w:hAnsiTheme="minorEastAsia" w:eastAsiaTheme="minorEastAsia" w:cstheme="minorEastAsia"/>
                <w:color w:val="auto"/>
                <w:kern w:val="0"/>
                <w:sz w:val="21"/>
                <w:szCs w:val="21"/>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65C8FB45">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342CA2E">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递交场所：韶关市公共资源交易中心</w:t>
            </w:r>
          </w:p>
          <w:p w14:paraId="5CE53E69">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0660D4">
            <w:pPr>
              <w:pStyle w:val="23"/>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u w:val="none"/>
                <w:lang w:val="en-US" w:eastAsia="zh-CN"/>
              </w:rPr>
              <w:t>2026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none"/>
                <w:lang w:val="en-US" w:eastAsia="zh-CN"/>
              </w:rPr>
              <w:t>30</w:t>
            </w:r>
            <w:r>
              <w:rPr>
                <w:rFonts w:hint="eastAsia" w:asciiTheme="minorEastAsia" w:hAnsiTheme="minorEastAsia" w:eastAsiaTheme="minorEastAsia" w:cstheme="minorEastAsia"/>
                <w:color w:val="auto"/>
                <w:kern w:val="0"/>
                <w:sz w:val="21"/>
                <w:szCs w:val="21"/>
                <w:highlight w:val="none"/>
              </w:rPr>
              <w:t>分</w:t>
            </w:r>
            <w:bookmarkStart w:id="273" w:name="_GoBack"/>
            <w:bookmarkEnd w:id="273"/>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60B3C3">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开标场所：韶关市公共资源交易中心</w:t>
            </w:r>
          </w:p>
          <w:p w14:paraId="0624A7FB">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23"/>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自行下载招标文件、资料文件及招标答疑书等。若由于投标人自身原因未能及时取得上述资料的，由此发生的任何责任由投标人自负。</w:t>
            </w:r>
          </w:p>
        </w:tc>
      </w:tr>
    </w:tbl>
    <w:p w14:paraId="061A2F3E">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6"/>
        <w:spacing w:line="256" w:lineRule="auto"/>
        <w:rPr>
          <w:rFonts w:hint="eastAsia" w:ascii="宋体" w:hAnsi="宋体" w:eastAsia="宋体" w:cs="宋体"/>
          <w:color w:val="auto"/>
          <w:highlight w:val="none"/>
        </w:rPr>
      </w:pPr>
    </w:p>
    <w:p w14:paraId="52486261">
      <w:pPr>
        <w:pStyle w:val="6"/>
        <w:spacing w:line="257" w:lineRule="auto"/>
        <w:rPr>
          <w:rFonts w:hint="eastAsia" w:ascii="宋体" w:hAnsi="宋体" w:eastAsia="宋体" w:cs="宋体"/>
          <w:color w:val="auto"/>
          <w:highlight w:val="none"/>
        </w:rPr>
      </w:pPr>
    </w:p>
    <w:p w14:paraId="605C5DF8">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韶关市武江区城区排水防涝系统改造项目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韶关市武江区发展和改革局以《韶关市武江区发展和改革局关于韶关市武江区城区排水防涝系统改造项目可行性研究报告的批复》（韶武发改投审〔2025〕3 号）、《韶关市武江区发展和改革局关于韶关市武江区城区排水防涝系统改造项目（三期）A标初步设计概算的批复》（韶武发改投审〔2026〕20号）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2405-440203-17-01-545355</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韶关市武江区城市管理和综合执法局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资金已落实</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韶关市武江区城市管理和综合执法局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2"/>
          <w:szCs w:val="22"/>
          <w:highlight w:val="none"/>
          <w:u w:val="single"/>
          <w:lang w:eastAsia="zh-CN"/>
        </w:rPr>
        <w:t>韶关市武江区城区排水防涝系统改造项目（</w:t>
      </w:r>
      <w:r>
        <w:rPr>
          <w:rFonts w:hint="eastAsia" w:ascii="宋体" w:hAnsi="宋体" w:eastAsia="宋体" w:cs="宋体"/>
          <w:snapToGrid w:val="0"/>
          <w:color w:val="auto"/>
          <w:kern w:val="0"/>
          <w:sz w:val="22"/>
          <w:szCs w:val="22"/>
          <w:highlight w:val="none"/>
          <w:u w:val="single"/>
          <w:lang w:val="en-US" w:eastAsia="zh-CN"/>
        </w:rPr>
        <w:t>三</w:t>
      </w:r>
      <w:r>
        <w:rPr>
          <w:rFonts w:hint="eastAsia" w:ascii="宋体" w:hAnsi="宋体" w:eastAsia="宋体" w:cs="宋体"/>
          <w:snapToGrid w:val="0"/>
          <w:color w:val="auto"/>
          <w:kern w:val="0"/>
          <w:sz w:val="22"/>
          <w:szCs w:val="22"/>
          <w:highlight w:val="none"/>
          <w:u w:val="single"/>
          <w:lang w:eastAsia="zh-CN"/>
        </w:rPr>
        <w:t>期）A标施工</w:t>
      </w:r>
      <w:r>
        <w:rPr>
          <w:rFonts w:hint="eastAsia" w:ascii="宋体" w:hAnsi="宋体" w:eastAsia="宋体" w:cs="宋体"/>
          <w:snapToGrid w:val="0"/>
          <w:color w:val="auto"/>
          <w:kern w:val="0"/>
          <w:sz w:val="24"/>
          <w:szCs w:val="24"/>
          <w:highlight w:val="none"/>
        </w:rPr>
        <w:t>进行公开招标。</w:t>
      </w:r>
    </w:p>
    <w:p w14:paraId="692F6E02">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73"/>
      <w:bookmarkEnd w:id="9"/>
      <w:bookmarkStart w:id="10" w:name="bookmark52"/>
      <w:bookmarkEnd w:id="10"/>
      <w:bookmarkStart w:id="11" w:name="_Toc1901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w:t>
      </w:r>
    </w:p>
    <w:p w14:paraId="017DE51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在芙蓉北一路、韶关大道、工业路、奥园后山、志福新村、教育路、人民南路等地点，新建管径为 DN300 -DN1200的排水管约2478米，新建规格为1500*500、1000*500、800*800的雨水渠约1148米等。包括排水管渠修建、道路路面修复等工程。（最终以施工图纸及工程量清单为准）</w:t>
      </w:r>
    </w:p>
    <w:p w14:paraId="13C34DB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1"/>
          <w:rFonts w:hint="eastAsia" w:ascii="宋体" w:hAnsi="宋体" w:eastAsia="宋体" w:cs="宋体"/>
          <w:color w:val="auto"/>
          <w:kern w:val="0"/>
          <w:sz w:val="24"/>
          <w:szCs w:val="24"/>
          <w:highlight w:val="none"/>
        </w:rPr>
        <w:t>：</w:t>
      </w:r>
      <w:r>
        <w:rPr>
          <w:rStyle w:val="21"/>
          <w:rFonts w:hint="eastAsia" w:ascii="宋体" w:hAnsi="宋体" w:eastAsia="宋体" w:cs="宋体"/>
          <w:color w:val="auto"/>
          <w:kern w:val="0"/>
          <w:sz w:val="24"/>
          <w:szCs w:val="24"/>
          <w:highlight w:val="none"/>
          <w:u w:val="single"/>
          <w:lang w:val="en-US" w:eastAsia="zh-CN"/>
        </w:rPr>
        <w:t>项目概算总投资2068.98万元，其中工程费用1741.24万元，工程建设其他费用267.48万元，预备费用60.26万元。</w:t>
      </w:r>
    </w:p>
    <w:p w14:paraId="758B6CC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52F0C3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4A32985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8202"/>
      <w:bookmarkStart w:id="15" w:name="_Toc24593"/>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1B39489">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9A5251A">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4A910DA8">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2.1</w:t>
      </w:r>
      <w:r>
        <w:rPr>
          <w:rStyle w:val="21"/>
          <w:rFonts w:hint="eastAsia" w:ascii="宋体" w:hAnsi="宋体" w:eastAsia="宋体" w:cs="宋体"/>
          <w:b w:val="0"/>
          <w:bCs w:val="0"/>
          <w:color w:val="auto"/>
          <w:kern w:val="0"/>
          <w:sz w:val="24"/>
          <w:szCs w:val="24"/>
          <w:highlight w:val="none"/>
          <w:lang w:val="en-US" w:eastAsia="zh-CN"/>
        </w:rPr>
        <w:t xml:space="preserve"> 本次招标不接受联合体投标。</w:t>
      </w:r>
    </w:p>
    <w:p w14:paraId="65A5F158">
      <w:pPr>
        <w:wordWrap w:val="0"/>
        <w:adjustRightInd w:val="0"/>
        <w:snapToGrid w:val="0"/>
        <w:spacing w:line="360" w:lineRule="auto"/>
        <w:ind w:firstLine="482" w:firstLineChars="200"/>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 </w:t>
      </w:r>
      <w:r>
        <w:rPr>
          <w:rStyle w:val="21"/>
          <w:rFonts w:hint="eastAsia" w:ascii="宋体" w:hAnsi="宋体" w:eastAsia="宋体" w:cs="宋体"/>
          <w:b w:val="0"/>
          <w:bCs w:val="0"/>
          <w:color w:val="auto"/>
          <w:kern w:val="0"/>
          <w:sz w:val="24"/>
          <w:szCs w:val="24"/>
          <w:highlight w:val="none"/>
          <w:lang w:val="en-US" w:eastAsia="zh-CN"/>
        </w:rPr>
        <w:t>资格资质要求</w:t>
      </w:r>
    </w:p>
    <w:p w14:paraId="3EC3E1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11B0033A">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60B9A4D6">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Fonts w:hint="eastAsia" w:ascii="宋体" w:hAnsi="宋体" w:eastAsia="宋体" w:cs="宋体"/>
          <w:b/>
          <w:bCs/>
          <w:snapToGrid w:val="0"/>
          <w:color w:val="auto"/>
          <w:kern w:val="0"/>
          <w:sz w:val="24"/>
          <w:szCs w:val="24"/>
          <w:highlight w:val="none"/>
          <w:lang w:eastAsia="zh-CN"/>
        </w:rPr>
      </w:pPr>
      <w:r>
        <w:rPr>
          <w:rStyle w:val="21"/>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bCs/>
          <w:snapToGrid w:val="0"/>
          <w:color w:val="auto"/>
          <w:kern w:val="0"/>
          <w:sz w:val="24"/>
          <w:szCs w:val="24"/>
          <w:highlight w:val="none"/>
          <w:lang w:eastAsia="zh-CN"/>
        </w:rPr>
        <w:t>市政公用工程施工总承包三级以上（含三级）资质。</w:t>
      </w:r>
    </w:p>
    <w:p w14:paraId="7C360684">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p>
    <w:p w14:paraId="207B07C9">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246A834">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0684207F">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bCs/>
          <w:color w:val="auto"/>
          <w:sz w:val="24"/>
          <w:szCs w:val="24"/>
          <w:highlight w:val="none"/>
          <w:u w:val="single"/>
          <w:lang w:val="en-US" w:eastAsia="zh-CN"/>
        </w:rPr>
        <w:t>市政公用工程</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专业一级或二级注册建造师，应持有住建部门印发的在使用有效期内的有效电子注册证书。同时均须具备有效安全生产考核合格证明（B 证），且未担任其他在施（包括已中标未开工、已开工未竣工）建设工程项目的项目经理。 </w:t>
      </w:r>
    </w:p>
    <w:p w14:paraId="7EC74BD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rPr>
        <w:t>拟派项目技术负责人须具备</w:t>
      </w:r>
      <w:r>
        <w:rPr>
          <w:rFonts w:hint="eastAsia" w:ascii="宋体" w:hAnsi="宋体" w:eastAsia="宋体" w:cs="宋体"/>
          <w:b/>
          <w:bCs/>
          <w:snapToGrid w:val="0"/>
          <w:color w:val="auto"/>
          <w:kern w:val="0"/>
          <w:sz w:val="24"/>
          <w:szCs w:val="24"/>
          <w:highlight w:val="none"/>
          <w:u w:val="single"/>
          <w:lang w:eastAsia="zh-CN"/>
        </w:rPr>
        <w:t>市政工程</w:t>
      </w:r>
      <w:r>
        <w:rPr>
          <w:rFonts w:hint="eastAsia" w:ascii="宋体" w:hAnsi="宋体" w:eastAsia="宋体" w:cs="宋体"/>
          <w:b w:val="0"/>
          <w:bCs w:val="0"/>
          <w:snapToGrid w:val="0"/>
          <w:color w:val="auto"/>
          <w:kern w:val="0"/>
          <w:sz w:val="24"/>
          <w:szCs w:val="24"/>
          <w:highlight w:val="none"/>
        </w:rPr>
        <w:t>相关专业中级或以上技术职称。</w:t>
      </w:r>
    </w:p>
    <w:p w14:paraId="0C2DFAEE">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3EC82F7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390DDE10">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3"/>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3"/>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884"/>
        <w:gridCol w:w="3660"/>
      </w:tblGrid>
      <w:tr w14:paraId="3CDE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vAlign w:val="center"/>
          </w:tcPr>
          <w:p w14:paraId="3212D7D9">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884" w:type="dxa"/>
            <w:vAlign w:val="center"/>
          </w:tcPr>
          <w:p w14:paraId="492D8BE9">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660" w:type="dxa"/>
            <w:vAlign w:val="center"/>
          </w:tcPr>
          <w:p w14:paraId="3F117934">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76CC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70AFD4D3">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p>
        </w:tc>
        <w:tc>
          <w:tcPr>
            <w:tcW w:w="3884" w:type="dxa"/>
            <w:vAlign w:val="center"/>
          </w:tcPr>
          <w:p w14:paraId="2F6D2629">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韶关市武江区城市管理和综合执法局</w:t>
            </w:r>
          </w:p>
        </w:tc>
        <w:tc>
          <w:tcPr>
            <w:tcW w:w="3660" w:type="dxa"/>
            <w:vAlign w:val="center"/>
          </w:tcPr>
          <w:p w14:paraId="5F400B5F">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3D64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79EE8F3D">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p>
        </w:tc>
        <w:tc>
          <w:tcPr>
            <w:tcW w:w="3884" w:type="dxa"/>
            <w:vAlign w:val="center"/>
          </w:tcPr>
          <w:p w14:paraId="3125057B">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广东合正项目管理有限公司</w:t>
            </w:r>
          </w:p>
        </w:tc>
        <w:tc>
          <w:tcPr>
            <w:tcW w:w="3660" w:type="dxa"/>
            <w:vAlign w:val="center"/>
          </w:tcPr>
          <w:p w14:paraId="4D5C91E4">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4E0A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609A9B7D">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3884" w:type="dxa"/>
            <w:vAlign w:val="center"/>
          </w:tcPr>
          <w:p w14:paraId="53F0519C">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中誉设计有限公司</w:t>
            </w:r>
          </w:p>
        </w:tc>
        <w:tc>
          <w:tcPr>
            <w:tcW w:w="3660" w:type="dxa"/>
            <w:vAlign w:val="center"/>
          </w:tcPr>
          <w:p w14:paraId="2D6E0104">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r>
      <w:tr w14:paraId="52DE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23880317">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3884" w:type="dxa"/>
            <w:shd w:val="clear" w:color="auto" w:fill="auto"/>
            <w:vAlign w:val="center"/>
          </w:tcPr>
          <w:p w14:paraId="2D1AC11D">
            <w:pPr>
              <w:pStyle w:val="23"/>
              <w:wordWrap w:val="0"/>
              <w:adjustRightInd w:val="0"/>
              <w:snapToGrid w:val="0"/>
              <w:spacing w:line="24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snapToGrid w:val="0"/>
                <w:color w:val="auto"/>
                <w:kern w:val="0"/>
                <w:sz w:val="22"/>
                <w:szCs w:val="22"/>
                <w:highlight w:val="none"/>
              </w:rPr>
              <w:t>智埔国际建设集团有限公司</w:t>
            </w:r>
          </w:p>
        </w:tc>
        <w:tc>
          <w:tcPr>
            <w:tcW w:w="3660" w:type="dxa"/>
            <w:shd w:val="clear" w:color="auto" w:fill="auto"/>
            <w:vAlign w:val="center"/>
          </w:tcPr>
          <w:p w14:paraId="7ADDA375">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造价咨询</w:t>
            </w:r>
            <w:r>
              <w:rPr>
                <w:rFonts w:hint="eastAsia" w:ascii="宋体" w:hAnsi="宋体" w:eastAsia="宋体" w:cs="宋体"/>
                <w:snapToGrid w:val="0"/>
                <w:color w:val="auto"/>
                <w:kern w:val="0"/>
                <w:sz w:val="22"/>
                <w:szCs w:val="22"/>
                <w:highlight w:val="none"/>
              </w:rPr>
              <w:t>单位</w:t>
            </w:r>
          </w:p>
        </w:tc>
      </w:tr>
      <w:tr w14:paraId="4B97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39F5B40A">
            <w:pPr>
              <w:pStyle w:val="23"/>
              <w:wordWrap w:val="0"/>
              <w:adjustRightInd w:val="0"/>
              <w:snapToGrid w:val="0"/>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3884" w:type="dxa"/>
            <w:shd w:val="clear" w:color="auto" w:fill="auto"/>
            <w:vAlign w:val="center"/>
          </w:tcPr>
          <w:p w14:paraId="1317B6DE">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广东省岩土勘测设计研究有限公司</w:t>
            </w:r>
          </w:p>
        </w:tc>
        <w:tc>
          <w:tcPr>
            <w:tcW w:w="3660" w:type="dxa"/>
            <w:shd w:val="clear" w:color="auto" w:fill="auto"/>
            <w:vAlign w:val="center"/>
          </w:tcPr>
          <w:p w14:paraId="084C849A">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勘察</w:t>
            </w:r>
            <w:r>
              <w:rPr>
                <w:rFonts w:hint="eastAsia" w:ascii="宋体" w:hAnsi="宋体" w:eastAsia="宋体" w:cs="宋体"/>
                <w:snapToGrid w:val="0"/>
                <w:color w:val="auto"/>
                <w:kern w:val="0"/>
                <w:sz w:val="22"/>
                <w:szCs w:val="22"/>
                <w:highlight w:val="none"/>
              </w:rPr>
              <w:t>单位</w:t>
            </w:r>
          </w:p>
        </w:tc>
      </w:tr>
      <w:tr w14:paraId="4BA9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4" w:type="dxa"/>
            <w:vAlign w:val="center"/>
          </w:tcPr>
          <w:p w14:paraId="6127CBBF">
            <w:pPr>
              <w:pStyle w:val="23"/>
              <w:wordWrap w:val="0"/>
              <w:adjustRightInd w:val="0"/>
              <w:snapToGrid w:val="0"/>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3884" w:type="dxa"/>
            <w:shd w:val="clear" w:color="auto" w:fill="auto"/>
            <w:vAlign w:val="center"/>
          </w:tcPr>
          <w:p w14:paraId="17451127">
            <w:pPr>
              <w:pStyle w:val="23"/>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snapToGrid w:val="0"/>
                <w:color w:val="auto"/>
                <w:kern w:val="0"/>
                <w:sz w:val="22"/>
                <w:szCs w:val="22"/>
                <w:highlight w:val="none"/>
                <w:lang w:val="en-US" w:eastAsia="zh-CN"/>
              </w:rPr>
              <w:t>广东粤湾施工图审查有限公司</w:t>
            </w:r>
          </w:p>
        </w:tc>
        <w:tc>
          <w:tcPr>
            <w:tcW w:w="3660" w:type="dxa"/>
            <w:shd w:val="clear" w:color="auto" w:fill="auto"/>
            <w:vAlign w:val="center"/>
          </w:tcPr>
          <w:p w14:paraId="6E9ABDF9">
            <w:pPr>
              <w:pStyle w:val="23"/>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为本招标项目的</w:t>
            </w:r>
            <w:r>
              <w:rPr>
                <w:rFonts w:hint="eastAsia" w:ascii="宋体" w:hAnsi="宋体" w:eastAsia="宋体" w:cs="宋体"/>
                <w:snapToGrid w:val="0"/>
                <w:color w:val="auto"/>
                <w:kern w:val="0"/>
                <w:sz w:val="22"/>
                <w:szCs w:val="22"/>
                <w:highlight w:val="none"/>
                <w:lang w:val="en-US" w:eastAsia="zh-CN"/>
              </w:rPr>
              <w:t>审图机构</w:t>
            </w:r>
          </w:p>
        </w:tc>
      </w:tr>
    </w:tbl>
    <w:p w14:paraId="24117CFF">
      <w:pPr>
        <w:spacing w:line="93" w:lineRule="auto"/>
        <w:rPr>
          <w:rFonts w:hint="eastAsia" w:ascii="宋体" w:hAnsi="宋体" w:eastAsia="宋体" w:cs="宋体"/>
          <w:color w:val="auto"/>
          <w:sz w:val="2"/>
          <w:highlight w:val="none"/>
        </w:rPr>
      </w:pPr>
    </w:p>
    <w:p w14:paraId="0E5D39AE">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6BA39D71">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772F64E5">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20万元</w:t>
      </w:r>
      <w:r>
        <w:rPr>
          <w:rFonts w:hint="eastAsia" w:ascii="宋体" w:hAnsi="宋体" w:eastAsia="宋体" w:cs="宋体"/>
          <w:color w:val="auto"/>
          <w:spacing w:val="-1"/>
          <w:sz w:val="24"/>
          <w:szCs w:val="24"/>
          <w:highlight w:val="none"/>
        </w:rPr>
        <w:t xml:space="preserve">人民币的投标保证。 </w:t>
      </w:r>
    </w:p>
    <w:p w14:paraId="77827FA8">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59A2CBC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C95A37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9A5AF3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240个日历天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snapToGrid w:val="0"/>
          <w:color w:val="auto"/>
          <w:kern w:val="0"/>
          <w:sz w:val="24"/>
          <w:szCs w:val="24"/>
          <w:highlight w:val="none"/>
          <w:lang w:val="en-US" w:eastAsia="zh-CN" w:bidi="ar"/>
        </w:rPr>
        <w:t>须符合现行国家有关工程施工质量验收规范和标准的要求。</w:t>
      </w:r>
    </w:p>
    <w:p w14:paraId="5197C550">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6B05D2">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7DBA3CD">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spacing w:before="78" w:line="220" w:lineRule="auto"/>
        <w:ind w:left="488"/>
        <w:outlineLvl w:val="2"/>
        <w:rPr>
          <w:rFonts w:hint="eastAsia" w:ascii="宋体" w:hAnsi="宋体" w:eastAsia="宋体" w:cs="宋体"/>
          <w:color w:val="auto"/>
          <w:sz w:val="24"/>
          <w:szCs w:val="24"/>
          <w:highlight w:val="none"/>
        </w:rPr>
      </w:pPr>
      <w:bookmarkStart w:id="31" w:name="bookmark67"/>
      <w:bookmarkEnd w:id="31"/>
      <w:bookmarkStart w:id="32" w:name="bookmark81"/>
      <w:bookmarkEnd w:id="32"/>
      <w:bookmarkStart w:id="33" w:name="bookmark69"/>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00B07C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017348">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项目最高投标限价为人民币（大写）：壹仟陆佰柒拾贰万柒仟陆佰叁拾捌元叁角叁分（¥16727638.33元）；其中安全生产措施费不得低于255530.99元，暂列金额(统一报价)为：¥1305519.94元，专业工程暂估价(统一报价)为：¥124055.50元。</w:t>
      </w:r>
    </w:p>
    <w:p w14:paraId="354CD1E5">
      <w:pPr>
        <w:spacing w:before="79"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spacing w:before="36" w:line="360"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B134047">
      <w:pPr>
        <w:spacing w:before="154" w:line="36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497A481B">
      <w:pPr>
        <w:spacing w:before="153" w:line="360"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EEE8160">
      <w:pPr>
        <w:spacing w:before="30" w:line="360"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spacing w:before="154" w:line="360"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spacing w:before="154" w:line="360"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spacing w:before="155" w:line="360"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spacing w:before="155" w:line="360"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spacing w:before="79" w:line="219" w:lineRule="auto"/>
        <w:ind w:left="487"/>
        <w:outlineLvl w:val="2"/>
        <w:rPr>
          <w:rFonts w:hint="eastAsia" w:ascii="宋体" w:hAnsi="宋体" w:eastAsia="宋体" w:cs="宋体"/>
          <w:color w:val="auto"/>
          <w:sz w:val="24"/>
          <w:szCs w:val="24"/>
          <w:highlight w:val="none"/>
        </w:rPr>
      </w:pPr>
      <w:bookmarkStart w:id="39" w:name="_Toc6911"/>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spacing w:before="146" w:line="360"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spacing w:before="78" w:line="360"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7AE3073F">
      <w:pPr>
        <w:pStyle w:val="6"/>
        <w:keepNext w:val="0"/>
        <w:keepLines w:val="0"/>
        <w:pageBreakBefore w:val="0"/>
        <w:widowControl/>
        <w:kinsoku w:val="0"/>
        <w:wordWrap/>
        <w:overflowPunct/>
        <w:topLinePunct w:val="0"/>
        <w:autoSpaceDE w:val="0"/>
        <w:autoSpaceDN w:val="0"/>
        <w:bidi w:val="0"/>
        <w:adjustRightInd w:val="0"/>
        <w:snapToGrid w:val="0"/>
        <w:spacing w:line="300" w:lineRule="auto"/>
        <w:ind w:firstLine="422" w:firstLineChars="200"/>
        <w:textAlignment w:val="baseline"/>
        <w:rPr>
          <w:color w:val="auto"/>
          <w:highlight w:val="none"/>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投标报价时，应按《广东省建设工程计价依据（2018）》规定的费率报价，若招标工程量清单明确说明不计算预算包干费或另外确定预算包干费费率的，则按招标工程量清单报价。</w:t>
      </w:r>
    </w:p>
    <w:p w14:paraId="4574DACF">
      <w:pPr>
        <w:pStyle w:val="6"/>
        <w:spacing w:line="360" w:lineRule="auto"/>
        <w:rPr>
          <w:rFonts w:hint="eastAsia" w:ascii="宋体" w:hAnsi="宋体" w:eastAsia="宋体" w:cs="宋体"/>
          <w:snapToGrid w:val="0"/>
          <w:color w:val="auto"/>
          <w:sz w:val="24"/>
          <w:szCs w:val="24"/>
          <w:highlight w:val="none"/>
          <w:lang w:val="en-US" w:eastAsia="en-US" w:bidi="ar-SA"/>
        </w:rPr>
      </w:pPr>
    </w:p>
    <w:p w14:paraId="20F7818E">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3711"/>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C719819">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3A74F35">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77217396">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6"/>
        <w:spacing w:line="257" w:lineRule="auto"/>
        <w:rPr>
          <w:rFonts w:hint="eastAsia" w:ascii="宋体" w:hAnsi="宋体" w:eastAsia="宋体" w:cs="宋体"/>
          <w:color w:val="auto"/>
          <w:highlight w:val="none"/>
        </w:rPr>
      </w:pPr>
    </w:p>
    <w:p w14:paraId="69818CE4">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60C387B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47AF82C9">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0EB23A8">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77E3949A">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.3.1)后应附编制人的造价工程师注册证书彩色扫描件（须扫描至变更注册栏，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722B1CB1">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《投标报价填报说明》(即表D.2.1)中的填写内容除按照《建设工程工程量清单计价标准》(GB/T50500一2024)附录D工程计价说明D.2.1款执行外，尚应就造价软件的名称、版本、加密锁编号作出专项说明。</w:t>
      </w:r>
      <w:r>
        <w:rPr>
          <w:rFonts w:hint="eastAsia" w:ascii="宋体" w:hAnsi="宋体" w:eastAsia="宋体" w:cs="宋体"/>
          <w:b w:val="0"/>
          <w:bCs w:val="0"/>
          <w:color w:val="auto"/>
          <w:spacing w:val="2"/>
          <w:sz w:val="24"/>
          <w:szCs w:val="24"/>
          <w:highlight w:val="none"/>
          <w:lang w:val="en-US" w:eastAsia="zh-CN"/>
        </w:rPr>
        <w:tab/>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4401C419">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w:t>
      </w: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）项所</w:t>
      </w:r>
      <w:r>
        <w:rPr>
          <w:rFonts w:hint="eastAsia" w:ascii="宋体" w:hAnsi="宋体" w:eastAsia="宋体" w:cs="宋体"/>
          <w:color w:val="auto"/>
          <w:spacing w:val="-2"/>
          <w:sz w:val="24"/>
          <w:szCs w:val="24"/>
          <w:highlight w:val="none"/>
        </w:rPr>
        <w:t>有投标人均应提供。</w:t>
      </w:r>
    </w:p>
    <w:p w14:paraId="1CC63C36">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414405A">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A9ADDC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项所有投标人均应提供。</w:t>
      </w:r>
    </w:p>
    <w:p w14:paraId="75D954D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42A52BE5">
      <w:pPr>
        <w:keepNext w:val="0"/>
        <w:keepLines w:val="0"/>
        <w:pageBreakBefore w:val="0"/>
        <w:widowControl w:val="0"/>
        <w:kinsoku/>
        <w:wordWrap w:val="0"/>
        <w:overflowPunct/>
        <w:topLinePunct w:val="0"/>
        <w:autoSpaceDE/>
        <w:autoSpaceDN/>
        <w:bidi w:val="0"/>
        <w:adjustRightInd/>
        <w:snapToGrid/>
        <w:spacing w:line="400" w:lineRule="exact"/>
        <w:ind w:left="479" w:leftChars="228" w:firstLine="0" w:firstLineChars="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r>
        <w:rPr>
          <w:rFonts w:hint="eastAsia" w:ascii="宋体" w:hAnsi="宋体" w:eastAsia="宋体" w:cs="宋体"/>
          <w:snapToGrid w:val="0"/>
          <w:color w:val="auto"/>
          <w:kern w:val="0"/>
          <w:sz w:val="24"/>
          <w:szCs w:val="24"/>
          <w:highlight w:val="none"/>
          <w:lang w:val="en-US" w:eastAsia="zh-CN"/>
        </w:rPr>
        <w:br w:type="textWrapping"/>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目录</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 定标因素评审资料（格式十七）</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项所有投标人均应提供。</w:t>
      </w:r>
    </w:p>
    <w:bookmarkEnd w:id="54"/>
    <w:p w14:paraId="38C8B072">
      <w:pPr>
        <w:spacing w:before="78" w:line="221" w:lineRule="auto"/>
        <w:ind w:left="496"/>
        <w:outlineLvl w:val="2"/>
        <w:rPr>
          <w:rFonts w:hint="eastAsia" w:ascii="宋体" w:hAnsi="宋体" w:eastAsia="宋体" w:cs="宋体"/>
          <w:color w:val="auto"/>
          <w:sz w:val="24"/>
          <w:szCs w:val="24"/>
          <w:highlight w:val="none"/>
        </w:rPr>
      </w:pPr>
      <w:bookmarkStart w:id="55" w:name="_Toc10599"/>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spacing w:before="42" w:line="219" w:lineRule="auto"/>
        <w:ind w:left="501"/>
        <w:outlineLvl w:val="9"/>
        <w:rPr>
          <w:rFonts w:hint="eastAsia" w:ascii="宋体" w:hAnsi="宋体" w:eastAsia="宋体" w:cs="宋体"/>
          <w:color w:val="auto"/>
          <w:sz w:val="24"/>
          <w:szCs w:val="24"/>
          <w:highlight w:val="none"/>
        </w:rPr>
      </w:pPr>
      <w:bookmarkStart w:id="65" w:name="_Toc15587"/>
      <w:bookmarkStart w:id="66" w:name="_Toc8314"/>
      <w:bookmarkStart w:id="67" w:name="_Toc10291"/>
      <w:bookmarkStart w:id="68"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spacing w:before="181" w:line="219" w:lineRule="auto"/>
        <w:ind w:left="501"/>
        <w:outlineLvl w:val="9"/>
        <w:rPr>
          <w:rFonts w:hint="eastAsia" w:ascii="宋体" w:hAnsi="宋体" w:eastAsia="宋体" w:cs="宋体"/>
          <w:color w:val="auto"/>
          <w:sz w:val="24"/>
          <w:szCs w:val="24"/>
          <w:highlight w:val="none"/>
        </w:rPr>
      </w:pPr>
      <w:bookmarkStart w:id="69" w:name="_Toc30853"/>
      <w:bookmarkStart w:id="70" w:name="_Toc2011"/>
      <w:bookmarkStart w:id="71" w:name="_Toc20238"/>
      <w:bookmarkStart w:id="72" w:name="_Toc16292"/>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spacing w:before="183" w:line="219" w:lineRule="auto"/>
        <w:ind w:left="501"/>
        <w:outlineLvl w:val="9"/>
        <w:rPr>
          <w:rFonts w:hint="eastAsia" w:ascii="宋体" w:hAnsi="宋体" w:eastAsia="宋体" w:cs="宋体"/>
          <w:color w:val="auto"/>
          <w:sz w:val="24"/>
          <w:szCs w:val="24"/>
          <w:highlight w:val="none"/>
        </w:rPr>
      </w:pPr>
      <w:bookmarkStart w:id="73" w:name="_Toc17462"/>
      <w:bookmarkStart w:id="74" w:name="_Toc26494"/>
      <w:bookmarkStart w:id="75" w:name="_Toc31716"/>
      <w:bookmarkStart w:id="76" w:name="_Toc1974"/>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4195A8F3">
      <w:pPr>
        <w:spacing w:before="181" w:line="219" w:lineRule="auto"/>
        <w:ind w:left="501"/>
        <w:outlineLvl w:val="9"/>
        <w:rPr>
          <w:rFonts w:hint="eastAsia" w:ascii="宋体" w:hAnsi="宋体" w:eastAsia="宋体" w:cs="宋体"/>
          <w:color w:val="auto"/>
          <w:sz w:val="24"/>
          <w:szCs w:val="24"/>
          <w:highlight w:val="none"/>
        </w:rPr>
      </w:pPr>
      <w:bookmarkStart w:id="77" w:name="_Toc15860"/>
      <w:bookmarkStart w:id="78" w:name="_Toc20559"/>
      <w:bookmarkStart w:id="79" w:name="_Toc8179"/>
      <w:bookmarkStart w:id="80" w:name="_Toc27967"/>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4C6D83A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266"/>
      <w:bookmarkStart w:id="82" w:name="_Toc2199"/>
      <w:bookmarkStart w:id="83" w:name="_Toc28812"/>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spacing w:before="155" w:line="360"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spacing w:before="78" w:line="360"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spacing w:before="38"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4D20598C">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7A55258E">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E37D436">
      <w:pPr>
        <w:keepNext w:val="0"/>
        <w:keepLines w:val="0"/>
        <w:pageBreakBefore w:val="0"/>
        <w:shd w:val="clear" w:color="auto" w:fill="auto"/>
        <w:kinsoku/>
        <w:wordWrap/>
        <w:overflowPunct/>
        <w:topLinePunct w:val="0"/>
        <w:bidi w:val="0"/>
        <w:adjustRightInd/>
        <w:snapToGrid/>
        <w:spacing w:line="360" w:lineRule="auto"/>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AC55AA3">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3E5FD587">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25CD2F3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4CFA9F5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1423E687">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75DB58B2">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4278404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9A05B8B">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38061EC">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02C4BFC7">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09F27C2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p>
    <w:p w14:paraId="634499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70224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552FA5F">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013A9DD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301F2EB2">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007FD8E0">
      <w:pPr>
        <w:spacing w:before="40" w:line="360" w:lineRule="auto"/>
        <w:ind w:left="501"/>
        <w:outlineLvl w:val="9"/>
        <w:rPr>
          <w:rFonts w:hint="eastAsia" w:ascii="宋体" w:hAnsi="宋体" w:eastAsia="宋体" w:cs="宋体"/>
          <w:color w:val="auto"/>
          <w:sz w:val="24"/>
          <w:szCs w:val="24"/>
          <w:highlight w:val="none"/>
        </w:rPr>
      </w:pPr>
      <w:bookmarkStart w:id="91" w:name="_Toc4914"/>
      <w:bookmarkStart w:id="92" w:name="_Toc20481"/>
      <w:bookmarkStart w:id="93" w:name="_Toc23632"/>
      <w:bookmarkStart w:id="94" w:name="_Toc1330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4E7DC2D0">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10806"/>
      <w:bookmarkStart w:id="96" w:name="_Toc28409"/>
      <w:bookmarkStart w:id="97" w:name="_Toc27432"/>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3D38657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16645"/>
      <w:bookmarkStart w:id="100" w:name="_Toc22562"/>
      <w:bookmarkStart w:id="101" w:name="_Toc22642"/>
      <w:bookmarkStart w:id="102" w:name="_Toc1420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757D3BF">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533C330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028B5C07">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spacing w:before="82" w:line="211" w:lineRule="auto"/>
        <w:ind w:left="580"/>
        <w:outlineLvl w:val="9"/>
        <w:rPr>
          <w:rFonts w:hint="eastAsia" w:ascii="宋体" w:hAnsi="宋体" w:eastAsia="宋体" w:cs="宋体"/>
          <w:color w:val="auto"/>
          <w:sz w:val="25"/>
          <w:szCs w:val="25"/>
          <w:highlight w:val="none"/>
        </w:rPr>
      </w:pPr>
      <w:bookmarkStart w:id="104" w:name="_Toc15367"/>
      <w:bookmarkStart w:id="105" w:name="_Toc19814"/>
      <w:bookmarkStart w:id="106" w:name="_Toc32114"/>
      <w:bookmarkStart w:id="107"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7073C8F6">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6B0132D7">
      <w:pPr>
        <w:spacing w:before="81" w:line="211" w:lineRule="auto"/>
        <w:ind w:left="498"/>
        <w:outlineLvl w:val="9"/>
        <w:rPr>
          <w:rFonts w:hint="eastAsia" w:ascii="宋体" w:hAnsi="宋体" w:eastAsia="宋体" w:cs="宋体"/>
          <w:color w:val="auto"/>
          <w:sz w:val="25"/>
          <w:szCs w:val="25"/>
          <w:highlight w:val="none"/>
        </w:rPr>
      </w:pPr>
      <w:bookmarkStart w:id="109" w:name="_Toc14991"/>
      <w:bookmarkStart w:id="110" w:name="_Toc4119"/>
      <w:bookmarkStart w:id="111" w:name="_Toc10503"/>
      <w:bookmarkStart w:id="112" w:name="_Toc28572"/>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2475F7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10398"/>
      <w:bookmarkStart w:id="115" w:name="_Toc18029"/>
      <w:bookmarkStart w:id="116"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1E12203A">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spacing w:before="153" w:line="219" w:lineRule="auto"/>
        <w:ind w:left="503"/>
        <w:outlineLvl w:val="9"/>
        <w:rPr>
          <w:rFonts w:hint="eastAsia" w:ascii="宋体" w:hAnsi="宋体" w:eastAsia="宋体" w:cs="宋体"/>
          <w:color w:val="auto"/>
          <w:sz w:val="24"/>
          <w:szCs w:val="24"/>
          <w:highlight w:val="none"/>
        </w:rPr>
      </w:pPr>
      <w:bookmarkStart w:id="117" w:name="_Toc27609"/>
      <w:bookmarkStart w:id="118" w:name="_Toc16136"/>
      <w:bookmarkStart w:id="119" w:name="_Toc14059"/>
      <w:bookmarkStart w:id="120"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5F9BE99E">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spacing w:before="95" w:line="220" w:lineRule="auto"/>
        <w:ind w:left="503"/>
        <w:outlineLvl w:val="9"/>
        <w:rPr>
          <w:rFonts w:hint="eastAsia" w:ascii="宋体" w:hAnsi="宋体" w:eastAsia="宋体" w:cs="宋体"/>
          <w:color w:val="auto"/>
          <w:sz w:val="24"/>
          <w:szCs w:val="24"/>
          <w:highlight w:val="none"/>
        </w:rPr>
      </w:pPr>
      <w:bookmarkStart w:id="121" w:name="_Toc7915"/>
      <w:bookmarkStart w:id="122" w:name="_Toc3861"/>
      <w:bookmarkStart w:id="123" w:name="_Toc4990"/>
      <w:bookmarkStart w:id="124" w:name="_Toc576"/>
      <w:r>
        <w:rPr>
          <w:rFonts w:hint="eastAsia" w:ascii="宋体" w:hAnsi="宋体" w:eastAsia="宋体" w:cs="宋体"/>
          <w:color w:val="auto"/>
          <w:spacing w:val="-3"/>
          <w:sz w:val="24"/>
          <w:szCs w:val="24"/>
          <w:highlight w:val="none"/>
        </w:rPr>
        <w:t>（3）综合得分</w:t>
      </w:r>
      <w:bookmarkEnd w:id="121"/>
      <w:bookmarkEnd w:id="122"/>
      <w:bookmarkEnd w:id="123"/>
      <w:bookmarkEnd w:id="124"/>
    </w:p>
    <w:p w14:paraId="16428BA2">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0D9077E">
      <w:pPr>
        <w:spacing w:before="78" w:line="329" w:lineRule="auto"/>
        <w:ind w:right="263" w:firstLine="490" w:firstLineChars="200"/>
        <w:jc w:val="both"/>
        <w:rPr>
          <w:rFonts w:hint="eastAsia" w:ascii="宋体" w:hAnsi="宋体" w:eastAsia="宋体" w:cs="宋体"/>
          <w:b/>
          <w:bCs/>
          <w:color w:val="auto"/>
          <w:spacing w:val="2"/>
          <w:sz w:val="24"/>
          <w:szCs w:val="24"/>
          <w:highlight w:val="none"/>
        </w:rPr>
      </w:pPr>
      <w:bookmarkStart w:id="125" w:name="_Toc2885"/>
      <w:bookmarkStart w:id="126" w:name="_Toc30671"/>
      <w:bookmarkStart w:id="127" w:name="_Toc25214"/>
      <w:bookmarkStart w:id="128" w:name="_Toc32384"/>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w:t>
      </w:r>
    </w:p>
    <w:p w14:paraId="797C2B9A">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386B6E39">
      <w:pPr>
        <w:pStyle w:val="6"/>
        <w:spacing w:line="304" w:lineRule="auto"/>
        <w:rPr>
          <w:rFonts w:hint="eastAsia" w:ascii="宋体" w:hAnsi="宋体" w:eastAsia="宋体" w:cs="宋体"/>
          <w:color w:val="auto"/>
          <w:highlight w:val="none"/>
        </w:rPr>
      </w:pPr>
    </w:p>
    <w:p w14:paraId="3683E1C2">
      <w:pPr>
        <w:rPr>
          <w:rFonts w:hint="eastAsia"/>
          <w:color w:val="auto"/>
          <w:highlight w:val="none"/>
        </w:rPr>
      </w:pPr>
    </w:p>
    <w:p w14:paraId="6115BA02">
      <w:pPr>
        <w:pStyle w:val="8"/>
        <w:rPr>
          <w:rFonts w:hint="eastAsia"/>
          <w:color w:val="auto"/>
          <w:highlight w:val="none"/>
        </w:rPr>
      </w:pPr>
    </w:p>
    <w:p w14:paraId="5CFDD726">
      <w:pPr>
        <w:rPr>
          <w:rFonts w:hint="eastAsia" w:ascii="宋体" w:hAnsi="宋体" w:eastAsia="宋体" w:cs="宋体"/>
          <w:b/>
          <w:bCs/>
          <w:color w:val="auto"/>
          <w:spacing w:val="-6"/>
          <w:sz w:val="30"/>
          <w:szCs w:val="30"/>
          <w:highlight w:val="none"/>
        </w:rPr>
      </w:pPr>
      <w:bookmarkStart w:id="129" w:name="_Toc3020"/>
      <w:bookmarkStart w:id="130" w:name="_Toc16801"/>
      <w:bookmarkStart w:id="131" w:name="_Toc17375"/>
    </w:p>
    <w:p w14:paraId="76620637">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5"/>
        <w:tblW w:w="0" w:type="auto"/>
        <w:jc w:val="center"/>
        <w:tblLayout w:type="autofit"/>
        <w:tblCellMar>
          <w:top w:w="0" w:type="dxa"/>
          <w:left w:w="108" w:type="dxa"/>
          <w:bottom w:w="0" w:type="dxa"/>
          <w:right w:w="108" w:type="dxa"/>
        </w:tblCellMar>
      </w:tblPr>
      <w:tblGrid>
        <w:gridCol w:w="1205"/>
        <w:gridCol w:w="4385"/>
        <w:gridCol w:w="4230"/>
      </w:tblGrid>
      <w:tr w14:paraId="6EE70EDC">
        <w:tblPrEx>
          <w:tblCellMar>
            <w:top w:w="0" w:type="dxa"/>
            <w:left w:w="108" w:type="dxa"/>
            <w:bottom w:w="0" w:type="dxa"/>
            <w:right w:w="108" w:type="dxa"/>
          </w:tblCellMar>
        </w:tblPrEx>
        <w:trPr>
          <w:trHeight w:val="640" w:hRule="atLeast"/>
          <w:jc w:val="center"/>
        </w:trPr>
        <w:tc>
          <w:tcPr>
            <w:tcW w:w="982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31FD2955">
            <w:pPr>
              <w:pStyle w:val="6"/>
              <w:wordWrap w:val="0"/>
              <w:spacing w:after="0" w:line="440" w:lineRule="exact"/>
              <w:rPr>
                <w:rFonts w:ascii="黑体" w:hAnsi="黑体" w:eastAsia="黑体"/>
                <w:color w:val="auto"/>
                <w:kern w:val="0"/>
                <w:highlight w:val="none"/>
              </w:rPr>
            </w:pPr>
            <w:bookmarkStart w:id="132" w:name="_Toc9725"/>
            <w:bookmarkStart w:id="133" w:name="_Toc5769"/>
            <w:bookmarkStart w:id="134" w:name="_Toc31744"/>
            <w:bookmarkStart w:id="135" w:name="_Toc17436"/>
            <w:r>
              <w:rPr>
                <w:rFonts w:hint="eastAsia" w:ascii="黑体" w:hAnsi="黑体" w:eastAsia="黑体"/>
                <w:color w:val="auto"/>
                <w:kern w:val="0"/>
                <w:highlight w:val="none"/>
              </w:rPr>
              <w:t>商务部分，满分：</w:t>
            </w:r>
            <w:r>
              <w:rPr>
                <w:rFonts w:hint="eastAsia" w:ascii="黑体" w:hAnsi="黑体" w:eastAsia="黑体"/>
                <w:color w:val="auto"/>
                <w:kern w:val="0"/>
                <w:highlight w:val="none"/>
                <w:u w:val="single"/>
              </w:rPr>
              <w:t>80</w:t>
            </w:r>
            <w:r>
              <w:rPr>
                <w:rFonts w:hint="eastAsia" w:ascii="黑体" w:hAnsi="黑体" w:eastAsia="黑体"/>
                <w:color w:val="auto"/>
                <w:kern w:val="0"/>
                <w:highlight w:val="none"/>
              </w:rPr>
              <w:t>分。</w:t>
            </w:r>
          </w:p>
        </w:tc>
      </w:tr>
      <w:tr w14:paraId="47039CCC">
        <w:tblPrEx>
          <w:tblCellMar>
            <w:top w:w="0" w:type="dxa"/>
            <w:left w:w="108" w:type="dxa"/>
            <w:bottom w:w="0" w:type="dxa"/>
            <w:right w:w="108" w:type="dxa"/>
          </w:tblCellMar>
        </w:tblPrEx>
        <w:trPr>
          <w:trHeight w:val="640"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6A746C5B">
            <w:pPr>
              <w:pStyle w:val="6"/>
              <w:wordWrap w:val="0"/>
              <w:spacing w:after="0" w:line="440" w:lineRule="exact"/>
              <w:jc w:val="center"/>
              <w:rPr>
                <w:rFonts w:ascii="黑体" w:hAnsi="黑体" w:eastAsia="黑体"/>
                <w:color w:val="auto"/>
                <w:kern w:val="0"/>
                <w:highlight w:val="none"/>
              </w:rPr>
            </w:pPr>
            <w:r>
              <w:rPr>
                <w:rFonts w:hint="eastAsia" w:ascii="黑体" w:hAnsi="黑体" w:eastAsia="黑体"/>
                <w:color w:val="auto"/>
                <w:kern w:val="0"/>
                <w:highlight w:val="none"/>
              </w:rPr>
              <w:t>评分因素</w:t>
            </w:r>
          </w:p>
        </w:tc>
        <w:tc>
          <w:tcPr>
            <w:tcW w:w="4385" w:type="dxa"/>
            <w:tcBorders>
              <w:top w:val="single" w:color="auto" w:sz="4" w:space="0"/>
              <w:left w:val="nil"/>
              <w:bottom w:val="single" w:color="auto" w:sz="4" w:space="0"/>
              <w:right w:val="single" w:color="auto" w:sz="4" w:space="0"/>
            </w:tcBorders>
            <w:noWrap w:val="0"/>
            <w:vAlign w:val="center"/>
          </w:tcPr>
          <w:p w14:paraId="589E4B43">
            <w:pPr>
              <w:pStyle w:val="6"/>
              <w:wordWrap w:val="0"/>
              <w:spacing w:after="0" w:line="440" w:lineRule="exact"/>
              <w:jc w:val="center"/>
              <w:rPr>
                <w:rFonts w:ascii="黑体" w:hAnsi="黑体" w:eastAsia="黑体"/>
                <w:color w:val="auto"/>
                <w:kern w:val="0"/>
                <w:highlight w:val="none"/>
              </w:rPr>
            </w:pPr>
            <w:r>
              <w:rPr>
                <w:rFonts w:hint="eastAsia" w:ascii="黑体" w:hAnsi="黑体" w:eastAsia="黑体"/>
                <w:color w:val="auto"/>
                <w:kern w:val="0"/>
                <w:highlight w:val="none"/>
              </w:rPr>
              <w:t>评分标准</w:t>
            </w:r>
          </w:p>
        </w:tc>
        <w:tc>
          <w:tcPr>
            <w:tcW w:w="4230" w:type="dxa"/>
            <w:tcBorders>
              <w:top w:val="single" w:color="auto" w:sz="4" w:space="0"/>
              <w:left w:val="nil"/>
              <w:bottom w:val="single" w:color="auto" w:sz="4" w:space="0"/>
              <w:right w:val="single" w:color="auto" w:sz="4" w:space="0"/>
            </w:tcBorders>
            <w:noWrap w:val="0"/>
            <w:vAlign w:val="center"/>
          </w:tcPr>
          <w:p w14:paraId="0A0C0CBC">
            <w:pPr>
              <w:pStyle w:val="6"/>
              <w:wordWrap w:val="0"/>
              <w:spacing w:after="0" w:line="440" w:lineRule="exact"/>
              <w:jc w:val="center"/>
              <w:rPr>
                <w:rFonts w:ascii="黑体" w:hAnsi="黑体" w:eastAsia="黑体"/>
                <w:color w:val="auto"/>
                <w:kern w:val="0"/>
                <w:highlight w:val="none"/>
              </w:rPr>
            </w:pPr>
            <w:r>
              <w:rPr>
                <w:rFonts w:hint="eastAsia" w:ascii="黑体" w:hAnsi="黑体" w:eastAsia="黑体"/>
                <w:color w:val="auto"/>
                <w:kern w:val="0"/>
                <w:highlight w:val="none"/>
              </w:rPr>
              <w:t>备注</w:t>
            </w:r>
          </w:p>
        </w:tc>
      </w:tr>
      <w:tr w14:paraId="08FC6A90">
        <w:tblPrEx>
          <w:tblCellMar>
            <w:top w:w="0" w:type="dxa"/>
            <w:left w:w="108" w:type="dxa"/>
            <w:bottom w:w="0" w:type="dxa"/>
            <w:right w:w="108" w:type="dxa"/>
          </w:tblCellMar>
        </w:tblPrEx>
        <w:trPr>
          <w:trHeight w:val="10325"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093250A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企业奖项</w:t>
            </w:r>
          </w:p>
          <w:p w14:paraId="0EC83CC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center"/>
              <w:textAlignment w:val="baseline"/>
              <w:rPr>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（15分）</w:t>
            </w:r>
          </w:p>
        </w:tc>
        <w:tc>
          <w:tcPr>
            <w:tcW w:w="4385" w:type="dxa"/>
            <w:tcBorders>
              <w:top w:val="single" w:color="auto" w:sz="4" w:space="0"/>
              <w:left w:val="nil"/>
              <w:bottom w:val="single" w:color="auto" w:sz="4" w:space="0"/>
              <w:right w:val="single" w:color="auto" w:sz="4" w:space="0"/>
            </w:tcBorders>
            <w:noWrap w:val="0"/>
            <w:vAlign w:val="center"/>
          </w:tcPr>
          <w:p w14:paraId="56AF3D4F">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企业近</w:t>
            </w:r>
            <w:r>
              <w:rPr>
                <w:rFonts w:hint="eastAsia" w:ascii="宋体" w:hAnsi="宋体" w:eastAsia="宋体" w:cs="宋体"/>
                <w:snapToGrid/>
                <w:color w:val="auto"/>
                <w:kern w:val="0"/>
                <w:sz w:val="21"/>
                <w:szCs w:val="21"/>
                <w:highlight w:val="none"/>
                <w:u w:val="single"/>
                <w:lang w:val="en-US" w:eastAsia="zh-CN" w:bidi="ar"/>
              </w:rPr>
              <w:t>5</w:t>
            </w:r>
            <w:r>
              <w:rPr>
                <w:rFonts w:hint="eastAsia" w:ascii="宋体" w:hAnsi="宋体" w:eastAsia="宋体" w:cs="宋体"/>
                <w:snapToGrid/>
                <w:color w:val="auto"/>
                <w:kern w:val="0"/>
                <w:sz w:val="21"/>
                <w:szCs w:val="21"/>
                <w:highlight w:val="none"/>
                <w:lang w:val="en-US" w:eastAsia="zh-CN" w:bidi="ar"/>
              </w:rPr>
              <w:t>年来（2021年1月1日至今）获得</w:t>
            </w:r>
            <w:r>
              <w:rPr>
                <w:rFonts w:hint="eastAsia" w:ascii="宋体" w:hAnsi="宋体" w:eastAsia="宋体" w:cs="宋体"/>
                <w:snapToGrid/>
                <w:color w:val="auto"/>
                <w:kern w:val="0"/>
                <w:sz w:val="21"/>
                <w:szCs w:val="21"/>
                <w:highlight w:val="none"/>
                <w:u w:val="single"/>
                <w:lang w:val="en-US" w:eastAsia="zh-CN" w:bidi="ar"/>
              </w:rPr>
              <w:t>市政</w:t>
            </w:r>
            <w:r>
              <w:rPr>
                <w:rFonts w:hint="eastAsia" w:ascii="宋体" w:hAnsi="宋体" w:eastAsia="宋体" w:cs="宋体"/>
                <w:snapToGrid/>
                <w:color w:val="auto"/>
                <w:kern w:val="0"/>
                <w:sz w:val="21"/>
                <w:szCs w:val="21"/>
                <w:highlight w:val="none"/>
                <w:lang w:val="en-US" w:eastAsia="zh-CN" w:bidi="ar"/>
              </w:rPr>
              <w:t>工程类奖项情况：</w:t>
            </w:r>
          </w:p>
          <w:p w14:paraId="64E26282">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1.获得国家级奖项的，每个得</w:t>
            </w:r>
            <w:r>
              <w:rPr>
                <w:rFonts w:hint="eastAsia" w:ascii="宋体" w:hAnsi="宋体" w:eastAsia="宋体" w:cs="宋体"/>
                <w:snapToGrid/>
                <w:color w:val="auto"/>
                <w:kern w:val="0"/>
                <w:sz w:val="21"/>
                <w:szCs w:val="21"/>
                <w:highlight w:val="none"/>
                <w:u w:val="single"/>
                <w:lang w:val="en-US" w:eastAsia="zh-CN" w:bidi="ar"/>
              </w:rPr>
              <w:t>10</w:t>
            </w:r>
            <w:r>
              <w:rPr>
                <w:rFonts w:hint="eastAsia" w:ascii="宋体" w:hAnsi="宋体" w:eastAsia="宋体" w:cs="宋体"/>
                <w:snapToGrid/>
                <w:color w:val="auto"/>
                <w:kern w:val="0"/>
                <w:sz w:val="21"/>
                <w:szCs w:val="21"/>
                <w:highlight w:val="none"/>
                <w:lang w:val="en-US" w:eastAsia="zh-CN" w:bidi="ar"/>
              </w:rPr>
              <w:t>分。</w:t>
            </w:r>
          </w:p>
          <w:p w14:paraId="4DFE6FD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2.获得省级奖项的，每个得</w:t>
            </w:r>
            <w:r>
              <w:rPr>
                <w:rFonts w:hint="eastAsia" w:ascii="宋体" w:hAnsi="宋体" w:eastAsia="宋体" w:cs="宋体"/>
                <w:snapToGrid/>
                <w:color w:val="auto"/>
                <w:kern w:val="0"/>
                <w:sz w:val="21"/>
                <w:szCs w:val="21"/>
                <w:highlight w:val="none"/>
                <w:u w:val="single"/>
                <w:lang w:val="en-US" w:eastAsia="zh-CN" w:bidi="ar"/>
              </w:rPr>
              <w:t>6</w:t>
            </w:r>
            <w:r>
              <w:rPr>
                <w:rFonts w:hint="eastAsia" w:ascii="宋体" w:hAnsi="宋体" w:eastAsia="宋体" w:cs="宋体"/>
                <w:snapToGrid/>
                <w:color w:val="auto"/>
                <w:kern w:val="0"/>
                <w:sz w:val="21"/>
                <w:szCs w:val="21"/>
                <w:highlight w:val="none"/>
                <w:lang w:val="en-US" w:eastAsia="zh-CN" w:bidi="ar"/>
              </w:rPr>
              <w:t>分。</w:t>
            </w:r>
          </w:p>
          <w:p w14:paraId="26846CD7">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3.获得地市级奖项的，每个得</w:t>
            </w:r>
            <w:r>
              <w:rPr>
                <w:rFonts w:hint="eastAsia" w:ascii="宋体" w:hAnsi="宋体" w:eastAsia="宋体" w:cs="宋体"/>
                <w:snapToGrid/>
                <w:color w:val="auto"/>
                <w:kern w:val="0"/>
                <w:sz w:val="21"/>
                <w:szCs w:val="21"/>
                <w:highlight w:val="none"/>
                <w:u w:val="single"/>
                <w:lang w:val="en-US" w:eastAsia="zh-CN" w:bidi="ar"/>
              </w:rPr>
              <w:t>3</w:t>
            </w:r>
            <w:r>
              <w:rPr>
                <w:rFonts w:hint="eastAsia" w:ascii="宋体" w:hAnsi="宋体" w:eastAsia="宋体" w:cs="宋体"/>
                <w:snapToGrid/>
                <w:color w:val="auto"/>
                <w:kern w:val="0"/>
                <w:sz w:val="21"/>
                <w:szCs w:val="21"/>
                <w:highlight w:val="none"/>
                <w:lang w:val="en-US" w:eastAsia="zh-CN" w:bidi="ar"/>
              </w:rPr>
              <w:t>分。</w:t>
            </w:r>
          </w:p>
          <w:p w14:paraId="3F57F37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4．以上奖项均未获得的，不予计分。</w:t>
            </w:r>
          </w:p>
          <w:p w14:paraId="1DE9AC3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5.本项最高得15分。</w:t>
            </w:r>
          </w:p>
        </w:tc>
        <w:tc>
          <w:tcPr>
            <w:tcW w:w="4230" w:type="dxa"/>
            <w:tcBorders>
              <w:top w:val="single" w:color="auto" w:sz="4" w:space="0"/>
              <w:left w:val="nil"/>
              <w:bottom w:val="single" w:color="auto" w:sz="4" w:space="0"/>
              <w:right w:val="single" w:color="auto" w:sz="4" w:space="0"/>
            </w:tcBorders>
            <w:noWrap w:val="0"/>
            <w:vAlign w:val="center"/>
          </w:tcPr>
          <w:p w14:paraId="1449743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1.允许投标人提交多个业绩，但同一业绩只按最高级别奖项计分一次。</w:t>
            </w:r>
          </w:p>
          <w:p w14:paraId="7DE87BDC">
            <w:pPr>
              <w:pStyle w:val="5"/>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w:t>
            </w:r>
            <w:r>
              <w:rPr>
                <w:rFonts w:hint="eastAsia" w:ascii="宋体" w:hAnsi="宋体" w:eastAsia="宋体" w:cs="宋体"/>
                <w:snapToGrid w:val="0"/>
                <w:color w:val="auto"/>
                <w:kern w:val="0"/>
                <w:sz w:val="22"/>
                <w:szCs w:val="22"/>
                <w:highlight w:val="none"/>
              </w:rPr>
              <w:t>需附有关奖项证明</w:t>
            </w:r>
            <w:r>
              <w:rPr>
                <w:rFonts w:hint="eastAsia" w:ascii="宋体" w:hAnsi="宋体" w:eastAsia="宋体" w:cs="宋体"/>
                <w:snapToGrid w:val="0"/>
                <w:color w:val="auto"/>
                <w:kern w:val="0"/>
                <w:sz w:val="22"/>
                <w:szCs w:val="22"/>
                <w:highlight w:val="none"/>
                <w:lang w:val="en-US" w:eastAsia="zh-CN"/>
              </w:rPr>
              <w:t>彩色扫描件</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b/>
                <w:bCs/>
                <w:snapToGrid w:val="0"/>
                <w:color w:val="auto"/>
                <w:kern w:val="0"/>
                <w:sz w:val="22"/>
                <w:szCs w:val="22"/>
                <w:highlight w:val="none"/>
                <w:lang w:val="en-US" w:eastAsia="zh-CN"/>
              </w:rPr>
              <w:t>同时提供原件供核对。（奖项如电子证书的除外）</w:t>
            </w:r>
          </w:p>
          <w:p w14:paraId="7991FB6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3.颁发机构限定以下范围：</w:t>
            </w:r>
          </w:p>
          <w:p w14:paraId="5F9F3DA1">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①国家级奖项：国务院、住建部、国家级市政行业协会、国家级建筑协会；（相关协会需经民政部门备案）</w:t>
            </w:r>
          </w:p>
          <w:p w14:paraId="78B19A1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②省级奖项：省级人民政府、省级住建部门、省级市政行业协会、省级建筑协会；（相关协会需经民政部门备案）</w:t>
            </w:r>
          </w:p>
          <w:p w14:paraId="27BC162B">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③地市级奖项：地市级人民政府、地市级住建部门、地市级市政行业协会、地市级建筑协会。（相关协会需经民政部门备案）</w:t>
            </w:r>
          </w:p>
          <w:p w14:paraId="4C093FE3">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4.获奖时间以奖项证明的落款日期为准。</w:t>
            </w:r>
          </w:p>
          <w:p w14:paraId="60AB5A4F">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5.任一奖项有以下情形之一的，该奖项视为无效，不予计分：</w:t>
            </w:r>
          </w:p>
          <w:p w14:paraId="7FF32B5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①未提供奖项原件的；</w:t>
            </w:r>
          </w:p>
          <w:p w14:paraId="08E91BBA">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②奖项不属于指定类别的；</w:t>
            </w:r>
          </w:p>
          <w:p w14:paraId="5047B3F2">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③颁发机构不符合要求的；</w:t>
            </w:r>
          </w:p>
          <w:p w14:paraId="5B2904B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④获奖时间不符合要求的。</w:t>
            </w:r>
          </w:p>
          <w:p w14:paraId="1D7E417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color w:val="auto"/>
                <w:sz w:val="21"/>
                <w:szCs w:val="21"/>
                <w:highlight w:val="none"/>
              </w:rPr>
            </w:pPr>
            <w:r>
              <w:rPr>
                <w:rFonts w:hint="eastAsia" w:ascii="宋体" w:hAnsi="宋体" w:eastAsia="宋体" w:cs="宋体"/>
                <w:b/>
                <w:bCs/>
                <w:snapToGrid/>
                <w:color w:val="auto"/>
                <w:kern w:val="0"/>
                <w:sz w:val="21"/>
                <w:szCs w:val="21"/>
                <w:highlight w:val="none"/>
                <w:lang w:val="en-US" w:eastAsia="zh-CN" w:bidi="ar"/>
              </w:rPr>
              <w:t>说明：以上所称“要求”均指本表评分标准及备注的要求，下同。</w:t>
            </w:r>
          </w:p>
        </w:tc>
      </w:tr>
      <w:tr w14:paraId="25F539A1">
        <w:tblPrEx>
          <w:tblCellMar>
            <w:top w:w="0" w:type="dxa"/>
            <w:left w:w="108" w:type="dxa"/>
            <w:bottom w:w="0" w:type="dxa"/>
            <w:right w:w="108" w:type="dxa"/>
          </w:tblCellMar>
        </w:tblPrEx>
        <w:trPr>
          <w:trHeight w:val="2072"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2ED8E1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项目经理</w:t>
            </w:r>
          </w:p>
          <w:p w14:paraId="38F20A67">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综合素质</w:t>
            </w:r>
          </w:p>
          <w:p w14:paraId="02956C2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center"/>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（10分）</w:t>
            </w:r>
          </w:p>
        </w:tc>
        <w:tc>
          <w:tcPr>
            <w:tcW w:w="4385" w:type="dxa"/>
            <w:tcBorders>
              <w:top w:val="single" w:color="auto" w:sz="4" w:space="0"/>
              <w:left w:val="nil"/>
              <w:bottom w:val="single" w:color="auto" w:sz="4" w:space="0"/>
              <w:right w:val="single" w:color="auto" w:sz="4" w:space="0"/>
            </w:tcBorders>
            <w:noWrap w:val="0"/>
            <w:vAlign w:val="center"/>
          </w:tcPr>
          <w:p w14:paraId="1D6BB6C6">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项目经理工程类技术职称情况：</w:t>
            </w:r>
          </w:p>
          <w:p w14:paraId="11684120">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1.具备工程师或以上职称的，得</w:t>
            </w:r>
            <w:r>
              <w:rPr>
                <w:rFonts w:hint="eastAsia" w:ascii="宋体" w:hAnsi="宋体" w:eastAsia="宋体" w:cs="宋体"/>
                <w:snapToGrid/>
                <w:color w:val="auto"/>
                <w:kern w:val="0"/>
                <w:sz w:val="21"/>
                <w:szCs w:val="21"/>
                <w:highlight w:val="none"/>
                <w:u w:val="single"/>
                <w:lang w:val="en-US" w:eastAsia="zh-CN" w:bidi="ar"/>
              </w:rPr>
              <w:t>10</w:t>
            </w:r>
            <w:r>
              <w:rPr>
                <w:rFonts w:hint="eastAsia" w:ascii="宋体" w:hAnsi="宋体" w:eastAsia="宋体" w:cs="宋体"/>
                <w:snapToGrid/>
                <w:color w:val="auto"/>
                <w:kern w:val="0"/>
                <w:sz w:val="21"/>
                <w:szCs w:val="21"/>
                <w:highlight w:val="none"/>
                <w:lang w:val="en-US" w:eastAsia="zh-CN" w:bidi="ar"/>
              </w:rPr>
              <w:t>分。</w:t>
            </w:r>
          </w:p>
          <w:p w14:paraId="6D685431">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2.具备助理工程师职称的，得</w:t>
            </w:r>
            <w:r>
              <w:rPr>
                <w:rFonts w:hint="eastAsia" w:ascii="宋体" w:hAnsi="宋体" w:eastAsia="宋体" w:cs="宋体"/>
                <w:snapToGrid/>
                <w:color w:val="auto"/>
                <w:kern w:val="0"/>
                <w:sz w:val="21"/>
                <w:szCs w:val="21"/>
                <w:highlight w:val="none"/>
                <w:u w:val="single"/>
                <w:lang w:val="en-US" w:eastAsia="zh-CN" w:bidi="ar"/>
              </w:rPr>
              <w:t>5</w:t>
            </w:r>
            <w:r>
              <w:rPr>
                <w:rFonts w:hint="eastAsia" w:ascii="宋体" w:hAnsi="宋体" w:eastAsia="宋体" w:cs="宋体"/>
                <w:snapToGrid/>
                <w:color w:val="auto"/>
                <w:kern w:val="0"/>
                <w:sz w:val="21"/>
                <w:szCs w:val="21"/>
                <w:highlight w:val="none"/>
                <w:lang w:val="en-US" w:eastAsia="zh-CN" w:bidi="ar"/>
              </w:rPr>
              <w:t>分。</w:t>
            </w:r>
          </w:p>
          <w:p w14:paraId="577AA4E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3.不具备以上职称的，</w:t>
            </w:r>
            <w:r>
              <w:rPr>
                <w:rFonts w:hint="eastAsia"/>
                <w:color w:val="auto"/>
                <w:highlight w:val="none"/>
                <w:lang w:eastAsia="zh-CN"/>
              </w:rPr>
              <w:t>或未提供职称证原件的，</w:t>
            </w:r>
            <w:r>
              <w:rPr>
                <w:rFonts w:hint="eastAsia" w:ascii="宋体" w:hAnsi="宋体" w:eastAsia="宋体" w:cs="宋体"/>
                <w:snapToGrid/>
                <w:color w:val="auto"/>
                <w:kern w:val="0"/>
                <w:sz w:val="21"/>
                <w:szCs w:val="21"/>
                <w:highlight w:val="none"/>
                <w:lang w:val="en-US" w:eastAsia="zh-CN" w:bidi="ar"/>
              </w:rPr>
              <w:t>不予计分。</w:t>
            </w:r>
          </w:p>
        </w:tc>
        <w:tc>
          <w:tcPr>
            <w:tcW w:w="4230" w:type="dxa"/>
            <w:tcBorders>
              <w:top w:val="single" w:color="auto" w:sz="4" w:space="0"/>
              <w:left w:val="nil"/>
              <w:bottom w:val="single" w:color="auto" w:sz="4" w:space="0"/>
              <w:right w:val="single" w:color="auto" w:sz="4" w:space="0"/>
            </w:tcBorders>
            <w:noWrap w:val="0"/>
            <w:vAlign w:val="center"/>
          </w:tcPr>
          <w:p w14:paraId="549BDAF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Times New Roman"/>
                <w:color w:val="auto"/>
                <w:kern w:val="0"/>
                <w:sz w:val="21"/>
                <w:szCs w:val="21"/>
                <w:highlight w:val="none"/>
                <w:lang w:val="en-US" w:eastAsia="zh-CN"/>
              </w:rPr>
              <w:t>需附职称证彩色扫描件，</w:t>
            </w:r>
            <w:r>
              <w:rPr>
                <w:rFonts w:hint="eastAsia" w:ascii="Times New Roman"/>
                <w:b/>
                <w:bCs/>
                <w:color w:val="auto"/>
                <w:kern w:val="0"/>
                <w:sz w:val="21"/>
                <w:szCs w:val="21"/>
                <w:highlight w:val="none"/>
                <w:lang w:val="en-US" w:eastAsia="zh-CN"/>
              </w:rPr>
              <w:t>同时提供原件供核对。（职称证为电子证书打印件的除外）</w:t>
            </w:r>
          </w:p>
        </w:tc>
      </w:tr>
      <w:tr w14:paraId="2F3D4569">
        <w:tblPrEx>
          <w:tblCellMar>
            <w:top w:w="0" w:type="dxa"/>
            <w:left w:w="108" w:type="dxa"/>
            <w:bottom w:w="0" w:type="dxa"/>
            <w:right w:w="108" w:type="dxa"/>
          </w:tblCellMar>
        </w:tblPrEx>
        <w:trPr>
          <w:trHeight w:val="5787"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BD3841D">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企业业绩</w:t>
            </w:r>
          </w:p>
          <w:p w14:paraId="2B0A153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center"/>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（15分）</w:t>
            </w:r>
          </w:p>
        </w:tc>
        <w:tc>
          <w:tcPr>
            <w:tcW w:w="4385" w:type="dxa"/>
            <w:tcBorders>
              <w:top w:val="single" w:color="auto" w:sz="4" w:space="0"/>
              <w:left w:val="nil"/>
              <w:bottom w:val="single" w:color="auto" w:sz="4" w:space="0"/>
              <w:right w:val="single" w:color="auto" w:sz="4" w:space="0"/>
            </w:tcBorders>
            <w:noWrap w:val="0"/>
            <w:vAlign w:val="center"/>
          </w:tcPr>
          <w:p w14:paraId="083127B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企业近</w:t>
            </w:r>
            <w:r>
              <w:rPr>
                <w:rFonts w:hint="eastAsia" w:ascii="宋体" w:hAnsi="宋体" w:eastAsia="宋体" w:cs="宋体"/>
                <w:snapToGrid/>
                <w:color w:val="auto"/>
                <w:kern w:val="0"/>
                <w:sz w:val="21"/>
                <w:szCs w:val="21"/>
                <w:highlight w:val="none"/>
                <w:u w:val="single"/>
                <w:lang w:val="en-US" w:eastAsia="zh-CN" w:bidi="ar"/>
              </w:rPr>
              <w:t>5</w:t>
            </w:r>
            <w:r>
              <w:rPr>
                <w:rFonts w:hint="eastAsia" w:ascii="宋体" w:hAnsi="宋体" w:eastAsia="宋体" w:cs="宋体"/>
                <w:snapToGrid/>
                <w:color w:val="auto"/>
                <w:kern w:val="0"/>
                <w:sz w:val="21"/>
                <w:szCs w:val="21"/>
                <w:highlight w:val="none"/>
                <w:lang w:val="en-US" w:eastAsia="zh-CN" w:bidi="ar"/>
              </w:rPr>
              <w:t>年来（2021年1月1日至今）业绩情况：</w:t>
            </w:r>
          </w:p>
          <w:p w14:paraId="4291DA4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w:t>
            </w:r>
            <w:r>
              <w:rPr>
                <w:rFonts w:hint="eastAsia" w:ascii="宋体" w:hAnsi="宋体" w:eastAsia="宋体" w:cs="宋体"/>
                <w:snapToGrid/>
                <w:color w:val="auto"/>
                <w:kern w:val="0"/>
                <w:sz w:val="21"/>
                <w:szCs w:val="21"/>
                <w:highlight w:val="none"/>
                <w:u w:val="single"/>
                <w:lang w:val="en-US" w:eastAsia="zh-CN" w:bidi="ar"/>
              </w:rPr>
              <w:t>承接</w:t>
            </w:r>
            <w:r>
              <w:rPr>
                <w:rFonts w:hint="eastAsia" w:ascii="宋体" w:hAnsi="宋体" w:eastAsia="宋体" w:cs="宋体"/>
                <w:snapToGrid/>
                <w:color w:val="auto"/>
                <w:kern w:val="0"/>
                <w:sz w:val="21"/>
                <w:szCs w:val="21"/>
                <w:highlight w:val="none"/>
                <w:lang w:val="en-US" w:eastAsia="zh-CN" w:bidi="ar"/>
              </w:rPr>
              <w:t>过类似工程的，每个得</w:t>
            </w:r>
            <w:r>
              <w:rPr>
                <w:rFonts w:hint="eastAsia" w:ascii="宋体" w:hAnsi="宋体" w:eastAsia="宋体" w:cs="宋体"/>
                <w:snapToGrid/>
                <w:color w:val="auto"/>
                <w:kern w:val="0"/>
                <w:sz w:val="21"/>
                <w:szCs w:val="21"/>
                <w:highlight w:val="none"/>
                <w:u w:val="single"/>
                <w:lang w:val="en-US" w:eastAsia="zh-CN" w:bidi="ar"/>
              </w:rPr>
              <w:t>5</w:t>
            </w:r>
            <w:r>
              <w:rPr>
                <w:rFonts w:hint="eastAsia" w:ascii="宋体" w:hAnsi="宋体" w:eastAsia="宋体" w:cs="宋体"/>
                <w:snapToGrid/>
                <w:color w:val="auto"/>
                <w:kern w:val="0"/>
                <w:sz w:val="21"/>
                <w:szCs w:val="21"/>
                <w:highlight w:val="none"/>
                <w:lang w:val="en-US" w:eastAsia="zh-CN" w:bidi="ar"/>
              </w:rPr>
              <w:t>分。</w:t>
            </w:r>
          </w:p>
          <w:p w14:paraId="323DAAB1">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2.未</w:t>
            </w:r>
            <w:r>
              <w:rPr>
                <w:rFonts w:hint="eastAsia" w:ascii="宋体" w:hAnsi="宋体" w:eastAsia="宋体" w:cs="宋体"/>
                <w:snapToGrid/>
                <w:color w:val="auto"/>
                <w:kern w:val="0"/>
                <w:sz w:val="21"/>
                <w:szCs w:val="21"/>
                <w:highlight w:val="none"/>
                <w:u w:val="single"/>
                <w:lang w:val="en-US" w:eastAsia="zh-CN" w:bidi="ar"/>
              </w:rPr>
              <w:t>承接</w:t>
            </w:r>
            <w:r>
              <w:rPr>
                <w:rFonts w:hint="eastAsia" w:ascii="宋体" w:hAnsi="宋体" w:eastAsia="宋体" w:cs="宋体"/>
                <w:snapToGrid/>
                <w:color w:val="auto"/>
                <w:kern w:val="0"/>
                <w:sz w:val="21"/>
                <w:szCs w:val="21"/>
                <w:highlight w:val="none"/>
                <w:lang w:val="en-US" w:eastAsia="zh-CN" w:bidi="ar"/>
              </w:rPr>
              <w:t>过类似工程的，不予计分。</w:t>
            </w:r>
          </w:p>
          <w:p w14:paraId="12FDED6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3.本项最高得15分。</w:t>
            </w:r>
          </w:p>
        </w:tc>
        <w:tc>
          <w:tcPr>
            <w:tcW w:w="4230" w:type="dxa"/>
            <w:tcBorders>
              <w:top w:val="single" w:color="auto" w:sz="4" w:space="0"/>
              <w:left w:val="nil"/>
              <w:bottom w:val="single" w:color="auto" w:sz="4" w:space="0"/>
              <w:right w:val="single" w:color="auto" w:sz="4" w:space="0"/>
            </w:tcBorders>
            <w:noWrap w:val="0"/>
            <w:vAlign w:val="center"/>
          </w:tcPr>
          <w:p w14:paraId="0BDD5E1A">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1.类似工程指：类似工程指：</w:t>
            </w:r>
            <w:r>
              <w:rPr>
                <w:rFonts w:hint="eastAsia" w:ascii="宋体" w:hAnsi="宋体" w:eastAsia="宋体" w:cs="宋体"/>
                <w:snapToGrid/>
                <w:color w:val="auto"/>
                <w:kern w:val="0"/>
                <w:sz w:val="21"/>
                <w:szCs w:val="21"/>
                <w:highlight w:val="none"/>
                <w:u w:val="single"/>
                <w:lang w:val="en-US" w:eastAsia="zh-CN" w:bidi="ar"/>
              </w:rPr>
              <w:t>合同金额≥1500万</w:t>
            </w:r>
            <w:r>
              <w:rPr>
                <w:rFonts w:hint="eastAsia" w:ascii="宋体" w:hAnsi="宋体" w:eastAsia="宋体" w:cs="宋体"/>
                <w:snapToGrid/>
                <w:color w:val="auto"/>
                <w:kern w:val="0"/>
                <w:sz w:val="21"/>
                <w:szCs w:val="21"/>
                <w:highlight w:val="none"/>
                <w:lang w:val="en-US" w:eastAsia="zh-CN" w:bidi="ar"/>
              </w:rPr>
              <w:t>元的</w:t>
            </w:r>
            <w:r>
              <w:rPr>
                <w:rFonts w:hint="eastAsia" w:ascii="宋体" w:hAnsi="宋体" w:eastAsia="宋体" w:cs="宋体"/>
                <w:snapToGrid/>
                <w:color w:val="auto"/>
                <w:kern w:val="0"/>
                <w:sz w:val="21"/>
                <w:szCs w:val="21"/>
                <w:highlight w:val="none"/>
                <w:u w:val="single"/>
                <w:lang w:val="en-US" w:eastAsia="zh-CN" w:bidi="ar"/>
              </w:rPr>
              <w:t>市政工程类总承包工程（或设计、施工总承包工程或勘察、设计、施工总承包工程）</w:t>
            </w:r>
            <w:r>
              <w:rPr>
                <w:rFonts w:hint="eastAsia" w:ascii="宋体" w:hAnsi="宋体" w:eastAsia="宋体" w:cs="宋体"/>
                <w:snapToGrid/>
                <w:color w:val="auto"/>
                <w:kern w:val="0"/>
                <w:sz w:val="21"/>
                <w:szCs w:val="21"/>
                <w:highlight w:val="none"/>
                <w:lang w:val="en-US" w:eastAsia="zh-CN" w:bidi="ar"/>
              </w:rPr>
              <w:t>项目。</w:t>
            </w:r>
          </w:p>
          <w:p w14:paraId="7B49D5F9">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2.需附有关业绩（仅限于以施工总承包单位身份参建的项目）合同协议书彩色扫描件。</w:t>
            </w:r>
          </w:p>
          <w:p w14:paraId="2006277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3.业绩时间以合同协议书日期为准。</w:t>
            </w:r>
          </w:p>
          <w:p w14:paraId="3E787027">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4.任一业绩有以下情形之一的，该业绩视为无效，不予计分：</w:t>
            </w:r>
          </w:p>
          <w:p w14:paraId="5C2E09A7">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①业绩不属于类似工程的；</w:t>
            </w:r>
          </w:p>
          <w:p w14:paraId="25BD71EC">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②不是以指定身份参建的；</w:t>
            </w:r>
          </w:p>
          <w:p w14:paraId="7B662CA8">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i/>
                <w:iCs/>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③业绩时间不符合要求的；</w:t>
            </w:r>
          </w:p>
        </w:tc>
      </w:tr>
      <w:tr w14:paraId="24F25ACD">
        <w:tblPrEx>
          <w:tblCellMar>
            <w:top w:w="0" w:type="dxa"/>
            <w:left w:w="108" w:type="dxa"/>
            <w:bottom w:w="0" w:type="dxa"/>
            <w:right w:w="108" w:type="dxa"/>
          </w:tblCellMar>
        </w:tblPrEx>
        <w:trPr>
          <w:trHeight w:val="3311"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6A1EFE3E">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企业银行</w:t>
            </w:r>
          </w:p>
          <w:p w14:paraId="50E478B3">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资信评级</w:t>
            </w:r>
          </w:p>
          <w:p w14:paraId="3ACD012F">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center"/>
              <w:textAlignment w:val="baseline"/>
              <w:rPr>
                <w:rFonts w:hint="eastAsia"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（5分）</w:t>
            </w:r>
          </w:p>
        </w:tc>
        <w:tc>
          <w:tcPr>
            <w:tcW w:w="4385" w:type="dxa"/>
            <w:tcBorders>
              <w:top w:val="single" w:color="auto" w:sz="4" w:space="0"/>
              <w:left w:val="nil"/>
              <w:bottom w:val="single" w:color="auto" w:sz="4" w:space="0"/>
              <w:right w:val="single" w:color="auto" w:sz="4" w:space="0"/>
            </w:tcBorders>
            <w:noWrap w:val="0"/>
            <w:vAlign w:val="center"/>
          </w:tcPr>
          <w:p w14:paraId="1E5D98CE">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1.银行资信评级AAA的，得</w:t>
            </w:r>
            <w:r>
              <w:rPr>
                <w:rFonts w:hint="eastAsia" w:ascii="宋体" w:hAnsi="宋体" w:eastAsia="宋体" w:cs="宋体"/>
                <w:snapToGrid/>
                <w:color w:val="auto"/>
                <w:kern w:val="0"/>
                <w:sz w:val="21"/>
                <w:szCs w:val="21"/>
                <w:highlight w:val="none"/>
                <w:u w:val="single"/>
                <w:lang w:val="en-US" w:eastAsia="zh-CN" w:bidi="ar"/>
              </w:rPr>
              <w:t>5</w:t>
            </w:r>
            <w:r>
              <w:rPr>
                <w:rFonts w:hint="eastAsia" w:ascii="宋体" w:hAnsi="宋体" w:eastAsia="宋体" w:cs="宋体"/>
                <w:snapToGrid/>
                <w:color w:val="auto"/>
                <w:kern w:val="0"/>
                <w:sz w:val="21"/>
                <w:szCs w:val="21"/>
                <w:highlight w:val="none"/>
                <w:lang w:val="en-US" w:eastAsia="zh-CN" w:bidi="ar"/>
              </w:rPr>
              <w:t>分；</w:t>
            </w:r>
          </w:p>
          <w:p w14:paraId="4DE8F054">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2.银行资信评级AA（含AA＋、AA－）的，得</w:t>
            </w:r>
            <w:r>
              <w:rPr>
                <w:rFonts w:hint="eastAsia" w:ascii="宋体" w:hAnsi="宋体" w:eastAsia="宋体" w:cs="宋体"/>
                <w:snapToGrid/>
                <w:color w:val="auto"/>
                <w:kern w:val="0"/>
                <w:sz w:val="21"/>
                <w:szCs w:val="21"/>
                <w:highlight w:val="none"/>
                <w:u w:val="single"/>
                <w:lang w:val="en-US" w:eastAsia="zh-CN" w:bidi="ar"/>
              </w:rPr>
              <w:t>3</w:t>
            </w:r>
            <w:r>
              <w:rPr>
                <w:rFonts w:hint="eastAsia" w:ascii="宋体" w:hAnsi="宋体" w:eastAsia="宋体" w:cs="宋体"/>
                <w:snapToGrid/>
                <w:color w:val="auto"/>
                <w:kern w:val="0"/>
                <w:sz w:val="21"/>
                <w:szCs w:val="21"/>
                <w:highlight w:val="none"/>
                <w:lang w:val="en-US" w:eastAsia="zh-CN" w:bidi="ar"/>
              </w:rPr>
              <w:t>分。</w:t>
            </w:r>
          </w:p>
          <w:p w14:paraId="6D42DEB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3.银行资信评级A（含A＋、A－）的，得</w:t>
            </w:r>
            <w:r>
              <w:rPr>
                <w:rFonts w:hint="eastAsia" w:ascii="宋体" w:hAnsi="宋体" w:eastAsia="宋体" w:cs="宋体"/>
                <w:snapToGrid/>
                <w:color w:val="auto"/>
                <w:kern w:val="0"/>
                <w:sz w:val="21"/>
                <w:szCs w:val="21"/>
                <w:highlight w:val="none"/>
                <w:u w:val="single"/>
                <w:lang w:val="en-US" w:eastAsia="zh-CN" w:bidi="ar"/>
              </w:rPr>
              <w:t>1</w:t>
            </w:r>
            <w:r>
              <w:rPr>
                <w:rFonts w:hint="eastAsia" w:ascii="宋体" w:hAnsi="宋体" w:eastAsia="宋体" w:cs="宋体"/>
                <w:snapToGrid/>
                <w:color w:val="auto"/>
                <w:kern w:val="0"/>
                <w:sz w:val="21"/>
                <w:szCs w:val="21"/>
                <w:highlight w:val="none"/>
                <w:lang w:val="en-US" w:eastAsia="zh-CN" w:bidi="ar"/>
              </w:rPr>
              <w:t>分。</w:t>
            </w:r>
          </w:p>
          <w:p w14:paraId="7F9C77CF">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4.未获得过以上评级的，或评级证书无效的，不予计分。</w:t>
            </w:r>
          </w:p>
        </w:tc>
        <w:tc>
          <w:tcPr>
            <w:tcW w:w="4230" w:type="dxa"/>
            <w:tcBorders>
              <w:top w:val="single" w:color="auto" w:sz="4" w:space="0"/>
              <w:left w:val="nil"/>
              <w:bottom w:val="single" w:color="auto" w:sz="4" w:space="0"/>
              <w:right w:val="single" w:color="auto" w:sz="4" w:space="0"/>
            </w:tcBorders>
            <w:noWrap w:val="0"/>
            <w:vAlign w:val="center"/>
          </w:tcPr>
          <w:p w14:paraId="4F0F3B6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1.需附在有效期内的资信评级证书（证明）彩色扫描件，</w:t>
            </w:r>
            <w:r>
              <w:rPr>
                <w:rFonts w:hint="eastAsia" w:ascii="Times New Roman"/>
                <w:b/>
                <w:bCs/>
                <w:color w:val="auto"/>
                <w:kern w:val="0"/>
                <w:sz w:val="21"/>
                <w:szCs w:val="21"/>
                <w:highlight w:val="none"/>
                <w:lang w:val="en-US" w:eastAsia="zh-CN"/>
              </w:rPr>
              <w:t>同时提供原件供核对。（评级证书（证明）为电子证书打印件的除外）</w:t>
            </w:r>
          </w:p>
          <w:p w14:paraId="7FDAFF8F">
            <w:pPr>
              <w:keepNext w:val="0"/>
              <w:keepLines w:val="0"/>
              <w:widowControl/>
              <w:suppressLineNumbers w:val="0"/>
              <w:jc w:val="left"/>
              <w:rPr>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2.评级证书（证明）须由企业基本账户开户银行/</w:t>
            </w:r>
            <w:r>
              <w:rPr>
                <w:rFonts w:hint="eastAsia" w:ascii="宋体" w:hAnsi="宋体" w:eastAsia="宋体" w:cs="宋体"/>
                <w:snapToGrid w:val="0"/>
                <w:color w:val="auto"/>
                <w:kern w:val="0"/>
                <w:sz w:val="21"/>
                <w:szCs w:val="21"/>
                <w:highlight w:val="none"/>
                <w:lang w:val="en-US" w:eastAsia="zh-CN" w:bidi="ar"/>
              </w:rPr>
              <w:t>市级或以上金融机构</w:t>
            </w:r>
          </w:p>
          <w:p w14:paraId="6E0DC045">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出具。</w:t>
            </w:r>
          </w:p>
          <w:p w14:paraId="2A624081">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3.评级证书（证明）有以下情形之一的，视为无效：</w:t>
            </w:r>
          </w:p>
          <w:p w14:paraId="57A0EF2A">
            <w:pPr>
              <w:pStyle w:val="5"/>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color w:val="auto"/>
                <w:kern w:val="0"/>
                <w:sz w:val="21"/>
                <w:szCs w:val="21"/>
                <w:highlight w:val="none"/>
                <w:lang w:val="en-US" w:eastAsia="zh-CN" w:bidi="ar"/>
              </w:rPr>
              <w:t>①未提供评级证书（证明）原件</w:t>
            </w:r>
            <w:r>
              <w:rPr>
                <w:rFonts w:hint="eastAsia" w:ascii="宋体" w:hAnsi="宋体" w:eastAsia="宋体" w:cs="宋体"/>
                <w:b w:val="0"/>
                <w:bCs w:val="0"/>
                <w:snapToGrid w:val="0"/>
                <w:color w:val="auto"/>
                <w:kern w:val="0"/>
                <w:sz w:val="21"/>
                <w:szCs w:val="21"/>
                <w:highlight w:val="none"/>
                <w:lang w:val="en-US" w:eastAsia="zh-CN"/>
              </w:rPr>
              <w:t>（</w:t>
            </w:r>
            <w:r>
              <w:rPr>
                <w:rFonts w:hint="eastAsia" w:ascii="Times New Roman"/>
                <w:b w:val="0"/>
                <w:bCs w:val="0"/>
                <w:color w:val="auto"/>
                <w:kern w:val="0"/>
                <w:sz w:val="21"/>
                <w:szCs w:val="21"/>
                <w:highlight w:val="none"/>
                <w:lang w:val="en-US" w:eastAsia="zh-CN"/>
              </w:rPr>
              <w:t>评级</w:t>
            </w:r>
            <w:r>
              <w:rPr>
                <w:rFonts w:hint="eastAsia" w:ascii="宋体" w:hAnsi="宋体" w:eastAsia="宋体" w:cs="宋体"/>
                <w:b w:val="0"/>
                <w:bCs w:val="0"/>
                <w:snapToGrid/>
                <w:color w:val="auto"/>
                <w:kern w:val="0"/>
                <w:sz w:val="21"/>
                <w:szCs w:val="21"/>
                <w:highlight w:val="none"/>
                <w:lang w:val="en-US" w:eastAsia="zh-CN" w:bidi="ar"/>
              </w:rPr>
              <w:t>证书（证明）</w:t>
            </w:r>
            <w:r>
              <w:rPr>
                <w:rFonts w:hint="eastAsia" w:ascii="Times New Roman"/>
                <w:b w:val="0"/>
                <w:bCs w:val="0"/>
                <w:color w:val="auto"/>
                <w:kern w:val="0"/>
                <w:sz w:val="21"/>
                <w:szCs w:val="21"/>
                <w:highlight w:val="none"/>
                <w:lang w:val="en-US" w:eastAsia="zh-CN"/>
              </w:rPr>
              <w:t>为电子证书打印件的除外</w:t>
            </w: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eastAsia="宋体" w:cs="宋体"/>
                <w:b w:val="0"/>
                <w:bCs w:val="0"/>
                <w:snapToGrid/>
                <w:color w:val="auto"/>
                <w:kern w:val="0"/>
                <w:sz w:val="21"/>
                <w:szCs w:val="21"/>
                <w:highlight w:val="none"/>
                <w:lang w:val="en-US" w:eastAsia="zh-CN" w:bidi="ar"/>
              </w:rPr>
              <w:t>；</w:t>
            </w:r>
          </w:p>
          <w:p w14:paraId="5B6788CD">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②评级证书（证明）不在有效期内的；</w:t>
            </w:r>
          </w:p>
          <w:p w14:paraId="51E61AFA">
            <w:pPr>
              <w:keepNext w:val="0"/>
              <w:keepLines w:val="0"/>
              <w:widowControl w:val="0"/>
              <w:suppressLineNumbers w:val="0"/>
              <w:kinsoku w:val="0"/>
              <w:autoSpaceDE w:val="0"/>
              <w:autoSpaceDN w:val="0"/>
              <w:adjustRightInd w:val="0"/>
              <w:snapToGrid w:val="0"/>
              <w:spacing w:before="0" w:beforeAutospacing="0" w:after="0" w:afterAutospacing="0" w:line="360" w:lineRule="auto"/>
              <w:ind w:left="0" w:leftChars="0" w:right="0" w:rightChars="0"/>
              <w:jc w:val="both"/>
              <w:textAlignment w:val="baseline"/>
              <w:rPr>
                <w:rFonts w:ascii="Times New Roman"/>
                <w:color w:val="auto"/>
                <w:kern w:val="0"/>
                <w:sz w:val="21"/>
                <w:szCs w:val="21"/>
                <w:highlight w:val="none"/>
              </w:rPr>
            </w:pPr>
            <w:r>
              <w:rPr>
                <w:rFonts w:hint="eastAsia" w:ascii="宋体" w:hAnsi="宋体" w:eastAsia="宋体" w:cs="宋体"/>
                <w:snapToGrid/>
                <w:color w:val="auto"/>
                <w:kern w:val="0"/>
                <w:sz w:val="21"/>
                <w:szCs w:val="21"/>
                <w:highlight w:val="none"/>
                <w:lang w:val="en-US" w:eastAsia="zh-CN" w:bidi="ar"/>
              </w:rPr>
              <w:t>③出具机构不符合要求的。</w:t>
            </w:r>
          </w:p>
        </w:tc>
      </w:tr>
      <w:tr w14:paraId="69B67653">
        <w:tblPrEx>
          <w:tblCellMar>
            <w:top w:w="0" w:type="dxa"/>
            <w:left w:w="108" w:type="dxa"/>
            <w:bottom w:w="0" w:type="dxa"/>
            <w:right w:w="108" w:type="dxa"/>
          </w:tblCellMar>
        </w:tblPrEx>
        <w:trPr>
          <w:trHeight w:val="2898"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31741E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企业管理</w:t>
            </w:r>
          </w:p>
          <w:p w14:paraId="1F3F0C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体系认证</w:t>
            </w:r>
          </w:p>
          <w:p w14:paraId="3ACD61DC">
            <w:pPr>
              <w:keepNext w:val="0"/>
              <w:keepLines w:val="0"/>
              <w:widowControl w:val="0"/>
              <w:suppressLineNumbers w:val="0"/>
              <w:spacing w:before="0" w:beforeAutospacing="0" w:after="0" w:afterAutospacing="0" w:line="360" w:lineRule="auto"/>
              <w:ind w:left="0" w:leftChars="0" w:right="0" w:rightChars="0"/>
              <w:jc w:val="center"/>
              <w:rPr>
                <w:rFonts w:ascii="Times New Roman"/>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（6分）</w:t>
            </w:r>
          </w:p>
        </w:tc>
        <w:tc>
          <w:tcPr>
            <w:tcW w:w="4385" w:type="dxa"/>
            <w:tcBorders>
              <w:top w:val="single" w:color="auto" w:sz="4" w:space="0"/>
              <w:left w:val="nil"/>
              <w:bottom w:val="single" w:color="auto" w:sz="4" w:space="0"/>
              <w:right w:val="single" w:color="auto" w:sz="4" w:space="0"/>
            </w:tcBorders>
            <w:noWrap w:val="0"/>
            <w:vAlign w:val="center"/>
          </w:tcPr>
          <w:p w14:paraId="1A2D28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1.质量管理体系认证、职业健康安全管理体系认证、环境管理体系认证中，每获得1项认证得</w:t>
            </w:r>
            <w:r>
              <w:rPr>
                <w:rFonts w:hint="eastAsia" w:ascii="宋体" w:hAnsi="宋体" w:eastAsia="宋体" w:cs="宋体"/>
                <w:color w:val="auto"/>
                <w:kern w:val="2"/>
                <w:sz w:val="21"/>
                <w:szCs w:val="21"/>
                <w:highlight w:val="none"/>
                <w:u w:val="single"/>
                <w:lang w:val="en-US" w:eastAsia="zh-CN" w:bidi="ar"/>
              </w:rPr>
              <w:t>2</w:t>
            </w:r>
            <w:r>
              <w:rPr>
                <w:rFonts w:hint="eastAsia" w:ascii="宋体" w:hAnsi="宋体" w:eastAsia="宋体" w:cs="宋体"/>
                <w:color w:val="auto"/>
                <w:kern w:val="2"/>
                <w:sz w:val="21"/>
                <w:szCs w:val="21"/>
                <w:highlight w:val="none"/>
                <w:lang w:val="en-US" w:eastAsia="zh-CN" w:bidi="ar"/>
              </w:rPr>
              <w:t>分，最高得6分。</w:t>
            </w:r>
          </w:p>
          <w:p w14:paraId="3A104374">
            <w:pPr>
              <w:keepNext w:val="0"/>
              <w:keepLines w:val="0"/>
              <w:widowControl w:val="0"/>
              <w:suppressLineNumbers w:val="0"/>
              <w:spacing w:before="0" w:beforeAutospacing="0" w:after="0" w:afterAutospacing="0" w:line="360" w:lineRule="auto"/>
              <w:ind w:left="0" w:leftChars="0" w:right="0" w:rightChars="0"/>
              <w:jc w:val="both"/>
              <w:rPr>
                <w:rFonts w:ascii="Times New Roman"/>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2.未获得以上认证的，不予计分。</w:t>
            </w:r>
          </w:p>
        </w:tc>
        <w:tc>
          <w:tcPr>
            <w:tcW w:w="4230" w:type="dxa"/>
            <w:tcBorders>
              <w:top w:val="single" w:color="auto" w:sz="4" w:space="0"/>
              <w:left w:val="nil"/>
              <w:bottom w:val="single" w:color="auto" w:sz="4" w:space="0"/>
              <w:right w:val="single" w:color="auto" w:sz="4" w:space="0"/>
            </w:tcBorders>
            <w:noWrap w:val="0"/>
            <w:vAlign w:val="center"/>
          </w:tcPr>
          <w:p w14:paraId="1896F8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1．需附在有效期内的认证证书彩色扫描件</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2.任一认证证书有以下情形之一的，该认证证书视为无效，不予计分：</w:t>
            </w:r>
          </w:p>
          <w:p w14:paraId="40E349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①未提供认证证书原件的；</w:t>
            </w:r>
          </w:p>
          <w:p w14:paraId="3DC28E2E">
            <w:pPr>
              <w:keepNext w:val="0"/>
              <w:keepLines w:val="0"/>
              <w:widowControl w:val="0"/>
              <w:suppressLineNumbers w:val="0"/>
              <w:spacing w:before="0" w:beforeAutospacing="0" w:after="0" w:afterAutospacing="0" w:line="360" w:lineRule="auto"/>
              <w:ind w:left="0" w:leftChars="0" w:right="0" w:rightChars="0"/>
              <w:jc w:val="both"/>
              <w:rPr>
                <w:rFonts w:ascii="Times New Roman"/>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②认证证书不在有效期内的。</w:t>
            </w:r>
          </w:p>
        </w:tc>
      </w:tr>
      <w:tr w14:paraId="168EEC7C">
        <w:tblPrEx>
          <w:tblCellMar>
            <w:top w:w="0" w:type="dxa"/>
            <w:left w:w="108" w:type="dxa"/>
            <w:bottom w:w="0" w:type="dxa"/>
            <w:right w:w="108" w:type="dxa"/>
          </w:tblCellMar>
        </w:tblPrEx>
        <w:trPr>
          <w:trHeight w:val="1828"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1900C836">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w:t>
            </w:r>
          </w:p>
          <w:p w14:paraId="1DC43F16">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财务状况</w:t>
            </w:r>
          </w:p>
          <w:p w14:paraId="4E7375C6">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w:t>
            </w:r>
          </w:p>
          <w:p w14:paraId="02FEA04C">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
              </w:rPr>
            </w:pPr>
          </w:p>
        </w:tc>
        <w:tc>
          <w:tcPr>
            <w:tcW w:w="4385" w:type="dxa"/>
            <w:tcBorders>
              <w:top w:val="single" w:color="auto" w:sz="4" w:space="0"/>
              <w:left w:val="nil"/>
              <w:bottom w:val="single" w:color="auto" w:sz="4" w:space="0"/>
              <w:right w:val="single" w:color="auto" w:sz="4" w:space="0"/>
            </w:tcBorders>
            <w:noWrap w:val="0"/>
            <w:vAlign w:val="center"/>
          </w:tcPr>
          <w:p w14:paraId="418A1A14">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exact"/>
              <w:ind w:left="0" w:leftChars="0" w:right="0" w:rightChars="0" w:firstLine="0" w:firstLineChars="0"/>
              <w:jc w:val="left"/>
              <w:textAlignment w:val="auto"/>
              <w:outlineLvl w:val="9"/>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提供不少于</w:t>
            </w:r>
            <w:r>
              <w:rPr>
                <w:rFonts w:hint="eastAsia" w:ascii="宋体" w:hAnsi="宋体" w:eastAsia="宋体" w:cs="宋体"/>
                <w:snapToGrid w:val="0"/>
                <w:color w:val="auto"/>
                <w:kern w:val="2"/>
                <w:sz w:val="21"/>
                <w:szCs w:val="21"/>
                <w:highlight w:val="none"/>
                <w:u w:val="single"/>
                <w:lang w:val="en-US" w:eastAsia="zh-CN" w:bidi="ar-SA"/>
              </w:rPr>
              <w:t>100</w:t>
            </w:r>
            <w:r>
              <w:rPr>
                <w:rFonts w:hint="eastAsia" w:ascii="宋体" w:hAnsi="宋体" w:eastAsia="宋体" w:cs="宋体"/>
                <w:snapToGrid w:val="0"/>
                <w:color w:val="auto"/>
                <w:kern w:val="2"/>
                <w:sz w:val="21"/>
                <w:szCs w:val="21"/>
                <w:highlight w:val="none"/>
                <w:lang w:val="en-US" w:eastAsia="zh-CN" w:bidi="ar-SA"/>
              </w:rPr>
              <w:t>万元银行授信证明的，得4分。</w:t>
            </w:r>
          </w:p>
          <w:p w14:paraId="31C16D02">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val="0"/>
                <w:color w:val="auto"/>
                <w:kern w:val="2"/>
                <w:sz w:val="21"/>
                <w:szCs w:val="21"/>
                <w:highlight w:val="none"/>
                <w:lang w:val="en-US" w:eastAsia="zh-CN" w:bidi="ar-SA"/>
              </w:rPr>
              <w:t>提供投标人基本账户在本项目招标公告发布之日起至投标截止时间期间出现过至少连续3日不少于</w:t>
            </w:r>
            <w:r>
              <w:rPr>
                <w:rFonts w:hint="eastAsia" w:ascii="宋体" w:hAnsi="宋体" w:eastAsia="宋体" w:cs="宋体"/>
                <w:snapToGrid w:val="0"/>
                <w:color w:val="auto"/>
                <w:kern w:val="2"/>
                <w:sz w:val="21"/>
                <w:szCs w:val="21"/>
                <w:highlight w:val="none"/>
                <w:u w:val="single"/>
                <w:lang w:val="en-US" w:eastAsia="zh-CN" w:bidi="ar-SA"/>
              </w:rPr>
              <w:t>100</w:t>
            </w:r>
            <w:r>
              <w:rPr>
                <w:rFonts w:hint="eastAsia" w:ascii="宋体" w:hAnsi="宋体" w:eastAsia="宋体" w:cs="宋体"/>
                <w:snapToGrid w:val="0"/>
                <w:color w:val="auto"/>
                <w:kern w:val="2"/>
                <w:sz w:val="21"/>
                <w:szCs w:val="21"/>
                <w:highlight w:val="none"/>
                <w:lang w:val="en-US" w:eastAsia="zh-CN" w:bidi="ar-SA"/>
              </w:rPr>
              <w:t>万元存款余额资金流水证明的，得5分。</w:t>
            </w:r>
          </w:p>
        </w:tc>
        <w:tc>
          <w:tcPr>
            <w:tcW w:w="4230" w:type="dxa"/>
            <w:tcBorders>
              <w:top w:val="single" w:color="auto" w:sz="4" w:space="0"/>
              <w:left w:val="nil"/>
              <w:bottom w:val="single" w:color="auto" w:sz="4" w:space="0"/>
              <w:right w:val="single" w:color="auto" w:sz="4" w:space="0"/>
            </w:tcBorders>
            <w:noWrap w:val="0"/>
            <w:vAlign w:val="center"/>
          </w:tcPr>
          <w:p w14:paraId="39205FE3">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rPr>
              <w:t>需附在有效期内的有关证明</w:t>
            </w:r>
            <w:r>
              <w:rPr>
                <w:rFonts w:hint="eastAsia" w:ascii="宋体" w:hAnsi="宋体" w:eastAsia="宋体" w:cs="宋体"/>
                <w:snapToGrid w:val="0"/>
                <w:color w:val="auto"/>
                <w:kern w:val="0"/>
                <w:sz w:val="21"/>
                <w:szCs w:val="21"/>
                <w:highlight w:val="none"/>
                <w:lang w:eastAsia="zh-CN"/>
              </w:rPr>
              <w:t>电子扫描件</w:t>
            </w:r>
            <w:r>
              <w:rPr>
                <w:rFonts w:hint="eastAsia" w:ascii="宋体" w:hAnsi="宋体" w:eastAsia="宋体" w:cs="宋体"/>
                <w:caps w:val="0"/>
                <w:smallCaps w:val="0"/>
                <w:snapToGrid w:val="0"/>
                <w:color w:val="auto"/>
                <w:spacing w:val="0"/>
                <w:kern w:val="0"/>
                <w:sz w:val="21"/>
                <w:szCs w:val="21"/>
                <w:highlight w:val="none"/>
                <w:lang w:val="en-US" w:eastAsia="zh-CN" w:bidi="ar-SA"/>
              </w:rPr>
              <w:t>。</w:t>
            </w:r>
          </w:p>
          <w:p w14:paraId="0503F78D">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2．银行授信证明有以下情形之一的，视为无效，不予计分：</w:t>
            </w:r>
          </w:p>
          <w:p w14:paraId="6DB66BB0">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①授信证明不在有效期内的；</w:t>
            </w:r>
          </w:p>
          <w:p w14:paraId="520941C5">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②授信额度不符合要求的；</w:t>
            </w:r>
          </w:p>
          <w:p w14:paraId="6B915220">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3．存款余额资金流水证明有以下情形之一的，视为无效，不予计分：</w:t>
            </w:r>
          </w:p>
          <w:p w14:paraId="03FAAAA0">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①存款账户不是基本账户的；</w:t>
            </w:r>
          </w:p>
          <w:p w14:paraId="0FD111F0">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②存款时间不符合要求的；</w:t>
            </w:r>
          </w:p>
          <w:p w14:paraId="6C63B3DF">
            <w:pPr>
              <w:keepNext w:val="0"/>
              <w:keepLines w:val="0"/>
              <w:pageBreakBefore w:val="0"/>
              <w:widowControl w:val="0"/>
              <w:kinsoku/>
              <w:wordWrap w:val="0"/>
              <w:overflowPunct/>
              <w:topLinePunct w:val="0"/>
              <w:autoSpaceDE/>
              <w:autoSpaceDN/>
              <w:bidi w:val="0"/>
              <w:adjustRightInd w:val="0"/>
              <w:snapToGrid w:val="0"/>
              <w:spacing w:before="0" w:after="0" w:afterLines="0" w:afterAutospacing="0" w:line="36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aps w:val="0"/>
                <w:smallCaps w:val="0"/>
                <w:snapToGrid w:val="0"/>
                <w:color w:val="auto"/>
                <w:spacing w:val="0"/>
                <w:kern w:val="0"/>
                <w:sz w:val="21"/>
                <w:szCs w:val="21"/>
                <w:highlight w:val="none"/>
                <w:lang w:val="en-US" w:eastAsia="zh-CN" w:bidi="ar-SA"/>
              </w:rPr>
              <w:t>③存款额度不符合要求的。</w:t>
            </w:r>
          </w:p>
        </w:tc>
      </w:tr>
      <w:tr w14:paraId="10FB204E">
        <w:tblPrEx>
          <w:tblCellMar>
            <w:top w:w="0" w:type="dxa"/>
            <w:left w:w="108" w:type="dxa"/>
            <w:bottom w:w="0" w:type="dxa"/>
            <w:right w:w="108" w:type="dxa"/>
          </w:tblCellMar>
        </w:tblPrEx>
        <w:trPr>
          <w:trHeight w:val="3705" w:hRule="atLeast"/>
          <w:jc w:val="center"/>
        </w:trPr>
        <w:tc>
          <w:tcPr>
            <w:tcW w:w="1205" w:type="dxa"/>
            <w:vMerge w:val="restart"/>
            <w:tcBorders>
              <w:top w:val="single" w:color="auto" w:sz="4" w:space="0"/>
              <w:left w:val="single" w:color="auto" w:sz="4" w:space="0"/>
              <w:right w:val="single" w:color="auto" w:sz="4" w:space="0"/>
            </w:tcBorders>
            <w:noWrap w:val="0"/>
            <w:vAlign w:val="center"/>
          </w:tcPr>
          <w:p w14:paraId="507F42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招标人</w:t>
            </w:r>
          </w:p>
          <w:p w14:paraId="6C6C63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自选项</w:t>
            </w:r>
          </w:p>
          <w:p w14:paraId="412EAF4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4385" w:type="dxa"/>
            <w:tcBorders>
              <w:top w:val="single" w:color="auto" w:sz="4" w:space="0"/>
              <w:left w:val="nil"/>
              <w:bottom w:val="single" w:color="auto" w:sz="4" w:space="0"/>
              <w:right w:val="single" w:color="auto" w:sz="4" w:space="0"/>
            </w:tcBorders>
            <w:noWrap w:val="0"/>
            <w:vAlign w:val="center"/>
          </w:tcPr>
          <w:p w14:paraId="3DB1187F">
            <w:pPr>
              <w:pStyle w:val="1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企业连续12年以上(含12年)获得纳税信用 A级纳税人的，得5分。(其中必须有2025年度)</w:t>
            </w:r>
          </w:p>
          <w:p w14:paraId="0AFA20E4">
            <w:pPr>
              <w:pStyle w:val="1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企业连续获得6-11年纳税信用A级纳税人的，得3分。(其中必须有 2025 年度)</w:t>
            </w:r>
          </w:p>
          <w:p w14:paraId="6C03F225">
            <w:pPr>
              <w:pStyle w:val="1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企业获得1-5年纳税信用 A 级纳税人的，得2分。(其中必须有 2025年度)</w:t>
            </w:r>
          </w:p>
          <w:p w14:paraId="5CAB37F5">
            <w:pPr>
              <w:pStyle w:val="1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其他情形的，不予计分。</w:t>
            </w:r>
          </w:p>
          <w:p w14:paraId="139C49FD">
            <w:pPr>
              <w:pStyle w:val="1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本项最高得 5 分。</w:t>
            </w:r>
          </w:p>
        </w:tc>
        <w:tc>
          <w:tcPr>
            <w:tcW w:w="4230" w:type="dxa"/>
            <w:tcBorders>
              <w:top w:val="single" w:color="auto" w:sz="4" w:space="0"/>
              <w:left w:val="nil"/>
              <w:bottom w:val="single" w:color="auto" w:sz="4" w:space="0"/>
              <w:right w:val="single" w:color="auto" w:sz="4" w:space="0"/>
            </w:tcBorders>
            <w:noWrap w:val="0"/>
            <w:vAlign w:val="center"/>
          </w:tcPr>
          <w:p w14:paraId="643DEA9F">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1.必须提供企业纳税信用A级纳税人证明材料（或证书）彩色扫描件，否则不得分。</w:t>
            </w:r>
          </w:p>
          <w:p w14:paraId="1342031D">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2.只计算投标人自身（不计算投标人的分公司、子公司及分支机构）</w:t>
            </w:r>
          </w:p>
        </w:tc>
      </w:tr>
      <w:tr w14:paraId="5BBFA90F">
        <w:tblPrEx>
          <w:tblCellMar>
            <w:top w:w="0" w:type="dxa"/>
            <w:left w:w="108" w:type="dxa"/>
            <w:bottom w:w="0" w:type="dxa"/>
            <w:right w:w="108" w:type="dxa"/>
          </w:tblCellMar>
        </w:tblPrEx>
        <w:trPr>
          <w:trHeight w:val="1325" w:hRule="atLeast"/>
          <w:jc w:val="center"/>
        </w:trPr>
        <w:tc>
          <w:tcPr>
            <w:tcW w:w="1205" w:type="dxa"/>
            <w:vMerge w:val="continue"/>
            <w:tcBorders>
              <w:left w:val="single" w:color="auto" w:sz="4" w:space="0"/>
              <w:right w:val="single" w:color="auto" w:sz="4" w:space="0"/>
            </w:tcBorders>
            <w:noWrap w:val="0"/>
            <w:vAlign w:val="center"/>
          </w:tcPr>
          <w:p w14:paraId="32F88EE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p>
        </w:tc>
        <w:tc>
          <w:tcPr>
            <w:tcW w:w="4385" w:type="dxa"/>
            <w:tcBorders>
              <w:top w:val="single" w:color="auto" w:sz="4" w:space="0"/>
              <w:left w:val="nil"/>
              <w:bottom w:val="single" w:color="auto" w:sz="4" w:space="0"/>
              <w:right w:val="single" w:color="auto" w:sz="4" w:space="0"/>
            </w:tcBorders>
            <w:shd w:val="clear" w:color="auto" w:fill="auto"/>
            <w:noWrap w:val="0"/>
            <w:vAlign w:val="center"/>
          </w:tcPr>
          <w:p w14:paraId="6D329FD6">
            <w:pPr>
              <w:spacing w:line="360" w:lineRule="auto"/>
              <w:rPr>
                <w:rFonts w:hint="eastAsia" w:hAnsi="宋体" w:cs="宋体"/>
                <w:color w:val="auto"/>
                <w:kern w:val="0"/>
                <w:highlight w:val="none"/>
              </w:rPr>
            </w:pPr>
            <w:r>
              <w:rPr>
                <w:rFonts w:hint="eastAsia" w:hAnsi="宋体" w:eastAsia="宋体" w:cs="宋体"/>
                <w:color w:val="auto"/>
                <w:kern w:val="0"/>
                <w:highlight w:val="none"/>
                <w:lang w:val="en-US" w:eastAsia="zh-CN"/>
              </w:rPr>
              <w:t>1.</w:t>
            </w:r>
            <w:r>
              <w:rPr>
                <w:rFonts w:hint="eastAsia" w:hAnsi="宋体" w:cs="宋体"/>
                <w:color w:val="auto"/>
                <w:kern w:val="0"/>
                <w:highlight w:val="none"/>
              </w:rPr>
              <w:t>近5年来（2021年1月1日至今）</w:t>
            </w:r>
            <w:r>
              <w:rPr>
                <w:rFonts w:hint="eastAsia" w:hAnsi="宋体" w:cs="宋体"/>
                <w:color w:val="auto"/>
                <w:kern w:val="0"/>
                <w:highlight w:val="none"/>
                <w:lang w:val="en-US" w:eastAsia="zh-CN"/>
              </w:rPr>
              <w:t xml:space="preserve">投标人未发生事故等级为一般事故及以上的生产安全事故、一般质量事故及以上的工程质量事故 </w:t>
            </w:r>
          </w:p>
          <w:p w14:paraId="1786A4F2">
            <w:pPr>
              <w:spacing w:line="360" w:lineRule="auto"/>
              <w:rPr>
                <w:rFonts w:hint="eastAsia" w:hAnsi="宋体" w:cs="宋体"/>
                <w:color w:val="auto"/>
                <w:kern w:val="0"/>
                <w:highlight w:val="none"/>
                <w:lang w:val="en-US" w:eastAsia="zh-CN"/>
              </w:rPr>
            </w:pPr>
            <w:r>
              <w:rPr>
                <w:rFonts w:hint="eastAsia" w:hAnsi="宋体" w:cs="宋体"/>
                <w:color w:val="auto"/>
                <w:kern w:val="0"/>
                <w:highlight w:val="none"/>
                <w:lang w:val="en-US" w:eastAsia="zh-CN"/>
              </w:rPr>
              <w:t>的，得 5分；</w:t>
            </w:r>
          </w:p>
          <w:p w14:paraId="0FADA288">
            <w:pPr>
              <w:spacing w:line="360" w:lineRule="auto"/>
              <w:rPr>
                <w:rFonts w:hint="eastAsia" w:hAnsi="宋体" w:cs="宋体"/>
                <w:color w:val="auto"/>
                <w:kern w:val="0"/>
                <w:highlight w:val="none"/>
                <w:lang w:val="en-US" w:eastAsia="zh-CN"/>
              </w:rPr>
            </w:pPr>
            <w:r>
              <w:rPr>
                <w:rFonts w:hint="eastAsia" w:hAnsi="宋体" w:cs="宋体"/>
                <w:color w:val="auto"/>
                <w:kern w:val="0"/>
                <w:highlight w:val="none"/>
                <w:lang w:val="en-US" w:eastAsia="zh-CN"/>
              </w:rPr>
              <w:t>2.其他情形的，不予计分。</w:t>
            </w:r>
          </w:p>
          <w:p w14:paraId="6351DFC2">
            <w:pPr>
              <w:spacing w:line="360" w:lineRule="auto"/>
              <w:rPr>
                <w:rFonts w:hint="eastAsia" w:hAnsi="宋体" w:cs="宋体"/>
                <w:color w:val="auto"/>
                <w:kern w:val="0"/>
                <w:highlight w:val="none"/>
                <w:lang w:val="en-US" w:eastAsia="zh-CN"/>
              </w:rPr>
            </w:pPr>
          </w:p>
        </w:tc>
        <w:tc>
          <w:tcPr>
            <w:tcW w:w="4230" w:type="dxa"/>
            <w:tcBorders>
              <w:top w:val="single" w:color="auto" w:sz="4" w:space="0"/>
              <w:left w:val="nil"/>
              <w:bottom w:val="single" w:color="auto" w:sz="4" w:space="0"/>
              <w:right w:val="single" w:color="auto" w:sz="4" w:space="0"/>
            </w:tcBorders>
            <w:shd w:val="clear" w:color="auto" w:fill="auto"/>
            <w:noWrap w:val="0"/>
            <w:vAlign w:val="center"/>
          </w:tcPr>
          <w:p w14:paraId="23B740DD">
            <w:pPr>
              <w:spacing w:line="360" w:lineRule="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 xml:space="preserve">1.需提供本单位承诺书（格式自定）并加盖本单位公章。 </w:t>
            </w:r>
          </w:p>
          <w:p w14:paraId="7ABD512D">
            <w:pPr>
              <w:spacing w:line="360" w:lineRule="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2.未提供本单位承诺书并加盖本单位公章的，按第 2 项标准处理。</w:t>
            </w:r>
          </w:p>
          <w:p w14:paraId="71279CD9">
            <w:pPr>
              <w:spacing w:line="360" w:lineRule="auto"/>
              <w:rPr>
                <w:rFonts w:hint="eastAsia" w:ascii="宋体" w:hAnsi="宋体" w:eastAsia="宋体" w:cs="宋体"/>
                <w:strike w:val="0"/>
                <w:dstrike w:val="0"/>
                <w:color w:val="auto"/>
                <w:sz w:val="21"/>
                <w:szCs w:val="21"/>
                <w:highlight w:val="none"/>
                <w:lang w:val="en-US" w:eastAsia="zh-CN"/>
              </w:rPr>
            </w:pPr>
          </w:p>
        </w:tc>
      </w:tr>
      <w:tr w14:paraId="6E10E3D3">
        <w:tblPrEx>
          <w:tblCellMar>
            <w:top w:w="0" w:type="dxa"/>
            <w:left w:w="108" w:type="dxa"/>
            <w:bottom w:w="0" w:type="dxa"/>
            <w:right w:w="108" w:type="dxa"/>
          </w:tblCellMar>
        </w:tblPrEx>
        <w:trPr>
          <w:trHeight w:val="1325" w:hRule="atLeast"/>
          <w:jc w:val="center"/>
        </w:trPr>
        <w:tc>
          <w:tcPr>
            <w:tcW w:w="1205" w:type="dxa"/>
            <w:vMerge w:val="continue"/>
            <w:tcBorders>
              <w:left w:val="single" w:color="auto" w:sz="4" w:space="0"/>
              <w:right w:val="single" w:color="auto" w:sz="4" w:space="0"/>
            </w:tcBorders>
            <w:noWrap w:val="0"/>
            <w:vAlign w:val="center"/>
          </w:tcPr>
          <w:p w14:paraId="0052F6E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p>
        </w:tc>
        <w:tc>
          <w:tcPr>
            <w:tcW w:w="4385" w:type="dxa"/>
            <w:tcBorders>
              <w:top w:val="single" w:color="auto" w:sz="4" w:space="0"/>
              <w:left w:val="nil"/>
              <w:bottom w:val="single" w:color="auto" w:sz="4" w:space="0"/>
              <w:right w:val="single" w:color="auto" w:sz="4" w:space="0"/>
            </w:tcBorders>
            <w:shd w:val="clear" w:color="auto" w:fill="auto"/>
            <w:noWrap w:val="0"/>
            <w:vAlign w:val="center"/>
          </w:tcPr>
          <w:p w14:paraId="19336CBF">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 xml:space="preserve">1.企业近 5 年度（2021年度至今）获得过省级或以上商业联合会颁发的诚信兴商证书的 得 5 分； </w:t>
            </w:r>
          </w:p>
          <w:p w14:paraId="556D61F9">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strike w:val="0"/>
                <w:dstrike w:val="0"/>
                <w:snapToGrid w:val="0"/>
                <w:color w:val="auto"/>
                <w:sz w:val="21"/>
                <w:szCs w:val="21"/>
                <w:highlight w:val="none"/>
                <w:lang w:val="en-US" w:eastAsia="en-US" w:bidi="ar-SA"/>
              </w:rPr>
            </w:pPr>
            <w:r>
              <w:rPr>
                <w:rFonts w:hint="eastAsia" w:ascii="宋体" w:hAnsi="宋体" w:eastAsia="宋体" w:cs="宋体"/>
                <w:strike w:val="0"/>
                <w:dstrike w:val="0"/>
                <w:color w:val="auto"/>
                <w:sz w:val="21"/>
                <w:szCs w:val="21"/>
                <w:highlight w:val="none"/>
                <w:lang w:val="en-US" w:eastAsia="zh-CN"/>
              </w:rPr>
              <w:t>2.其他情形的，不予计分。</w:t>
            </w:r>
          </w:p>
        </w:tc>
        <w:tc>
          <w:tcPr>
            <w:tcW w:w="4230" w:type="dxa"/>
            <w:tcBorders>
              <w:top w:val="single" w:color="auto" w:sz="4" w:space="0"/>
              <w:left w:val="nil"/>
              <w:bottom w:val="single" w:color="auto" w:sz="4" w:space="0"/>
              <w:right w:val="single" w:color="auto" w:sz="4" w:space="0"/>
            </w:tcBorders>
            <w:shd w:val="clear" w:color="auto" w:fill="auto"/>
            <w:noWrap w:val="0"/>
            <w:vAlign w:val="center"/>
          </w:tcPr>
          <w:p w14:paraId="70AA9706">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lang w:val="en-US" w:eastAsia="zh-CN"/>
              </w:rPr>
              <w:t xml:space="preserve">１．证书由省级或以上商业联合会颁发，须提供有关证书彩色扫描件，同时提供原件核对。 </w:t>
            </w:r>
          </w:p>
          <w:p w14:paraId="672971FD">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strike w:val="0"/>
                <w:dstrike w:val="0"/>
                <w:snapToGrid w:val="0"/>
                <w:color w:val="auto"/>
                <w:sz w:val="21"/>
                <w:szCs w:val="21"/>
                <w:highlight w:val="none"/>
                <w:lang w:val="en-US" w:eastAsia="zh-CN" w:bidi="ar-SA"/>
              </w:rPr>
            </w:pPr>
            <w:r>
              <w:rPr>
                <w:rFonts w:hint="eastAsia" w:ascii="宋体" w:hAnsi="宋体" w:eastAsia="宋体" w:cs="宋体"/>
                <w:strike w:val="0"/>
                <w:dstrike w:val="0"/>
                <w:color w:val="auto"/>
                <w:sz w:val="21"/>
                <w:szCs w:val="21"/>
                <w:highlight w:val="none"/>
                <w:lang w:val="en-US" w:eastAsia="zh-CN"/>
              </w:rPr>
              <w:t>2．未提供原件的，颁发机构不符合要求的，按第 2 项标准处理。</w:t>
            </w:r>
          </w:p>
        </w:tc>
      </w:tr>
      <w:tr w14:paraId="59778437">
        <w:tblPrEx>
          <w:tblCellMar>
            <w:top w:w="0" w:type="dxa"/>
            <w:left w:w="108" w:type="dxa"/>
            <w:bottom w:w="0" w:type="dxa"/>
            <w:right w:w="108" w:type="dxa"/>
          </w:tblCellMar>
        </w:tblPrEx>
        <w:trPr>
          <w:trHeight w:val="2611" w:hRule="atLeast"/>
          <w:jc w:val="center"/>
        </w:trPr>
        <w:tc>
          <w:tcPr>
            <w:tcW w:w="1205" w:type="dxa"/>
            <w:vMerge w:val="continue"/>
            <w:tcBorders>
              <w:left w:val="single" w:color="auto" w:sz="4" w:space="0"/>
              <w:right w:val="single" w:color="auto" w:sz="4" w:space="0"/>
            </w:tcBorders>
            <w:noWrap w:val="0"/>
            <w:vAlign w:val="center"/>
          </w:tcPr>
          <w:p w14:paraId="03F68FD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rPr>
            </w:pPr>
          </w:p>
        </w:tc>
        <w:tc>
          <w:tcPr>
            <w:tcW w:w="4385" w:type="dxa"/>
            <w:tcBorders>
              <w:top w:val="single" w:color="auto" w:sz="4" w:space="0"/>
              <w:left w:val="nil"/>
              <w:bottom w:val="single" w:color="auto" w:sz="4" w:space="0"/>
              <w:right w:val="single" w:color="auto" w:sz="4" w:space="0"/>
            </w:tcBorders>
            <w:noWrap w:val="0"/>
            <w:vAlign w:val="center"/>
          </w:tcPr>
          <w:p w14:paraId="0B35903C">
            <w:pPr>
              <w:keepNext w:val="0"/>
              <w:keepLines w:val="0"/>
              <w:widowControl/>
              <w:suppressLineNumbers w:val="0"/>
              <w:spacing w:line="360" w:lineRule="auto"/>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 xml:space="preserve">1.企业近 </w:t>
            </w:r>
            <w:r>
              <w:rPr>
                <w:rFonts w:hint="eastAsia" w:ascii="Times New Roman" w:hAnsi="Times New Roman" w:eastAsia="宋体" w:cs="Times New Roman"/>
                <w:snapToGrid w:val="0"/>
                <w:color w:val="auto"/>
                <w:kern w:val="0"/>
                <w:sz w:val="20"/>
                <w:szCs w:val="20"/>
                <w:highlight w:val="none"/>
                <w:lang w:val="en-US" w:eastAsia="zh-CN" w:bidi="ar"/>
              </w:rPr>
              <w:t>5</w:t>
            </w:r>
            <w:r>
              <w:rPr>
                <w:rFonts w:hint="default" w:ascii="Times New Roman" w:hAnsi="Times New Roman" w:eastAsia="宋体" w:cs="Times New Roman"/>
                <w:snapToGrid w:val="0"/>
                <w:color w:val="auto"/>
                <w:kern w:val="0"/>
                <w:sz w:val="20"/>
                <w:szCs w:val="20"/>
                <w:highlight w:val="none"/>
                <w:lang w:val="en-US" w:eastAsia="zh-CN" w:bidi="ar"/>
              </w:rPr>
              <w:t xml:space="preserve"> </w:t>
            </w:r>
            <w:r>
              <w:rPr>
                <w:rFonts w:hint="eastAsia" w:ascii="宋体" w:hAnsi="宋体" w:eastAsia="宋体" w:cs="宋体"/>
                <w:snapToGrid w:val="0"/>
                <w:color w:val="auto"/>
                <w:kern w:val="0"/>
                <w:sz w:val="20"/>
                <w:szCs w:val="20"/>
                <w:highlight w:val="none"/>
                <w:lang w:val="en-US" w:eastAsia="zh-CN" w:bidi="ar"/>
              </w:rPr>
              <w:t>年度（</w:t>
            </w:r>
            <w:r>
              <w:rPr>
                <w:rFonts w:hint="eastAsia" w:ascii="Times New Roman" w:hAnsi="Times New Roman" w:eastAsia="宋体" w:cs="Times New Roman"/>
                <w:snapToGrid w:val="0"/>
                <w:color w:val="auto"/>
                <w:kern w:val="0"/>
                <w:sz w:val="20"/>
                <w:szCs w:val="20"/>
                <w:highlight w:val="none"/>
                <w:lang w:val="en-US" w:eastAsia="zh-CN" w:bidi="ar"/>
              </w:rPr>
              <w:t>2021</w:t>
            </w:r>
            <w:r>
              <w:rPr>
                <w:rFonts w:hint="eastAsia" w:ascii="宋体" w:hAnsi="宋体" w:eastAsia="宋体" w:cs="宋体"/>
                <w:snapToGrid w:val="0"/>
                <w:color w:val="auto"/>
                <w:kern w:val="0"/>
                <w:sz w:val="20"/>
                <w:szCs w:val="20"/>
                <w:highlight w:val="none"/>
                <w:lang w:val="en-US" w:eastAsia="zh-CN" w:bidi="ar"/>
              </w:rPr>
              <w:t>年度至今）获得过</w:t>
            </w:r>
            <w:r>
              <w:rPr>
                <w:rFonts w:hint="eastAsia" w:ascii="宋体" w:hAnsi="宋体" w:eastAsia="宋体" w:cs="宋体"/>
                <w:b/>
                <w:bCs/>
                <w:snapToGrid w:val="0"/>
                <w:color w:val="auto"/>
                <w:kern w:val="0"/>
                <w:sz w:val="20"/>
                <w:szCs w:val="20"/>
                <w:highlight w:val="none"/>
                <w:lang w:val="en-US" w:eastAsia="zh-CN" w:bidi="ar"/>
              </w:rPr>
              <w:t>“中国建筑业协会”</w:t>
            </w:r>
            <w:r>
              <w:rPr>
                <w:rFonts w:hint="eastAsia" w:ascii="宋体" w:hAnsi="宋体" w:eastAsia="宋体" w:cs="宋体"/>
                <w:snapToGrid w:val="0"/>
                <w:color w:val="auto"/>
                <w:kern w:val="0"/>
                <w:sz w:val="20"/>
                <w:szCs w:val="20"/>
                <w:highlight w:val="none"/>
                <w:lang w:val="en-US" w:eastAsia="zh-CN" w:bidi="ar"/>
              </w:rPr>
              <w:t xml:space="preserve">颁发的企业信用等级 </w:t>
            </w:r>
            <w:r>
              <w:rPr>
                <w:rFonts w:hint="default" w:ascii="Times New Roman" w:hAnsi="Times New Roman" w:eastAsia="宋体" w:cs="Times New Roman"/>
                <w:snapToGrid w:val="0"/>
                <w:color w:val="auto"/>
                <w:kern w:val="0"/>
                <w:sz w:val="20"/>
                <w:szCs w:val="20"/>
                <w:highlight w:val="none"/>
                <w:lang w:val="en-US" w:eastAsia="zh-CN" w:bidi="ar"/>
              </w:rPr>
              <w:t xml:space="preserve">AAA </w:t>
            </w:r>
          </w:p>
          <w:p w14:paraId="2E3652FC">
            <w:pPr>
              <w:keepNext w:val="0"/>
              <w:keepLines w:val="0"/>
              <w:widowControl/>
              <w:suppressLineNumbers w:val="0"/>
              <w:spacing w:line="360" w:lineRule="auto"/>
              <w:jc w:val="left"/>
              <w:rPr>
                <w:color w:val="auto"/>
                <w:highlight w:val="none"/>
              </w:rPr>
            </w:pPr>
            <w:r>
              <w:rPr>
                <w:rFonts w:hint="eastAsia" w:ascii="宋体" w:hAnsi="宋体" w:eastAsia="宋体" w:cs="宋体"/>
                <w:snapToGrid w:val="0"/>
                <w:color w:val="auto"/>
                <w:kern w:val="0"/>
                <w:sz w:val="20"/>
                <w:szCs w:val="20"/>
                <w:highlight w:val="none"/>
                <w:lang w:val="en-US" w:eastAsia="zh-CN" w:bidi="ar"/>
              </w:rPr>
              <w:t xml:space="preserve">级证书的得5分； </w:t>
            </w:r>
          </w:p>
          <w:p w14:paraId="07944445">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0"/>
                <w:szCs w:val="20"/>
                <w:highlight w:val="none"/>
                <w:lang w:val="en-US" w:eastAsia="zh-CN" w:bidi="ar"/>
              </w:rPr>
              <w:t>2.其他情形的，不予计分。</w:t>
            </w:r>
          </w:p>
        </w:tc>
        <w:tc>
          <w:tcPr>
            <w:tcW w:w="4230" w:type="dxa"/>
            <w:tcBorders>
              <w:top w:val="single" w:color="auto" w:sz="4" w:space="0"/>
              <w:left w:val="nil"/>
              <w:bottom w:val="single" w:color="auto" w:sz="4" w:space="0"/>
              <w:right w:val="single" w:color="auto" w:sz="4" w:space="0"/>
            </w:tcBorders>
            <w:noWrap w:val="0"/>
            <w:vAlign w:val="center"/>
          </w:tcPr>
          <w:p w14:paraId="7A2B0BC0">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1．证书由“中国建筑业协会”颁发，须提供有关证书彩色扫描件，</w:t>
            </w:r>
            <w:r>
              <w:rPr>
                <w:rFonts w:hint="eastAsia" w:ascii="宋体" w:hAnsi="宋体" w:eastAsia="宋体" w:cs="宋体"/>
                <w:b/>
                <w:bCs/>
                <w:color w:val="auto"/>
                <w:sz w:val="21"/>
                <w:szCs w:val="21"/>
                <w:highlight w:val="none"/>
                <w:lang w:val="en-US" w:eastAsia="zh-CN"/>
              </w:rPr>
              <w:t>同时提供原件核对。</w:t>
            </w:r>
            <w:r>
              <w:rPr>
                <w:rFonts w:hint="eastAsia" w:ascii="宋体" w:hAnsi="宋体" w:eastAsia="宋体" w:cs="宋体"/>
                <w:color w:val="auto"/>
                <w:sz w:val="21"/>
                <w:szCs w:val="21"/>
                <w:highlight w:val="none"/>
                <w:lang w:val="en-US" w:eastAsia="zh-CN"/>
              </w:rPr>
              <w:t xml:space="preserve"> </w:t>
            </w:r>
          </w:p>
          <w:p w14:paraId="75070919">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2．未提供原件的，颁发机构不符合要求的，按第 2 项标准处理。</w:t>
            </w:r>
          </w:p>
          <w:p w14:paraId="776188FA">
            <w:pPr>
              <w:widowControl w:val="0"/>
              <w:spacing w:line="360" w:lineRule="auto"/>
              <w:rPr>
                <w:rFonts w:hint="eastAsia" w:ascii="宋体" w:hAnsi="宋体" w:eastAsia="宋体" w:cs="宋体"/>
                <w:color w:val="auto"/>
                <w:sz w:val="21"/>
                <w:szCs w:val="21"/>
                <w:highlight w:val="none"/>
              </w:rPr>
            </w:pPr>
          </w:p>
        </w:tc>
      </w:tr>
      <w:tr w14:paraId="07200D79">
        <w:tblPrEx>
          <w:tblCellMar>
            <w:top w:w="0" w:type="dxa"/>
            <w:left w:w="108" w:type="dxa"/>
            <w:bottom w:w="0" w:type="dxa"/>
            <w:right w:w="108" w:type="dxa"/>
          </w:tblCellMar>
        </w:tblPrEx>
        <w:trPr>
          <w:trHeight w:val="797" w:hRule="atLeast"/>
          <w:jc w:val="center"/>
        </w:trPr>
        <w:tc>
          <w:tcPr>
            <w:tcW w:w="982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EBD6D68">
            <w:pPr>
              <w:pStyle w:val="6"/>
              <w:wordWrap w:val="0"/>
              <w:spacing w:after="0" w:line="440" w:lineRule="exact"/>
              <w:jc w:val="left"/>
              <w:rPr>
                <w:rFonts w:ascii="黑体" w:hAnsi="黑体" w:eastAsia="黑体"/>
                <w:color w:val="auto"/>
                <w:kern w:val="0"/>
                <w:sz w:val="21"/>
                <w:szCs w:val="21"/>
                <w:highlight w:val="none"/>
              </w:rPr>
            </w:pPr>
            <w:r>
              <w:rPr>
                <w:rFonts w:hint="eastAsia" w:ascii="黑体" w:hAnsi="黑体" w:eastAsia="黑体"/>
                <w:color w:val="auto"/>
                <w:kern w:val="0"/>
                <w:sz w:val="21"/>
                <w:szCs w:val="21"/>
                <w:highlight w:val="none"/>
              </w:rPr>
              <w:t>技术部分（施工组织设计），满分：</w:t>
            </w:r>
            <w:r>
              <w:rPr>
                <w:rFonts w:hint="eastAsia" w:ascii="黑体" w:hAnsi="黑体" w:eastAsia="黑体"/>
                <w:color w:val="auto"/>
                <w:kern w:val="0"/>
                <w:sz w:val="21"/>
                <w:szCs w:val="21"/>
                <w:highlight w:val="none"/>
                <w:u w:val="single"/>
              </w:rPr>
              <w:t xml:space="preserve"> 20</w:t>
            </w:r>
            <w:r>
              <w:rPr>
                <w:rFonts w:hint="eastAsia" w:ascii="黑体" w:hAnsi="黑体" w:eastAsia="黑体"/>
                <w:color w:val="auto"/>
                <w:kern w:val="0"/>
                <w:sz w:val="21"/>
                <w:szCs w:val="21"/>
                <w:highlight w:val="none"/>
              </w:rPr>
              <w:t>分。</w:t>
            </w:r>
          </w:p>
        </w:tc>
      </w:tr>
      <w:tr w14:paraId="0EC83378">
        <w:tblPrEx>
          <w:tblCellMar>
            <w:top w:w="0" w:type="dxa"/>
            <w:left w:w="108" w:type="dxa"/>
            <w:bottom w:w="0" w:type="dxa"/>
            <w:right w:w="108" w:type="dxa"/>
          </w:tblCellMar>
        </w:tblPrEx>
        <w:trPr>
          <w:trHeight w:val="721"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18338518">
            <w:pPr>
              <w:pStyle w:val="6"/>
              <w:wordWrap w:val="0"/>
              <w:spacing w:after="0" w:line="440" w:lineRule="exact"/>
              <w:jc w:val="center"/>
              <w:rPr>
                <w:rFonts w:ascii="黑体" w:hAnsi="黑体" w:eastAsia="黑体"/>
                <w:color w:val="auto"/>
                <w:kern w:val="0"/>
                <w:sz w:val="21"/>
                <w:szCs w:val="21"/>
                <w:highlight w:val="none"/>
              </w:rPr>
            </w:pPr>
            <w:r>
              <w:rPr>
                <w:rFonts w:hint="eastAsia" w:ascii="黑体" w:hAnsi="黑体" w:eastAsia="黑体"/>
                <w:color w:val="auto"/>
                <w:kern w:val="0"/>
                <w:sz w:val="21"/>
                <w:szCs w:val="21"/>
                <w:highlight w:val="none"/>
              </w:rPr>
              <w:t>评分因素</w:t>
            </w:r>
          </w:p>
        </w:tc>
        <w:tc>
          <w:tcPr>
            <w:tcW w:w="4385" w:type="dxa"/>
            <w:tcBorders>
              <w:top w:val="single" w:color="auto" w:sz="4" w:space="0"/>
              <w:left w:val="nil"/>
              <w:bottom w:val="single" w:color="auto" w:sz="4" w:space="0"/>
              <w:right w:val="single" w:color="auto" w:sz="4" w:space="0"/>
            </w:tcBorders>
            <w:noWrap w:val="0"/>
            <w:vAlign w:val="center"/>
          </w:tcPr>
          <w:p w14:paraId="2BB16922">
            <w:pPr>
              <w:pStyle w:val="6"/>
              <w:wordWrap w:val="0"/>
              <w:spacing w:after="0" w:line="440" w:lineRule="exact"/>
              <w:jc w:val="center"/>
              <w:rPr>
                <w:rFonts w:ascii="黑体" w:hAnsi="黑体" w:eastAsia="黑体"/>
                <w:color w:val="auto"/>
                <w:kern w:val="0"/>
                <w:sz w:val="21"/>
                <w:szCs w:val="21"/>
                <w:highlight w:val="none"/>
              </w:rPr>
            </w:pPr>
            <w:r>
              <w:rPr>
                <w:rFonts w:hint="eastAsia" w:ascii="黑体" w:hAnsi="黑体" w:eastAsia="黑体"/>
                <w:color w:val="auto"/>
                <w:kern w:val="0"/>
                <w:sz w:val="21"/>
                <w:szCs w:val="21"/>
                <w:highlight w:val="none"/>
              </w:rPr>
              <w:t>评分标准</w:t>
            </w:r>
          </w:p>
        </w:tc>
        <w:tc>
          <w:tcPr>
            <w:tcW w:w="4230" w:type="dxa"/>
            <w:tcBorders>
              <w:top w:val="single" w:color="auto" w:sz="4" w:space="0"/>
              <w:left w:val="nil"/>
              <w:bottom w:val="single" w:color="auto" w:sz="4" w:space="0"/>
              <w:right w:val="single" w:color="auto" w:sz="4" w:space="0"/>
            </w:tcBorders>
            <w:noWrap w:val="0"/>
            <w:vAlign w:val="center"/>
          </w:tcPr>
          <w:p w14:paraId="01F40290">
            <w:pPr>
              <w:pStyle w:val="6"/>
              <w:wordWrap w:val="0"/>
              <w:spacing w:after="0" w:line="440" w:lineRule="exact"/>
              <w:jc w:val="center"/>
              <w:rPr>
                <w:rFonts w:ascii="黑体" w:hAnsi="黑体" w:eastAsia="黑体"/>
                <w:color w:val="auto"/>
                <w:kern w:val="0"/>
                <w:sz w:val="21"/>
                <w:szCs w:val="21"/>
                <w:highlight w:val="none"/>
              </w:rPr>
            </w:pPr>
            <w:r>
              <w:rPr>
                <w:rFonts w:hint="eastAsia" w:ascii="黑体" w:hAnsi="黑体" w:eastAsia="黑体"/>
                <w:color w:val="auto"/>
                <w:kern w:val="0"/>
                <w:sz w:val="21"/>
                <w:szCs w:val="21"/>
                <w:highlight w:val="none"/>
              </w:rPr>
              <w:t>备注</w:t>
            </w:r>
          </w:p>
        </w:tc>
      </w:tr>
      <w:tr w14:paraId="74AFD332">
        <w:tblPrEx>
          <w:tblCellMar>
            <w:top w:w="0" w:type="dxa"/>
            <w:left w:w="108" w:type="dxa"/>
            <w:bottom w:w="0" w:type="dxa"/>
            <w:right w:w="108" w:type="dxa"/>
          </w:tblCellMar>
        </w:tblPrEx>
        <w:trPr>
          <w:trHeight w:val="1626"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E0A3E9D">
            <w:pPr>
              <w:pStyle w:val="26"/>
              <w:wordWrap w:val="0"/>
              <w:spacing w:line="400" w:lineRule="exact"/>
              <w:jc w:val="center"/>
              <w:rPr>
                <w:rFonts w:eastAsia="宋体"/>
                <w:color w:val="auto"/>
                <w:kern w:val="0"/>
                <w:sz w:val="21"/>
                <w:szCs w:val="21"/>
                <w:highlight w:val="none"/>
              </w:rPr>
            </w:pPr>
            <w:r>
              <w:rPr>
                <w:rFonts w:eastAsia="宋体"/>
                <w:color w:val="auto"/>
                <w:kern w:val="0"/>
                <w:sz w:val="21"/>
                <w:szCs w:val="21"/>
                <w:highlight w:val="none"/>
              </w:rPr>
              <w:t xml:space="preserve"> </w:t>
            </w:r>
            <w:r>
              <w:rPr>
                <w:rFonts w:hint="eastAsia" w:ascii="宋体" w:hAnsi="宋体" w:eastAsia="宋体"/>
                <w:color w:val="auto"/>
                <w:kern w:val="0"/>
                <w:sz w:val="21"/>
                <w:szCs w:val="21"/>
                <w:highlight w:val="none"/>
              </w:rPr>
              <w:t>总体概述</w:t>
            </w:r>
          </w:p>
          <w:p w14:paraId="62E1A75C">
            <w:pPr>
              <w:pStyle w:val="6"/>
              <w:wordWrap w:val="0"/>
              <w:spacing w:after="0" w:line="400" w:lineRule="exact"/>
              <w:jc w:val="center"/>
              <w:rPr>
                <w:rFonts w:ascii="Times New Roman"/>
                <w:color w:val="auto"/>
                <w:kern w:val="0"/>
                <w:sz w:val="21"/>
                <w:szCs w:val="21"/>
                <w:highlight w:val="none"/>
              </w:rPr>
            </w:pPr>
            <w:r>
              <w:rPr>
                <w:rFonts w:hint="eastAsia" w:hAnsi="宋体"/>
                <w:color w:val="auto"/>
                <w:kern w:val="0"/>
                <w:sz w:val="21"/>
                <w:szCs w:val="21"/>
                <w:highlight w:val="none"/>
              </w:rPr>
              <w:t>（</w:t>
            </w:r>
            <w:r>
              <w:rPr>
                <w:rFonts w:ascii="Times New Roman"/>
                <w:color w:val="auto"/>
                <w:kern w:val="0"/>
                <w:sz w:val="21"/>
                <w:szCs w:val="21"/>
                <w:highlight w:val="none"/>
                <w:u w:val="single"/>
              </w:rPr>
              <w:t xml:space="preserve"> </w:t>
            </w:r>
            <w:r>
              <w:rPr>
                <w:rFonts w:hint="eastAsia" w:ascii="Times New Roman"/>
                <w:color w:val="auto"/>
                <w:kern w:val="0"/>
                <w:sz w:val="21"/>
                <w:szCs w:val="21"/>
                <w:highlight w:val="none"/>
                <w:u w:val="single"/>
              </w:rPr>
              <w:t xml:space="preserve">3 </w:t>
            </w:r>
            <w:r>
              <w:rPr>
                <w:rFonts w:hint="eastAsia" w:hAnsi="宋体"/>
                <w:color w:val="auto"/>
                <w:kern w:val="0"/>
                <w:sz w:val="21"/>
                <w:szCs w:val="21"/>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0DE59260">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【优】得该项评分因素分值的</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100%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p>
          <w:p w14:paraId="1C5965D5">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【良】得该项评分因素分值的</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p>
          <w:p w14:paraId="2D599861">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【中】得该项评分因素分值的</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p>
          <w:p w14:paraId="3A5EA117">
            <w:pPr>
              <w:pStyle w:val="6"/>
              <w:wordWrap w:val="0"/>
              <w:spacing w:after="0" w:line="400" w:lineRule="exact"/>
              <w:jc w:val="left"/>
              <w:rPr>
                <w:rFonts w:ascii="Times New Roman"/>
                <w:color w:val="auto"/>
                <w:kern w:val="0"/>
                <w:sz w:val="21"/>
                <w:szCs w:val="21"/>
                <w:highlight w:val="none"/>
              </w:rPr>
            </w:pPr>
            <w:r>
              <w:rPr>
                <w:rFonts w:hint="eastAsia" w:hAnsi="宋体"/>
                <w:color w:val="auto"/>
                <w:kern w:val="0"/>
                <w:sz w:val="21"/>
                <w:szCs w:val="21"/>
                <w:highlight w:val="none"/>
              </w:rPr>
              <w:t>【差】得该项评分因素分值的</w:t>
            </w:r>
            <w:r>
              <w:rPr>
                <w:rFonts w:hint="eastAsia" w:ascii="Times New Roman"/>
                <w:color w:val="auto"/>
                <w:kern w:val="0"/>
                <w:sz w:val="21"/>
                <w:szCs w:val="21"/>
                <w:highlight w:val="none"/>
              </w:rPr>
              <w:t>60</w:t>
            </w:r>
            <w:r>
              <w:rPr>
                <w:rFonts w:hint="eastAsia" w:hAnsi="宋体"/>
                <w:color w:val="auto"/>
                <w:kern w:val="0"/>
                <w:sz w:val="21"/>
                <w:szCs w:val="21"/>
                <w:highlight w:val="none"/>
              </w:rPr>
              <w:t>～</w:t>
            </w:r>
            <w:r>
              <w:rPr>
                <w:rFonts w:hint="eastAsia" w:ascii="Times New Roman"/>
                <w:color w:val="auto"/>
                <w:kern w:val="0"/>
                <w:sz w:val="21"/>
                <w:szCs w:val="21"/>
                <w:highlight w:val="none"/>
              </w:rPr>
              <w:t>70%</w:t>
            </w:r>
            <w:r>
              <w:rPr>
                <w:rFonts w:hint="eastAsia" w:hAnsi="宋体"/>
                <w:color w:val="auto"/>
                <w:kern w:val="0"/>
                <w:sz w:val="21"/>
                <w:szCs w:val="21"/>
                <w:highlight w:val="none"/>
              </w:rPr>
              <w:t>（含</w:t>
            </w:r>
            <w:r>
              <w:rPr>
                <w:rFonts w:hint="eastAsia" w:ascii="Times New Roman"/>
                <w:color w:val="auto"/>
                <w:kern w:val="0"/>
                <w:sz w:val="21"/>
                <w:szCs w:val="21"/>
                <w:highlight w:val="none"/>
              </w:rPr>
              <w:t>60%</w:t>
            </w:r>
            <w:r>
              <w:rPr>
                <w:rFonts w:hint="eastAsia" w:hAnsi="宋体"/>
                <w:color w:val="auto"/>
                <w:kern w:val="0"/>
                <w:sz w:val="21"/>
                <w:szCs w:val="21"/>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32D5D3E9">
            <w:pPr>
              <w:pStyle w:val="6"/>
              <w:wordWrap w:val="0"/>
              <w:spacing w:after="0" w:line="400" w:lineRule="exact"/>
              <w:jc w:val="left"/>
              <w:rPr>
                <w:rFonts w:ascii="Times New Roman"/>
                <w:color w:val="auto"/>
                <w:kern w:val="0"/>
                <w:sz w:val="21"/>
                <w:szCs w:val="21"/>
                <w:highlight w:val="none"/>
              </w:rPr>
            </w:pPr>
            <w:r>
              <w:rPr>
                <w:rFonts w:hint="eastAsia" w:hAnsi="宋体"/>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7795B8D5">
            <w:pPr>
              <w:pStyle w:val="6"/>
              <w:wordWrap w:val="0"/>
              <w:spacing w:after="0" w:line="400" w:lineRule="exact"/>
              <w:jc w:val="left"/>
              <w:rPr>
                <w:rFonts w:ascii="Times New Roman"/>
                <w:color w:val="auto"/>
                <w:kern w:val="0"/>
                <w:sz w:val="21"/>
                <w:szCs w:val="21"/>
                <w:highlight w:val="none"/>
              </w:rPr>
            </w:pPr>
            <w:r>
              <w:rPr>
                <w:rFonts w:hint="eastAsia" w:hAnsi="宋体"/>
                <w:color w:val="auto"/>
                <w:kern w:val="0"/>
                <w:sz w:val="21"/>
                <w:szCs w:val="21"/>
                <w:highlight w:val="none"/>
              </w:rPr>
              <w:t>【良】对项目总体有一定认识，表述清晰、完整，措施具体有效；施工段划分呼应总体表述，划分清晰，符合规范要求。</w:t>
            </w:r>
          </w:p>
          <w:p w14:paraId="42FC33E0">
            <w:pPr>
              <w:pStyle w:val="6"/>
              <w:wordWrap w:val="0"/>
              <w:spacing w:after="0" w:line="400" w:lineRule="exact"/>
              <w:jc w:val="left"/>
              <w:rPr>
                <w:rFonts w:ascii="Times New Roman"/>
                <w:color w:val="auto"/>
                <w:kern w:val="0"/>
                <w:sz w:val="21"/>
                <w:szCs w:val="21"/>
                <w:highlight w:val="none"/>
              </w:rPr>
            </w:pPr>
            <w:r>
              <w:rPr>
                <w:rFonts w:hint="eastAsia" w:hAnsi="宋体"/>
                <w:color w:val="auto"/>
                <w:kern w:val="0"/>
                <w:sz w:val="21"/>
                <w:szCs w:val="21"/>
                <w:highlight w:val="none"/>
              </w:rPr>
              <w:t>【中】对项目总体有认识，有一定的措施但部分不具体；施工段划分较合理，符合规范要求。</w:t>
            </w:r>
          </w:p>
          <w:p w14:paraId="416397A5">
            <w:pPr>
              <w:pStyle w:val="6"/>
              <w:wordWrap w:val="0"/>
              <w:spacing w:after="0" w:line="400" w:lineRule="exact"/>
              <w:jc w:val="left"/>
              <w:rPr>
                <w:rFonts w:ascii="Times New Roman"/>
                <w:color w:val="auto"/>
                <w:kern w:val="0"/>
                <w:sz w:val="21"/>
                <w:szCs w:val="21"/>
                <w:highlight w:val="none"/>
              </w:rPr>
            </w:pPr>
            <w:r>
              <w:rPr>
                <w:rFonts w:hint="eastAsia" w:hAnsi="宋体"/>
                <w:color w:val="auto"/>
                <w:kern w:val="0"/>
                <w:sz w:val="21"/>
                <w:szCs w:val="21"/>
                <w:highlight w:val="none"/>
              </w:rPr>
              <w:t>【差】对项目认识不足，表述不清晰，措施不具体；施工段划分不合理。</w:t>
            </w:r>
          </w:p>
        </w:tc>
      </w:tr>
      <w:tr w14:paraId="0781AC33">
        <w:tblPrEx>
          <w:tblCellMar>
            <w:top w:w="0" w:type="dxa"/>
            <w:left w:w="108" w:type="dxa"/>
            <w:bottom w:w="0" w:type="dxa"/>
            <w:right w:w="108" w:type="dxa"/>
          </w:tblCellMar>
        </w:tblPrEx>
        <w:trPr>
          <w:trHeight w:val="8495"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41FF53DF">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施工总进</w:t>
            </w:r>
          </w:p>
          <w:p w14:paraId="4B9F693F">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度计划及</w:t>
            </w:r>
          </w:p>
          <w:p w14:paraId="72B683FF">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保证措施</w:t>
            </w:r>
          </w:p>
          <w:p w14:paraId="00B82798">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w:t>
            </w:r>
            <w:r>
              <w:rPr>
                <w:rFonts w:hint="eastAsia" w:eastAsia="宋体"/>
                <w:color w:val="auto"/>
                <w:kern w:val="0"/>
                <w:sz w:val="21"/>
                <w:szCs w:val="21"/>
                <w:highlight w:val="none"/>
                <w:u w:val="single"/>
              </w:rPr>
              <w:t>3</w:t>
            </w:r>
            <w:r>
              <w:rPr>
                <w:rFonts w:hint="eastAsia" w:ascii="宋体" w:hAnsi="宋体" w:eastAsia="宋体"/>
                <w:color w:val="auto"/>
                <w:kern w:val="0"/>
                <w:sz w:val="21"/>
                <w:szCs w:val="21"/>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4762C702">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【优】得该项评分因素分值的</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100%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p>
          <w:p w14:paraId="38C9AAEE">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【良】得该项评分因素分值的</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p>
          <w:p w14:paraId="29D07000">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【中】得该项评分因素分值的</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p>
          <w:p w14:paraId="2232DBDC">
            <w:pPr>
              <w:pStyle w:val="29"/>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【差】得该项评分因素分值的</w:t>
            </w:r>
            <w:r>
              <w:rPr>
                <w:rFonts w:hint="eastAsia" w:eastAsia="宋体"/>
                <w:color w:val="auto"/>
                <w:kern w:val="0"/>
                <w:sz w:val="21"/>
                <w:szCs w:val="21"/>
                <w:highlight w:val="none"/>
              </w:rPr>
              <w:t>60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60%</w:t>
            </w:r>
            <w:r>
              <w:rPr>
                <w:rFonts w:hint="eastAsia" w:ascii="宋体" w:hAnsi="宋体" w:eastAsia="宋体"/>
                <w:color w:val="auto"/>
                <w:kern w:val="0"/>
                <w:sz w:val="21"/>
                <w:szCs w:val="21"/>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7C71B203">
            <w:pPr>
              <w:pStyle w:val="29"/>
              <w:wordWrap w:val="0"/>
              <w:spacing w:line="400" w:lineRule="exact"/>
              <w:rPr>
                <w:rFonts w:eastAsia="宋体"/>
                <w:b/>
                <w:bCs/>
                <w:color w:val="auto"/>
                <w:kern w:val="0"/>
                <w:sz w:val="21"/>
                <w:szCs w:val="21"/>
                <w:highlight w:val="none"/>
              </w:rPr>
            </w:pPr>
            <w:r>
              <w:rPr>
                <w:rFonts w:hint="eastAsia" w:ascii="宋体" w:hAnsi="宋体" w:eastAsia="宋体"/>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b/>
                <w:bCs/>
                <w:color w:val="auto"/>
                <w:kern w:val="0"/>
                <w:sz w:val="21"/>
                <w:szCs w:val="21"/>
                <w:highlight w:val="none"/>
              </w:rPr>
              <w:t>经济赔偿合理。</w:t>
            </w:r>
          </w:p>
          <w:p w14:paraId="12435ADD">
            <w:pPr>
              <w:pStyle w:val="29"/>
              <w:wordWrap w:val="0"/>
              <w:spacing w:line="400" w:lineRule="exact"/>
              <w:rPr>
                <w:rFonts w:eastAsia="宋体"/>
                <w:b/>
                <w:bCs/>
                <w:color w:val="auto"/>
                <w:kern w:val="0"/>
                <w:sz w:val="21"/>
                <w:szCs w:val="21"/>
                <w:highlight w:val="none"/>
              </w:rPr>
            </w:pPr>
            <w:r>
              <w:rPr>
                <w:rFonts w:hint="eastAsia" w:ascii="宋体" w:hAnsi="宋体" w:eastAsia="宋体"/>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b/>
                <w:bCs/>
                <w:color w:val="auto"/>
                <w:kern w:val="0"/>
                <w:sz w:val="21"/>
                <w:szCs w:val="21"/>
                <w:highlight w:val="none"/>
              </w:rPr>
              <w:t>经济赔偿较合理。</w:t>
            </w:r>
          </w:p>
          <w:p w14:paraId="69D34978">
            <w:pPr>
              <w:pStyle w:val="29"/>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5C029EFA">
            <w:pPr>
              <w:pStyle w:val="29"/>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3F9D194F">
        <w:tblPrEx>
          <w:tblCellMar>
            <w:top w:w="0" w:type="dxa"/>
            <w:left w:w="108" w:type="dxa"/>
            <w:bottom w:w="0" w:type="dxa"/>
            <w:right w:w="108" w:type="dxa"/>
          </w:tblCellMar>
        </w:tblPrEx>
        <w:trPr>
          <w:trHeight w:val="1626"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3CD6C260">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质量</w:t>
            </w:r>
          </w:p>
          <w:p w14:paraId="2E11527F">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保证措施</w:t>
            </w:r>
          </w:p>
          <w:p w14:paraId="664FEC7C">
            <w:pPr>
              <w:pStyle w:val="28"/>
              <w:wordWrap w:val="0"/>
              <w:spacing w:line="400" w:lineRule="exact"/>
              <w:jc w:val="center"/>
              <w:rPr>
                <w:rFonts w:eastAsia="宋体"/>
                <w:color w:val="auto"/>
                <w:kern w:val="0"/>
                <w:sz w:val="21"/>
                <w:szCs w:val="21"/>
                <w:highlight w:val="none"/>
              </w:rPr>
            </w:pP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4</w:t>
            </w:r>
            <w:r>
              <w:rPr>
                <w:rFonts w:hint="eastAsia" w:ascii="宋体" w:hAnsi="宋体" w:eastAsia="宋体"/>
                <w:color w:val="auto"/>
                <w:kern w:val="0"/>
                <w:sz w:val="21"/>
                <w:szCs w:val="21"/>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684408E3">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【优】得该项评分因素分值的</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100%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w:t>
            </w:r>
          </w:p>
          <w:p w14:paraId="27B59E28">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【良】得该项评分因素分值的</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90%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w:t>
            </w:r>
          </w:p>
          <w:p w14:paraId="2B6881CB">
            <w:pPr>
              <w:pStyle w:val="27"/>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【中】得该项评分因素分值的</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80%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w:t>
            </w:r>
          </w:p>
          <w:p w14:paraId="049F78CD">
            <w:pPr>
              <w:pStyle w:val="29"/>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【差】得该项评分因素分值的</w:t>
            </w:r>
            <w:r>
              <w:rPr>
                <w:rFonts w:hint="eastAsia" w:eastAsia="宋体"/>
                <w:color w:val="auto"/>
                <w:kern w:val="0"/>
                <w:sz w:val="21"/>
                <w:szCs w:val="21"/>
                <w:highlight w:val="none"/>
              </w:rPr>
              <w:t>60</w:t>
            </w:r>
            <w:r>
              <w:rPr>
                <w:rFonts w:hint="eastAsia" w:ascii="宋体" w:hAnsi="宋体" w:eastAsia="宋体"/>
                <w:color w:val="auto"/>
                <w:kern w:val="0"/>
                <w:sz w:val="21"/>
                <w:szCs w:val="21"/>
                <w:highlight w:val="none"/>
              </w:rPr>
              <w:t>～</w:t>
            </w:r>
            <w:r>
              <w:rPr>
                <w:rFonts w:hint="eastAsia" w:eastAsia="宋体"/>
                <w:color w:val="auto"/>
                <w:kern w:val="0"/>
                <w:sz w:val="21"/>
                <w:szCs w:val="21"/>
                <w:highlight w:val="none"/>
              </w:rPr>
              <w:t>70%</w:t>
            </w:r>
            <w:r>
              <w:rPr>
                <w:rFonts w:hint="eastAsia" w:ascii="宋体" w:hAnsi="宋体" w:eastAsia="宋体"/>
                <w:color w:val="auto"/>
                <w:kern w:val="0"/>
                <w:sz w:val="21"/>
                <w:szCs w:val="21"/>
                <w:highlight w:val="none"/>
              </w:rPr>
              <w:t>（含</w:t>
            </w:r>
            <w:r>
              <w:rPr>
                <w:rFonts w:hint="eastAsia" w:eastAsia="宋体"/>
                <w:color w:val="auto"/>
                <w:kern w:val="0"/>
                <w:sz w:val="21"/>
                <w:szCs w:val="21"/>
                <w:highlight w:val="none"/>
              </w:rPr>
              <w:t>60%</w:t>
            </w:r>
            <w:r>
              <w:rPr>
                <w:rFonts w:hint="eastAsia" w:ascii="宋体" w:hAnsi="宋体" w:eastAsia="宋体"/>
                <w:color w:val="auto"/>
                <w:kern w:val="0"/>
                <w:sz w:val="21"/>
                <w:szCs w:val="21"/>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0D12E627">
            <w:pPr>
              <w:pStyle w:val="6"/>
              <w:wordWrap w:val="0"/>
              <w:spacing w:after="0" w:line="400" w:lineRule="exact"/>
              <w:rPr>
                <w:rFonts w:ascii="Times New Roman"/>
                <w:color w:val="auto"/>
                <w:kern w:val="0"/>
                <w:sz w:val="21"/>
                <w:szCs w:val="21"/>
                <w:highlight w:val="none"/>
              </w:rPr>
            </w:pPr>
            <w:r>
              <w:rPr>
                <w:rFonts w:hint="eastAsia" w:hAnsi="宋体"/>
                <w:color w:val="auto"/>
                <w:kern w:val="0"/>
                <w:sz w:val="21"/>
                <w:szCs w:val="21"/>
                <w:highlight w:val="none"/>
              </w:rPr>
              <w:t>【优】应用新技术、新工艺、新材料、新设备，针对项目实际提出先进、可行、具体的保证措施。超过招标文件的质量要求。</w:t>
            </w:r>
          </w:p>
          <w:p w14:paraId="4864BDB2">
            <w:pPr>
              <w:pStyle w:val="6"/>
              <w:wordWrap w:val="0"/>
              <w:spacing w:after="0" w:line="400" w:lineRule="exact"/>
              <w:rPr>
                <w:rFonts w:ascii="Times New Roman"/>
                <w:b/>
                <w:bCs/>
                <w:color w:val="auto"/>
                <w:kern w:val="0"/>
                <w:sz w:val="21"/>
                <w:szCs w:val="21"/>
                <w:highlight w:val="none"/>
              </w:rPr>
            </w:pPr>
            <w:r>
              <w:rPr>
                <w:rFonts w:hint="eastAsia" w:hAnsi="宋体"/>
                <w:color w:val="auto"/>
                <w:kern w:val="0"/>
                <w:sz w:val="21"/>
                <w:szCs w:val="21"/>
                <w:highlight w:val="none"/>
              </w:rPr>
              <w:t>【良】针对项目实际提出先进、可行、具体的保证措施。满足招标文件的质量要求。</w:t>
            </w:r>
          </w:p>
          <w:p w14:paraId="38C60A6B">
            <w:pPr>
              <w:pStyle w:val="6"/>
              <w:wordWrap w:val="0"/>
              <w:spacing w:after="0" w:line="400" w:lineRule="exact"/>
              <w:rPr>
                <w:rFonts w:ascii="Times New Roman"/>
                <w:color w:val="auto"/>
                <w:kern w:val="0"/>
                <w:sz w:val="21"/>
                <w:szCs w:val="21"/>
                <w:highlight w:val="none"/>
              </w:rPr>
            </w:pPr>
            <w:r>
              <w:rPr>
                <w:rFonts w:hint="eastAsia" w:hAnsi="宋体"/>
                <w:color w:val="auto"/>
                <w:kern w:val="0"/>
                <w:sz w:val="21"/>
                <w:szCs w:val="21"/>
                <w:highlight w:val="none"/>
              </w:rPr>
              <w:t>【中】具体措施可行。满足招标文件的质量要求。</w:t>
            </w:r>
          </w:p>
          <w:p w14:paraId="7E32C577">
            <w:pPr>
              <w:pStyle w:val="29"/>
              <w:wordWrap w:val="0"/>
              <w:spacing w:line="400" w:lineRule="exact"/>
              <w:rPr>
                <w:rFonts w:eastAsia="宋体"/>
                <w:color w:val="auto"/>
                <w:kern w:val="0"/>
                <w:sz w:val="21"/>
                <w:szCs w:val="21"/>
                <w:highlight w:val="none"/>
              </w:rPr>
            </w:pPr>
            <w:r>
              <w:rPr>
                <w:rFonts w:hint="eastAsia" w:ascii="宋体" w:hAnsi="宋体" w:eastAsia="宋体"/>
                <w:color w:val="auto"/>
                <w:kern w:val="0"/>
                <w:sz w:val="21"/>
                <w:szCs w:val="21"/>
                <w:highlight w:val="none"/>
              </w:rPr>
              <w:t>【差】措施不可行，没有质量违约责任承诺。</w:t>
            </w:r>
          </w:p>
        </w:tc>
      </w:tr>
      <w:tr w14:paraId="4267D66B">
        <w:tblPrEx>
          <w:tblCellMar>
            <w:top w:w="0" w:type="dxa"/>
            <w:left w:w="108" w:type="dxa"/>
            <w:bottom w:w="0" w:type="dxa"/>
            <w:right w:w="108" w:type="dxa"/>
          </w:tblCellMar>
        </w:tblPrEx>
        <w:trPr>
          <w:trHeight w:val="7687"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427009F1">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施工</w:t>
            </w:r>
          </w:p>
          <w:p w14:paraId="671D6CA3">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技术措施</w:t>
            </w:r>
          </w:p>
          <w:p w14:paraId="504F5F92">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w:t>
            </w:r>
            <w:r>
              <w:rPr>
                <w:rFonts w:eastAsia="宋体"/>
                <w:color w:val="auto"/>
                <w:kern w:val="0"/>
                <w:highlight w:val="none"/>
                <w:u w:val="single"/>
              </w:rPr>
              <w:t xml:space="preserve"> </w:t>
            </w:r>
            <w:r>
              <w:rPr>
                <w:rFonts w:hint="eastAsia" w:eastAsia="宋体"/>
                <w:color w:val="auto"/>
                <w:kern w:val="0"/>
                <w:highlight w:val="none"/>
                <w:u w:val="single"/>
              </w:rPr>
              <w:t xml:space="preserve">2 </w:t>
            </w:r>
            <w:r>
              <w:rPr>
                <w:rFonts w:hint="eastAsia" w:ascii="宋体" w:hAnsi="宋体" w:eastAsia="宋体"/>
                <w:color w:val="auto"/>
                <w:kern w:val="0"/>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087CCE41">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【优】得该项评分因素分值的</w:t>
            </w:r>
            <w:r>
              <w:rPr>
                <w:rFonts w:hint="eastAsia" w:eastAsia="宋体"/>
                <w:color w:val="auto"/>
                <w:kern w:val="0"/>
                <w:highlight w:val="none"/>
              </w:rPr>
              <w:t>90%</w:t>
            </w:r>
            <w:r>
              <w:rPr>
                <w:rFonts w:hint="eastAsia" w:ascii="宋体" w:hAnsi="宋体" w:eastAsia="宋体"/>
                <w:color w:val="auto"/>
                <w:kern w:val="0"/>
                <w:highlight w:val="none"/>
              </w:rPr>
              <w:t>～</w:t>
            </w:r>
            <w:r>
              <w:rPr>
                <w:rFonts w:hint="eastAsia" w:eastAsia="宋体"/>
                <w:color w:val="auto"/>
                <w:kern w:val="0"/>
                <w:highlight w:val="none"/>
              </w:rPr>
              <w:t>100%</w:t>
            </w:r>
            <w:r>
              <w:rPr>
                <w:rFonts w:hint="eastAsia" w:ascii="宋体" w:hAnsi="宋体" w:eastAsia="宋体"/>
                <w:color w:val="auto"/>
                <w:kern w:val="0"/>
                <w:highlight w:val="none"/>
              </w:rPr>
              <w:t>（含</w:t>
            </w:r>
            <w:r>
              <w:rPr>
                <w:rFonts w:hint="eastAsia" w:eastAsia="宋体"/>
                <w:color w:val="auto"/>
                <w:kern w:val="0"/>
                <w:highlight w:val="none"/>
              </w:rPr>
              <w:t>90%</w:t>
            </w:r>
            <w:r>
              <w:rPr>
                <w:rFonts w:hint="eastAsia" w:ascii="宋体" w:hAnsi="宋体" w:eastAsia="宋体"/>
                <w:color w:val="auto"/>
                <w:kern w:val="0"/>
                <w:highlight w:val="none"/>
              </w:rPr>
              <w:t>）。</w:t>
            </w:r>
          </w:p>
          <w:p w14:paraId="735D41FB">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【良】得该项评分因素分值的</w:t>
            </w:r>
            <w:r>
              <w:rPr>
                <w:rFonts w:hint="eastAsia" w:eastAsia="宋体"/>
                <w:color w:val="auto"/>
                <w:kern w:val="0"/>
                <w:highlight w:val="none"/>
              </w:rPr>
              <w:t>80%</w:t>
            </w:r>
            <w:r>
              <w:rPr>
                <w:rFonts w:hint="eastAsia" w:ascii="宋体" w:hAnsi="宋体" w:eastAsia="宋体"/>
                <w:color w:val="auto"/>
                <w:kern w:val="0"/>
                <w:highlight w:val="none"/>
              </w:rPr>
              <w:t>～</w:t>
            </w:r>
            <w:r>
              <w:rPr>
                <w:rFonts w:hint="eastAsia" w:eastAsia="宋体"/>
                <w:color w:val="auto"/>
                <w:kern w:val="0"/>
                <w:highlight w:val="none"/>
              </w:rPr>
              <w:t>90%</w:t>
            </w:r>
            <w:r>
              <w:rPr>
                <w:rFonts w:hint="eastAsia" w:ascii="宋体" w:hAnsi="宋体" w:eastAsia="宋体"/>
                <w:color w:val="auto"/>
                <w:kern w:val="0"/>
                <w:highlight w:val="none"/>
              </w:rPr>
              <w:t>（含</w:t>
            </w:r>
            <w:r>
              <w:rPr>
                <w:rFonts w:hint="eastAsia" w:eastAsia="宋体"/>
                <w:color w:val="auto"/>
                <w:kern w:val="0"/>
                <w:highlight w:val="none"/>
              </w:rPr>
              <w:t>80%</w:t>
            </w:r>
            <w:r>
              <w:rPr>
                <w:rFonts w:hint="eastAsia" w:ascii="宋体" w:hAnsi="宋体" w:eastAsia="宋体"/>
                <w:color w:val="auto"/>
                <w:kern w:val="0"/>
                <w:highlight w:val="none"/>
              </w:rPr>
              <w:t>）。</w:t>
            </w:r>
          </w:p>
          <w:p w14:paraId="5A91C6C8">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【中】得该项评分因素分值的</w:t>
            </w:r>
            <w:r>
              <w:rPr>
                <w:rFonts w:hint="eastAsia" w:eastAsia="宋体"/>
                <w:color w:val="auto"/>
                <w:kern w:val="0"/>
                <w:highlight w:val="none"/>
              </w:rPr>
              <w:t>70%</w:t>
            </w:r>
            <w:r>
              <w:rPr>
                <w:rFonts w:hint="eastAsia" w:ascii="宋体" w:hAnsi="宋体" w:eastAsia="宋体"/>
                <w:color w:val="auto"/>
                <w:kern w:val="0"/>
                <w:highlight w:val="none"/>
              </w:rPr>
              <w:t>～</w:t>
            </w:r>
            <w:r>
              <w:rPr>
                <w:rFonts w:hint="eastAsia" w:eastAsia="宋体"/>
                <w:color w:val="auto"/>
                <w:kern w:val="0"/>
                <w:highlight w:val="none"/>
              </w:rPr>
              <w:t>80%</w:t>
            </w:r>
            <w:r>
              <w:rPr>
                <w:rFonts w:hint="eastAsia" w:ascii="宋体" w:hAnsi="宋体" w:eastAsia="宋体"/>
                <w:color w:val="auto"/>
                <w:kern w:val="0"/>
                <w:highlight w:val="none"/>
              </w:rPr>
              <w:t>（含</w:t>
            </w:r>
            <w:r>
              <w:rPr>
                <w:rFonts w:hint="eastAsia" w:eastAsia="宋体"/>
                <w:color w:val="auto"/>
                <w:kern w:val="0"/>
                <w:highlight w:val="none"/>
              </w:rPr>
              <w:t>70%</w:t>
            </w:r>
            <w:r>
              <w:rPr>
                <w:rFonts w:hint="eastAsia" w:ascii="宋体" w:hAnsi="宋体" w:eastAsia="宋体"/>
                <w:color w:val="auto"/>
                <w:kern w:val="0"/>
                <w:highlight w:val="none"/>
              </w:rPr>
              <w:t>）。</w:t>
            </w:r>
          </w:p>
          <w:p w14:paraId="63E4C58A">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【差】得该项评分因素分值的</w:t>
            </w:r>
            <w:r>
              <w:rPr>
                <w:rFonts w:hint="eastAsia" w:eastAsia="宋体"/>
                <w:color w:val="auto"/>
                <w:kern w:val="0"/>
                <w:highlight w:val="none"/>
              </w:rPr>
              <w:t>60</w:t>
            </w:r>
            <w:r>
              <w:rPr>
                <w:rFonts w:hint="eastAsia" w:ascii="宋体" w:hAnsi="宋体" w:eastAsia="宋体"/>
                <w:color w:val="auto"/>
                <w:kern w:val="0"/>
                <w:highlight w:val="none"/>
              </w:rPr>
              <w:t>～</w:t>
            </w:r>
            <w:r>
              <w:rPr>
                <w:rFonts w:hint="eastAsia" w:eastAsia="宋体"/>
                <w:color w:val="auto"/>
                <w:kern w:val="0"/>
                <w:highlight w:val="none"/>
              </w:rPr>
              <w:t>70%</w:t>
            </w:r>
            <w:r>
              <w:rPr>
                <w:rFonts w:hint="eastAsia" w:ascii="宋体" w:hAnsi="宋体" w:eastAsia="宋体"/>
                <w:color w:val="auto"/>
                <w:kern w:val="0"/>
                <w:highlight w:val="none"/>
              </w:rPr>
              <w:t>（含</w:t>
            </w:r>
            <w:r>
              <w:rPr>
                <w:rFonts w:hint="eastAsia" w:eastAsia="宋体"/>
                <w:color w:val="auto"/>
                <w:kern w:val="0"/>
                <w:highlight w:val="none"/>
              </w:rPr>
              <w:t>60%</w:t>
            </w:r>
            <w:r>
              <w:rPr>
                <w:rFonts w:hint="eastAsia" w:ascii="宋体" w:hAnsi="宋体" w:eastAsia="宋体"/>
                <w:color w:val="auto"/>
                <w:kern w:val="0"/>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2E75EE5D">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b/>
                <w:bCs/>
                <w:color w:val="auto"/>
                <w:kern w:val="0"/>
                <w:highlight w:val="none"/>
              </w:rPr>
              <w:t>经济赔偿合理。</w:t>
            </w:r>
          </w:p>
          <w:p w14:paraId="55335101">
            <w:pPr>
              <w:pStyle w:val="29"/>
              <w:wordWrap w:val="0"/>
              <w:spacing w:line="400" w:lineRule="exact"/>
              <w:rPr>
                <w:rFonts w:eastAsia="宋体"/>
                <w:b/>
                <w:bCs/>
                <w:color w:val="auto"/>
                <w:kern w:val="0"/>
                <w:highlight w:val="none"/>
              </w:rPr>
            </w:pPr>
            <w:r>
              <w:rPr>
                <w:rFonts w:hint="eastAsia" w:ascii="宋体" w:hAnsi="宋体" w:eastAsia="宋体"/>
                <w:color w:val="auto"/>
                <w:kern w:val="0"/>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b/>
                <w:bCs/>
                <w:color w:val="auto"/>
                <w:kern w:val="0"/>
                <w:highlight w:val="none"/>
              </w:rPr>
              <w:t>经济赔偿较合理。</w:t>
            </w:r>
          </w:p>
          <w:p w14:paraId="7BB6ECF6">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4EA58D88">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【差】对项目关键技术有表述，对重点、难点有建议，解决方案不可行。采用的新技术针对性不强或验证材料不可靠，对节约投资、工期没有具体收益。无违约责任承诺。</w:t>
            </w:r>
          </w:p>
        </w:tc>
      </w:tr>
      <w:tr w14:paraId="43F825F4">
        <w:tblPrEx>
          <w:tblCellMar>
            <w:top w:w="0" w:type="dxa"/>
            <w:left w:w="108" w:type="dxa"/>
            <w:bottom w:w="0" w:type="dxa"/>
            <w:right w:w="108" w:type="dxa"/>
          </w:tblCellMar>
        </w:tblPrEx>
        <w:trPr>
          <w:trHeight w:val="3242"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1CFACD0F">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绿色施工、</w:t>
            </w:r>
          </w:p>
          <w:p w14:paraId="6270E013">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安全防护、</w:t>
            </w:r>
          </w:p>
          <w:p w14:paraId="2DC5007E">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文明施工</w:t>
            </w:r>
          </w:p>
          <w:p w14:paraId="55F3108E">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措施计划</w:t>
            </w:r>
          </w:p>
          <w:p w14:paraId="6B423276">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w:t>
            </w:r>
            <w:r>
              <w:rPr>
                <w:rFonts w:hint="eastAsia" w:eastAsia="宋体"/>
                <w:color w:val="auto"/>
                <w:kern w:val="0"/>
                <w:highlight w:val="none"/>
                <w:u w:val="single"/>
              </w:rPr>
              <w:t xml:space="preserve">3 </w:t>
            </w:r>
            <w:r>
              <w:rPr>
                <w:rFonts w:hint="eastAsia" w:ascii="宋体" w:hAnsi="宋体" w:eastAsia="宋体"/>
                <w:color w:val="auto"/>
                <w:kern w:val="0"/>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2B7E0F90">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【优】得该项评分因素分值的</w:t>
            </w:r>
            <w:r>
              <w:rPr>
                <w:rFonts w:hint="eastAsia" w:eastAsia="宋体"/>
                <w:color w:val="auto"/>
                <w:kern w:val="0"/>
                <w:highlight w:val="none"/>
              </w:rPr>
              <w:t>90%</w:t>
            </w:r>
            <w:r>
              <w:rPr>
                <w:rFonts w:hint="eastAsia" w:ascii="宋体" w:hAnsi="宋体" w:eastAsia="宋体"/>
                <w:color w:val="auto"/>
                <w:kern w:val="0"/>
                <w:highlight w:val="none"/>
              </w:rPr>
              <w:t>～</w:t>
            </w:r>
            <w:r>
              <w:rPr>
                <w:rFonts w:hint="eastAsia" w:eastAsia="宋体"/>
                <w:color w:val="auto"/>
                <w:kern w:val="0"/>
                <w:highlight w:val="none"/>
              </w:rPr>
              <w:t>100%</w:t>
            </w:r>
            <w:r>
              <w:rPr>
                <w:rFonts w:hint="eastAsia" w:ascii="宋体" w:hAnsi="宋体" w:eastAsia="宋体"/>
                <w:color w:val="auto"/>
                <w:kern w:val="0"/>
                <w:highlight w:val="none"/>
              </w:rPr>
              <w:t>（含</w:t>
            </w:r>
            <w:r>
              <w:rPr>
                <w:rFonts w:hint="eastAsia" w:eastAsia="宋体"/>
                <w:color w:val="auto"/>
                <w:kern w:val="0"/>
                <w:highlight w:val="none"/>
              </w:rPr>
              <w:t>90%</w:t>
            </w:r>
            <w:r>
              <w:rPr>
                <w:rFonts w:hint="eastAsia" w:ascii="宋体" w:hAnsi="宋体" w:eastAsia="宋体"/>
                <w:color w:val="auto"/>
                <w:kern w:val="0"/>
                <w:highlight w:val="none"/>
              </w:rPr>
              <w:t>）。</w:t>
            </w:r>
          </w:p>
          <w:p w14:paraId="6549DC28">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【良】得该项评分因素分值的</w:t>
            </w:r>
            <w:r>
              <w:rPr>
                <w:rFonts w:hint="eastAsia" w:eastAsia="宋体"/>
                <w:color w:val="auto"/>
                <w:kern w:val="0"/>
                <w:highlight w:val="none"/>
              </w:rPr>
              <w:t>80%</w:t>
            </w:r>
            <w:r>
              <w:rPr>
                <w:rFonts w:hint="eastAsia" w:ascii="宋体" w:hAnsi="宋体" w:eastAsia="宋体"/>
                <w:color w:val="auto"/>
                <w:kern w:val="0"/>
                <w:highlight w:val="none"/>
              </w:rPr>
              <w:t>～</w:t>
            </w:r>
            <w:r>
              <w:rPr>
                <w:rFonts w:hint="eastAsia" w:eastAsia="宋体"/>
                <w:color w:val="auto"/>
                <w:kern w:val="0"/>
                <w:highlight w:val="none"/>
              </w:rPr>
              <w:t>90%</w:t>
            </w:r>
            <w:r>
              <w:rPr>
                <w:rFonts w:hint="eastAsia" w:ascii="宋体" w:hAnsi="宋体" w:eastAsia="宋体"/>
                <w:color w:val="auto"/>
                <w:kern w:val="0"/>
                <w:highlight w:val="none"/>
              </w:rPr>
              <w:t>（含</w:t>
            </w:r>
            <w:r>
              <w:rPr>
                <w:rFonts w:hint="eastAsia" w:eastAsia="宋体"/>
                <w:color w:val="auto"/>
                <w:kern w:val="0"/>
                <w:highlight w:val="none"/>
              </w:rPr>
              <w:t>80%</w:t>
            </w:r>
            <w:r>
              <w:rPr>
                <w:rFonts w:hint="eastAsia" w:ascii="宋体" w:hAnsi="宋体" w:eastAsia="宋体"/>
                <w:color w:val="auto"/>
                <w:kern w:val="0"/>
                <w:highlight w:val="none"/>
              </w:rPr>
              <w:t>）。</w:t>
            </w:r>
          </w:p>
          <w:p w14:paraId="5E3E01FC">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【中】得该项评分因素分值的</w:t>
            </w:r>
            <w:r>
              <w:rPr>
                <w:rFonts w:hint="eastAsia" w:eastAsia="宋体"/>
                <w:color w:val="auto"/>
                <w:kern w:val="0"/>
                <w:highlight w:val="none"/>
              </w:rPr>
              <w:t>70%</w:t>
            </w:r>
            <w:r>
              <w:rPr>
                <w:rFonts w:hint="eastAsia" w:ascii="宋体" w:hAnsi="宋体" w:eastAsia="宋体"/>
                <w:color w:val="auto"/>
                <w:kern w:val="0"/>
                <w:highlight w:val="none"/>
              </w:rPr>
              <w:t>～</w:t>
            </w:r>
            <w:r>
              <w:rPr>
                <w:rFonts w:hint="eastAsia" w:eastAsia="宋体"/>
                <w:color w:val="auto"/>
                <w:kern w:val="0"/>
                <w:highlight w:val="none"/>
              </w:rPr>
              <w:t>80%</w:t>
            </w:r>
            <w:r>
              <w:rPr>
                <w:rFonts w:hint="eastAsia" w:ascii="宋体" w:hAnsi="宋体" w:eastAsia="宋体"/>
                <w:color w:val="auto"/>
                <w:kern w:val="0"/>
                <w:highlight w:val="none"/>
              </w:rPr>
              <w:t>（含</w:t>
            </w:r>
            <w:r>
              <w:rPr>
                <w:rFonts w:hint="eastAsia" w:eastAsia="宋体"/>
                <w:color w:val="auto"/>
                <w:kern w:val="0"/>
                <w:highlight w:val="none"/>
              </w:rPr>
              <w:t>70%</w:t>
            </w:r>
            <w:r>
              <w:rPr>
                <w:rFonts w:hint="eastAsia" w:ascii="宋体" w:hAnsi="宋体" w:eastAsia="宋体"/>
                <w:color w:val="auto"/>
                <w:kern w:val="0"/>
                <w:highlight w:val="none"/>
              </w:rPr>
              <w:t>）。</w:t>
            </w:r>
          </w:p>
          <w:p w14:paraId="14BE6292">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【差】得该项评分因素分值的</w:t>
            </w:r>
            <w:r>
              <w:rPr>
                <w:rFonts w:hint="eastAsia" w:eastAsia="宋体"/>
                <w:color w:val="auto"/>
                <w:kern w:val="0"/>
                <w:highlight w:val="none"/>
              </w:rPr>
              <w:t>60</w:t>
            </w:r>
            <w:r>
              <w:rPr>
                <w:rFonts w:hint="eastAsia" w:ascii="宋体" w:hAnsi="宋体" w:eastAsia="宋体"/>
                <w:color w:val="auto"/>
                <w:kern w:val="0"/>
                <w:highlight w:val="none"/>
              </w:rPr>
              <w:t>～</w:t>
            </w:r>
            <w:r>
              <w:rPr>
                <w:rFonts w:hint="eastAsia" w:eastAsia="宋体"/>
                <w:color w:val="auto"/>
                <w:kern w:val="0"/>
                <w:highlight w:val="none"/>
              </w:rPr>
              <w:t>70%</w:t>
            </w:r>
            <w:r>
              <w:rPr>
                <w:rFonts w:hint="eastAsia" w:ascii="宋体" w:hAnsi="宋体" w:eastAsia="宋体"/>
                <w:color w:val="auto"/>
                <w:kern w:val="0"/>
                <w:highlight w:val="none"/>
              </w:rPr>
              <w:t>（含</w:t>
            </w:r>
            <w:r>
              <w:rPr>
                <w:rFonts w:hint="eastAsia" w:eastAsia="宋体"/>
                <w:color w:val="auto"/>
                <w:kern w:val="0"/>
                <w:highlight w:val="none"/>
              </w:rPr>
              <w:t>60%</w:t>
            </w:r>
            <w:r>
              <w:rPr>
                <w:rFonts w:hint="eastAsia" w:ascii="宋体" w:hAnsi="宋体" w:eastAsia="宋体"/>
                <w:color w:val="auto"/>
                <w:kern w:val="0"/>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58798741">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【优】针对项目实际情况，有先进、具体、完整、可行的措施，采用规范准确、清晰。</w:t>
            </w:r>
          </w:p>
          <w:p w14:paraId="659C8853">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【良】针对项目实际情况，有合理的措施且具体、完整，采用规范准确。</w:t>
            </w:r>
          </w:p>
          <w:p w14:paraId="0413BC55">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【中】有基本合理的措施，采用规范准确。</w:t>
            </w:r>
          </w:p>
          <w:p w14:paraId="11B645FE">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【差】措施不力，采用规范不正确。</w:t>
            </w:r>
          </w:p>
        </w:tc>
      </w:tr>
      <w:tr w14:paraId="412F1A03">
        <w:tblPrEx>
          <w:tblCellMar>
            <w:top w:w="0" w:type="dxa"/>
            <w:left w:w="108" w:type="dxa"/>
            <w:bottom w:w="0" w:type="dxa"/>
            <w:right w:w="108" w:type="dxa"/>
          </w:tblCellMar>
        </w:tblPrEx>
        <w:trPr>
          <w:trHeight w:val="3646"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521A0DD">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施工平面</w:t>
            </w:r>
          </w:p>
          <w:p w14:paraId="5CD972B8">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布置和临时设施布置</w:t>
            </w:r>
          </w:p>
          <w:p w14:paraId="669AE15B">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w:t>
            </w:r>
            <w:r>
              <w:rPr>
                <w:rFonts w:eastAsia="宋体"/>
                <w:color w:val="auto"/>
                <w:kern w:val="0"/>
                <w:highlight w:val="none"/>
                <w:u w:val="single"/>
              </w:rPr>
              <w:t xml:space="preserve"> </w:t>
            </w:r>
            <w:r>
              <w:rPr>
                <w:rFonts w:hint="eastAsia" w:eastAsia="宋体"/>
                <w:color w:val="auto"/>
                <w:kern w:val="0"/>
                <w:highlight w:val="none"/>
                <w:u w:val="single"/>
              </w:rPr>
              <w:t xml:space="preserve">2 </w:t>
            </w:r>
            <w:r>
              <w:rPr>
                <w:rFonts w:hint="eastAsia" w:ascii="宋体" w:hAnsi="宋体" w:eastAsia="宋体"/>
                <w:color w:val="auto"/>
                <w:kern w:val="0"/>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68E22340">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【优】得该项评分因素分值的</w:t>
            </w:r>
            <w:r>
              <w:rPr>
                <w:rFonts w:hint="eastAsia" w:eastAsia="宋体"/>
                <w:color w:val="auto"/>
                <w:kern w:val="0"/>
                <w:highlight w:val="none"/>
              </w:rPr>
              <w:t>90%</w:t>
            </w:r>
            <w:r>
              <w:rPr>
                <w:rFonts w:hint="eastAsia" w:ascii="宋体" w:hAnsi="宋体" w:eastAsia="宋体"/>
                <w:color w:val="auto"/>
                <w:kern w:val="0"/>
                <w:highlight w:val="none"/>
              </w:rPr>
              <w:t>～</w:t>
            </w:r>
            <w:r>
              <w:rPr>
                <w:rFonts w:hint="eastAsia" w:eastAsia="宋体"/>
                <w:color w:val="auto"/>
                <w:kern w:val="0"/>
                <w:highlight w:val="none"/>
              </w:rPr>
              <w:t>100%</w:t>
            </w:r>
            <w:r>
              <w:rPr>
                <w:rFonts w:hint="eastAsia" w:ascii="宋体" w:hAnsi="宋体" w:eastAsia="宋体"/>
                <w:color w:val="auto"/>
                <w:kern w:val="0"/>
                <w:highlight w:val="none"/>
              </w:rPr>
              <w:t>（含</w:t>
            </w:r>
            <w:r>
              <w:rPr>
                <w:rFonts w:hint="eastAsia" w:eastAsia="宋体"/>
                <w:color w:val="auto"/>
                <w:kern w:val="0"/>
                <w:highlight w:val="none"/>
              </w:rPr>
              <w:t>90%</w:t>
            </w:r>
            <w:r>
              <w:rPr>
                <w:rFonts w:hint="eastAsia" w:ascii="宋体" w:hAnsi="宋体" w:eastAsia="宋体"/>
                <w:color w:val="auto"/>
                <w:kern w:val="0"/>
                <w:highlight w:val="none"/>
              </w:rPr>
              <w:t>）。</w:t>
            </w:r>
          </w:p>
          <w:p w14:paraId="02F5F845">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【良】得该项评分因素分值的</w:t>
            </w:r>
            <w:r>
              <w:rPr>
                <w:rFonts w:hint="eastAsia" w:eastAsia="宋体"/>
                <w:color w:val="auto"/>
                <w:kern w:val="0"/>
                <w:highlight w:val="none"/>
              </w:rPr>
              <w:t>80%</w:t>
            </w:r>
            <w:r>
              <w:rPr>
                <w:rFonts w:hint="eastAsia" w:ascii="宋体" w:hAnsi="宋体" w:eastAsia="宋体"/>
                <w:color w:val="auto"/>
                <w:kern w:val="0"/>
                <w:highlight w:val="none"/>
              </w:rPr>
              <w:t>～</w:t>
            </w:r>
            <w:r>
              <w:rPr>
                <w:rFonts w:hint="eastAsia" w:eastAsia="宋体"/>
                <w:color w:val="auto"/>
                <w:kern w:val="0"/>
                <w:highlight w:val="none"/>
              </w:rPr>
              <w:t>90%</w:t>
            </w:r>
            <w:r>
              <w:rPr>
                <w:rFonts w:hint="eastAsia" w:ascii="宋体" w:hAnsi="宋体" w:eastAsia="宋体"/>
                <w:color w:val="auto"/>
                <w:kern w:val="0"/>
                <w:highlight w:val="none"/>
              </w:rPr>
              <w:t>（含</w:t>
            </w:r>
            <w:r>
              <w:rPr>
                <w:rFonts w:hint="eastAsia" w:eastAsia="宋体"/>
                <w:color w:val="auto"/>
                <w:kern w:val="0"/>
                <w:highlight w:val="none"/>
              </w:rPr>
              <w:t>80%</w:t>
            </w:r>
            <w:r>
              <w:rPr>
                <w:rFonts w:hint="eastAsia" w:ascii="宋体" w:hAnsi="宋体" w:eastAsia="宋体"/>
                <w:color w:val="auto"/>
                <w:kern w:val="0"/>
                <w:highlight w:val="none"/>
              </w:rPr>
              <w:t>）。</w:t>
            </w:r>
          </w:p>
          <w:p w14:paraId="6174BD4C">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【中】得该项评分因素分值的</w:t>
            </w:r>
            <w:r>
              <w:rPr>
                <w:rFonts w:hint="eastAsia" w:eastAsia="宋体"/>
                <w:color w:val="auto"/>
                <w:kern w:val="0"/>
                <w:highlight w:val="none"/>
              </w:rPr>
              <w:t>70%</w:t>
            </w:r>
            <w:r>
              <w:rPr>
                <w:rFonts w:hint="eastAsia" w:ascii="宋体" w:hAnsi="宋体" w:eastAsia="宋体"/>
                <w:color w:val="auto"/>
                <w:kern w:val="0"/>
                <w:highlight w:val="none"/>
              </w:rPr>
              <w:t>～</w:t>
            </w:r>
            <w:r>
              <w:rPr>
                <w:rFonts w:hint="eastAsia" w:eastAsia="宋体"/>
                <w:color w:val="auto"/>
                <w:kern w:val="0"/>
                <w:highlight w:val="none"/>
              </w:rPr>
              <w:t>80%</w:t>
            </w:r>
            <w:r>
              <w:rPr>
                <w:rFonts w:hint="eastAsia" w:ascii="宋体" w:hAnsi="宋体" w:eastAsia="宋体"/>
                <w:color w:val="auto"/>
                <w:kern w:val="0"/>
                <w:highlight w:val="none"/>
              </w:rPr>
              <w:t>（含</w:t>
            </w:r>
            <w:r>
              <w:rPr>
                <w:rFonts w:hint="eastAsia" w:eastAsia="宋体"/>
                <w:color w:val="auto"/>
                <w:kern w:val="0"/>
                <w:highlight w:val="none"/>
              </w:rPr>
              <w:t>70%</w:t>
            </w:r>
            <w:r>
              <w:rPr>
                <w:rFonts w:hint="eastAsia" w:ascii="宋体" w:hAnsi="宋体" w:eastAsia="宋体"/>
                <w:color w:val="auto"/>
                <w:kern w:val="0"/>
                <w:highlight w:val="none"/>
              </w:rPr>
              <w:t>）。</w:t>
            </w:r>
          </w:p>
          <w:p w14:paraId="0A4104F9">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【差】得该项评分因素分值的</w:t>
            </w:r>
            <w:r>
              <w:rPr>
                <w:rFonts w:hint="eastAsia" w:eastAsia="宋体"/>
                <w:color w:val="auto"/>
                <w:kern w:val="0"/>
                <w:highlight w:val="none"/>
              </w:rPr>
              <w:t>60</w:t>
            </w:r>
            <w:r>
              <w:rPr>
                <w:rFonts w:hint="eastAsia" w:ascii="宋体" w:hAnsi="宋体" w:eastAsia="宋体"/>
                <w:color w:val="auto"/>
                <w:kern w:val="0"/>
                <w:highlight w:val="none"/>
              </w:rPr>
              <w:t>～</w:t>
            </w:r>
            <w:r>
              <w:rPr>
                <w:rFonts w:hint="eastAsia" w:eastAsia="宋体"/>
                <w:color w:val="auto"/>
                <w:kern w:val="0"/>
                <w:highlight w:val="none"/>
              </w:rPr>
              <w:t>70%</w:t>
            </w:r>
            <w:r>
              <w:rPr>
                <w:rFonts w:hint="eastAsia" w:ascii="宋体" w:hAnsi="宋体" w:eastAsia="宋体"/>
                <w:color w:val="auto"/>
                <w:kern w:val="0"/>
                <w:highlight w:val="none"/>
              </w:rPr>
              <w:t>（含</w:t>
            </w:r>
            <w:r>
              <w:rPr>
                <w:rFonts w:hint="eastAsia" w:eastAsia="宋体"/>
                <w:color w:val="auto"/>
                <w:kern w:val="0"/>
                <w:highlight w:val="none"/>
              </w:rPr>
              <w:t>60%</w:t>
            </w:r>
            <w:r>
              <w:rPr>
                <w:rFonts w:hint="eastAsia" w:ascii="宋体" w:hAnsi="宋体" w:eastAsia="宋体"/>
                <w:color w:val="auto"/>
                <w:kern w:val="0"/>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0E5C9660">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【优】总体布置有针对性、合理，较好满足施工需要，符合绿色施工、安全防护、文明施工要求。</w:t>
            </w:r>
          </w:p>
          <w:p w14:paraId="21419769">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【良】总体布置合理，能满足施工需要，基本符合绿色施工、安全防护、文明施工要求。</w:t>
            </w:r>
          </w:p>
          <w:p w14:paraId="23514421">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【中】总体布置基本合理，基本满足施工需要。</w:t>
            </w:r>
          </w:p>
          <w:p w14:paraId="1A3F1F6A">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【差】总体布置不合理，不符合绿色施工、安全防护、文明施工要求。</w:t>
            </w:r>
          </w:p>
        </w:tc>
      </w:tr>
      <w:tr w14:paraId="0E3A6FD8">
        <w:tblPrEx>
          <w:tblCellMar>
            <w:top w:w="0" w:type="dxa"/>
            <w:left w:w="108" w:type="dxa"/>
            <w:bottom w:w="0" w:type="dxa"/>
            <w:right w:w="108" w:type="dxa"/>
          </w:tblCellMar>
        </w:tblPrEx>
        <w:trPr>
          <w:trHeight w:val="2634"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760E4F78">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项目</w:t>
            </w:r>
          </w:p>
          <w:p w14:paraId="114A8CFE">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管理机构</w:t>
            </w:r>
          </w:p>
          <w:p w14:paraId="10B6E595">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w:t>
            </w:r>
            <w:r>
              <w:rPr>
                <w:rFonts w:eastAsia="宋体"/>
                <w:color w:val="auto"/>
                <w:kern w:val="0"/>
                <w:highlight w:val="none"/>
                <w:u w:val="single"/>
              </w:rPr>
              <w:t xml:space="preserve"> </w:t>
            </w:r>
            <w:r>
              <w:rPr>
                <w:rFonts w:hint="eastAsia" w:eastAsia="宋体"/>
                <w:color w:val="auto"/>
                <w:kern w:val="0"/>
                <w:highlight w:val="none"/>
                <w:u w:val="single"/>
              </w:rPr>
              <w:t xml:space="preserve">3 </w:t>
            </w:r>
            <w:r>
              <w:rPr>
                <w:rFonts w:hint="eastAsia" w:ascii="宋体" w:hAnsi="宋体" w:eastAsia="宋体"/>
                <w:color w:val="auto"/>
                <w:kern w:val="0"/>
                <w:highlight w:val="none"/>
              </w:rPr>
              <w:t>分）</w:t>
            </w:r>
          </w:p>
        </w:tc>
        <w:tc>
          <w:tcPr>
            <w:tcW w:w="4385" w:type="dxa"/>
            <w:tcBorders>
              <w:top w:val="single" w:color="auto" w:sz="4" w:space="0"/>
              <w:left w:val="nil"/>
              <w:bottom w:val="single" w:color="auto" w:sz="4" w:space="0"/>
              <w:right w:val="single" w:color="auto" w:sz="4" w:space="0"/>
            </w:tcBorders>
            <w:noWrap w:val="0"/>
            <w:vAlign w:val="center"/>
          </w:tcPr>
          <w:p w14:paraId="5362DB46">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【优】得该项评分因素分值的</w:t>
            </w:r>
            <w:r>
              <w:rPr>
                <w:rFonts w:hint="eastAsia" w:eastAsia="宋体"/>
                <w:color w:val="auto"/>
                <w:kern w:val="0"/>
                <w:highlight w:val="none"/>
              </w:rPr>
              <w:t>90%</w:t>
            </w:r>
            <w:r>
              <w:rPr>
                <w:rFonts w:hint="eastAsia" w:ascii="宋体" w:hAnsi="宋体" w:eastAsia="宋体"/>
                <w:color w:val="auto"/>
                <w:kern w:val="0"/>
                <w:highlight w:val="none"/>
              </w:rPr>
              <w:t>～</w:t>
            </w:r>
            <w:r>
              <w:rPr>
                <w:rFonts w:hint="eastAsia" w:eastAsia="宋体"/>
                <w:color w:val="auto"/>
                <w:kern w:val="0"/>
                <w:highlight w:val="none"/>
              </w:rPr>
              <w:t>100%</w:t>
            </w:r>
            <w:r>
              <w:rPr>
                <w:rFonts w:hint="eastAsia" w:ascii="宋体" w:hAnsi="宋体" w:eastAsia="宋体"/>
                <w:color w:val="auto"/>
                <w:kern w:val="0"/>
                <w:highlight w:val="none"/>
              </w:rPr>
              <w:t>（含</w:t>
            </w:r>
            <w:r>
              <w:rPr>
                <w:rFonts w:hint="eastAsia" w:eastAsia="宋体"/>
                <w:color w:val="auto"/>
                <w:kern w:val="0"/>
                <w:highlight w:val="none"/>
              </w:rPr>
              <w:t>90%</w:t>
            </w:r>
            <w:r>
              <w:rPr>
                <w:rFonts w:hint="eastAsia" w:ascii="宋体" w:hAnsi="宋体" w:eastAsia="宋体"/>
                <w:color w:val="auto"/>
                <w:kern w:val="0"/>
                <w:highlight w:val="none"/>
              </w:rPr>
              <w:t>）。</w:t>
            </w:r>
          </w:p>
          <w:p w14:paraId="4B8D1D86">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【良】得该项评分因素分值的</w:t>
            </w:r>
            <w:r>
              <w:rPr>
                <w:rFonts w:hint="eastAsia" w:eastAsia="宋体"/>
                <w:color w:val="auto"/>
                <w:kern w:val="0"/>
                <w:highlight w:val="none"/>
              </w:rPr>
              <w:t>80%</w:t>
            </w:r>
            <w:r>
              <w:rPr>
                <w:rFonts w:hint="eastAsia" w:ascii="宋体" w:hAnsi="宋体" w:eastAsia="宋体"/>
                <w:color w:val="auto"/>
                <w:kern w:val="0"/>
                <w:highlight w:val="none"/>
              </w:rPr>
              <w:t>～</w:t>
            </w:r>
            <w:r>
              <w:rPr>
                <w:rFonts w:hint="eastAsia" w:eastAsia="宋体"/>
                <w:color w:val="auto"/>
                <w:kern w:val="0"/>
                <w:highlight w:val="none"/>
              </w:rPr>
              <w:t>90%</w:t>
            </w:r>
            <w:r>
              <w:rPr>
                <w:rFonts w:hint="eastAsia" w:ascii="宋体" w:hAnsi="宋体" w:eastAsia="宋体"/>
                <w:color w:val="auto"/>
                <w:kern w:val="0"/>
                <w:highlight w:val="none"/>
              </w:rPr>
              <w:t>（含</w:t>
            </w:r>
            <w:r>
              <w:rPr>
                <w:rFonts w:hint="eastAsia" w:eastAsia="宋体"/>
                <w:color w:val="auto"/>
                <w:kern w:val="0"/>
                <w:highlight w:val="none"/>
              </w:rPr>
              <w:t>80%</w:t>
            </w:r>
            <w:r>
              <w:rPr>
                <w:rFonts w:hint="eastAsia" w:ascii="宋体" w:hAnsi="宋体" w:eastAsia="宋体"/>
                <w:color w:val="auto"/>
                <w:kern w:val="0"/>
                <w:highlight w:val="none"/>
              </w:rPr>
              <w:t>）。</w:t>
            </w:r>
          </w:p>
          <w:p w14:paraId="5889E828">
            <w:pPr>
              <w:pStyle w:val="27"/>
              <w:wordWrap w:val="0"/>
              <w:spacing w:line="400" w:lineRule="exact"/>
              <w:rPr>
                <w:rFonts w:eastAsia="宋体"/>
                <w:color w:val="auto"/>
                <w:kern w:val="0"/>
                <w:highlight w:val="none"/>
              </w:rPr>
            </w:pPr>
            <w:r>
              <w:rPr>
                <w:rFonts w:hint="eastAsia" w:ascii="宋体" w:hAnsi="宋体" w:eastAsia="宋体"/>
                <w:color w:val="auto"/>
                <w:kern w:val="0"/>
                <w:highlight w:val="none"/>
              </w:rPr>
              <w:t>【中】得该项评分因素分值的</w:t>
            </w:r>
            <w:r>
              <w:rPr>
                <w:rFonts w:hint="eastAsia" w:eastAsia="宋体"/>
                <w:color w:val="auto"/>
                <w:kern w:val="0"/>
                <w:highlight w:val="none"/>
              </w:rPr>
              <w:t>70%</w:t>
            </w:r>
            <w:r>
              <w:rPr>
                <w:rFonts w:hint="eastAsia" w:ascii="宋体" w:hAnsi="宋体" w:eastAsia="宋体"/>
                <w:color w:val="auto"/>
                <w:kern w:val="0"/>
                <w:highlight w:val="none"/>
              </w:rPr>
              <w:t>～</w:t>
            </w:r>
            <w:r>
              <w:rPr>
                <w:rFonts w:hint="eastAsia" w:eastAsia="宋体"/>
                <w:color w:val="auto"/>
                <w:kern w:val="0"/>
                <w:highlight w:val="none"/>
              </w:rPr>
              <w:t>80%</w:t>
            </w:r>
            <w:r>
              <w:rPr>
                <w:rFonts w:hint="eastAsia" w:ascii="宋体" w:hAnsi="宋体" w:eastAsia="宋体"/>
                <w:color w:val="auto"/>
                <w:kern w:val="0"/>
                <w:highlight w:val="none"/>
              </w:rPr>
              <w:t>（含</w:t>
            </w:r>
            <w:r>
              <w:rPr>
                <w:rFonts w:hint="eastAsia" w:eastAsia="宋体"/>
                <w:color w:val="auto"/>
                <w:kern w:val="0"/>
                <w:highlight w:val="none"/>
              </w:rPr>
              <w:t>70%</w:t>
            </w:r>
            <w:r>
              <w:rPr>
                <w:rFonts w:hint="eastAsia" w:ascii="宋体" w:hAnsi="宋体" w:eastAsia="宋体"/>
                <w:color w:val="auto"/>
                <w:kern w:val="0"/>
                <w:highlight w:val="none"/>
              </w:rPr>
              <w:t>）。</w:t>
            </w:r>
          </w:p>
          <w:p w14:paraId="1D97D210">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【差】得该项评分因素分值的</w:t>
            </w:r>
            <w:r>
              <w:rPr>
                <w:rFonts w:hint="eastAsia" w:eastAsia="宋体"/>
                <w:color w:val="auto"/>
                <w:kern w:val="0"/>
                <w:highlight w:val="none"/>
              </w:rPr>
              <w:t>60</w:t>
            </w:r>
            <w:r>
              <w:rPr>
                <w:rFonts w:hint="eastAsia" w:ascii="宋体" w:hAnsi="宋体" w:eastAsia="宋体"/>
                <w:color w:val="auto"/>
                <w:kern w:val="0"/>
                <w:highlight w:val="none"/>
              </w:rPr>
              <w:t>～</w:t>
            </w:r>
            <w:r>
              <w:rPr>
                <w:rFonts w:hint="eastAsia" w:eastAsia="宋体"/>
                <w:color w:val="auto"/>
                <w:kern w:val="0"/>
                <w:highlight w:val="none"/>
              </w:rPr>
              <w:t>70%</w:t>
            </w:r>
            <w:r>
              <w:rPr>
                <w:rFonts w:hint="eastAsia" w:ascii="宋体" w:hAnsi="宋体" w:eastAsia="宋体"/>
                <w:color w:val="auto"/>
                <w:kern w:val="0"/>
                <w:highlight w:val="none"/>
              </w:rPr>
              <w:t>（含</w:t>
            </w:r>
            <w:r>
              <w:rPr>
                <w:rFonts w:hint="eastAsia" w:eastAsia="宋体"/>
                <w:color w:val="auto"/>
                <w:kern w:val="0"/>
                <w:highlight w:val="none"/>
              </w:rPr>
              <w:t>60%</w:t>
            </w:r>
            <w:r>
              <w:rPr>
                <w:rFonts w:hint="eastAsia" w:ascii="宋体" w:hAnsi="宋体" w:eastAsia="宋体"/>
                <w:color w:val="auto"/>
                <w:kern w:val="0"/>
                <w:highlight w:val="none"/>
              </w:rPr>
              <w:t>）。</w:t>
            </w:r>
          </w:p>
        </w:tc>
        <w:tc>
          <w:tcPr>
            <w:tcW w:w="4230" w:type="dxa"/>
            <w:tcBorders>
              <w:top w:val="single" w:color="auto" w:sz="4" w:space="0"/>
              <w:left w:val="nil"/>
              <w:bottom w:val="single" w:color="auto" w:sz="4" w:space="0"/>
              <w:right w:val="single" w:color="auto" w:sz="4" w:space="0"/>
            </w:tcBorders>
            <w:noWrap w:val="0"/>
            <w:vAlign w:val="center"/>
          </w:tcPr>
          <w:p w14:paraId="30E5154D">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【优】组织机构形式合理，有完善的指挥系统，生产及质量、绿色施工、安全、文明施工、创优达标监控系统、联络协调系统，项目管理人员内高级职称人员</w:t>
            </w:r>
            <w:r>
              <w:rPr>
                <w:rFonts w:hint="eastAsia" w:eastAsia="宋体"/>
                <w:color w:val="auto"/>
                <w:kern w:val="0"/>
                <w:highlight w:val="none"/>
              </w:rPr>
              <w:t>20%</w:t>
            </w:r>
            <w:r>
              <w:rPr>
                <w:rFonts w:hint="eastAsia" w:ascii="宋体" w:hAnsi="宋体" w:eastAsia="宋体"/>
                <w:color w:val="auto"/>
                <w:kern w:val="0"/>
                <w:highlight w:val="none"/>
              </w:rPr>
              <w:t>（含</w:t>
            </w:r>
            <w:r>
              <w:rPr>
                <w:rFonts w:hint="eastAsia" w:eastAsia="宋体"/>
                <w:color w:val="auto"/>
                <w:kern w:val="0"/>
                <w:highlight w:val="none"/>
              </w:rPr>
              <w:t>20%</w:t>
            </w:r>
            <w:r>
              <w:rPr>
                <w:rFonts w:hint="eastAsia" w:ascii="宋体" w:hAnsi="宋体" w:eastAsia="宋体"/>
                <w:color w:val="auto"/>
                <w:kern w:val="0"/>
                <w:highlight w:val="none"/>
              </w:rPr>
              <w:t>）以上、中级职称人员</w:t>
            </w:r>
            <w:r>
              <w:rPr>
                <w:rFonts w:hint="eastAsia" w:ascii="宋体" w:hAnsi="宋体" w:eastAsia="宋体"/>
                <w:b/>
                <w:bCs/>
                <w:color w:val="auto"/>
                <w:kern w:val="0"/>
                <w:highlight w:val="none"/>
              </w:rPr>
              <w:t>及以上职称</w:t>
            </w:r>
            <w:r>
              <w:rPr>
                <w:rFonts w:hint="eastAsia" w:eastAsia="宋体"/>
                <w:color w:val="auto"/>
                <w:kern w:val="0"/>
                <w:highlight w:val="none"/>
              </w:rPr>
              <w:t>60%</w:t>
            </w:r>
            <w:r>
              <w:rPr>
                <w:rFonts w:hint="eastAsia" w:ascii="宋体" w:hAnsi="宋体" w:eastAsia="宋体"/>
                <w:color w:val="auto"/>
                <w:kern w:val="0"/>
                <w:highlight w:val="none"/>
              </w:rPr>
              <w:t>（含</w:t>
            </w:r>
            <w:r>
              <w:rPr>
                <w:rFonts w:hint="eastAsia" w:eastAsia="宋体"/>
                <w:color w:val="auto"/>
                <w:kern w:val="0"/>
                <w:highlight w:val="none"/>
              </w:rPr>
              <w:t>60%</w:t>
            </w:r>
            <w:r>
              <w:rPr>
                <w:rFonts w:hint="eastAsia" w:ascii="宋体" w:hAnsi="宋体" w:eastAsia="宋体"/>
                <w:color w:val="auto"/>
                <w:kern w:val="0"/>
                <w:highlight w:val="none"/>
              </w:rPr>
              <w:t>）以上。</w:t>
            </w:r>
          </w:p>
          <w:p w14:paraId="4885AE25">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【良】组织机构形式合理，指挥系统，生产及质量、绿色施工、安全、文明施工、创优达标监控系统、联络协调系统齐全，项目管理人员内高级职称人员</w:t>
            </w:r>
            <w:r>
              <w:rPr>
                <w:rFonts w:hint="eastAsia" w:eastAsia="宋体"/>
                <w:color w:val="auto"/>
                <w:kern w:val="0"/>
                <w:highlight w:val="none"/>
              </w:rPr>
              <w:t>15%</w:t>
            </w:r>
            <w:r>
              <w:rPr>
                <w:rFonts w:hint="eastAsia" w:ascii="宋体" w:hAnsi="宋体" w:eastAsia="宋体"/>
                <w:color w:val="auto"/>
                <w:kern w:val="0"/>
                <w:highlight w:val="none"/>
              </w:rPr>
              <w:t>～</w:t>
            </w:r>
            <w:r>
              <w:rPr>
                <w:rFonts w:hint="eastAsia" w:eastAsia="宋体"/>
                <w:color w:val="auto"/>
                <w:kern w:val="0"/>
                <w:highlight w:val="none"/>
              </w:rPr>
              <w:t>20%</w:t>
            </w:r>
            <w:r>
              <w:rPr>
                <w:rFonts w:hint="eastAsia" w:ascii="宋体" w:hAnsi="宋体" w:eastAsia="宋体"/>
                <w:color w:val="auto"/>
                <w:kern w:val="0"/>
                <w:highlight w:val="none"/>
              </w:rPr>
              <w:t>（含</w:t>
            </w:r>
            <w:r>
              <w:rPr>
                <w:rFonts w:hint="eastAsia" w:eastAsia="宋体"/>
                <w:color w:val="auto"/>
                <w:kern w:val="0"/>
                <w:highlight w:val="none"/>
              </w:rPr>
              <w:t>15%</w:t>
            </w:r>
            <w:r>
              <w:rPr>
                <w:rFonts w:hint="eastAsia" w:ascii="宋体" w:hAnsi="宋体" w:eastAsia="宋体"/>
                <w:color w:val="auto"/>
                <w:kern w:val="0"/>
                <w:highlight w:val="none"/>
              </w:rPr>
              <w:t>）、中级职称</w:t>
            </w:r>
            <w:r>
              <w:rPr>
                <w:rFonts w:hint="eastAsia" w:ascii="宋体" w:hAnsi="宋体" w:eastAsia="宋体"/>
                <w:b/>
                <w:bCs/>
                <w:color w:val="auto"/>
                <w:kern w:val="0"/>
                <w:highlight w:val="none"/>
              </w:rPr>
              <w:t>及以上职称</w:t>
            </w:r>
            <w:r>
              <w:rPr>
                <w:rFonts w:hint="eastAsia" w:ascii="宋体" w:hAnsi="宋体" w:eastAsia="宋体"/>
                <w:color w:val="auto"/>
                <w:kern w:val="0"/>
                <w:highlight w:val="none"/>
              </w:rPr>
              <w:t>人员</w:t>
            </w:r>
            <w:r>
              <w:rPr>
                <w:rFonts w:hint="eastAsia" w:eastAsia="宋体"/>
                <w:color w:val="auto"/>
                <w:kern w:val="0"/>
                <w:highlight w:val="none"/>
              </w:rPr>
              <w:t>50%</w:t>
            </w:r>
            <w:r>
              <w:rPr>
                <w:rFonts w:hint="eastAsia" w:ascii="宋体" w:hAnsi="宋体" w:eastAsia="宋体"/>
                <w:color w:val="auto"/>
                <w:kern w:val="0"/>
                <w:highlight w:val="none"/>
              </w:rPr>
              <w:t>～</w:t>
            </w:r>
            <w:r>
              <w:rPr>
                <w:rFonts w:hint="eastAsia" w:eastAsia="宋体"/>
                <w:color w:val="auto"/>
                <w:kern w:val="0"/>
                <w:highlight w:val="none"/>
              </w:rPr>
              <w:t>60%</w:t>
            </w:r>
            <w:r>
              <w:rPr>
                <w:rFonts w:hint="eastAsia" w:ascii="宋体" w:hAnsi="宋体" w:eastAsia="宋体"/>
                <w:color w:val="auto"/>
                <w:kern w:val="0"/>
                <w:highlight w:val="none"/>
              </w:rPr>
              <w:t>（含</w:t>
            </w:r>
            <w:r>
              <w:rPr>
                <w:rFonts w:hint="eastAsia" w:eastAsia="宋体"/>
                <w:color w:val="auto"/>
                <w:kern w:val="0"/>
                <w:highlight w:val="none"/>
              </w:rPr>
              <w:t>50%</w:t>
            </w:r>
            <w:r>
              <w:rPr>
                <w:rFonts w:hint="eastAsia" w:ascii="宋体" w:hAnsi="宋体" w:eastAsia="宋体"/>
                <w:color w:val="auto"/>
                <w:kern w:val="0"/>
                <w:highlight w:val="none"/>
              </w:rPr>
              <w:t>）。</w:t>
            </w:r>
          </w:p>
          <w:p w14:paraId="38718BB8">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【中】组织机构形式基本合理，有指挥系统，生产及质量、绿色施工、安全、文明施工、创优达标监控系统、联络协调系统，项目管理人员内高级职称人员</w:t>
            </w:r>
            <w:r>
              <w:rPr>
                <w:rFonts w:hint="eastAsia" w:eastAsia="宋体"/>
                <w:color w:val="auto"/>
                <w:kern w:val="0"/>
                <w:highlight w:val="none"/>
              </w:rPr>
              <w:t>10%</w:t>
            </w:r>
            <w:r>
              <w:rPr>
                <w:rFonts w:hint="eastAsia" w:ascii="宋体" w:hAnsi="宋体" w:eastAsia="宋体"/>
                <w:color w:val="auto"/>
                <w:kern w:val="0"/>
                <w:highlight w:val="none"/>
              </w:rPr>
              <w:t>～</w:t>
            </w:r>
            <w:r>
              <w:rPr>
                <w:rFonts w:hint="eastAsia" w:eastAsia="宋体"/>
                <w:color w:val="auto"/>
                <w:kern w:val="0"/>
                <w:highlight w:val="none"/>
              </w:rPr>
              <w:t>15%</w:t>
            </w:r>
            <w:r>
              <w:rPr>
                <w:rFonts w:hint="eastAsia" w:ascii="宋体" w:hAnsi="宋体" w:eastAsia="宋体"/>
                <w:color w:val="auto"/>
                <w:kern w:val="0"/>
                <w:highlight w:val="none"/>
              </w:rPr>
              <w:t>（含</w:t>
            </w:r>
            <w:r>
              <w:rPr>
                <w:rFonts w:hint="eastAsia" w:eastAsia="宋体"/>
                <w:color w:val="auto"/>
                <w:kern w:val="0"/>
                <w:highlight w:val="none"/>
              </w:rPr>
              <w:t>10%</w:t>
            </w:r>
            <w:r>
              <w:rPr>
                <w:rFonts w:hint="eastAsia" w:ascii="宋体" w:hAnsi="宋体" w:eastAsia="宋体"/>
                <w:color w:val="auto"/>
                <w:kern w:val="0"/>
                <w:highlight w:val="none"/>
              </w:rPr>
              <w:t>）、中级职称人员</w:t>
            </w:r>
            <w:r>
              <w:rPr>
                <w:rFonts w:hint="eastAsia" w:ascii="宋体" w:hAnsi="宋体" w:eastAsia="宋体"/>
                <w:b/>
                <w:bCs/>
                <w:color w:val="auto"/>
                <w:kern w:val="0"/>
                <w:highlight w:val="none"/>
              </w:rPr>
              <w:t>及以上职称</w:t>
            </w:r>
            <w:r>
              <w:rPr>
                <w:rFonts w:hint="eastAsia" w:eastAsia="宋体"/>
                <w:color w:val="auto"/>
                <w:kern w:val="0"/>
                <w:highlight w:val="none"/>
              </w:rPr>
              <w:t>40%</w:t>
            </w:r>
            <w:r>
              <w:rPr>
                <w:rFonts w:hint="eastAsia" w:ascii="宋体" w:hAnsi="宋体" w:eastAsia="宋体"/>
                <w:color w:val="auto"/>
                <w:kern w:val="0"/>
                <w:highlight w:val="none"/>
              </w:rPr>
              <w:t>～</w:t>
            </w:r>
            <w:r>
              <w:rPr>
                <w:rFonts w:hint="eastAsia" w:eastAsia="宋体"/>
                <w:color w:val="auto"/>
                <w:kern w:val="0"/>
                <w:highlight w:val="none"/>
              </w:rPr>
              <w:t>50%</w:t>
            </w:r>
            <w:r>
              <w:rPr>
                <w:rFonts w:hint="eastAsia" w:ascii="宋体" w:hAnsi="宋体" w:eastAsia="宋体"/>
                <w:color w:val="auto"/>
                <w:kern w:val="0"/>
                <w:highlight w:val="none"/>
              </w:rPr>
              <w:t>（含</w:t>
            </w:r>
            <w:r>
              <w:rPr>
                <w:rFonts w:hint="eastAsia" w:eastAsia="宋体"/>
                <w:color w:val="auto"/>
                <w:kern w:val="0"/>
                <w:highlight w:val="none"/>
              </w:rPr>
              <w:t>40%</w:t>
            </w:r>
            <w:r>
              <w:rPr>
                <w:rFonts w:hint="eastAsia" w:ascii="宋体" w:hAnsi="宋体" w:eastAsia="宋体"/>
                <w:color w:val="auto"/>
                <w:kern w:val="0"/>
                <w:highlight w:val="none"/>
              </w:rPr>
              <w:t>）。</w:t>
            </w:r>
          </w:p>
          <w:p w14:paraId="326A5EDA">
            <w:pPr>
              <w:pStyle w:val="29"/>
              <w:wordWrap w:val="0"/>
              <w:spacing w:line="400" w:lineRule="exact"/>
              <w:rPr>
                <w:rFonts w:eastAsia="宋体"/>
                <w:color w:val="auto"/>
                <w:kern w:val="0"/>
                <w:highlight w:val="none"/>
              </w:rPr>
            </w:pPr>
            <w:r>
              <w:rPr>
                <w:rFonts w:hint="eastAsia" w:ascii="宋体" w:hAnsi="宋体" w:eastAsia="宋体"/>
                <w:color w:val="auto"/>
                <w:kern w:val="0"/>
                <w:highlight w:val="none"/>
              </w:rPr>
              <w:t>【差】组织机构形式合理，指挥系统，生产及质量、绿色施工、安全、文明施工、创优达标监控系统、联络协调系统不齐全，项目管理人员内高级职称人员</w:t>
            </w:r>
            <w:r>
              <w:rPr>
                <w:rFonts w:hint="eastAsia" w:eastAsia="宋体"/>
                <w:color w:val="auto"/>
                <w:kern w:val="0"/>
                <w:highlight w:val="none"/>
              </w:rPr>
              <w:t>10%</w:t>
            </w:r>
            <w:r>
              <w:rPr>
                <w:rFonts w:hint="eastAsia" w:ascii="宋体" w:hAnsi="宋体" w:eastAsia="宋体"/>
                <w:color w:val="auto"/>
                <w:kern w:val="0"/>
                <w:highlight w:val="none"/>
              </w:rPr>
              <w:t>以下、中级职称人员</w:t>
            </w:r>
            <w:r>
              <w:rPr>
                <w:rFonts w:hint="eastAsia" w:ascii="宋体" w:hAnsi="宋体" w:eastAsia="宋体"/>
                <w:b/>
                <w:bCs/>
                <w:color w:val="auto"/>
                <w:kern w:val="0"/>
                <w:highlight w:val="none"/>
              </w:rPr>
              <w:t>及以上职称</w:t>
            </w:r>
            <w:r>
              <w:rPr>
                <w:rFonts w:hint="eastAsia" w:eastAsia="宋体"/>
                <w:color w:val="auto"/>
                <w:kern w:val="0"/>
                <w:highlight w:val="none"/>
              </w:rPr>
              <w:t>40%</w:t>
            </w:r>
            <w:r>
              <w:rPr>
                <w:rFonts w:hint="eastAsia" w:ascii="宋体" w:hAnsi="宋体" w:eastAsia="宋体"/>
                <w:color w:val="auto"/>
                <w:kern w:val="0"/>
                <w:highlight w:val="none"/>
              </w:rPr>
              <w:t>以下。</w:t>
            </w:r>
          </w:p>
        </w:tc>
      </w:tr>
      <w:tr w14:paraId="0E8D479B">
        <w:tblPrEx>
          <w:tblCellMar>
            <w:top w:w="0" w:type="dxa"/>
            <w:left w:w="108" w:type="dxa"/>
            <w:bottom w:w="0" w:type="dxa"/>
            <w:right w:w="108" w:type="dxa"/>
          </w:tblCellMar>
        </w:tblPrEx>
        <w:trPr>
          <w:trHeight w:val="640" w:hRule="atLeast"/>
          <w:jc w:val="center"/>
        </w:trPr>
        <w:tc>
          <w:tcPr>
            <w:tcW w:w="982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B2D1A86">
            <w:pPr>
              <w:pStyle w:val="29"/>
              <w:wordWrap w:val="0"/>
              <w:spacing w:line="400" w:lineRule="exact"/>
              <w:rPr>
                <w:rFonts w:eastAsia="宋体"/>
                <w:color w:val="auto"/>
                <w:kern w:val="0"/>
                <w:highlight w:val="none"/>
              </w:rPr>
            </w:pPr>
            <w:r>
              <w:rPr>
                <w:rFonts w:hint="eastAsia" w:ascii="黑体" w:hAnsi="黑体" w:eastAsia="黑体"/>
                <w:color w:val="auto"/>
                <w:kern w:val="0"/>
                <w:sz w:val="24"/>
                <w:szCs w:val="24"/>
                <w:highlight w:val="none"/>
              </w:rPr>
              <w:t>投标报价部分，满分：100分。</w:t>
            </w:r>
          </w:p>
        </w:tc>
      </w:tr>
      <w:tr w14:paraId="3B0FBDA1">
        <w:tblPrEx>
          <w:tblCellMar>
            <w:top w:w="0" w:type="dxa"/>
            <w:left w:w="108" w:type="dxa"/>
            <w:bottom w:w="0" w:type="dxa"/>
            <w:right w:w="108" w:type="dxa"/>
          </w:tblCellMar>
        </w:tblPrEx>
        <w:trPr>
          <w:trHeight w:val="640"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5C23B338">
            <w:pPr>
              <w:pStyle w:val="6"/>
              <w:wordWrap w:val="0"/>
              <w:spacing w:after="0" w:line="440" w:lineRule="exact"/>
              <w:jc w:val="center"/>
              <w:rPr>
                <w:rFonts w:ascii="黑体" w:hAnsi="黑体" w:eastAsia="黑体"/>
                <w:color w:val="auto"/>
                <w:kern w:val="0"/>
                <w:highlight w:val="none"/>
              </w:rPr>
            </w:pPr>
            <w:r>
              <w:rPr>
                <w:rFonts w:hint="eastAsia" w:ascii="黑体" w:hAnsi="黑体" w:eastAsia="黑体"/>
                <w:color w:val="auto"/>
                <w:kern w:val="0"/>
                <w:highlight w:val="none"/>
              </w:rPr>
              <w:t>评分事项</w:t>
            </w:r>
          </w:p>
        </w:tc>
        <w:tc>
          <w:tcPr>
            <w:tcW w:w="8615" w:type="dxa"/>
            <w:gridSpan w:val="2"/>
            <w:tcBorders>
              <w:top w:val="single" w:color="auto" w:sz="4" w:space="0"/>
              <w:left w:val="nil"/>
              <w:bottom w:val="single" w:color="auto" w:sz="4" w:space="0"/>
              <w:right w:val="single" w:color="auto" w:sz="4" w:space="0"/>
            </w:tcBorders>
            <w:noWrap w:val="0"/>
            <w:vAlign w:val="center"/>
          </w:tcPr>
          <w:p w14:paraId="753F2334">
            <w:pPr>
              <w:pStyle w:val="6"/>
              <w:wordWrap w:val="0"/>
              <w:spacing w:after="0" w:line="440" w:lineRule="exact"/>
              <w:jc w:val="center"/>
              <w:rPr>
                <w:rFonts w:ascii="黑体" w:hAnsi="黑体" w:eastAsia="黑体"/>
                <w:color w:val="auto"/>
                <w:kern w:val="0"/>
                <w:highlight w:val="none"/>
              </w:rPr>
            </w:pPr>
            <w:r>
              <w:rPr>
                <w:rFonts w:hint="eastAsia" w:ascii="黑体" w:hAnsi="黑体" w:eastAsia="黑体"/>
                <w:color w:val="auto"/>
                <w:kern w:val="0"/>
                <w:highlight w:val="none"/>
              </w:rPr>
              <w:t>评分方法</w:t>
            </w:r>
          </w:p>
        </w:tc>
      </w:tr>
      <w:tr w14:paraId="2C6DEB79">
        <w:tblPrEx>
          <w:tblCellMar>
            <w:top w:w="0" w:type="dxa"/>
            <w:left w:w="108" w:type="dxa"/>
            <w:bottom w:w="0" w:type="dxa"/>
            <w:right w:w="108" w:type="dxa"/>
          </w:tblCellMar>
        </w:tblPrEx>
        <w:trPr>
          <w:trHeight w:val="6580"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BF85D6A">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评标基准价</w:t>
            </w:r>
            <w:r>
              <w:rPr>
                <w:rFonts w:hint="eastAsia" w:eastAsia="宋体"/>
                <w:color w:val="auto"/>
                <w:kern w:val="0"/>
                <w:highlight w:val="none"/>
              </w:rPr>
              <w:t>D</w:t>
            </w:r>
          </w:p>
        </w:tc>
        <w:tc>
          <w:tcPr>
            <w:tcW w:w="8615" w:type="dxa"/>
            <w:gridSpan w:val="2"/>
            <w:tcBorders>
              <w:top w:val="single" w:color="auto" w:sz="4" w:space="0"/>
              <w:left w:val="nil"/>
              <w:bottom w:val="single" w:color="auto" w:sz="4" w:space="0"/>
              <w:right w:val="single" w:color="auto" w:sz="4" w:space="0"/>
            </w:tcBorders>
            <w:noWrap w:val="0"/>
            <w:vAlign w:val="center"/>
          </w:tcPr>
          <w:p w14:paraId="221EE71E">
            <w:pPr>
              <w:pStyle w:val="6"/>
              <w:wordWrap w:val="0"/>
              <w:spacing w:after="0" w:line="400" w:lineRule="exact"/>
              <w:rPr>
                <w:rFonts w:ascii="Times New Roman"/>
                <w:color w:val="auto"/>
                <w:kern w:val="0"/>
                <w:sz w:val="21"/>
                <w:szCs w:val="21"/>
                <w:highlight w:val="none"/>
              </w:rPr>
            </w:pPr>
          </w:p>
          <w:p w14:paraId="59C2B130">
            <w:pPr>
              <w:wordWrap w:val="0"/>
              <w:spacing w:line="400" w:lineRule="exact"/>
              <w:ind w:firstLine="420" w:firstLineChars="200"/>
              <w:jc w:val="left"/>
              <w:rPr>
                <w:rFonts w:ascii="Times New Roman"/>
                <w:color w:val="auto"/>
                <w:kern w:val="0"/>
                <w:sz w:val="21"/>
                <w:szCs w:val="21"/>
                <w:highlight w:val="none"/>
              </w:rPr>
            </w:pPr>
            <w:r>
              <w:rPr>
                <w:rFonts w:hint="eastAsia" w:hAnsi="宋体"/>
                <w:color w:val="auto"/>
                <w:kern w:val="0"/>
                <w:sz w:val="21"/>
                <w:szCs w:val="21"/>
                <w:highlight w:val="none"/>
              </w:rPr>
              <w:t>（</w:t>
            </w:r>
            <w:r>
              <w:rPr>
                <w:rFonts w:hint="eastAsia" w:ascii="Times New Roman"/>
                <w:color w:val="auto"/>
                <w:kern w:val="0"/>
                <w:sz w:val="21"/>
                <w:szCs w:val="21"/>
                <w:highlight w:val="none"/>
              </w:rPr>
              <w:t>1</w:t>
            </w:r>
            <w:r>
              <w:rPr>
                <w:rFonts w:hint="eastAsia" w:hAnsi="宋体"/>
                <w:color w:val="auto"/>
                <w:kern w:val="0"/>
                <w:sz w:val="21"/>
                <w:szCs w:val="21"/>
                <w:highlight w:val="none"/>
              </w:rPr>
              <w:t>）确定</w:t>
            </w:r>
            <w:r>
              <w:rPr>
                <w:rFonts w:hint="eastAsia" w:ascii="Times New Roman" w:eastAsia="宋体"/>
                <w:b/>
                <w:bCs/>
                <w:snapToGrid w:val="0"/>
                <w:color w:val="auto"/>
                <w:kern w:val="0"/>
                <w:highlight w:val="none"/>
                <w:lang w:eastAsia="zh-CN"/>
              </w:rPr>
              <w:t>最高投标限价</w:t>
            </w:r>
            <w:r>
              <w:rPr>
                <w:rFonts w:hint="eastAsia" w:hAnsi="宋体"/>
                <w:color w:val="auto"/>
                <w:kern w:val="0"/>
                <w:sz w:val="21"/>
                <w:szCs w:val="21"/>
                <w:highlight w:val="none"/>
              </w:rPr>
              <w:t>下浮系数</w:t>
            </w:r>
            <w:r>
              <w:rPr>
                <w:rFonts w:hint="eastAsia" w:ascii="Times New Roman"/>
                <w:color w:val="auto"/>
                <w:kern w:val="0"/>
                <w:sz w:val="21"/>
                <w:szCs w:val="21"/>
                <w:highlight w:val="none"/>
              </w:rPr>
              <w:t>n</w:t>
            </w:r>
            <w:r>
              <w:rPr>
                <w:rFonts w:hint="eastAsia" w:hAnsi="宋体"/>
                <w:color w:val="auto"/>
                <w:kern w:val="0"/>
                <w:sz w:val="21"/>
                <w:szCs w:val="21"/>
                <w:highlight w:val="none"/>
              </w:rPr>
              <w:t>：用</w:t>
            </w:r>
            <w:r>
              <w:rPr>
                <w:rFonts w:hint="eastAsia" w:ascii="Times New Roman"/>
                <w:color w:val="auto"/>
                <w:kern w:val="0"/>
                <w:sz w:val="21"/>
                <w:szCs w:val="21"/>
                <w:highlight w:val="none"/>
              </w:rPr>
              <w:t>1</w:t>
            </w:r>
            <w:r>
              <w:rPr>
                <w:rFonts w:hint="eastAsia" w:hAnsi="宋体"/>
                <w:color w:val="auto"/>
                <w:kern w:val="0"/>
                <w:sz w:val="21"/>
                <w:szCs w:val="21"/>
                <w:highlight w:val="none"/>
              </w:rPr>
              <w:t>～</w:t>
            </w:r>
            <w:r>
              <w:rPr>
                <w:rFonts w:hint="eastAsia" w:ascii="Times New Roman"/>
                <w:color w:val="auto"/>
                <w:kern w:val="0"/>
                <w:sz w:val="21"/>
                <w:szCs w:val="21"/>
                <w:highlight w:val="none"/>
              </w:rPr>
              <w:t>21</w:t>
            </w:r>
            <w:r>
              <w:rPr>
                <w:rFonts w:hint="eastAsia" w:hAnsi="宋体"/>
                <w:color w:val="auto"/>
                <w:kern w:val="0"/>
                <w:sz w:val="21"/>
                <w:szCs w:val="21"/>
                <w:highlight w:val="none"/>
              </w:rPr>
              <w:t>号球分别代表一个下浮系数，由评委代表从这</w:t>
            </w:r>
            <w:r>
              <w:rPr>
                <w:rFonts w:hint="eastAsia" w:ascii="Times New Roman"/>
                <w:color w:val="auto"/>
                <w:kern w:val="0"/>
                <w:sz w:val="21"/>
                <w:szCs w:val="21"/>
                <w:highlight w:val="none"/>
              </w:rPr>
              <w:t>21</w:t>
            </w:r>
            <w:r>
              <w:rPr>
                <w:rFonts w:hint="eastAsia" w:hAnsi="宋体"/>
                <w:color w:val="auto"/>
                <w:kern w:val="0"/>
                <w:sz w:val="21"/>
                <w:szCs w:val="21"/>
                <w:highlight w:val="none"/>
              </w:rPr>
              <w:t>个号码中随机抽取</w:t>
            </w:r>
            <w:r>
              <w:rPr>
                <w:rFonts w:ascii="Times New Roman"/>
                <w:color w:val="auto"/>
                <w:kern w:val="0"/>
                <w:sz w:val="21"/>
                <w:szCs w:val="21"/>
                <w:highlight w:val="none"/>
                <w:u w:val="single"/>
              </w:rPr>
              <w:t xml:space="preserve"> </w:t>
            </w:r>
            <w:r>
              <w:rPr>
                <w:rFonts w:hint="eastAsia" w:ascii="Times New Roman"/>
                <w:color w:val="auto"/>
                <w:kern w:val="0"/>
                <w:sz w:val="21"/>
                <w:szCs w:val="21"/>
                <w:highlight w:val="none"/>
                <w:u w:val="single"/>
                <w:lang w:val="en-US" w:eastAsia="zh-CN"/>
              </w:rPr>
              <w:t>3</w:t>
            </w:r>
            <w:r>
              <w:rPr>
                <w:rFonts w:hint="eastAsia" w:ascii="Times New Roman"/>
                <w:color w:val="auto"/>
                <w:kern w:val="0"/>
                <w:sz w:val="21"/>
                <w:szCs w:val="21"/>
                <w:highlight w:val="none"/>
                <w:u w:val="single"/>
              </w:rPr>
              <w:t xml:space="preserve"> </w:t>
            </w:r>
            <w:r>
              <w:rPr>
                <w:rFonts w:hint="eastAsia" w:hAnsi="宋体"/>
                <w:color w:val="auto"/>
                <w:kern w:val="0"/>
                <w:sz w:val="21"/>
                <w:szCs w:val="21"/>
                <w:highlight w:val="none"/>
              </w:rPr>
              <w:t>次，每次抽取</w:t>
            </w:r>
            <w:r>
              <w:rPr>
                <w:rFonts w:hint="eastAsia" w:ascii="Times New Roman"/>
                <w:color w:val="auto"/>
                <w:kern w:val="0"/>
                <w:sz w:val="21"/>
                <w:szCs w:val="21"/>
                <w:highlight w:val="none"/>
              </w:rPr>
              <w:t>1</w:t>
            </w:r>
            <w:r>
              <w:rPr>
                <w:rFonts w:hint="eastAsia" w:hAnsi="宋体"/>
                <w:color w:val="auto"/>
                <w:kern w:val="0"/>
                <w:sz w:val="21"/>
                <w:szCs w:val="21"/>
                <w:highlight w:val="none"/>
              </w:rPr>
              <w:t>个号码，抽出的号球不参与下次抽取。所抽取的</w:t>
            </w:r>
            <w:r>
              <w:rPr>
                <w:rFonts w:hint="eastAsia" w:ascii="Times New Roman"/>
                <w:color w:val="auto"/>
                <w:kern w:val="0"/>
                <w:sz w:val="21"/>
                <w:szCs w:val="21"/>
                <w:highlight w:val="none"/>
                <w:lang w:val="en-US" w:eastAsia="zh-CN"/>
              </w:rPr>
              <w:t>3</w:t>
            </w:r>
            <w:r>
              <w:rPr>
                <w:rFonts w:hint="eastAsia" w:hAnsi="宋体"/>
                <w:color w:val="auto"/>
                <w:kern w:val="0"/>
                <w:sz w:val="21"/>
                <w:szCs w:val="21"/>
                <w:highlight w:val="none"/>
              </w:rPr>
              <w:t>个号码对应下浮系数的算术平均值作为</w:t>
            </w:r>
            <w:r>
              <w:rPr>
                <w:rFonts w:hint="eastAsia" w:ascii="Times New Roman" w:eastAsia="宋体"/>
                <w:b/>
                <w:bCs/>
                <w:snapToGrid w:val="0"/>
                <w:color w:val="auto"/>
                <w:kern w:val="0"/>
                <w:highlight w:val="none"/>
                <w:lang w:eastAsia="zh-CN"/>
              </w:rPr>
              <w:t>最高投标限价</w:t>
            </w:r>
            <w:r>
              <w:rPr>
                <w:rFonts w:hint="eastAsia" w:hAnsi="宋体"/>
                <w:color w:val="auto"/>
                <w:kern w:val="0"/>
                <w:sz w:val="21"/>
                <w:szCs w:val="21"/>
                <w:highlight w:val="none"/>
              </w:rPr>
              <w:t>下浮系数</w:t>
            </w:r>
            <w:r>
              <w:rPr>
                <w:rFonts w:hint="eastAsia" w:ascii="Times New Roman"/>
                <w:color w:val="auto"/>
                <w:kern w:val="0"/>
                <w:sz w:val="21"/>
                <w:szCs w:val="21"/>
                <w:highlight w:val="none"/>
              </w:rPr>
              <w:t>n</w:t>
            </w:r>
            <w:r>
              <w:rPr>
                <w:rFonts w:hint="eastAsia" w:hAnsi="宋体"/>
                <w:color w:val="auto"/>
                <w:kern w:val="0"/>
                <w:sz w:val="21"/>
                <w:szCs w:val="21"/>
                <w:highlight w:val="none"/>
              </w:rPr>
              <w:t>。具体号码对应的下浮系数可参考下表。</w:t>
            </w:r>
          </w:p>
          <w:tbl>
            <w:tblPr>
              <w:tblStyle w:val="15"/>
              <w:tblW w:w="0" w:type="auto"/>
              <w:tblInd w:w="113" w:type="dxa"/>
              <w:tblLayout w:type="autofit"/>
              <w:tblCellMar>
                <w:top w:w="0" w:type="dxa"/>
                <w:left w:w="108" w:type="dxa"/>
                <w:bottom w:w="0" w:type="dxa"/>
                <w:right w:w="108" w:type="dxa"/>
              </w:tblCellMar>
            </w:tblPr>
            <w:tblGrid>
              <w:gridCol w:w="1630"/>
              <w:gridCol w:w="883"/>
              <w:gridCol w:w="923"/>
              <w:gridCol w:w="961"/>
              <w:gridCol w:w="943"/>
              <w:gridCol w:w="981"/>
              <w:gridCol w:w="922"/>
              <w:gridCol w:w="911"/>
            </w:tblGrid>
            <w:tr w14:paraId="50FB65B3">
              <w:tblPrEx>
                <w:tblCellMar>
                  <w:top w:w="0" w:type="dxa"/>
                  <w:left w:w="108" w:type="dxa"/>
                  <w:bottom w:w="0" w:type="dxa"/>
                  <w:right w:w="108" w:type="dxa"/>
                </w:tblCellMar>
              </w:tblPrEx>
              <w:trPr>
                <w:trHeight w:val="445"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BC64095">
                  <w:pPr>
                    <w:wordWrap w:val="0"/>
                    <w:spacing w:line="400" w:lineRule="exact"/>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号球</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02038218">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BFB5C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7722C351">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76CAF4D">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9F2BD7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A56F799">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74C93C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7</w:t>
                  </w:r>
                </w:p>
              </w:tc>
            </w:tr>
            <w:tr w14:paraId="4166D097">
              <w:tblPrEx>
                <w:tblCellMar>
                  <w:top w:w="0" w:type="dxa"/>
                  <w:left w:w="108" w:type="dxa"/>
                  <w:bottom w:w="0" w:type="dxa"/>
                  <w:right w:w="108" w:type="dxa"/>
                </w:tblCellMar>
              </w:tblPrEx>
              <w:trPr>
                <w:trHeight w:val="635"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51BF3C08">
                  <w:pPr>
                    <w:wordWrap w:val="0"/>
                    <w:spacing w:line="400" w:lineRule="exact"/>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下浮系数（%）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7440B88">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1.0</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0AC6D3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1.1</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A605943">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1BCD7D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1.3</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9E6C0E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1.4</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5AD212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C43FF71">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1.6</w:t>
                  </w:r>
                </w:p>
              </w:tc>
            </w:tr>
            <w:tr w14:paraId="68ECD740">
              <w:tblPrEx>
                <w:tblCellMar>
                  <w:top w:w="0" w:type="dxa"/>
                  <w:left w:w="108" w:type="dxa"/>
                  <w:bottom w:w="0" w:type="dxa"/>
                  <w:right w:w="108" w:type="dxa"/>
                </w:tblCellMar>
              </w:tblPrEx>
              <w:trPr>
                <w:trHeight w:val="570"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1E2DAAC3">
                  <w:pPr>
                    <w:wordWrap w:val="0"/>
                    <w:spacing w:line="400" w:lineRule="exact"/>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号球</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8D0F26">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8</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8310C21">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9</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52D100E3">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EAE541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11</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1D3B1DB">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12</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97EEE38">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FB1556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14</w:t>
                  </w:r>
                </w:p>
              </w:tc>
            </w:tr>
            <w:tr w14:paraId="732EA246">
              <w:tblPrEx>
                <w:tblCellMar>
                  <w:top w:w="0" w:type="dxa"/>
                  <w:left w:w="108" w:type="dxa"/>
                  <w:bottom w:w="0" w:type="dxa"/>
                  <w:right w:w="108" w:type="dxa"/>
                </w:tblCellMar>
              </w:tblPrEx>
              <w:trPr>
                <w:trHeight w:val="570"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0C157A0F">
                  <w:pPr>
                    <w:wordWrap w:val="0"/>
                    <w:spacing w:line="400" w:lineRule="exact"/>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下浮系数（%）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4210AF3">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1.7</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3AB73B2">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1E25904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1.9</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AF021C5">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2.0</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FEFD743">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CF9B3EC">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8DA0449">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2.3</w:t>
                  </w:r>
                </w:p>
              </w:tc>
            </w:tr>
            <w:tr w14:paraId="2ED5445D">
              <w:tblPrEx>
                <w:tblCellMar>
                  <w:top w:w="0" w:type="dxa"/>
                  <w:left w:w="108" w:type="dxa"/>
                  <w:bottom w:w="0" w:type="dxa"/>
                  <w:right w:w="108" w:type="dxa"/>
                </w:tblCellMar>
              </w:tblPrEx>
              <w:trPr>
                <w:trHeight w:val="521"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35F80AEA">
                  <w:pPr>
                    <w:wordWrap w:val="0"/>
                    <w:spacing w:line="400" w:lineRule="exact"/>
                    <w:ind w:firstLine="420" w:firstLineChars="20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号球</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1C0B2E0">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15</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C35A1F">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16</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135F2AC9">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17</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6685562">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18</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2206CE5">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19</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E1E0E67">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A6A2759">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21</w:t>
                  </w:r>
                </w:p>
              </w:tc>
            </w:tr>
            <w:tr w14:paraId="70123E0B">
              <w:tblPrEx>
                <w:tblCellMar>
                  <w:top w:w="0" w:type="dxa"/>
                  <w:left w:w="108" w:type="dxa"/>
                  <w:bottom w:w="0" w:type="dxa"/>
                  <w:right w:w="108" w:type="dxa"/>
                </w:tblCellMar>
              </w:tblPrEx>
              <w:trPr>
                <w:trHeight w:val="673" w:hRule="atLeast"/>
              </w:trPr>
              <w:tc>
                <w:tcPr>
                  <w:tcW w:w="1630" w:type="dxa"/>
                  <w:tcBorders>
                    <w:top w:val="single" w:color="000000" w:sz="4" w:space="0"/>
                    <w:left w:val="single" w:color="000000" w:sz="4" w:space="0"/>
                    <w:bottom w:val="single" w:color="000000" w:sz="4" w:space="0"/>
                    <w:right w:val="single" w:color="000000" w:sz="4" w:space="0"/>
                  </w:tcBorders>
                  <w:noWrap w:val="0"/>
                  <w:vAlign w:val="center"/>
                </w:tcPr>
                <w:p w14:paraId="3095ABFD">
                  <w:pPr>
                    <w:wordWrap w:val="0"/>
                    <w:spacing w:line="400" w:lineRule="exact"/>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下浮系数（%）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EEA3A5E">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2.4</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DAE573B">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14:paraId="4B61EB0F">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2.6</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1059561">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2.7</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AB9CBD7">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2.8</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84256C9">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A6586A8">
                  <w:pPr>
                    <w:wordWrap w:val="0"/>
                    <w:spacing w:line="400" w:lineRule="exact"/>
                    <w:jc w:val="center"/>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3.0</w:t>
                  </w:r>
                </w:p>
              </w:tc>
            </w:tr>
          </w:tbl>
          <w:p w14:paraId="3F0CEE53">
            <w:pPr>
              <w:wordWrap w:val="0"/>
              <w:spacing w:line="400" w:lineRule="exact"/>
              <w:ind w:firstLine="420" w:firstLineChars="200"/>
              <w:jc w:val="left"/>
              <w:rPr>
                <w:rFonts w:hint="eastAsia" w:ascii="Times New Roman"/>
                <w:color w:val="auto"/>
                <w:kern w:val="0"/>
                <w:sz w:val="21"/>
                <w:szCs w:val="21"/>
                <w:highlight w:val="none"/>
              </w:rPr>
            </w:pPr>
          </w:p>
          <w:p w14:paraId="746D7FF8">
            <w:pPr>
              <w:wordWrap w:val="0"/>
              <w:spacing w:line="400" w:lineRule="exact"/>
              <w:ind w:firstLine="420" w:firstLineChars="200"/>
              <w:jc w:val="left"/>
              <w:rPr>
                <w:rFonts w:ascii="Times New Roman"/>
                <w:color w:val="auto"/>
                <w:kern w:val="0"/>
                <w:sz w:val="21"/>
                <w:szCs w:val="21"/>
                <w:highlight w:val="none"/>
              </w:rPr>
            </w:pPr>
            <w:r>
              <w:rPr>
                <w:rFonts w:hint="eastAsia" w:hAnsi="宋体"/>
                <w:color w:val="auto"/>
                <w:kern w:val="0"/>
                <w:sz w:val="21"/>
                <w:szCs w:val="21"/>
                <w:highlight w:val="none"/>
              </w:rPr>
              <w:t>（</w:t>
            </w:r>
            <w:r>
              <w:rPr>
                <w:rFonts w:hint="eastAsia" w:ascii="Times New Roman"/>
                <w:color w:val="auto"/>
                <w:kern w:val="0"/>
                <w:sz w:val="21"/>
                <w:szCs w:val="21"/>
                <w:highlight w:val="none"/>
              </w:rPr>
              <w:t>2</w:t>
            </w:r>
            <w:r>
              <w:rPr>
                <w:rFonts w:hint="eastAsia" w:hAnsi="宋体"/>
                <w:color w:val="auto"/>
                <w:kern w:val="0"/>
                <w:sz w:val="21"/>
                <w:szCs w:val="21"/>
                <w:highlight w:val="none"/>
              </w:rPr>
              <w:t>）评标基准价</w:t>
            </w:r>
            <w:r>
              <w:rPr>
                <w:rFonts w:hint="eastAsia" w:ascii="Times New Roman"/>
                <w:color w:val="auto"/>
                <w:kern w:val="0"/>
                <w:sz w:val="21"/>
                <w:szCs w:val="21"/>
                <w:highlight w:val="none"/>
              </w:rPr>
              <w:t>D</w:t>
            </w:r>
            <w:r>
              <w:rPr>
                <w:rFonts w:hint="eastAsia" w:hAnsi="宋体"/>
                <w:color w:val="auto"/>
                <w:kern w:val="0"/>
                <w:sz w:val="21"/>
                <w:szCs w:val="21"/>
                <w:highlight w:val="none"/>
              </w:rPr>
              <w:t>＝</w:t>
            </w:r>
            <w:r>
              <w:rPr>
                <w:rFonts w:hint="eastAsia" w:ascii="Times New Roman" w:eastAsia="宋体"/>
                <w:b/>
                <w:bCs/>
                <w:snapToGrid w:val="0"/>
                <w:color w:val="auto"/>
                <w:kern w:val="0"/>
                <w:highlight w:val="none"/>
                <w:lang w:eastAsia="zh-CN"/>
              </w:rPr>
              <w:t>最高投标限价</w:t>
            </w:r>
            <w:r>
              <w:rPr>
                <w:rFonts w:hint="eastAsia" w:hAnsi="宋体"/>
                <w:color w:val="auto"/>
                <w:kern w:val="0"/>
                <w:sz w:val="21"/>
                <w:szCs w:val="21"/>
                <w:highlight w:val="none"/>
              </w:rPr>
              <w:t>×（</w:t>
            </w:r>
            <w:r>
              <w:rPr>
                <w:rFonts w:hint="eastAsia" w:ascii="Times New Roman"/>
                <w:color w:val="auto"/>
                <w:kern w:val="0"/>
                <w:sz w:val="21"/>
                <w:szCs w:val="21"/>
                <w:highlight w:val="none"/>
              </w:rPr>
              <w:t>1</w:t>
            </w:r>
            <w:r>
              <w:rPr>
                <w:rFonts w:hint="eastAsia" w:hAnsi="宋体"/>
                <w:color w:val="auto"/>
                <w:kern w:val="0"/>
                <w:sz w:val="21"/>
                <w:szCs w:val="21"/>
                <w:highlight w:val="none"/>
              </w:rPr>
              <w:t>－</w:t>
            </w:r>
            <w:r>
              <w:rPr>
                <w:rFonts w:hint="eastAsia" w:ascii="Times New Roman"/>
                <w:color w:val="auto"/>
                <w:kern w:val="0"/>
                <w:sz w:val="21"/>
                <w:szCs w:val="21"/>
                <w:highlight w:val="none"/>
              </w:rPr>
              <w:t>n</w:t>
            </w:r>
            <w:r>
              <w:rPr>
                <w:rFonts w:hint="eastAsia" w:hAnsi="宋体"/>
                <w:color w:val="auto"/>
                <w:kern w:val="0"/>
                <w:sz w:val="21"/>
                <w:szCs w:val="21"/>
                <w:highlight w:val="none"/>
              </w:rPr>
              <w:t>）</w:t>
            </w:r>
          </w:p>
        </w:tc>
      </w:tr>
      <w:tr w14:paraId="076ABF58">
        <w:tblPrEx>
          <w:tblCellMar>
            <w:top w:w="0" w:type="dxa"/>
            <w:left w:w="108" w:type="dxa"/>
            <w:bottom w:w="0" w:type="dxa"/>
            <w:right w:w="108" w:type="dxa"/>
          </w:tblCellMar>
        </w:tblPrEx>
        <w:trPr>
          <w:trHeight w:val="3019"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48422D91">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投标报价</w:t>
            </w:r>
          </w:p>
          <w:p w14:paraId="2DD68505">
            <w:pPr>
              <w:pStyle w:val="28"/>
              <w:wordWrap w:val="0"/>
              <w:spacing w:line="400" w:lineRule="exact"/>
              <w:jc w:val="center"/>
              <w:rPr>
                <w:rFonts w:eastAsia="宋体"/>
                <w:color w:val="auto"/>
                <w:kern w:val="0"/>
                <w:highlight w:val="none"/>
              </w:rPr>
            </w:pPr>
            <w:r>
              <w:rPr>
                <w:rFonts w:hint="eastAsia" w:ascii="宋体" w:hAnsi="宋体" w:eastAsia="宋体"/>
                <w:color w:val="auto"/>
                <w:kern w:val="0"/>
                <w:highlight w:val="none"/>
              </w:rPr>
              <w:t>得分</w:t>
            </w:r>
            <w:r>
              <w:rPr>
                <w:rFonts w:hint="eastAsia" w:eastAsia="宋体"/>
                <w:color w:val="auto"/>
                <w:kern w:val="0"/>
                <w:highlight w:val="none"/>
              </w:rPr>
              <w:t>N</w:t>
            </w:r>
          </w:p>
        </w:tc>
        <w:tc>
          <w:tcPr>
            <w:tcW w:w="8615" w:type="dxa"/>
            <w:gridSpan w:val="2"/>
            <w:tcBorders>
              <w:top w:val="single" w:color="auto" w:sz="4" w:space="0"/>
              <w:left w:val="nil"/>
              <w:bottom w:val="single" w:color="auto" w:sz="4" w:space="0"/>
              <w:right w:val="single" w:color="auto" w:sz="4" w:space="0"/>
            </w:tcBorders>
            <w:noWrap w:val="0"/>
            <w:vAlign w:val="center"/>
          </w:tcPr>
          <w:p w14:paraId="4620DC43">
            <w:pPr>
              <w:wordWrap w:val="0"/>
              <w:spacing w:line="400" w:lineRule="exact"/>
              <w:ind w:firstLine="420" w:firstLineChars="200"/>
              <w:jc w:val="left"/>
              <w:rPr>
                <w:rFonts w:ascii="Times New Roman"/>
                <w:color w:val="auto"/>
                <w:kern w:val="0"/>
                <w:sz w:val="21"/>
                <w:szCs w:val="21"/>
                <w:highlight w:val="none"/>
              </w:rPr>
            </w:pPr>
            <w:r>
              <w:rPr>
                <w:rFonts w:hint="eastAsia" w:hAnsi="宋体"/>
                <w:color w:val="auto"/>
                <w:kern w:val="0"/>
                <w:sz w:val="21"/>
                <w:szCs w:val="21"/>
                <w:highlight w:val="none"/>
              </w:rPr>
              <w:t>采用内插法计算某投标人的投标报价得分</w:t>
            </w:r>
            <w:r>
              <w:rPr>
                <w:rFonts w:hint="eastAsia" w:ascii="Times New Roman"/>
                <w:color w:val="auto"/>
                <w:kern w:val="0"/>
                <w:sz w:val="21"/>
                <w:szCs w:val="21"/>
                <w:highlight w:val="none"/>
              </w:rPr>
              <w:t>N</w:t>
            </w:r>
            <w:r>
              <w:rPr>
                <w:rFonts w:hint="eastAsia" w:hAnsi="宋体"/>
                <w:color w:val="auto"/>
                <w:kern w:val="0"/>
                <w:sz w:val="21"/>
                <w:szCs w:val="21"/>
                <w:highlight w:val="none"/>
              </w:rPr>
              <w:t>，即当投标人的投标总价等于评标基准价时得</w:t>
            </w:r>
            <w:r>
              <w:rPr>
                <w:rFonts w:hint="eastAsia" w:ascii="Times New Roman"/>
                <w:color w:val="auto"/>
                <w:kern w:val="0"/>
                <w:sz w:val="21"/>
                <w:szCs w:val="21"/>
                <w:highlight w:val="none"/>
              </w:rPr>
              <w:t>100</w:t>
            </w:r>
            <w:r>
              <w:rPr>
                <w:rFonts w:hint="eastAsia" w:hAnsi="宋体"/>
                <w:color w:val="auto"/>
                <w:kern w:val="0"/>
                <w:sz w:val="21"/>
                <w:szCs w:val="21"/>
                <w:highlight w:val="none"/>
              </w:rPr>
              <w:t>分，每高于评标基准价一个百分点扣</w:t>
            </w:r>
            <w:r>
              <w:rPr>
                <w:rFonts w:hint="eastAsia" w:ascii="Times New Roman"/>
                <w:color w:val="auto"/>
                <w:kern w:val="0"/>
                <w:sz w:val="21"/>
                <w:szCs w:val="21"/>
                <w:highlight w:val="none"/>
              </w:rPr>
              <w:t xml:space="preserve">1 </w:t>
            </w:r>
            <w:r>
              <w:rPr>
                <w:rFonts w:hint="eastAsia" w:hAnsi="宋体"/>
                <w:color w:val="auto"/>
                <w:kern w:val="0"/>
                <w:sz w:val="21"/>
                <w:szCs w:val="21"/>
                <w:highlight w:val="none"/>
              </w:rPr>
              <w:t>分</w:t>
            </w:r>
            <w:r>
              <w:rPr>
                <w:rFonts w:hint="eastAsia" w:ascii="Times New Roman"/>
                <w:color w:val="auto"/>
                <w:kern w:val="0"/>
                <w:sz w:val="21"/>
                <w:szCs w:val="21"/>
                <w:highlight w:val="none"/>
              </w:rPr>
              <w:t xml:space="preserve">, </w:t>
            </w:r>
            <w:r>
              <w:rPr>
                <w:rFonts w:hint="eastAsia" w:hAnsi="宋体"/>
                <w:color w:val="auto"/>
                <w:kern w:val="0"/>
                <w:sz w:val="21"/>
                <w:szCs w:val="21"/>
                <w:highlight w:val="none"/>
              </w:rPr>
              <w:t>每低于评标基准价一个百分点扣</w:t>
            </w:r>
            <w:r>
              <w:rPr>
                <w:rFonts w:hint="eastAsia" w:ascii="Times New Roman"/>
                <w:color w:val="auto"/>
                <w:kern w:val="0"/>
                <w:sz w:val="21"/>
                <w:szCs w:val="21"/>
                <w:highlight w:val="none"/>
              </w:rPr>
              <w:t>0.5</w:t>
            </w:r>
            <w:r>
              <w:rPr>
                <w:rFonts w:hint="eastAsia" w:hAnsi="宋体"/>
                <w:color w:val="auto"/>
                <w:kern w:val="0"/>
                <w:sz w:val="21"/>
                <w:szCs w:val="21"/>
                <w:highlight w:val="none"/>
              </w:rPr>
              <w:t>分，扣完为止。公式如下：</w:t>
            </w:r>
          </w:p>
          <w:p w14:paraId="6725105B">
            <w:pPr>
              <w:wordWrap w:val="0"/>
              <w:spacing w:line="400" w:lineRule="exact"/>
              <w:ind w:firstLine="420" w:firstLineChars="200"/>
              <w:jc w:val="left"/>
              <w:rPr>
                <w:rFonts w:ascii="Times New Roman"/>
                <w:color w:val="auto"/>
                <w:kern w:val="0"/>
                <w:sz w:val="21"/>
                <w:szCs w:val="21"/>
                <w:highlight w:val="none"/>
              </w:rPr>
            </w:pPr>
            <w:r>
              <w:rPr>
                <w:rFonts w:hint="eastAsia" w:ascii="Times New Roman"/>
                <w:color w:val="auto"/>
                <w:kern w:val="0"/>
                <w:sz w:val="21"/>
                <w:szCs w:val="21"/>
                <w:highlight w:val="none"/>
              </w:rPr>
              <w:t>N</w:t>
            </w:r>
            <w:r>
              <w:rPr>
                <w:rFonts w:hint="eastAsia" w:hAnsi="宋体"/>
                <w:color w:val="auto"/>
                <w:kern w:val="0"/>
                <w:sz w:val="21"/>
                <w:szCs w:val="21"/>
                <w:highlight w:val="none"/>
              </w:rPr>
              <w:t>＝</w:t>
            </w:r>
            <w:r>
              <w:rPr>
                <w:rFonts w:hint="eastAsia" w:ascii="Times New Roman"/>
                <w:color w:val="auto"/>
                <w:kern w:val="0"/>
                <w:sz w:val="21"/>
                <w:szCs w:val="21"/>
                <w:highlight w:val="none"/>
              </w:rPr>
              <w:t>100</w:t>
            </w:r>
            <w:r>
              <w:rPr>
                <w:rFonts w:hint="eastAsia" w:hAnsi="宋体"/>
                <w:color w:val="auto"/>
                <w:kern w:val="0"/>
                <w:sz w:val="21"/>
                <w:szCs w:val="21"/>
                <w:highlight w:val="none"/>
              </w:rPr>
              <w:t>－（</w:t>
            </w:r>
            <w:r>
              <w:rPr>
                <w:rFonts w:hint="eastAsia" w:ascii="Times New Roman"/>
                <w:color w:val="auto"/>
                <w:kern w:val="0"/>
                <w:sz w:val="21"/>
                <w:szCs w:val="21"/>
                <w:highlight w:val="none"/>
              </w:rPr>
              <w:t>| Di</w:t>
            </w:r>
            <w:r>
              <w:rPr>
                <w:rFonts w:hint="eastAsia" w:hAnsi="宋体"/>
                <w:color w:val="auto"/>
                <w:kern w:val="0"/>
                <w:sz w:val="21"/>
                <w:szCs w:val="21"/>
                <w:highlight w:val="none"/>
              </w:rPr>
              <w:t>－</w:t>
            </w:r>
            <w:r>
              <w:rPr>
                <w:rFonts w:hint="eastAsia" w:ascii="Times New Roman"/>
                <w:color w:val="auto"/>
                <w:kern w:val="0"/>
                <w:sz w:val="21"/>
                <w:szCs w:val="21"/>
                <w:highlight w:val="none"/>
              </w:rPr>
              <w:t xml:space="preserve">D | </w:t>
            </w:r>
            <w:r>
              <w:rPr>
                <w:rFonts w:hint="eastAsia" w:hAnsi="宋体"/>
                <w:color w:val="auto"/>
                <w:kern w:val="0"/>
                <w:sz w:val="21"/>
                <w:szCs w:val="21"/>
                <w:highlight w:val="none"/>
              </w:rPr>
              <w:t>÷</w:t>
            </w:r>
            <w:r>
              <w:rPr>
                <w:rFonts w:hint="eastAsia" w:ascii="Times New Roman"/>
                <w:color w:val="auto"/>
                <w:kern w:val="0"/>
                <w:sz w:val="21"/>
                <w:szCs w:val="21"/>
                <w:highlight w:val="none"/>
              </w:rPr>
              <w:t>D</w:t>
            </w:r>
            <w:r>
              <w:rPr>
                <w:rFonts w:hint="eastAsia" w:hAnsi="宋体"/>
                <w:color w:val="auto"/>
                <w:kern w:val="0"/>
                <w:sz w:val="21"/>
                <w:szCs w:val="21"/>
                <w:highlight w:val="none"/>
              </w:rPr>
              <w:t>）×</w:t>
            </w:r>
            <w:r>
              <w:rPr>
                <w:rFonts w:hint="eastAsia" w:ascii="Times New Roman"/>
                <w:color w:val="auto"/>
                <w:kern w:val="0"/>
                <w:sz w:val="21"/>
                <w:szCs w:val="21"/>
                <w:highlight w:val="none"/>
              </w:rPr>
              <w:t>100</w:t>
            </w:r>
            <w:r>
              <w:rPr>
                <w:rFonts w:hint="eastAsia" w:hAnsi="宋体"/>
                <w:color w:val="auto"/>
                <w:kern w:val="0"/>
                <w:sz w:val="21"/>
                <w:szCs w:val="21"/>
                <w:highlight w:val="none"/>
              </w:rPr>
              <w:t>×</w:t>
            </w:r>
            <w:r>
              <w:rPr>
                <w:rFonts w:hint="eastAsia" w:ascii="Times New Roman"/>
                <w:color w:val="auto"/>
                <w:kern w:val="0"/>
                <w:sz w:val="21"/>
                <w:szCs w:val="21"/>
                <w:highlight w:val="none"/>
              </w:rPr>
              <w:t>E</w:t>
            </w:r>
          </w:p>
          <w:p w14:paraId="71082B84">
            <w:pPr>
              <w:wordWrap w:val="0"/>
              <w:spacing w:line="400" w:lineRule="exact"/>
              <w:ind w:firstLine="420" w:firstLineChars="200"/>
              <w:jc w:val="left"/>
              <w:rPr>
                <w:rFonts w:ascii="Times New Roman"/>
                <w:color w:val="auto"/>
                <w:kern w:val="0"/>
                <w:sz w:val="21"/>
                <w:szCs w:val="21"/>
                <w:highlight w:val="none"/>
              </w:rPr>
            </w:pPr>
            <w:r>
              <w:rPr>
                <w:rFonts w:hint="eastAsia" w:hAnsi="宋体"/>
                <w:color w:val="auto"/>
                <w:kern w:val="0"/>
                <w:sz w:val="21"/>
                <w:szCs w:val="21"/>
                <w:highlight w:val="none"/>
              </w:rPr>
              <w:t>式中：</w:t>
            </w:r>
            <w:r>
              <w:rPr>
                <w:rFonts w:hint="eastAsia" w:ascii="Times New Roman"/>
                <w:color w:val="auto"/>
                <w:kern w:val="0"/>
                <w:sz w:val="21"/>
                <w:szCs w:val="21"/>
                <w:highlight w:val="none"/>
              </w:rPr>
              <w:t>D</w:t>
            </w:r>
            <w:r>
              <w:rPr>
                <w:rFonts w:hint="eastAsia" w:hAnsi="宋体"/>
                <w:color w:val="auto"/>
                <w:kern w:val="0"/>
                <w:sz w:val="21"/>
                <w:szCs w:val="21"/>
                <w:highlight w:val="none"/>
              </w:rPr>
              <w:t>为评标基准价；</w:t>
            </w:r>
            <w:r>
              <w:rPr>
                <w:rFonts w:hint="eastAsia" w:ascii="Times New Roman"/>
                <w:color w:val="auto"/>
                <w:kern w:val="0"/>
                <w:sz w:val="21"/>
                <w:szCs w:val="21"/>
                <w:highlight w:val="none"/>
              </w:rPr>
              <w:t>Di</w:t>
            </w:r>
            <w:r>
              <w:rPr>
                <w:rFonts w:hint="eastAsia" w:hAnsi="宋体"/>
                <w:color w:val="auto"/>
                <w:kern w:val="0"/>
                <w:sz w:val="21"/>
                <w:szCs w:val="21"/>
                <w:highlight w:val="none"/>
              </w:rPr>
              <w:t>为某投标人的投标总价；</w:t>
            </w:r>
            <w:r>
              <w:rPr>
                <w:rFonts w:hint="eastAsia" w:ascii="Times New Roman"/>
                <w:color w:val="auto"/>
                <w:kern w:val="0"/>
                <w:sz w:val="21"/>
                <w:szCs w:val="21"/>
                <w:highlight w:val="none"/>
              </w:rPr>
              <w:t>E</w:t>
            </w:r>
            <w:r>
              <w:rPr>
                <w:rFonts w:hint="eastAsia" w:hAnsi="宋体"/>
                <w:color w:val="auto"/>
                <w:kern w:val="0"/>
                <w:sz w:val="21"/>
                <w:szCs w:val="21"/>
                <w:highlight w:val="none"/>
              </w:rPr>
              <w:t>为扣分因子，当</w:t>
            </w:r>
            <w:r>
              <w:rPr>
                <w:rFonts w:hint="eastAsia" w:ascii="Times New Roman"/>
                <w:color w:val="auto"/>
                <w:kern w:val="0"/>
                <w:sz w:val="21"/>
                <w:szCs w:val="21"/>
                <w:highlight w:val="none"/>
              </w:rPr>
              <w:t>Di</w:t>
            </w:r>
            <w:r>
              <w:rPr>
                <w:rFonts w:hint="eastAsia" w:hAnsi="宋体"/>
                <w:color w:val="auto"/>
                <w:kern w:val="0"/>
                <w:sz w:val="21"/>
                <w:szCs w:val="21"/>
                <w:highlight w:val="none"/>
              </w:rPr>
              <w:t>＞</w:t>
            </w:r>
            <w:r>
              <w:rPr>
                <w:rFonts w:hint="eastAsia" w:ascii="Times New Roman"/>
                <w:color w:val="auto"/>
                <w:kern w:val="0"/>
                <w:sz w:val="21"/>
                <w:szCs w:val="21"/>
                <w:highlight w:val="none"/>
              </w:rPr>
              <w:t>D</w:t>
            </w:r>
            <w:r>
              <w:rPr>
                <w:rFonts w:hint="eastAsia" w:hAnsi="宋体"/>
                <w:color w:val="auto"/>
                <w:kern w:val="0"/>
                <w:sz w:val="21"/>
                <w:szCs w:val="21"/>
                <w:highlight w:val="none"/>
              </w:rPr>
              <w:t>时，</w:t>
            </w:r>
            <w:r>
              <w:rPr>
                <w:rFonts w:hint="eastAsia" w:ascii="Times New Roman"/>
                <w:color w:val="auto"/>
                <w:kern w:val="0"/>
                <w:sz w:val="21"/>
                <w:szCs w:val="21"/>
                <w:highlight w:val="none"/>
              </w:rPr>
              <w:t>E</w:t>
            </w:r>
            <w:r>
              <w:rPr>
                <w:rFonts w:hint="eastAsia" w:hAnsi="宋体"/>
                <w:color w:val="auto"/>
                <w:kern w:val="0"/>
                <w:sz w:val="21"/>
                <w:szCs w:val="21"/>
                <w:highlight w:val="none"/>
              </w:rPr>
              <w:t>＝</w:t>
            </w:r>
            <w:r>
              <w:rPr>
                <w:rFonts w:hint="eastAsia" w:ascii="Times New Roman"/>
                <w:color w:val="auto"/>
                <w:kern w:val="0"/>
                <w:sz w:val="21"/>
                <w:szCs w:val="21"/>
                <w:highlight w:val="none"/>
              </w:rPr>
              <w:t xml:space="preserve">1 </w:t>
            </w:r>
            <w:r>
              <w:rPr>
                <w:rFonts w:hint="eastAsia" w:hAnsi="宋体"/>
                <w:color w:val="auto"/>
                <w:kern w:val="0"/>
                <w:sz w:val="21"/>
                <w:szCs w:val="21"/>
                <w:highlight w:val="none"/>
              </w:rPr>
              <w:t>；当</w:t>
            </w:r>
            <w:r>
              <w:rPr>
                <w:rFonts w:hint="eastAsia" w:ascii="Times New Roman"/>
                <w:color w:val="auto"/>
                <w:kern w:val="0"/>
                <w:sz w:val="21"/>
                <w:szCs w:val="21"/>
                <w:highlight w:val="none"/>
              </w:rPr>
              <w:t>Di</w:t>
            </w:r>
            <w:r>
              <w:rPr>
                <w:rFonts w:hint="eastAsia" w:hAnsi="宋体"/>
                <w:color w:val="auto"/>
                <w:kern w:val="0"/>
                <w:sz w:val="21"/>
                <w:szCs w:val="21"/>
                <w:highlight w:val="none"/>
              </w:rPr>
              <w:t>＜</w:t>
            </w:r>
            <w:r>
              <w:rPr>
                <w:rFonts w:hint="eastAsia" w:ascii="Times New Roman"/>
                <w:color w:val="auto"/>
                <w:kern w:val="0"/>
                <w:sz w:val="21"/>
                <w:szCs w:val="21"/>
                <w:highlight w:val="none"/>
              </w:rPr>
              <w:t>D</w:t>
            </w:r>
            <w:r>
              <w:rPr>
                <w:rFonts w:hint="eastAsia" w:hAnsi="宋体"/>
                <w:color w:val="auto"/>
                <w:kern w:val="0"/>
                <w:sz w:val="21"/>
                <w:szCs w:val="21"/>
                <w:highlight w:val="none"/>
              </w:rPr>
              <w:t>时，</w:t>
            </w:r>
            <w:r>
              <w:rPr>
                <w:rFonts w:hint="eastAsia" w:ascii="Times New Roman"/>
                <w:color w:val="auto"/>
                <w:kern w:val="0"/>
                <w:sz w:val="21"/>
                <w:szCs w:val="21"/>
                <w:highlight w:val="none"/>
              </w:rPr>
              <w:t>E</w:t>
            </w:r>
            <w:r>
              <w:rPr>
                <w:rFonts w:hint="eastAsia" w:hAnsi="宋体"/>
                <w:color w:val="auto"/>
                <w:kern w:val="0"/>
                <w:sz w:val="21"/>
                <w:szCs w:val="21"/>
                <w:highlight w:val="none"/>
              </w:rPr>
              <w:t>＝</w:t>
            </w:r>
            <w:r>
              <w:rPr>
                <w:rFonts w:hint="eastAsia" w:ascii="Times New Roman"/>
                <w:color w:val="auto"/>
                <w:kern w:val="0"/>
                <w:sz w:val="21"/>
                <w:szCs w:val="21"/>
                <w:highlight w:val="none"/>
              </w:rPr>
              <w:t>0.5</w:t>
            </w:r>
            <w:r>
              <w:rPr>
                <w:rFonts w:hint="eastAsia" w:hAnsi="宋体"/>
                <w:color w:val="auto"/>
                <w:kern w:val="0"/>
                <w:sz w:val="21"/>
                <w:szCs w:val="21"/>
                <w:highlight w:val="none"/>
              </w:rPr>
              <w:t>。</w:t>
            </w:r>
          </w:p>
        </w:tc>
      </w:tr>
    </w:tbl>
    <w:p w14:paraId="5B313CB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7B89C24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7A7E13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13897"/>
      <w:bookmarkStart w:id="139" w:name="_Toc2769"/>
      <w:bookmarkStart w:id="140" w:name="_Toc19232"/>
      <w:bookmarkStart w:id="141" w:name="_Toc18711"/>
      <w:bookmarkStart w:id="142" w:name="_Toc7762"/>
      <w:bookmarkStart w:id="143" w:name="_Toc32569"/>
      <w:bookmarkStart w:id="144" w:name="_Toc10900"/>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E2EF6D0">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C0D1AC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F27877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52AFC36">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3F4223C">
      <w:pPr>
        <w:spacing w:before="78" w:line="220" w:lineRule="auto"/>
        <w:jc w:val="both"/>
        <w:outlineLvl w:val="1"/>
        <w:rPr>
          <w:rFonts w:hint="eastAsia" w:ascii="宋体" w:hAnsi="宋体" w:eastAsia="宋体" w:cs="宋体"/>
          <w:b/>
          <w:bCs/>
          <w:color w:val="auto"/>
          <w:spacing w:val="-3"/>
          <w:sz w:val="24"/>
          <w:szCs w:val="24"/>
          <w:highlight w:val="none"/>
        </w:rPr>
      </w:pPr>
    </w:p>
    <w:p w14:paraId="0AEE7CF2">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45" w:name="_Toc16554"/>
    </w:p>
    <w:p w14:paraId="0BB69E2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746322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FA77B8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224951DE">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7062C79">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23E10897">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70BF4A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2A1319D7">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B4EE4EA">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9776D66">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2CA3F3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52F067C">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4B59586">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3F3F889">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3528DEA">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1D59CE0">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452466A">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2FE8272">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19371A">
      <w:pPr>
        <w:spacing w:before="78" w:line="220" w:lineRule="auto"/>
        <w:ind w:left="9"/>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1EFFC73A">
      <w:pPr>
        <w:pStyle w:val="6"/>
        <w:spacing w:line="256" w:lineRule="auto"/>
        <w:rPr>
          <w:rFonts w:hint="eastAsia" w:ascii="宋体" w:hAnsi="宋体" w:eastAsia="宋体" w:cs="宋体"/>
          <w:color w:val="auto"/>
          <w:highlight w:val="none"/>
        </w:rPr>
      </w:pPr>
    </w:p>
    <w:p w14:paraId="70DA8BC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160261BC">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1AEC6BC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D8B8E4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55F4CA1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1B67E4F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311DFE69">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C0F58AC">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2545E35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D70902A">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26483CE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0C2F9E3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58201269">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59FDCAA7">
      <w:pPr>
        <w:spacing w:before="151" w:line="360" w:lineRule="auto"/>
        <w:ind w:right="21" w:firstLine="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（4）出现两个或两个以上投标总价的（同一个投标总价大、小写不一致的除外）；投标总价超出</w:t>
      </w:r>
      <w:r>
        <w:rPr>
          <w:rFonts w:hint="eastAsia" w:ascii="宋体" w:hAnsi="宋体" w:eastAsia="宋体" w:cs="宋体"/>
          <w:color w:val="auto"/>
          <w:spacing w:val="-2"/>
          <w:sz w:val="24"/>
          <w:szCs w:val="24"/>
          <w:highlight w:val="none"/>
          <w:lang w:val="en-US" w:eastAsia="zh-CN"/>
        </w:rPr>
        <w:t>最高投标限价</w:t>
      </w:r>
      <w:r>
        <w:rPr>
          <w:rFonts w:hint="eastAsia" w:ascii="宋体" w:hAnsi="宋体" w:eastAsia="宋体" w:cs="宋体"/>
          <w:color w:val="auto"/>
          <w:spacing w:val="-2"/>
          <w:sz w:val="24"/>
          <w:szCs w:val="24"/>
          <w:highlight w:val="none"/>
        </w:rPr>
        <w:t>的；安全生产措施费少于规定的；暂列金额、暂估价未按照招标工程量清单统一报价的；擅自修改、增减招标工程量清单项目（包括措施项目）的；投标人的投标报价低于招标项目的成本警示价但未提供成本分析资料等报价依据</w:t>
      </w:r>
      <w:r>
        <w:rPr>
          <w:rFonts w:hint="eastAsia" w:ascii="宋体" w:hAnsi="宋体" w:eastAsia="宋体" w:cs="宋体"/>
          <w:color w:val="auto"/>
          <w:spacing w:val="-2"/>
          <w:sz w:val="24"/>
          <w:szCs w:val="24"/>
          <w:highlight w:val="none"/>
          <w:lang w:eastAsia="zh-CN"/>
        </w:rPr>
        <w:t>；</w:t>
      </w:r>
    </w:p>
    <w:p w14:paraId="2C7202B0">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成本警示价＝最高投标限价×85%。如果某投标人的投标报价低于招标项目的成本警示价，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13FAA707">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661EC0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00B2008F">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pacing w:val="-6"/>
          <w:sz w:val="24"/>
          <w:szCs w:val="24"/>
          <w:highlight w:val="none"/>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6"/>
          <w:sz w:val="24"/>
          <w:szCs w:val="24"/>
          <w:highlight w:val="none"/>
          <w:lang w:val="en-US" w:eastAsia="zh-CN"/>
        </w:rPr>
        <w:t>⑨监督部门于韶关市公共交易一体化平台发现系统提示风险预警，如提示投标单位上传投标文件使用的电脑IP地址一致等。</w:t>
      </w:r>
    </w:p>
    <w:p w14:paraId="5B7C83AF">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6"/>
          <w:sz w:val="24"/>
          <w:szCs w:val="24"/>
          <w:highlight w:val="none"/>
        </w:rPr>
      </w:pPr>
    </w:p>
    <w:p w14:paraId="55EEBDA7">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22BE35D4">
      <w:pPr>
        <w:pStyle w:val="6"/>
        <w:spacing w:line="256" w:lineRule="auto"/>
        <w:rPr>
          <w:rFonts w:hint="eastAsia" w:ascii="宋体" w:hAnsi="宋体" w:eastAsia="宋体" w:cs="宋体"/>
          <w:color w:val="auto"/>
          <w:highlight w:val="none"/>
        </w:rPr>
      </w:pPr>
    </w:p>
    <w:p w14:paraId="48FF6F1A">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rPr>
      </w:pPr>
      <w:r>
        <w:rPr>
          <w:rStyle w:val="21"/>
          <w:rFonts w:hint="eastAsia" w:hAnsi="宋体" w:eastAsia="宋体" w:cs="宋体"/>
          <w:b/>
          <w:bCs/>
          <w:color w:val="auto"/>
          <w:kern w:val="0"/>
          <w:sz w:val="24"/>
          <w:szCs w:val="24"/>
          <w:highlight w:val="none"/>
          <w:lang w:val="en-US" w:eastAsia="zh-CN"/>
        </w:rPr>
        <w:t>1.</w:t>
      </w:r>
      <w:r>
        <w:rPr>
          <w:rStyle w:val="21"/>
          <w:rFonts w:hint="eastAsia" w:ascii="宋体" w:hAnsi="宋体" w:eastAsia="宋体" w:cs="宋体"/>
          <w:b/>
          <w:bCs/>
          <w:color w:val="auto"/>
          <w:kern w:val="0"/>
          <w:sz w:val="24"/>
          <w:szCs w:val="24"/>
          <w:highlight w:val="none"/>
          <w:lang w:eastAsia="zh-CN"/>
        </w:rPr>
        <w:t>确定</w:t>
      </w:r>
      <w:r>
        <w:rPr>
          <w:rStyle w:val="21"/>
          <w:rFonts w:hint="eastAsia" w:ascii="宋体" w:hAnsi="宋体" w:eastAsia="宋体" w:cs="宋体"/>
          <w:b/>
          <w:bCs/>
          <w:color w:val="auto"/>
          <w:kern w:val="0"/>
          <w:sz w:val="24"/>
          <w:szCs w:val="24"/>
          <w:highlight w:val="none"/>
        </w:rPr>
        <w:t>定标时间</w:t>
      </w:r>
    </w:p>
    <w:p w14:paraId="4A4B0186">
      <w:pPr>
        <w:keepNext w:val="0"/>
        <w:keepLines w:val="0"/>
        <w:pageBreakBefore w:val="0"/>
        <w:wordWrap/>
        <w:overflowPunct/>
        <w:topLinePunct w:val="0"/>
        <w:bidi w:val="0"/>
        <w:spacing w:line="360" w:lineRule="auto"/>
        <w:ind w:firstLine="480" w:firstLineChars="200"/>
        <w:rPr>
          <w:color w:val="auto"/>
          <w:highlight w:val="none"/>
        </w:rPr>
      </w:pPr>
      <w:r>
        <w:rPr>
          <w:rFonts w:hint="eastAsia"/>
          <w:color w:val="auto"/>
          <w:sz w:val="24"/>
          <w:szCs w:val="24"/>
          <w:highlight w:val="none"/>
          <w:lang w:eastAsia="zh-CN"/>
        </w:rPr>
        <w:t>定标会由招标人组织，原则上应当在定标候选人公示结束后5个工作日内</w:t>
      </w:r>
      <w:r>
        <w:rPr>
          <w:rFonts w:hint="eastAsia"/>
          <w:color w:val="auto"/>
          <w:sz w:val="24"/>
          <w:szCs w:val="24"/>
          <w:highlight w:val="none"/>
          <w:lang w:val="en-US" w:eastAsia="zh-CN"/>
        </w:rPr>
        <w:t>进入韶关市</w:t>
      </w:r>
      <w:r>
        <w:rPr>
          <w:rFonts w:hint="eastAsia"/>
          <w:color w:val="auto"/>
          <w:sz w:val="24"/>
          <w:szCs w:val="24"/>
          <w:highlight w:val="none"/>
          <w:lang w:eastAsia="zh-CN"/>
        </w:rPr>
        <w:t>公共资源交易</w:t>
      </w:r>
      <w:r>
        <w:rPr>
          <w:rFonts w:hint="eastAsia"/>
          <w:color w:val="auto"/>
          <w:sz w:val="24"/>
          <w:szCs w:val="24"/>
          <w:highlight w:val="none"/>
          <w:lang w:val="en-US" w:eastAsia="zh-CN"/>
        </w:rPr>
        <w:t>中心召开定标会议,</w:t>
      </w:r>
      <w:r>
        <w:rPr>
          <w:rFonts w:hint="eastAsia"/>
          <w:color w:val="auto"/>
          <w:sz w:val="24"/>
          <w:szCs w:val="24"/>
          <w:highlight w:val="none"/>
        </w:rPr>
        <w:t>定标会议全过程录音录像</w:t>
      </w:r>
      <w:r>
        <w:rPr>
          <w:rFonts w:hint="eastAsia"/>
          <w:color w:val="auto"/>
          <w:sz w:val="24"/>
          <w:szCs w:val="24"/>
          <w:highlight w:val="none"/>
          <w:lang w:eastAsia="zh-CN"/>
        </w:rPr>
        <w:t>，不</w:t>
      </w:r>
      <w:r>
        <w:rPr>
          <w:rFonts w:hint="eastAsia"/>
          <w:color w:val="auto"/>
          <w:sz w:val="24"/>
          <w:szCs w:val="24"/>
          <w:highlight w:val="none"/>
          <w:lang w:val="en-US" w:eastAsia="zh-CN"/>
        </w:rPr>
        <w:t>能按时定标的，</w:t>
      </w:r>
      <w:r>
        <w:rPr>
          <w:rFonts w:hint="eastAsia"/>
          <w:color w:val="auto"/>
          <w:sz w:val="24"/>
          <w:szCs w:val="24"/>
          <w:highlight w:val="none"/>
          <w:lang w:eastAsia="zh-CN"/>
        </w:rPr>
        <w:t>应当</w:t>
      </w:r>
      <w:r>
        <w:rPr>
          <w:rFonts w:hint="eastAsia"/>
          <w:color w:val="auto"/>
          <w:sz w:val="24"/>
          <w:szCs w:val="24"/>
          <w:highlight w:val="none"/>
        </w:rPr>
        <w:t>通过</w:t>
      </w:r>
      <w:r>
        <w:rPr>
          <w:rFonts w:hint="eastAsia"/>
          <w:color w:val="auto"/>
          <w:sz w:val="24"/>
          <w:szCs w:val="24"/>
          <w:highlight w:val="none"/>
          <w:lang w:val="en-US" w:eastAsia="zh-CN"/>
        </w:rPr>
        <w:t>广东省招标投标监管网和全国公共资源交易平台（广东省·韶关市）</w:t>
      </w:r>
      <w:r>
        <w:rPr>
          <w:rFonts w:hint="eastAsia"/>
          <w:color w:val="auto"/>
          <w:sz w:val="24"/>
          <w:szCs w:val="24"/>
          <w:highlight w:val="none"/>
        </w:rPr>
        <w:t>公布延期原因和</w:t>
      </w:r>
      <w:r>
        <w:rPr>
          <w:rFonts w:hint="eastAsia"/>
          <w:color w:val="auto"/>
          <w:sz w:val="24"/>
          <w:szCs w:val="24"/>
          <w:highlight w:val="none"/>
          <w:lang w:eastAsia="zh-CN"/>
        </w:rPr>
        <w:t>最终</w:t>
      </w:r>
      <w:r>
        <w:rPr>
          <w:rFonts w:hint="eastAsia"/>
          <w:color w:val="auto"/>
          <w:sz w:val="24"/>
          <w:szCs w:val="24"/>
          <w:highlight w:val="none"/>
        </w:rPr>
        <w:t>定标时间。</w:t>
      </w:r>
      <w:r>
        <w:rPr>
          <w:rFonts w:hint="eastAsia"/>
          <w:color w:val="auto"/>
          <w:sz w:val="24"/>
          <w:szCs w:val="24"/>
          <w:highlight w:val="none"/>
          <w:lang w:eastAsia="zh-CN"/>
        </w:rPr>
        <w:t>若招标人需要对定标候选人或拟派项目负责人进行考察的，定标时间可以适当延迟，但延迟一般不超过 3 个工作日。</w:t>
      </w:r>
    </w:p>
    <w:p w14:paraId="6B39F061">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rPr>
      </w:pPr>
    </w:p>
    <w:p w14:paraId="1ADC89B1">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eastAsia="zh-CN"/>
        </w:rPr>
      </w:pPr>
      <w:r>
        <w:rPr>
          <w:rStyle w:val="21"/>
          <w:rFonts w:hint="eastAsia" w:hAnsi="宋体" w:eastAsia="宋体" w:cs="宋体"/>
          <w:b/>
          <w:bCs/>
          <w:color w:val="auto"/>
          <w:kern w:val="0"/>
          <w:sz w:val="24"/>
          <w:szCs w:val="24"/>
          <w:highlight w:val="none"/>
          <w:lang w:val="en-US" w:eastAsia="zh-CN"/>
        </w:rPr>
        <w:t>2</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定标委员会</w:t>
      </w:r>
    </w:p>
    <w:p w14:paraId="771B5860">
      <w:pPr>
        <w:keepNext w:val="0"/>
        <w:keepLines w:val="0"/>
        <w:pageBreakBefore w:val="0"/>
        <w:wordWrap/>
        <w:overflowPunct/>
        <w:topLinePunct w:val="0"/>
        <w:bidi w:val="0"/>
        <w:spacing w:line="360" w:lineRule="auto"/>
        <w:ind w:firstLine="480" w:firstLineChars="200"/>
        <w:rPr>
          <w:rStyle w:val="21"/>
          <w:rFonts w:hint="eastAsia" w:hAnsi="宋体" w:eastAsia="宋体" w:cs="宋体"/>
          <w:b w:val="0"/>
          <w:bCs w:val="0"/>
          <w:color w:val="auto"/>
          <w:kern w:val="0"/>
          <w:sz w:val="24"/>
          <w:szCs w:val="24"/>
          <w:highlight w:val="none"/>
          <w:lang w:val="en-US" w:eastAsia="zh-CN"/>
        </w:rPr>
      </w:pPr>
      <w:r>
        <w:rPr>
          <w:rStyle w:val="21"/>
          <w:rFonts w:hint="eastAsia" w:hAnsi="宋体" w:eastAsia="宋体" w:cs="宋体"/>
          <w:b w:val="0"/>
          <w:bCs w:val="0"/>
          <w:color w:val="auto"/>
          <w:kern w:val="0"/>
          <w:sz w:val="24"/>
          <w:szCs w:val="24"/>
          <w:highlight w:val="none"/>
          <w:lang w:val="en-US" w:eastAsia="zh-CN"/>
        </w:rPr>
        <w:t>2.1定标委员会实行招标人负责制，由招标人的法定代表人或者主要负责人负责组建和管理。定标委员会的组成方式和人员由招标人自行确定，成员原则上从招标人、项目业主、代建管理机构或者使用单位的领导班子成员、经营管理人员，或具备中级及以上职称、具有注册职业资格证的工程技术（经济）人员中产生，以上人员难以满足时也可从广东省综合评标评审专家库抽取补足(专家人数原则上不超过2人)，成员数量为7人以上单数，成员数量应在招标文件中明确。定标委员会应当推荐定标组长，招标人（不含代理机构）的法定代表人或者主要负责人参加定标委员会的，由其直接担任定标委员会组长。定标委员会名单在中标结果公告前应当保密。</w:t>
      </w:r>
    </w:p>
    <w:p w14:paraId="2AB8281C">
      <w:pPr>
        <w:keepNext w:val="0"/>
        <w:keepLines w:val="0"/>
        <w:pageBreakBefore w:val="0"/>
        <w:wordWrap/>
        <w:overflowPunct/>
        <w:topLinePunct w:val="0"/>
        <w:bidi w:val="0"/>
        <w:spacing w:line="360" w:lineRule="auto"/>
        <w:ind w:firstLine="480" w:firstLineChars="200"/>
        <w:rPr>
          <w:rStyle w:val="21"/>
          <w:rFonts w:hint="eastAsia" w:hAnsi="宋体" w:eastAsia="宋体" w:cs="宋体"/>
          <w:b w:val="0"/>
          <w:bCs w:val="0"/>
          <w:color w:val="auto"/>
          <w:kern w:val="0"/>
          <w:sz w:val="24"/>
          <w:szCs w:val="24"/>
          <w:highlight w:val="none"/>
          <w:lang w:val="en-US" w:eastAsia="zh-CN"/>
        </w:rPr>
      </w:pPr>
      <w:r>
        <w:rPr>
          <w:rStyle w:val="21"/>
          <w:rFonts w:hint="eastAsia" w:hAnsi="宋体" w:eastAsia="宋体" w:cs="宋体"/>
          <w:b w:val="0"/>
          <w:bCs w:val="0"/>
          <w:color w:val="auto"/>
          <w:kern w:val="0"/>
          <w:sz w:val="24"/>
          <w:szCs w:val="24"/>
          <w:highlight w:val="none"/>
          <w:lang w:val="en-US" w:eastAsia="zh-CN"/>
        </w:rPr>
        <w:t>2.2定标委员会应从评标委员会推荐的定标候选人中确定1名中标人，并向招标人提交书面定标报告。定标委员会成员应客观、公正地履行定标职责，在未公示中标结果前，对定标过程和结果严格保密，根据评标委员会的评标报告、综合考虑报价、技术、信用、招标人的清标和前期考察结果（如有）等因素，严格按照法律法规的规定和招标文件规定的定标办法、定标要素、“择优”和“比劣”标准，从评标委员会推荐的定标候选人中择优确定中标人，并对所提出的定标意见承担相应责任。</w:t>
      </w:r>
    </w:p>
    <w:p w14:paraId="739A3242">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hAnsi="宋体" w:eastAsia="宋体" w:cs="宋体"/>
          <w:b/>
          <w:bCs/>
          <w:color w:val="auto"/>
          <w:kern w:val="0"/>
          <w:sz w:val="24"/>
          <w:szCs w:val="24"/>
          <w:highlight w:val="none"/>
          <w:lang w:val="en-US" w:eastAsia="zh-CN"/>
        </w:rPr>
        <w:t>3</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招标人应及时组建招标监督小组，招标监督小组原则上由不少于 3 人组成，人员可由招标人直接委派，也可以从招标人的上级主管单位、项目业主单位、使用单位等补充委派，并确定一名组长负责统筹监督工作。同一人不得同时担任定标委员会成员和招标监督小组成员中的两个角色。招标监督小组的职责是对定标委员会的组建、定标过程及招标人在定标前的清标环节和对定标候选人的考察等进行全程监督，确保定标过程公正、公平。发现异常情况及时提醒、进行纠正，但不得就定标涉及的实质内容发表意见或者参与定标讨论。</w:t>
      </w:r>
    </w:p>
    <w:p w14:paraId="674FA459">
      <w:pPr>
        <w:keepNext w:val="0"/>
        <w:keepLines w:val="0"/>
        <w:pageBreakBefore w:val="0"/>
        <w:wordWrap/>
        <w:overflowPunct/>
        <w:topLinePunct w:val="0"/>
        <w:bidi w:val="0"/>
        <w:spacing w:line="360" w:lineRule="auto"/>
        <w:ind w:firstLine="482" w:firstLineChars="200"/>
        <w:rPr>
          <w:rFonts w:hint="eastAsia"/>
          <w:color w:val="auto"/>
          <w:sz w:val="24"/>
          <w:szCs w:val="24"/>
          <w:highlight w:val="none"/>
        </w:rPr>
      </w:pPr>
      <w:r>
        <w:rPr>
          <w:rStyle w:val="21"/>
          <w:rFonts w:hint="eastAsia" w:hAnsi="宋体" w:eastAsia="宋体" w:cs="宋体"/>
          <w:b/>
          <w:bCs/>
          <w:color w:val="auto"/>
          <w:kern w:val="0"/>
          <w:sz w:val="24"/>
          <w:szCs w:val="24"/>
          <w:highlight w:val="none"/>
          <w:lang w:val="en-US" w:eastAsia="zh-CN"/>
        </w:rPr>
        <w:t>4</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定标办法</w:t>
      </w:r>
      <w:bookmarkStart w:id="152" w:name="OLE_LINK3"/>
      <w:r>
        <w:rPr>
          <w:rStyle w:val="21"/>
          <w:rFonts w:hint="eastAsia" w:ascii="宋体" w:hAnsi="宋体" w:eastAsia="宋体" w:cs="宋体"/>
          <w:b/>
          <w:bCs/>
          <w:color w:val="auto"/>
          <w:kern w:val="0"/>
          <w:sz w:val="24"/>
          <w:szCs w:val="24"/>
          <w:highlight w:val="none"/>
          <w:lang w:eastAsia="zh-CN"/>
        </w:rPr>
        <w:t>：</w:t>
      </w:r>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33A6A2F0">
      <w:pPr>
        <w:keepNext w:val="0"/>
        <w:keepLines w:val="0"/>
        <w:pageBreakBefore w:val="0"/>
        <w:wordWrap/>
        <w:overflowPunct/>
        <w:topLinePunct w:val="0"/>
        <w:bidi w:val="0"/>
        <w:spacing w:line="360" w:lineRule="auto"/>
        <w:ind w:firstLine="482" w:firstLineChars="200"/>
        <w:rPr>
          <w:rStyle w:val="21"/>
          <w:rFonts w:hint="eastAsia" w:hAnsi="宋体" w:eastAsia="宋体" w:cs="宋体"/>
          <w:b/>
          <w:bCs/>
          <w:color w:val="auto"/>
          <w:kern w:val="0"/>
          <w:sz w:val="24"/>
          <w:szCs w:val="24"/>
          <w:highlight w:val="none"/>
          <w:lang w:val="en-US" w:eastAsia="zh-CN"/>
        </w:rPr>
      </w:pPr>
      <w:r>
        <w:rPr>
          <w:rStyle w:val="21"/>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5CFE57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auto"/>
          <w:highlight w:val="none"/>
        </w:rPr>
      </w:pPr>
      <w:r>
        <w:rPr>
          <w:rFonts w:hint="eastAsia" w:ascii="宋体" w:hAnsi="宋体" w:eastAsia="宋体" w:cs="宋体"/>
          <w:b w:val="0"/>
          <w:i w:val="0"/>
          <w:snapToGrid/>
          <w:color w:val="auto"/>
          <w:sz w:val="24"/>
          <w:szCs w:val="24"/>
          <w:highlight w:val="none"/>
          <w:u w:val="none"/>
          <w:shd w:val="clear" w:color="auto" w:fill="FFFFFF"/>
          <w:lang w:eastAsia="zh-CN"/>
        </w:rPr>
        <w:t>定标委员会成员对定标候选人进行记名投票，得票最高的即为中标人。当最高得票相同时，对得票最高的定标候选人再次进行记名投票，直至选出中标人。</w:t>
      </w:r>
    </w:p>
    <w:p w14:paraId="72D904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lang w:val="en-US" w:eastAsia="zh-CN"/>
        </w:rPr>
        <w:t>定标会议</w:t>
      </w:r>
      <w:r>
        <w:rPr>
          <w:rFonts w:hint="eastAsia" w:ascii="宋体" w:hAnsi="宋体" w:eastAsia="宋体" w:cs="宋体"/>
          <w:color w:val="auto"/>
          <w:sz w:val="24"/>
          <w:szCs w:val="24"/>
          <w:highlight w:val="none"/>
          <w:u w:val="none"/>
          <w:shd w:val="clear" w:color="auto" w:fill="FFFFFF"/>
        </w:rPr>
        <w:t>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07D906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当最高得票相同时，对得票最高的定标候选人再次进行记名投票，直至选出中标人。</w:t>
      </w:r>
    </w:p>
    <w:p w14:paraId="51702C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p>
    <w:p w14:paraId="555EF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w:t>
      </w:r>
      <w:r>
        <w:rPr>
          <w:rFonts w:hint="eastAsia" w:ascii="宋体" w:hAnsi="宋体" w:eastAsia="宋体" w:cs="宋体"/>
          <w:b w:val="0"/>
          <w:bCs/>
          <w:color w:val="auto"/>
          <w:sz w:val="24"/>
          <w:szCs w:val="24"/>
          <w:highlight w:val="none"/>
          <w:lang w:val="en-US" w:eastAsia="zh-CN"/>
        </w:rPr>
        <w:t>定标会议</w:t>
      </w:r>
      <w:r>
        <w:rPr>
          <w:rFonts w:hint="eastAsia" w:ascii="宋体" w:hAnsi="宋体" w:eastAsia="宋体" w:cs="宋体"/>
          <w:b w:val="0"/>
          <w:bCs/>
          <w:color w:val="auto"/>
          <w:sz w:val="24"/>
          <w:szCs w:val="24"/>
          <w:highlight w:val="none"/>
          <w:lang w:eastAsia="zh-CN"/>
        </w:rPr>
        <w:t>的全过程进行监督，确保程序合规、记录完整，结论形成过程公正、透明。</w:t>
      </w:r>
    </w:p>
    <w:p w14:paraId="514476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D1A8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（3）企业实力</w:t>
      </w:r>
    </w:p>
    <w:p w14:paraId="4B3A49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相对标准：企业实力强的定标候选人优于企业实力一般的定标候选人。</w:t>
      </w:r>
    </w:p>
    <w:p w14:paraId="78122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5EA464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A1190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46D6BB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1"/>
          <w:rFonts w:hint="eastAsia" w:ascii="宋体" w:hAnsi="宋体" w:eastAsia="宋体" w:cs="宋体"/>
          <w:b w:val="0"/>
          <w:bCs w:val="0"/>
          <w:color w:val="auto"/>
          <w:kern w:val="0"/>
          <w:sz w:val="24"/>
          <w:szCs w:val="24"/>
          <w:highlight w:val="none"/>
          <w:lang w:val="en-US" w:eastAsia="zh-CN"/>
        </w:rPr>
        <w:t>后</w:t>
      </w:r>
      <w:r>
        <w:rPr>
          <w:rStyle w:val="21"/>
          <w:rFonts w:hint="eastAsia" w:ascii="宋体" w:hAnsi="宋体" w:eastAsia="宋体" w:cs="宋体"/>
          <w:color w:val="auto"/>
          <w:kern w:val="0"/>
          <w:sz w:val="24"/>
          <w:szCs w:val="24"/>
          <w:highlight w:val="none"/>
          <w:lang w:val="en-US" w:eastAsia="zh-CN"/>
        </w:rPr>
        <w:t>，招标人应于定标会结束后3日内将定标结果在广东省招标投标监管网和韶关市公共资源交易中心工程交易系统上公示，公示时间不少于3日。招标人及行政监督主管部门按照有关法律法规处理有关异议投诉。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Style w:val="4"/>
        <w:rPr>
          <w:rFonts w:hint="eastAsia" w:ascii="宋体" w:hAnsi="宋体" w:eastAsia="宋体" w:cs="宋体"/>
          <w:b/>
          <w:bCs/>
          <w:color w:val="auto"/>
          <w:spacing w:val="-7"/>
          <w:sz w:val="24"/>
          <w:szCs w:val="24"/>
          <w:highlight w:val="none"/>
        </w:rPr>
      </w:pPr>
    </w:p>
    <w:p w14:paraId="36F36E07">
      <w:pPr>
        <w:rPr>
          <w:rFonts w:hint="eastAsia" w:ascii="宋体" w:hAnsi="宋体" w:eastAsia="宋体" w:cs="宋体"/>
          <w:b/>
          <w:bCs/>
          <w:color w:val="auto"/>
          <w:spacing w:val="-7"/>
          <w:sz w:val="24"/>
          <w:szCs w:val="24"/>
          <w:highlight w:val="none"/>
        </w:rPr>
      </w:pPr>
    </w:p>
    <w:p w14:paraId="7F98C488">
      <w:pPr>
        <w:pStyle w:val="4"/>
        <w:rPr>
          <w:rFonts w:hint="eastAsia" w:ascii="宋体" w:hAnsi="宋体" w:eastAsia="宋体" w:cs="宋体"/>
          <w:b/>
          <w:bCs/>
          <w:color w:val="auto"/>
          <w:spacing w:val="-7"/>
          <w:sz w:val="24"/>
          <w:szCs w:val="24"/>
          <w:highlight w:val="none"/>
        </w:rPr>
      </w:pPr>
    </w:p>
    <w:p w14:paraId="191F5911">
      <w:pPr>
        <w:rPr>
          <w:rFonts w:hint="eastAsia" w:ascii="宋体" w:hAnsi="宋体" w:eastAsia="宋体" w:cs="宋体"/>
          <w:b/>
          <w:bCs/>
          <w:color w:val="auto"/>
          <w:spacing w:val="-7"/>
          <w:sz w:val="24"/>
          <w:szCs w:val="24"/>
          <w:highlight w:val="none"/>
        </w:rPr>
      </w:pPr>
    </w:p>
    <w:p w14:paraId="44391741">
      <w:pPr>
        <w:pStyle w:val="4"/>
        <w:rPr>
          <w:rFonts w:hint="eastAsia" w:ascii="宋体" w:hAnsi="宋体" w:eastAsia="宋体" w:cs="宋体"/>
          <w:b/>
          <w:bCs/>
          <w:color w:val="auto"/>
          <w:spacing w:val="-7"/>
          <w:sz w:val="24"/>
          <w:szCs w:val="24"/>
          <w:highlight w:val="none"/>
        </w:rPr>
      </w:pPr>
    </w:p>
    <w:p w14:paraId="11E28027">
      <w:pPr>
        <w:rPr>
          <w:rFonts w:hint="eastAsia" w:ascii="宋体" w:hAnsi="宋体" w:eastAsia="宋体" w:cs="宋体"/>
          <w:b/>
          <w:bCs/>
          <w:color w:val="auto"/>
          <w:spacing w:val="-7"/>
          <w:sz w:val="24"/>
          <w:szCs w:val="24"/>
          <w:highlight w:val="none"/>
        </w:rPr>
      </w:pPr>
    </w:p>
    <w:p w14:paraId="3477D15B">
      <w:pPr>
        <w:pStyle w:val="4"/>
        <w:rPr>
          <w:rFonts w:hint="eastAsia"/>
          <w:color w:val="auto"/>
          <w:highlight w:val="none"/>
        </w:rPr>
      </w:pPr>
    </w:p>
    <w:p w14:paraId="2C5E3E54">
      <w:pPr>
        <w:pStyle w:val="4"/>
        <w:rPr>
          <w:rFonts w:hint="eastAsia"/>
          <w:color w:val="auto"/>
          <w:highlight w:val="none"/>
        </w:rPr>
      </w:pPr>
    </w:p>
    <w:p w14:paraId="78DC9753">
      <w:pPr>
        <w:rPr>
          <w:rFonts w:hint="eastAsia" w:ascii="宋体" w:hAnsi="宋体" w:eastAsia="宋体" w:cs="宋体"/>
          <w:b/>
          <w:bCs/>
          <w:color w:val="auto"/>
          <w:spacing w:val="-7"/>
          <w:sz w:val="24"/>
          <w:szCs w:val="24"/>
          <w:highlight w:val="none"/>
        </w:rPr>
      </w:pPr>
    </w:p>
    <w:p w14:paraId="216120B9">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3CDF5EC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824BC27">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674D3F8">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中标人确定。定标结果公示期满无异议的，招标人确认中标人，中标人的投标报价即为中标价。</w:t>
      </w:r>
    </w:p>
    <w:p w14:paraId="75540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在中标人确定之日起七日内向中标人发出中标通知书并将中标结果通知其他投标人。在中标通知书发出后五日内，将投标保证金及银行同期存款利息退回定标候选人以外的投标人，在书面合同订立之日起五日内将投标保证金及银行同期存款利息退回中标人和其他定标候选人。（具体投标保证金退回按韶关市公共资源交易中心相应规定操作）</w:t>
      </w:r>
    </w:p>
    <w:p w14:paraId="13C86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定标结果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2.2在定标候选人和定标结果公示期间有关评标结果的异议成立的，招标人原则上应当组织原评标委员会和原定标委员会对有关的问题予以纠正，问题纠正后再公示定标候选人和中标人。</w:t>
      </w:r>
    </w:p>
    <w:p w14:paraId="2D44F3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3"/>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8"/>
          <w:rFonts w:hint="eastAsia" w:ascii="宋体" w:hAnsi="宋体" w:eastAsia="宋体" w:cs="宋体"/>
          <w:b/>
          <w:bCs/>
          <w:i w:val="0"/>
          <w:color w:val="auto"/>
          <w:sz w:val="24"/>
          <w:szCs w:val="24"/>
          <w:highlight w:val="none"/>
          <w:lang w:val="en-US" w:eastAsia="zh-CN"/>
        </w:rPr>
        <w:t>3</w:t>
      </w:r>
      <w:r>
        <w:rPr>
          <w:rStyle w:val="18"/>
          <w:rFonts w:hint="eastAsia" w:ascii="宋体" w:hAnsi="宋体" w:eastAsia="宋体" w:cs="宋体"/>
          <w:b/>
          <w:bCs/>
          <w:i w:val="0"/>
          <w:color w:val="auto"/>
          <w:sz w:val="24"/>
          <w:szCs w:val="24"/>
          <w:highlight w:val="none"/>
        </w:rPr>
        <w:t>．废除授标</w:t>
      </w:r>
      <w:bookmarkEnd w:id="155"/>
      <w:r>
        <w:rPr>
          <w:rStyle w:val="18"/>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3.1评定标完成后，中标人有下列情形之一的，招标人应按规定取消中标人资格或废除授标：</w:t>
      </w:r>
    </w:p>
    <w:p w14:paraId="5761E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中标人被取消中标人资格或废除授标，招标人可以组织定标委员会召开定标会议重新进行定标，重新定标后再进行定标结果公示。如果招标人认为其他定标候选人的条件明显不利于招标人的，也可以重新招标。</w:t>
      </w:r>
    </w:p>
    <w:p w14:paraId="456F4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wordWrap/>
        <w:overflowPunct/>
        <w:topLinePunct w:val="0"/>
        <w:bidi w:val="0"/>
        <w:spacing w:line="360" w:lineRule="auto"/>
        <w:rPr>
          <w:rFonts w:hint="eastAsia"/>
          <w:color w:val="auto"/>
          <w:sz w:val="24"/>
          <w:szCs w:val="24"/>
          <w:highlight w:val="none"/>
        </w:rPr>
        <w:sectPr>
          <w:headerReference r:id="rId10" w:type="default"/>
          <w:footerReference r:id="rId11" w:type="default"/>
          <w:endnotePr>
            <w:numFmt w:val="decimal"/>
          </w:endnotePr>
          <w:pgSz w:w="11906" w:h="16838"/>
          <w:pgMar w:top="1247" w:right="1304" w:bottom="1247" w:left="1304" w:header="850" w:footer="544" w:gutter="0"/>
          <w:cols w:space="720" w:num="1"/>
          <w:rtlGutter w:val="0"/>
          <w:docGrid w:linePitch="327" w:charSpace="0"/>
        </w:sectPr>
      </w:pPr>
    </w:p>
    <w:p w14:paraId="5413A7C9">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73FD4C9A">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72AC753B">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w:t>
      </w:r>
      <w:r>
        <w:rPr>
          <w:rFonts w:hint="eastAsia" w:ascii="宋体" w:hAnsi="宋体" w:eastAsia="宋体" w:cs="宋体"/>
          <w:color w:val="auto"/>
          <w:spacing w:val="1"/>
          <w:sz w:val="24"/>
          <w:szCs w:val="24"/>
          <w:highlight w:val="none"/>
          <w:lang w:val="en-US" w:eastAsia="zh-CN"/>
        </w:rPr>
        <w:t>应</w:t>
      </w:r>
      <w:r>
        <w:rPr>
          <w:rFonts w:hint="eastAsia" w:ascii="宋体" w:hAnsi="宋体" w:eastAsia="宋体" w:cs="宋体"/>
          <w:color w:val="auto"/>
          <w:spacing w:val="1"/>
          <w:sz w:val="24"/>
          <w:szCs w:val="24"/>
          <w:highlight w:val="none"/>
        </w:rPr>
        <w:t>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6"/>
        <w:spacing w:line="394" w:lineRule="auto"/>
        <w:rPr>
          <w:rFonts w:hint="eastAsia" w:ascii="宋体" w:hAnsi="宋体" w:eastAsia="宋体" w:cs="宋体"/>
          <w:color w:val="auto"/>
          <w:highlight w:val="none"/>
        </w:rPr>
      </w:pPr>
    </w:p>
    <w:p w14:paraId="4EF45B28">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4213F0D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6"/>
        <w:spacing w:line="475" w:lineRule="auto"/>
        <w:rPr>
          <w:rFonts w:hint="eastAsia" w:ascii="宋体" w:hAnsi="宋体" w:eastAsia="宋体" w:cs="宋体"/>
          <w:color w:val="auto"/>
          <w:highlight w:val="none"/>
        </w:rPr>
      </w:pPr>
    </w:p>
    <w:p w14:paraId="0D126311">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768BD984">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10</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C84C9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6"/>
        <w:spacing w:line="256" w:lineRule="auto"/>
        <w:rPr>
          <w:rFonts w:hint="eastAsia" w:ascii="宋体" w:hAnsi="宋体" w:eastAsia="宋体" w:cs="宋体"/>
          <w:color w:val="auto"/>
          <w:highlight w:val="none"/>
        </w:rPr>
      </w:pPr>
    </w:p>
    <w:p w14:paraId="0EC79573">
      <w:pPr>
        <w:pStyle w:val="6"/>
        <w:spacing w:line="257" w:lineRule="auto"/>
        <w:rPr>
          <w:rFonts w:hint="eastAsia" w:ascii="宋体" w:hAnsi="宋体" w:eastAsia="宋体" w:cs="宋体"/>
          <w:color w:val="auto"/>
          <w:highlight w:val="none"/>
        </w:rPr>
      </w:pPr>
    </w:p>
    <w:p w14:paraId="6839761F">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76D76CF8">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w:t>
      </w:r>
      <w:r>
        <w:rPr>
          <w:rFonts w:hint="eastAsia" w:ascii="宋体" w:hAnsi="宋体" w:eastAsia="宋体" w:cs="宋体"/>
          <w:color w:val="auto"/>
          <w:spacing w:val="-2"/>
          <w:sz w:val="24"/>
          <w:szCs w:val="24"/>
          <w:highlight w:val="none"/>
          <w:lang w:eastAsia="zh-CN"/>
        </w:rPr>
        <w:t>定标</w:t>
      </w:r>
      <w:r>
        <w:rPr>
          <w:rFonts w:hint="eastAsia" w:ascii="宋体" w:hAnsi="宋体" w:eastAsia="宋体" w:cs="宋体"/>
          <w:color w:val="auto"/>
          <w:spacing w:val="-2"/>
          <w:sz w:val="24"/>
          <w:szCs w:val="24"/>
          <w:highlight w:val="none"/>
        </w:rPr>
        <w:t>候选人。</w:t>
      </w:r>
    </w:p>
    <w:p w14:paraId="556FD923">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28920CC3">
      <w:pPr>
        <w:spacing w:before="150" w:line="319" w:lineRule="auto"/>
        <w:ind w:left="12" w:right="91" w:firstLine="477"/>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w:t>
      </w:r>
      <w:r>
        <w:rPr>
          <w:rFonts w:hint="eastAsia" w:ascii="宋体" w:hAnsi="宋体" w:eastAsia="宋体" w:cs="宋体"/>
          <w:color w:val="auto"/>
          <w:spacing w:val="-2"/>
          <w:sz w:val="24"/>
          <w:szCs w:val="24"/>
          <w:highlight w:val="none"/>
          <w:lang w:val="en-US" w:eastAsia="zh-CN"/>
        </w:rPr>
        <w:t>招标人可以组织定标委员会召开定标会议重新进行定标，重新定标后再进行定标结果公示，</w:t>
      </w:r>
      <w:r>
        <w:rPr>
          <w:rFonts w:hint="eastAsia" w:ascii="宋体" w:hAnsi="宋体" w:eastAsia="宋体" w:cs="宋体"/>
          <w:color w:val="auto"/>
          <w:spacing w:val="-2"/>
          <w:sz w:val="24"/>
          <w:szCs w:val="24"/>
          <w:highlight w:val="none"/>
        </w:rPr>
        <w:t>如果招标人认为其他</w:t>
      </w:r>
      <w:r>
        <w:rPr>
          <w:rFonts w:hint="eastAsia" w:ascii="宋体" w:hAnsi="宋体" w:eastAsia="宋体" w:cs="宋体"/>
          <w:color w:val="auto"/>
          <w:spacing w:val="-2"/>
          <w:sz w:val="24"/>
          <w:szCs w:val="24"/>
          <w:highlight w:val="none"/>
          <w:lang w:eastAsia="zh-CN"/>
        </w:rPr>
        <w:t>定标</w:t>
      </w:r>
    </w:p>
    <w:p w14:paraId="68CE2017">
      <w:pPr>
        <w:spacing w:before="150" w:line="319" w:lineRule="auto"/>
        <w:ind w:left="12" w:right="91" w:firstLine="477"/>
        <w:jc w:val="both"/>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14A6FD87">
      <w:pPr>
        <w:spacing w:before="79" w:line="298" w:lineRule="auto"/>
        <w:ind w:left="10" w:right="91" w:firstLine="47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z w:val="24"/>
          <w:szCs w:val="24"/>
          <w:highlight w:val="none"/>
        </w:rPr>
        <w:t xml:space="preserve"> 中标人因不可抗力提出不能履行合同的，须在领取中标通知书之日起 10 天内提供有关证明文件或资料，其投标保证予以退还。</w:t>
      </w:r>
      <w:r>
        <w:rPr>
          <w:rFonts w:hint="eastAsia" w:ascii="宋体" w:hAnsi="宋体" w:eastAsia="宋体" w:cs="宋体"/>
          <w:color w:val="auto"/>
          <w:sz w:val="24"/>
          <w:szCs w:val="24"/>
          <w:highlight w:val="none"/>
          <w:lang w:val="en-US" w:eastAsia="zh-CN"/>
        </w:rPr>
        <w:t>招标人可以组织定标委员会召开定标会议重新进行定标，重新定标后再进行定标结果公示</w:t>
      </w:r>
      <w:r>
        <w:rPr>
          <w:rFonts w:hint="eastAsia" w:ascii="宋体" w:hAnsi="宋体" w:eastAsia="宋体" w:cs="宋体"/>
          <w:color w:val="auto"/>
          <w:sz w:val="24"/>
          <w:szCs w:val="24"/>
          <w:highlight w:val="none"/>
        </w:rPr>
        <w:t>，如果招标人认为其他</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标候选人的条件明显不利于招标人的，也可以重新招标。</w:t>
      </w:r>
    </w:p>
    <w:p w14:paraId="3A26C76E">
      <w:pPr>
        <w:spacing w:before="78" w:line="219" w:lineRule="auto"/>
        <w:ind w:left="2923"/>
        <w:outlineLvl w:val="0"/>
        <w:rPr>
          <w:rFonts w:hint="eastAsia" w:ascii="宋体" w:hAnsi="宋体" w:eastAsia="宋体" w:cs="宋体"/>
          <w:b/>
          <w:bCs/>
          <w:color w:val="auto"/>
          <w:spacing w:val="-3"/>
          <w:sz w:val="24"/>
          <w:szCs w:val="24"/>
          <w:highlight w:val="none"/>
        </w:rPr>
      </w:pPr>
      <w:bookmarkStart w:id="162" w:name="bookmark86"/>
      <w:bookmarkEnd w:id="162"/>
      <w:bookmarkStart w:id="163" w:name="_Toc7715"/>
    </w:p>
    <w:p w14:paraId="22AE8F3F">
      <w:pPr>
        <w:spacing w:before="78" w:line="219" w:lineRule="auto"/>
        <w:ind w:left="2923"/>
        <w:outlineLvl w:val="0"/>
        <w:rPr>
          <w:rFonts w:hint="eastAsia" w:ascii="宋体" w:hAnsi="宋体" w:eastAsia="宋体" w:cs="宋体"/>
          <w:b/>
          <w:bCs/>
          <w:color w:val="auto"/>
          <w:spacing w:val="-3"/>
          <w:sz w:val="24"/>
          <w:szCs w:val="24"/>
          <w:highlight w:val="none"/>
        </w:rPr>
      </w:pPr>
    </w:p>
    <w:p w14:paraId="0BD69CF5">
      <w:pPr>
        <w:spacing w:before="78" w:line="219" w:lineRule="auto"/>
        <w:ind w:left="2923"/>
        <w:outlineLvl w:val="0"/>
        <w:rPr>
          <w:rFonts w:hint="eastAsia" w:ascii="宋体" w:hAnsi="宋体" w:eastAsia="宋体" w:cs="宋体"/>
          <w:b/>
          <w:bCs/>
          <w:color w:val="auto"/>
          <w:spacing w:val="-3"/>
          <w:sz w:val="24"/>
          <w:szCs w:val="24"/>
          <w:highlight w:val="none"/>
        </w:rPr>
      </w:pPr>
    </w:p>
    <w:p w14:paraId="0619869C">
      <w:pPr>
        <w:spacing w:before="78" w:line="219" w:lineRule="auto"/>
        <w:ind w:left="2923"/>
        <w:outlineLvl w:val="0"/>
        <w:rPr>
          <w:rFonts w:hint="eastAsia" w:ascii="宋体" w:hAnsi="宋体" w:eastAsia="宋体" w:cs="宋体"/>
          <w:b/>
          <w:bCs/>
          <w:color w:val="auto"/>
          <w:spacing w:val="-3"/>
          <w:sz w:val="24"/>
          <w:szCs w:val="24"/>
          <w:highlight w:val="none"/>
        </w:rPr>
      </w:pPr>
    </w:p>
    <w:p w14:paraId="36B59A73">
      <w:pPr>
        <w:spacing w:before="78" w:line="219" w:lineRule="auto"/>
        <w:ind w:left="2923"/>
        <w:outlineLvl w:val="0"/>
        <w:rPr>
          <w:rFonts w:hint="eastAsia" w:ascii="宋体" w:hAnsi="宋体" w:eastAsia="宋体" w:cs="宋体"/>
          <w:b/>
          <w:bCs/>
          <w:color w:val="auto"/>
          <w:spacing w:val="-3"/>
          <w:sz w:val="24"/>
          <w:szCs w:val="24"/>
          <w:highlight w:val="none"/>
        </w:rPr>
      </w:pPr>
    </w:p>
    <w:p w14:paraId="0C8A88F8">
      <w:pPr>
        <w:spacing w:before="78" w:line="219" w:lineRule="auto"/>
        <w:ind w:left="2923"/>
        <w:outlineLvl w:val="0"/>
        <w:rPr>
          <w:rFonts w:hint="eastAsia" w:ascii="宋体" w:hAnsi="宋体" w:eastAsia="宋体" w:cs="宋体"/>
          <w:b/>
          <w:bCs/>
          <w:color w:val="auto"/>
          <w:spacing w:val="-3"/>
          <w:sz w:val="24"/>
          <w:szCs w:val="24"/>
          <w:highlight w:val="none"/>
        </w:rPr>
      </w:pPr>
    </w:p>
    <w:p w14:paraId="77F7DAF7">
      <w:pPr>
        <w:spacing w:before="78" w:line="219" w:lineRule="auto"/>
        <w:ind w:left="2923"/>
        <w:outlineLvl w:val="0"/>
        <w:rPr>
          <w:rFonts w:hint="eastAsia" w:ascii="宋体" w:hAnsi="宋体" w:eastAsia="宋体" w:cs="宋体"/>
          <w:b/>
          <w:bCs/>
          <w:color w:val="auto"/>
          <w:spacing w:val="-3"/>
          <w:sz w:val="24"/>
          <w:szCs w:val="24"/>
          <w:highlight w:val="none"/>
        </w:rPr>
      </w:pPr>
    </w:p>
    <w:p w14:paraId="0E942538">
      <w:pPr>
        <w:spacing w:before="78" w:line="219" w:lineRule="auto"/>
        <w:ind w:left="2923"/>
        <w:outlineLvl w:val="0"/>
        <w:rPr>
          <w:rFonts w:hint="eastAsia" w:ascii="宋体" w:hAnsi="宋体" w:eastAsia="宋体" w:cs="宋体"/>
          <w:b/>
          <w:bCs/>
          <w:color w:val="auto"/>
          <w:spacing w:val="-3"/>
          <w:sz w:val="24"/>
          <w:szCs w:val="24"/>
          <w:highlight w:val="none"/>
        </w:rPr>
      </w:pPr>
    </w:p>
    <w:p w14:paraId="049C6DAC">
      <w:pPr>
        <w:spacing w:before="78" w:line="219" w:lineRule="auto"/>
        <w:ind w:left="2923"/>
        <w:outlineLvl w:val="0"/>
        <w:rPr>
          <w:rFonts w:hint="eastAsia" w:ascii="宋体" w:hAnsi="宋体" w:eastAsia="宋体" w:cs="宋体"/>
          <w:b/>
          <w:bCs/>
          <w:color w:val="auto"/>
          <w:spacing w:val="-3"/>
          <w:sz w:val="24"/>
          <w:szCs w:val="24"/>
          <w:highlight w:val="none"/>
        </w:rPr>
      </w:pPr>
    </w:p>
    <w:p w14:paraId="26268C4E">
      <w:pPr>
        <w:spacing w:before="78" w:line="219" w:lineRule="auto"/>
        <w:ind w:left="2923"/>
        <w:outlineLvl w:val="0"/>
        <w:rPr>
          <w:rFonts w:hint="eastAsia" w:ascii="宋体" w:hAnsi="宋体" w:eastAsia="宋体" w:cs="宋体"/>
          <w:b/>
          <w:bCs/>
          <w:color w:val="auto"/>
          <w:spacing w:val="-3"/>
          <w:sz w:val="24"/>
          <w:szCs w:val="24"/>
          <w:highlight w:val="none"/>
        </w:rPr>
      </w:pPr>
    </w:p>
    <w:p w14:paraId="68EE8031">
      <w:pPr>
        <w:spacing w:before="78" w:line="219" w:lineRule="auto"/>
        <w:ind w:left="2923"/>
        <w:outlineLvl w:val="0"/>
        <w:rPr>
          <w:rFonts w:hint="eastAsia" w:ascii="宋体" w:hAnsi="宋体" w:eastAsia="宋体" w:cs="宋体"/>
          <w:b/>
          <w:bCs/>
          <w:color w:val="auto"/>
          <w:spacing w:val="-3"/>
          <w:sz w:val="24"/>
          <w:szCs w:val="24"/>
          <w:highlight w:val="none"/>
        </w:rPr>
      </w:pPr>
    </w:p>
    <w:p w14:paraId="149B21CB">
      <w:pPr>
        <w:spacing w:before="78" w:line="219" w:lineRule="auto"/>
        <w:ind w:left="2923"/>
        <w:outlineLvl w:val="0"/>
        <w:rPr>
          <w:rFonts w:hint="eastAsia" w:ascii="宋体" w:hAnsi="宋体" w:eastAsia="宋体" w:cs="宋体"/>
          <w:b/>
          <w:bCs/>
          <w:color w:val="auto"/>
          <w:spacing w:val="-3"/>
          <w:sz w:val="24"/>
          <w:szCs w:val="24"/>
          <w:highlight w:val="none"/>
        </w:rPr>
      </w:pPr>
    </w:p>
    <w:p w14:paraId="0A6A9740">
      <w:pPr>
        <w:spacing w:before="78" w:line="219" w:lineRule="auto"/>
        <w:ind w:left="2923"/>
        <w:outlineLvl w:val="0"/>
        <w:rPr>
          <w:rFonts w:hint="eastAsia" w:ascii="宋体" w:hAnsi="宋体" w:eastAsia="宋体" w:cs="宋体"/>
          <w:b/>
          <w:bCs/>
          <w:color w:val="auto"/>
          <w:spacing w:val="-3"/>
          <w:sz w:val="24"/>
          <w:szCs w:val="24"/>
          <w:highlight w:val="none"/>
        </w:rPr>
      </w:pPr>
    </w:p>
    <w:p w14:paraId="6733878D">
      <w:pPr>
        <w:spacing w:before="78" w:line="219" w:lineRule="auto"/>
        <w:ind w:left="2923"/>
        <w:outlineLvl w:val="0"/>
        <w:rPr>
          <w:rFonts w:hint="eastAsia" w:ascii="宋体" w:hAnsi="宋体" w:eastAsia="宋体" w:cs="宋体"/>
          <w:b/>
          <w:bCs/>
          <w:color w:val="auto"/>
          <w:spacing w:val="-3"/>
          <w:sz w:val="24"/>
          <w:szCs w:val="24"/>
          <w:highlight w:val="none"/>
        </w:rPr>
      </w:pPr>
    </w:p>
    <w:p w14:paraId="0A2D86B4">
      <w:pPr>
        <w:spacing w:before="78" w:line="219" w:lineRule="auto"/>
        <w:ind w:left="2923"/>
        <w:outlineLvl w:val="0"/>
        <w:rPr>
          <w:rFonts w:hint="eastAsia" w:ascii="宋体" w:hAnsi="宋体" w:eastAsia="宋体" w:cs="宋体"/>
          <w:b/>
          <w:bCs/>
          <w:color w:val="auto"/>
          <w:spacing w:val="-3"/>
          <w:sz w:val="24"/>
          <w:szCs w:val="24"/>
          <w:highlight w:val="none"/>
        </w:rPr>
      </w:pPr>
    </w:p>
    <w:p w14:paraId="38523F32">
      <w:pPr>
        <w:spacing w:before="78" w:line="219" w:lineRule="auto"/>
        <w:ind w:left="2923"/>
        <w:outlineLvl w:val="0"/>
        <w:rPr>
          <w:rFonts w:hint="eastAsia" w:ascii="宋体" w:hAnsi="宋体" w:eastAsia="宋体" w:cs="宋体"/>
          <w:b/>
          <w:bCs/>
          <w:color w:val="auto"/>
          <w:spacing w:val="-3"/>
          <w:sz w:val="24"/>
          <w:szCs w:val="24"/>
          <w:highlight w:val="none"/>
        </w:rPr>
      </w:pPr>
    </w:p>
    <w:p w14:paraId="30E17FE4">
      <w:pPr>
        <w:spacing w:before="78" w:line="219" w:lineRule="auto"/>
        <w:ind w:left="2923"/>
        <w:outlineLvl w:val="0"/>
        <w:rPr>
          <w:rFonts w:hint="eastAsia" w:ascii="宋体" w:hAnsi="宋体" w:eastAsia="宋体" w:cs="宋体"/>
          <w:b/>
          <w:bCs/>
          <w:color w:val="auto"/>
          <w:spacing w:val="-3"/>
          <w:sz w:val="24"/>
          <w:szCs w:val="24"/>
          <w:highlight w:val="none"/>
        </w:rPr>
      </w:pPr>
    </w:p>
    <w:p w14:paraId="1A72C90A">
      <w:pPr>
        <w:spacing w:before="78" w:line="219" w:lineRule="auto"/>
        <w:ind w:left="2923"/>
        <w:outlineLvl w:val="0"/>
        <w:rPr>
          <w:rFonts w:hint="eastAsia" w:ascii="宋体" w:hAnsi="宋体" w:eastAsia="宋体" w:cs="宋体"/>
          <w:b/>
          <w:bCs/>
          <w:color w:val="auto"/>
          <w:spacing w:val="-3"/>
          <w:sz w:val="24"/>
          <w:szCs w:val="24"/>
          <w:highlight w:val="none"/>
        </w:rPr>
      </w:pPr>
    </w:p>
    <w:p w14:paraId="710B5863">
      <w:pPr>
        <w:spacing w:before="78" w:line="219" w:lineRule="auto"/>
        <w:ind w:left="2923"/>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1B94BC0C">
      <w:pPr>
        <w:pStyle w:val="6"/>
        <w:spacing w:line="257" w:lineRule="auto"/>
        <w:rPr>
          <w:rFonts w:hint="eastAsia" w:ascii="宋体" w:hAnsi="宋体" w:eastAsia="宋体" w:cs="宋体"/>
          <w:color w:val="auto"/>
          <w:highlight w:val="none"/>
        </w:rPr>
      </w:pPr>
    </w:p>
    <w:p w14:paraId="6CC8F324">
      <w:pPr>
        <w:pStyle w:val="6"/>
        <w:spacing w:line="257" w:lineRule="auto"/>
        <w:rPr>
          <w:rFonts w:hint="eastAsia" w:ascii="宋体" w:hAnsi="宋体" w:eastAsia="宋体" w:cs="宋体"/>
          <w:color w:val="auto"/>
          <w:highlight w:val="none"/>
        </w:rPr>
      </w:pPr>
    </w:p>
    <w:p w14:paraId="67BF6DEB">
      <w:pPr>
        <w:spacing w:before="78" w:line="220" w:lineRule="auto"/>
        <w:ind w:left="498"/>
        <w:outlineLvl w:val="2"/>
        <w:rPr>
          <w:rFonts w:hint="eastAsia" w:ascii="宋体" w:hAnsi="宋体" w:eastAsia="宋体" w:cs="宋体"/>
          <w:color w:val="auto"/>
          <w:sz w:val="24"/>
          <w:szCs w:val="24"/>
          <w:highlight w:val="none"/>
        </w:rPr>
      </w:pPr>
      <w:bookmarkStart w:id="164"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26524AE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05998231">
      <w:pPr>
        <w:spacing w:before="154" w:line="219" w:lineRule="auto"/>
        <w:ind w:left="58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7409424A">
      <w:pPr>
        <w:spacing w:before="154" w:line="360" w:lineRule="auto"/>
        <w:ind w:left="580"/>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en-US"/>
        </w:rPr>
        <w:t>1.2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2"/>
          <w:sz w:val="24"/>
          <w:szCs w:val="24"/>
          <w:highlight w:val="none"/>
        </w:rPr>
        <w:t>项目中标后，中标人须配建一定比例的公益项目，并在签订施工合同前，先行签订公益项目捐建协议</w:t>
      </w:r>
      <w:r>
        <w:rPr>
          <w:rFonts w:hint="eastAsia" w:ascii="宋体" w:hAnsi="宋体" w:eastAsia="宋体" w:cs="宋体"/>
          <w:color w:val="auto"/>
          <w:spacing w:val="-2"/>
          <w:sz w:val="24"/>
          <w:szCs w:val="24"/>
          <w:highlight w:val="none"/>
          <w:lang w:eastAsia="zh-CN"/>
        </w:rPr>
        <w:t>。</w:t>
      </w:r>
    </w:p>
    <w:p w14:paraId="1A3CB02C">
      <w:pPr>
        <w:pStyle w:val="6"/>
        <w:spacing w:line="257" w:lineRule="auto"/>
        <w:rPr>
          <w:rFonts w:hint="eastAsia" w:ascii="宋体" w:hAnsi="宋体" w:eastAsia="宋体" w:cs="宋体"/>
          <w:color w:val="auto"/>
          <w:highlight w:val="none"/>
        </w:rPr>
      </w:pPr>
    </w:p>
    <w:p w14:paraId="48096343">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5F789777">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8478"/>
      <w:bookmarkStart w:id="170" w:name="_Toc12035"/>
      <w:bookmarkStart w:id="171"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69"/>
      <w:bookmarkEnd w:id="170"/>
      <w:bookmarkStart w:id="172" w:name="_Toc13602"/>
      <w:bookmarkStart w:id="173" w:name="_Toc1551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1"/>
      <w:bookmarkEnd w:id="172"/>
      <w:bookmarkEnd w:id="173"/>
    </w:p>
    <w:p w14:paraId="6393F5E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CCA4EE2">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B453D5A">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4D49203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608B9F5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5CDA4E9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5FA62F9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23DD8A2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6D7EB0A5">
      <w:pPr>
        <w:spacing w:before="78"/>
        <w:ind w:left="330"/>
        <w:rPr>
          <w:rFonts w:hint="eastAsia" w:ascii="宋体" w:hAnsi="宋体" w:eastAsia="宋体" w:cs="宋体"/>
          <w:color w:val="auto"/>
          <w:sz w:val="24"/>
          <w:szCs w:val="24"/>
          <w:highlight w:val="none"/>
        </w:rPr>
      </w:pPr>
    </w:p>
    <w:p w14:paraId="06069E38">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5A14397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71DA5ED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0DF37DD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3A18FCB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4B570A7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21C1C49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7F10FE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30"/>
        <w:snapToGrid w:val="0"/>
        <w:spacing w:line="440" w:lineRule="exact"/>
        <w:ind w:firstLine="480"/>
        <w:jc w:val="both"/>
        <w:outlineLvl w:val="2"/>
        <w:rPr>
          <w:rStyle w:val="21"/>
          <w:rFonts w:hint="eastAsia" w:ascii="宋体" w:hAnsi="宋体" w:eastAsia="宋体" w:cs="宋体"/>
          <w:b/>
          <w:bCs/>
          <w:color w:val="auto"/>
          <w:sz w:val="24"/>
          <w:szCs w:val="24"/>
          <w:highlight w:val="none"/>
        </w:rPr>
      </w:pPr>
      <w:bookmarkStart w:id="176" w:name="_Toc5247"/>
      <w:bookmarkStart w:id="177" w:name="_Toc1816"/>
      <w:r>
        <w:rPr>
          <w:rStyle w:val="21"/>
          <w:rFonts w:hint="eastAsia" w:ascii="宋体" w:hAnsi="宋体" w:eastAsia="宋体" w:cs="宋体"/>
          <w:b/>
          <w:bCs/>
          <w:color w:val="auto"/>
          <w:sz w:val="24"/>
          <w:szCs w:val="24"/>
          <w:highlight w:val="none"/>
        </w:rPr>
        <w:t>3. 工程付款办法</w:t>
      </w:r>
      <w:bookmarkEnd w:id="176"/>
      <w:bookmarkEnd w:id="177"/>
    </w:p>
    <w:p w14:paraId="47DD6CF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606CF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val="en-US" w:eastAsia="zh-CN"/>
        </w:rPr>
        <w:t>施工预付款支付比例为：按施工合同价（暂估价、暂列金额除外）的 30% 支付，其中施工合同价(暂估价、暂列金额除外)5%直接拨付至农民工工资专用账户且应留存至最后一期支付进度款时全额扣回。</w:t>
      </w:r>
    </w:p>
    <w:p w14:paraId="2AB46FF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DF017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b w:val="0"/>
          <w:bCs w:val="0"/>
          <w:snapToGrid w:val="0"/>
          <w:color w:val="auto"/>
          <w:kern w:val="0"/>
          <w:sz w:val="24"/>
          <w:szCs w:val="20"/>
          <w:highlight w:val="none"/>
          <w:lang w:val="en-US" w:eastAsia="zh-CN"/>
        </w:rPr>
        <w:t>承包人应在签订合同后，在提供符合要求的预付款保函及在具备施工条件的前提下，向发包人提交预付款支付申请。发包人应对在收到支付申请的7天内进行核实后向承包人发出预付款支付证书，并在签发支付证书后的 7 天内向承包人支付预付款。凡未签订合同或不具备施工条件的工程，发包人不得预付工程款。</w:t>
      </w:r>
    </w:p>
    <w:p w14:paraId="4CA5524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预付款的抵扣方式、抵扣比例和抵扣时间安排：预付款应</w:t>
      </w:r>
      <w:r>
        <w:rPr>
          <w:rFonts w:hint="eastAsia" w:ascii="宋体" w:hAnsi="宋体" w:eastAsia="宋体" w:cs="宋体"/>
          <w:snapToGrid w:val="0"/>
          <w:color w:val="auto"/>
          <w:kern w:val="0"/>
          <w:sz w:val="24"/>
          <w:szCs w:val="20"/>
          <w:highlight w:val="none"/>
          <w:lang w:val="en-US" w:eastAsia="zh-CN"/>
        </w:rPr>
        <w:t>从进度款中按 50%的比例同步扣回预付款。预付款在首次申请进度款时开始扣回，直至全部扣完终止。</w:t>
      </w:r>
    </w:p>
    <w:p w14:paraId="666F7C7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2DC592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snapToGrid w:val="0"/>
          <w:color w:val="auto"/>
          <w:kern w:val="0"/>
          <w:sz w:val="24"/>
          <w:szCs w:val="20"/>
          <w:highlight w:val="none"/>
          <w:lang w:val="en-US" w:eastAsia="zh-CN"/>
        </w:rPr>
        <w:t>每月的工程进度款按工程实际完成工程量的 80% 申请支付，工程进度款中的作业工人工资款项由发包人单独足额拨付到承包人的工资专户。</w:t>
      </w:r>
    </w:p>
    <w:p w14:paraId="04331B1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4CF02F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60CA25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工程款（预付款+累计支付进度款）支付至合同价款的80%时停止支付，结算审核完成后，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614AF5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1</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08CC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F0E0E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7B7E862C">
      <w:pPr>
        <w:widowControl w:val="0"/>
        <w:kinsoku/>
        <w:wordWrap w:val="0"/>
        <w:autoSpaceDE/>
        <w:autoSpaceDN/>
        <w:adjustRightInd w:val="0"/>
        <w:snapToGrid w:val="0"/>
        <w:spacing w:line="440" w:lineRule="exact"/>
        <w:ind w:firstLine="480" w:firstLineChars="200"/>
        <w:jc w:val="both"/>
        <w:textAlignment w:val="auto"/>
        <w:rPr>
          <w:rFonts w:hint="eastAsia" w:ascii="宋体" w:hAnsi="宋体" w:eastAsia="宋体" w:cs="宋体"/>
          <w:snapToGrid w:val="0"/>
          <w:color w:val="auto"/>
          <w:kern w:val="0"/>
          <w:sz w:val="24"/>
          <w:szCs w:val="20"/>
          <w:highlight w:val="none"/>
          <w:u w:val="single"/>
          <w:lang w:eastAsia="zh-CN"/>
        </w:rPr>
      </w:pPr>
    </w:p>
    <w:p w14:paraId="410C34A9">
      <w:pPr>
        <w:spacing w:before="154" w:line="212" w:lineRule="auto"/>
        <w:ind w:left="486"/>
        <w:outlineLvl w:val="2"/>
        <w:rPr>
          <w:rFonts w:hint="eastAsia" w:ascii="宋体" w:hAnsi="宋体" w:eastAsia="宋体" w:cs="宋体"/>
          <w:b/>
          <w:bCs/>
          <w:color w:val="auto"/>
          <w:spacing w:val="-7"/>
          <w:sz w:val="24"/>
          <w:szCs w:val="24"/>
          <w:highlight w:val="none"/>
        </w:rPr>
      </w:pPr>
      <w:bookmarkStart w:id="178"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8"/>
    </w:p>
    <w:p w14:paraId="54E7AE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816928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551F2EE5">
      <w:pPr>
        <w:spacing w:before="79" w:line="298" w:lineRule="auto"/>
        <w:ind w:left="10" w:right="91" w:firstLine="479"/>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50C141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A5D154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59616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EE2CD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4FDAC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BD3BD0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34DB5D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63131C8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48B130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DF8F26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4FC31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392A62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1348DB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78D75D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453241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240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23855B0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F05BE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BB590C9">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0D88E6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E1562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EA61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E3583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9C975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988B5F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9C6C3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9BDD3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12205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7BEC3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069D26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10D28C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773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070720B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51B9B6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EF9F2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6261C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5B2F5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323BC6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BAE59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6B2E1F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1</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3A99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D920F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AD697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173050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8CB70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58C8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0A1CA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123021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937845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63B86F2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61FB76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19C6BA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141AD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7D64282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F15E95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8708BC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0664A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6E91B1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60480F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64786C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8025C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3E076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E4328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350F8A6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01BAC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5C1CB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4255D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01712E4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5093B6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BA7A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5DB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4C10CC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84BD5F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C688E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5ECE507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B3D944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1F1993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288923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57442AA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209B353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3887220F">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F52F55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E0EC60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EFEB0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2C5E622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C49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6C6B6FA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4.4.1 在合同履行期间，如经查实承包人拖欠或克扣农民工或劳务工工资，导致劳资纠纷 或发生危及公共安全或正常社会秩序的事件的，按承包人违约处理，按人民币 10000 元/次从 工程进度款中扣除。承包人必须无条件确保民工工资得到及时发放，无拖欠民工工资现象，并 采取发包人认为切实可行的措施确保无劳资纠纷事件发生，如发生承包人拖欠民工工资并且向 政府或发包人索要承包人拖欠工资的，发包人有权使用工人工资保证金或在剩余进度款范围内 代承包人向民工支付工资，承包人对发包人垫付工资的人员范围和工资数额均不得提异议。发 包人代支的工资除了从当期工程款内直接扣除外,承包人须按照发包人所垫付的民工工资 2 倍 向发包人支付违约金。违约金在下期进度款中扣除。未在下期进度款扣除或承包人在发包人处已经无款可扣的，起计逾期支付利息。发包人可以在承包人其他任何款项中扣除所垫付的工资 和相应的违约金与利息。承包人对提供的资料真实性负责，如发现虚假不实情况，承包人须向 发包人支付违约金 20000 元/次。</w:t>
      </w:r>
    </w:p>
    <w:p w14:paraId="37C3DC99">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4.4.2 承包人应积极落实有关部门关于用工实名制管理工作的要求，未按规定落实农民工 工资专户及实用工实名制要求，经有关部门警告或处罚的，按违约金人民币 10000 元/次从工 程进度款中扣除。 </w:t>
      </w:r>
    </w:p>
    <w:p w14:paraId="0CD1AFA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29F815F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E49ED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5455CE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572FD95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7885807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2D3AC461">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B3B65A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14CC0EC">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A15362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7516FA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758553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CF3AF7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7B415C9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E97C5C1">
      <w:pPr>
        <w:rPr>
          <w:color w:val="auto"/>
          <w:sz w:val="24"/>
          <w:szCs w:val="24"/>
          <w:highlight w:val="none"/>
        </w:rPr>
      </w:pPr>
    </w:p>
    <w:p w14:paraId="33CEC7C8">
      <w:pPr>
        <w:pStyle w:val="2"/>
        <w:tabs>
          <w:tab w:val="left" w:pos="885"/>
        </w:tabs>
        <w:wordWrap w:val="0"/>
        <w:autoSpaceDE/>
        <w:autoSpaceDN/>
        <w:snapToGrid w:val="0"/>
        <w:spacing w:line="440" w:lineRule="exact"/>
        <w:jc w:val="both"/>
        <w:rPr>
          <w:rFonts w:ascii="宋体" w:hAnsi="宋体" w:cs="宋体"/>
          <w:b/>
          <w:snapToGrid w:val="0"/>
          <w:color w:val="auto"/>
          <w:kern w:val="2"/>
          <w:sz w:val="24"/>
          <w:szCs w:val="24"/>
          <w:highlight w:val="none"/>
        </w:rPr>
      </w:pPr>
    </w:p>
    <w:p w14:paraId="53E7278A">
      <w:pPr>
        <w:pStyle w:val="2"/>
        <w:tabs>
          <w:tab w:val="left" w:pos="885"/>
        </w:tabs>
        <w:wordWrap w:val="0"/>
        <w:autoSpaceDE/>
        <w:autoSpaceDN/>
        <w:snapToGrid w:val="0"/>
        <w:spacing w:line="440" w:lineRule="exact"/>
        <w:ind w:left="885" w:hanging="885"/>
        <w:jc w:val="center"/>
        <w:rPr>
          <w:rFonts w:ascii="宋体" w:hAnsi="宋体" w:cs="宋体"/>
          <w:b/>
          <w:snapToGrid w:val="0"/>
          <w:color w:val="auto"/>
          <w:kern w:val="2"/>
          <w:sz w:val="24"/>
          <w:szCs w:val="24"/>
          <w:highlight w:val="none"/>
        </w:rPr>
      </w:pPr>
    </w:p>
    <w:p w14:paraId="5FDAA685">
      <w:pPr>
        <w:rPr>
          <w:rFonts w:ascii="宋体" w:hAnsi="宋体" w:cs="宋体"/>
          <w:b/>
          <w:snapToGrid w:val="0"/>
          <w:color w:val="auto"/>
          <w:kern w:val="2"/>
          <w:sz w:val="24"/>
          <w:szCs w:val="24"/>
          <w:highlight w:val="none"/>
        </w:rPr>
      </w:pPr>
    </w:p>
    <w:p w14:paraId="5A230042">
      <w:pPr>
        <w:pStyle w:val="8"/>
        <w:rPr>
          <w:rFonts w:ascii="宋体" w:hAnsi="宋体" w:cs="宋体"/>
          <w:b/>
          <w:snapToGrid w:val="0"/>
          <w:color w:val="auto"/>
          <w:kern w:val="2"/>
          <w:sz w:val="24"/>
          <w:szCs w:val="24"/>
          <w:highlight w:val="none"/>
        </w:rPr>
      </w:pPr>
    </w:p>
    <w:p w14:paraId="73B359CC">
      <w:pPr>
        <w:pStyle w:val="14"/>
        <w:rPr>
          <w:rFonts w:hint="eastAsia" w:ascii="宋体" w:hAnsi="宋体" w:eastAsia="宋体" w:cs="宋体"/>
          <w:color w:val="auto"/>
          <w:sz w:val="24"/>
          <w:szCs w:val="24"/>
          <w:highlight w:val="none"/>
          <w:lang w:eastAsia="zh-CN"/>
        </w:rPr>
      </w:pPr>
    </w:p>
    <w:p w14:paraId="134E41C0">
      <w:pPr>
        <w:pStyle w:val="14"/>
        <w:rPr>
          <w:rFonts w:hint="eastAsia" w:ascii="宋体" w:hAnsi="宋体" w:eastAsia="宋体" w:cs="宋体"/>
          <w:color w:val="auto"/>
          <w:sz w:val="24"/>
          <w:szCs w:val="24"/>
          <w:highlight w:val="none"/>
          <w:lang w:eastAsia="zh-CN"/>
        </w:rPr>
      </w:pPr>
    </w:p>
    <w:p w14:paraId="07C56ECD">
      <w:pPr>
        <w:pStyle w:val="14"/>
        <w:rPr>
          <w:rFonts w:hint="eastAsia" w:ascii="宋体" w:hAnsi="宋体" w:eastAsia="宋体" w:cs="宋体"/>
          <w:color w:val="auto"/>
          <w:sz w:val="24"/>
          <w:szCs w:val="24"/>
          <w:highlight w:val="none"/>
          <w:lang w:eastAsia="zh-CN"/>
        </w:rPr>
      </w:pPr>
    </w:p>
    <w:p w14:paraId="72C8E0EF">
      <w:pPr>
        <w:pStyle w:val="14"/>
        <w:rPr>
          <w:rFonts w:hint="eastAsia" w:ascii="宋体" w:hAnsi="宋体" w:eastAsia="宋体" w:cs="宋体"/>
          <w:color w:val="auto"/>
          <w:sz w:val="24"/>
          <w:szCs w:val="24"/>
          <w:highlight w:val="none"/>
          <w:lang w:eastAsia="zh-CN"/>
        </w:rPr>
      </w:pPr>
    </w:p>
    <w:p w14:paraId="66AF3AAF">
      <w:pPr>
        <w:spacing w:before="78" w:line="219" w:lineRule="auto"/>
        <w:outlineLvl w:val="9"/>
        <w:rPr>
          <w:rFonts w:hint="eastAsia" w:ascii="宋体" w:hAnsi="宋体" w:eastAsia="宋体" w:cs="宋体"/>
          <w:b/>
          <w:bCs/>
          <w:color w:val="auto"/>
          <w:spacing w:val="-3"/>
          <w:sz w:val="24"/>
          <w:szCs w:val="24"/>
          <w:highlight w:val="none"/>
        </w:rPr>
      </w:pPr>
      <w:bookmarkStart w:id="179" w:name="bookmark96"/>
      <w:bookmarkEnd w:id="179"/>
    </w:p>
    <w:p w14:paraId="48462BAF">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spacing w:before="78" w:line="219" w:lineRule="auto"/>
        <w:ind w:left="3273"/>
        <w:outlineLvl w:val="0"/>
        <w:rPr>
          <w:rFonts w:hint="eastAsia" w:ascii="宋体" w:hAnsi="宋体" w:eastAsia="宋体" w:cs="宋体"/>
          <w:color w:val="auto"/>
          <w:highlight w:val="none"/>
        </w:rPr>
      </w:pPr>
      <w:bookmarkStart w:id="180"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0"/>
    </w:p>
    <w:p w14:paraId="65DD417D">
      <w:pPr>
        <w:pStyle w:val="6"/>
        <w:spacing w:line="257" w:lineRule="auto"/>
        <w:rPr>
          <w:rFonts w:hint="eastAsia" w:ascii="宋体" w:hAnsi="宋体" w:eastAsia="宋体" w:cs="宋体"/>
          <w:color w:val="auto"/>
          <w:highlight w:val="none"/>
        </w:rPr>
      </w:pPr>
    </w:p>
    <w:p w14:paraId="676D9B16">
      <w:pPr>
        <w:spacing w:before="78" w:line="221" w:lineRule="auto"/>
        <w:ind w:left="125"/>
        <w:outlineLvl w:val="2"/>
        <w:rPr>
          <w:rFonts w:hint="eastAsia" w:ascii="宋体" w:hAnsi="宋体" w:eastAsia="宋体" w:cs="宋体"/>
          <w:color w:val="auto"/>
          <w:sz w:val="24"/>
          <w:szCs w:val="24"/>
          <w:highlight w:val="none"/>
        </w:rPr>
      </w:pPr>
      <w:bookmarkStart w:id="181" w:name="_Toc19340"/>
      <w:bookmarkStart w:id="182"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1"/>
      <w:bookmarkEnd w:id="182"/>
    </w:p>
    <w:p w14:paraId="207C716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spacing w:before="153" w:line="219" w:lineRule="auto"/>
        <w:ind w:left="130"/>
        <w:rPr>
          <w:rFonts w:hint="eastAsia" w:ascii="宋体" w:hAnsi="宋体" w:eastAsia="宋体" w:cs="宋体"/>
          <w:color w:val="auto"/>
          <w:spacing w:val="-1"/>
          <w:sz w:val="24"/>
          <w:szCs w:val="24"/>
          <w:highlight w:val="none"/>
        </w:rPr>
      </w:pPr>
      <w:bookmarkStart w:id="183" w:name="_Toc12084"/>
      <w:bookmarkStart w:id="184" w:name="_Toc16294"/>
      <w:r>
        <w:rPr>
          <w:rFonts w:hint="eastAsia" w:ascii="宋体" w:hAnsi="宋体" w:eastAsia="宋体" w:cs="宋体"/>
          <w:color w:val="auto"/>
          <w:spacing w:val="-1"/>
          <w:sz w:val="24"/>
          <w:szCs w:val="24"/>
          <w:highlight w:val="none"/>
        </w:rPr>
        <w:t>（14）《建筑与市政工程无障碍通用规范》 GB 55019-2021；</w:t>
      </w:r>
      <w:bookmarkEnd w:id="183"/>
      <w:bookmarkEnd w:id="184"/>
    </w:p>
    <w:p w14:paraId="7BF01187">
      <w:pPr>
        <w:spacing w:before="153" w:line="219" w:lineRule="auto"/>
        <w:ind w:left="130"/>
        <w:rPr>
          <w:rFonts w:hint="eastAsia" w:ascii="宋体" w:hAnsi="宋体" w:eastAsia="宋体" w:cs="宋体"/>
          <w:color w:val="auto"/>
          <w:spacing w:val="-1"/>
          <w:sz w:val="24"/>
          <w:szCs w:val="24"/>
          <w:highlight w:val="none"/>
        </w:rPr>
      </w:pPr>
      <w:bookmarkStart w:id="185" w:name="_Toc1177"/>
      <w:bookmarkStart w:id="186" w:name="_Toc15158"/>
      <w:r>
        <w:rPr>
          <w:rFonts w:hint="eastAsia" w:ascii="宋体" w:hAnsi="宋体" w:eastAsia="宋体" w:cs="宋体"/>
          <w:color w:val="auto"/>
          <w:spacing w:val="-1"/>
          <w:sz w:val="24"/>
          <w:szCs w:val="24"/>
          <w:highlight w:val="none"/>
        </w:rPr>
        <w:t>（15）《建筑防火通用规范》GB 55037-2022;</w:t>
      </w:r>
      <w:bookmarkEnd w:id="185"/>
      <w:bookmarkEnd w:id="186"/>
    </w:p>
    <w:p w14:paraId="29E4C8FC">
      <w:pPr>
        <w:spacing w:before="153" w:line="219" w:lineRule="auto"/>
        <w:ind w:left="130"/>
        <w:rPr>
          <w:rFonts w:hint="eastAsia" w:ascii="宋体" w:hAnsi="宋体" w:eastAsia="宋体" w:cs="宋体"/>
          <w:color w:val="auto"/>
          <w:spacing w:val="-1"/>
          <w:sz w:val="24"/>
          <w:szCs w:val="24"/>
          <w:highlight w:val="none"/>
        </w:rPr>
      </w:pPr>
      <w:bookmarkStart w:id="187" w:name="_Toc24233"/>
      <w:bookmarkStart w:id="188" w:name="_Toc2461"/>
      <w:r>
        <w:rPr>
          <w:rFonts w:hint="eastAsia" w:ascii="宋体" w:hAnsi="宋体" w:eastAsia="宋体" w:cs="宋体"/>
          <w:color w:val="auto"/>
          <w:spacing w:val="-1"/>
          <w:sz w:val="24"/>
          <w:szCs w:val="24"/>
          <w:highlight w:val="none"/>
        </w:rPr>
        <w:t>（16）《建筑与市政工程抗震通用规范》GB55002-2001;</w:t>
      </w:r>
      <w:bookmarkEnd w:id="187"/>
      <w:bookmarkEnd w:id="188"/>
    </w:p>
    <w:p w14:paraId="0A06A566">
      <w:pPr>
        <w:spacing w:before="153" w:line="219" w:lineRule="auto"/>
        <w:ind w:left="130"/>
        <w:rPr>
          <w:rFonts w:hint="eastAsia" w:ascii="宋体" w:hAnsi="宋体" w:eastAsia="宋体" w:cs="宋体"/>
          <w:color w:val="auto"/>
          <w:spacing w:val="-1"/>
          <w:sz w:val="24"/>
          <w:szCs w:val="24"/>
          <w:highlight w:val="none"/>
        </w:rPr>
      </w:pPr>
      <w:bookmarkStart w:id="189" w:name="_Toc5777"/>
      <w:bookmarkStart w:id="190" w:name="_Toc8109"/>
      <w:r>
        <w:rPr>
          <w:rFonts w:hint="eastAsia" w:ascii="宋体" w:hAnsi="宋体" w:eastAsia="宋体" w:cs="宋体"/>
          <w:color w:val="auto"/>
          <w:spacing w:val="-1"/>
          <w:sz w:val="24"/>
          <w:szCs w:val="24"/>
          <w:highlight w:val="none"/>
        </w:rPr>
        <w:t>（17）《建筑与市政地基基础通用规范》GB55003-2001;</w:t>
      </w:r>
      <w:bookmarkEnd w:id="189"/>
      <w:bookmarkEnd w:id="190"/>
    </w:p>
    <w:p w14:paraId="5AAC3403">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6"/>
        <w:spacing w:line="257" w:lineRule="auto"/>
        <w:rPr>
          <w:rFonts w:hint="eastAsia" w:ascii="宋体" w:hAnsi="宋体" w:eastAsia="宋体" w:cs="宋体"/>
          <w:color w:val="auto"/>
          <w:highlight w:val="none"/>
        </w:rPr>
      </w:pPr>
    </w:p>
    <w:p w14:paraId="6689F434">
      <w:pPr>
        <w:spacing w:before="78" w:line="220" w:lineRule="auto"/>
        <w:ind w:left="115"/>
        <w:outlineLvl w:val="2"/>
        <w:rPr>
          <w:rFonts w:hint="eastAsia" w:ascii="宋体" w:hAnsi="宋体" w:eastAsia="宋体" w:cs="宋体"/>
          <w:color w:val="auto"/>
          <w:sz w:val="24"/>
          <w:szCs w:val="24"/>
          <w:highlight w:val="none"/>
        </w:rPr>
      </w:pPr>
      <w:bookmarkStart w:id="191" w:name="_Toc16340"/>
      <w:bookmarkStart w:id="192"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1"/>
      <w:bookmarkEnd w:id="192"/>
    </w:p>
    <w:p w14:paraId="4745335C">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D25ACA6">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8494"/>
      <w:bookmarkStart w:id="194" w:name="_Toc30781"/>
      <w:r>
        <w:rPr>
          <w:rFonts w:hint="eastAsia" w:ascii="宋体" w:hAnsi="宋体" w:eastAsia="宋体" w:cs="宋体"/>
          <w:color w:val="auto"/>
          <w:spacing w:val="-2"/>
          <w:sz w:val="24"/>
          <w:szCs w:val="24"/>
          <w:highlight w:val="none"/>
        </w:rPr>
        <w:t>（11）《建筑与市政工程无障碍通用规范》 GB 55019-2021；</w:t>
      </w:r>
      <w:bookmarkEnd w:id="193"/>
      <w:bookmarkEnd w:id="194"/>
    </w:p>
    <w:p w14:paraId="763C31E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31143"/>
      <w:bookmarkStart w:id="196" w:name="_Toc17383"/>
      <w:r>
        <w:rPr>
          <w:rFonts w:hint="eastAsia" w:ascii="宋体" w:hAnsi="宋体" w:eastAsia="宋体" w:cs="宋体"/>
          <w:color w:val="auto"/>
          <w:spacing w:val="-2"/>
          <w:sz w:val="24"/>
          <w:szCs w:val="24"/>
          <w:highlight w:val="none"/>
        </w:rPr>
        <w:t>（12）《建筑防火通用规范》GB 55037-2022;</w:t>
      </w:r>
      <w:bookmarkEnd w:id="195"/>
      <w:bookmarkEnd w:id="196"/>
    </w:p>
    <w:p w14:paraId="12CCBE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954"/>
      <w:bookmarkStart w:id="198" w:name="_Toc32476"/>
      <w:r>
        <w:rPr>
          <w:rFonts w:hint="eastAsia" w:ascii="宋体" w:hAnsi="宋体" w:eastAsia="宋体" w:cs="宋体"/>
          <w:color w:val="auto"/>
          <w:spacing w:val="-2"/>
          <w:sz w:val="24"/>
          <w:szCs w:val="24"/>
          <w:highlight w:val="none"/>
        </w:rPr>
        <w:t>（13）《建筑与市政工程抗震通用规范》GB55002-2001;</w:t>
      </w:r>
      <w:bookmarkEnd w:id="197"/>
      <w:bookmarkEnd w:id="198"/>
    </w:p>
    <w:p w14:paraId="7FEC7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27898"/>
      <w:bookmarkStart w:id="200" w:name="_Toc7185"/>
      <w:r>
        <w:rPr>
          <w:rFonts w:hint="eastAsia" w:ascii="宋体" w:hAnsi="宋体" w:eastAsia="宋体" w:cs="宋体"/>
          <w:color w:val="auto"/>
          <w:spacing w:val="-2"/>
          <w:sz w:val="24"/>
          <w:szCs w:val="24"/>
          <w:highlight w:val="none"/>
        </w:rPr>
        <w:t>（14）《建筑与市政地基基础通用规范》GB55003-2001;</w:t>
      </w:r>
      <w:bookmarkEnd w:id="199"/>
      <w:bookmarkEnd w:id="200"/>
    </w:p>
    <w:p w14:paraId="585A05C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29669"/>
      <w:bookmarkStart w:id="202" w:name="_Toc17281"/>
      <w:r>
        <w:rPr>
          <w:rFonts w:hint="eastAsia" w:ascii="宋体" w:hAnsi="宋体" w:eastAsia="宋体" w:cs="宋体"/>
          <w:color w:val="auto"/>
          <w:spacing w:val="-2"/>
          <w:sz w:val="24"/>
          <w:szCs w:val="24"/>
          <w:highlight w:val="none"/>
        </w:rPr>
        <w:t>（15）《城市道路照明设计标准》（CJJ45-2015）；</w:t>
      </w:r>
      <w:bookmarkEnd w:id="201"/>
      <w:bookmarkEnd w:id="202"/>
    </w:p>
    <w:p w14:paraId="1F9D33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9161"/>
      <w:bookmarkStart w:id="204" w:name="_Toc31812"/>
      <w:r>
        <w:rPr>
          <w:rFonts w:hint="eastAsia" w:ascii="宋体" w:hAnsi="宋体" w:eastAsia="宋体" w:cs="宋体"/>
          <w:color w:val="auto"/>
          <w:spacing w:val="-2"/>
          <w:sz w:val="24"/>
          <w:szCs w:val="24"/>
          <w:highlight w:val="none"/>
        </w:rPr>
        <w:t>（16）《低压配电设计规范》（GB50054-2011）；</w:t>
      </w:r>
      <w:bookmarkEnd w:id="203"/>
      <w:bookmarkEnd w:id="204"/>
    </w:p>
    <w:p w14:paraId="2235F9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18255"/>
      <w:bookmarkStart w:id="206" w:name="_Toc6405"/>
      <w:r>
        <w:rPr>
          <w:rFonts w:hint="eastAsia" w:ascii="宋体" w:hAnsi="宋体" w:eastAsia="宋体" w:cs="宋体"/>
          <w:color w:val="auto"/>
          <w:spacing w:val="-2"/>
          <w:sz w:val="24"/>
          <w:szCs w:val="24"/>
          <w:highlight w:val="none"/>
        </w:rPr>
        <w:t>（17）《城市道路照明工程施工及验收规程》（CJJ89-2012）；</w:t>
      </w:r>
      <w:bookmarkEnd w:id="205"/>
      <w:bookmarkEnd w:id="206"/>
    </w:p>
    <w:p w14:paraId="1133F1A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7" w:name="_Toc31813"/>
      <w:bookmarkStart w:id="208"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7"/>
      <w:bookmarkEnd w:id="208"/>
    </w:p>
    <w:p w14:paraId="73CE1445">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spacing w:before="78" w:line="219" w:lineRule="auto"/>
        <w:jc w:val="center"/>
        <w:outlineLvl w:val="0"/>
        <w:rPr>
          <w:rFonts w:hint="eastAsia" w:ascii="宋体" w:hAnsi="宋体" w:eastAsia="宋体" w:cs="宋体"/>
          <w:color w:val="auto"/>
          <w:sz w:val="24"/>
          <w:szCs w:val="24"/>
          <w:highlight w:val="none"/>
        </w:rPr>
      </w:pPr>
      <w:bookmarkStart w:id="209" w:name="bookmark146"/>
      <w:bookmarkEnd w:id="209"/>
      <w:bookmarkStart w:id="210" w:name="bookmark100"/>
      <w:bookmarkEnd w:id="210"/>
      <w:bookmarkStart w:id="211"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1"/>
    </w:p>
    <w:p w14:paraId="426BE3E0">
      <w:pPr>
        <w:pStyle w:val="6"/>
        <w:spacing w:line="283" w:lineRule="auto"/>
        <w:rPr>
          <w:rFonts w:hint="eastAsia" w:ascii="宋体" w:hAnsi="宋体" w:eastAsia="宋体" w:cs="宋体"/>
          <w:color w:val="auto"/>
          <w:highlight w:val="none"/>
        </w:rPr>
      </w:pPr>
    </w:p>
    <w:p w14:paraId="1DD0865A">
      <w:pPr>
        <w:pStyle w:val="6"/>
        <w:spacing w:line="284" w:lineRule="auto"/>
        <w:rPr>
          <w:rFonts w:hint="eastAsia" w:ascii="宋体" w:hAnsi="宋体" w:eastAsia="宋体" w:cs="宋体"/>
          <w:color w:val="auto"/>
          <w:highlight w:val="none"/>
        </w:rPr>
      </w:pPr>
    </w:p>
    <w:p w14:paraId="0E9C9CE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09616C56">
      <w:pPr>
        <w:pStyle w:val="6"/>
        <w:spacing w:line="265" w:lineRule="auto"/>
        <w:rPr>
          <w:rFonts w:hint="eastAsia" w:ascii="宋体" w:hAnsi="宋体" w:eastAsia="宋体" w:cs="宋体"/>
          <w:color w:val="auto"/>
          <w:highlight w:val="none"/>
        </w:rPr>
      </w:pPr>
    </w:p>
    <w:p w14:paraId="36EE6B98">
      <w:pPr>
        <w:spacing w:before="151" w:line="222" w:lineRule="auto"/>
        <w:ind w:left="715"/>
        <w:outlineLvl w:val="2"/>
        <w:rPr>
          <w:rFonts w:hint="eastAsia" w:ascii="宋体" w:hAnsi="宋体" w:eastAsia="宋体" w:cs="宋体"/>
          <w:color w:val="auto"/>
          <w:sz w:val="24"/>
          <w:szCs w:val="24"/>
          <w:highlight w:val="none"/>
        </w:rPr>
      </w:pPr>
      <w:bookmarkStart w:id="212" w:name="_Toc21706"/>
      <w:bookmarkStart w:id="213"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2"/>
      <w:bookmarkEnd w:id="213"/>
    </w:p>
    <w:p w14:paraId="770C4D87">
      <w:pPr>
        <w:spacing w:before="150" w:line="330" w:lineRule="auto"/>
        <w:ind w:left="230" w:firstLine="480"/>
        <w:jc w:val="both"/>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本招标文件随文另附施工图（电子文件）一套。</w:t>
      </w:r>
    </w:p>
    <w:p w14:paraId="00038AE1">
      <w:pPr>
        <w:spacing w:before="79" w:line="221" w:lineRule="auto"/>
        <w:ind w:left="705"/>
        <w:outlineLvl w:val="2"/>
        <w:rPr>
          <w:rFonts w:hint="eastAsia" w:ascii="宋体" w:hAnsi="宋体" w:eastAsia="宋体" w:cs="宋体"/>
          <w:color w:val="auto"/>
          <w:sz w:val="24"/>
          <w:szCs w:val="24"/>
          <w:highlight w:val="none"/>
        </w:rPr>
      </w:pPr>
      <w:bookmarkStart w:id="214" w:name="_Toc24419"/>
      <w:bookmarkStart w:id="215"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4"/>
      <w:bookmarkEnd w:id="215"/>
    </w:p>
    <w:p w14:paraId="66B23E36">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6"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6"/>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A870555">
      <w:pPr>
        <w:spacing w:before="78" w:line="219" w:lineRule="auto"/>
        <w:ind w:left="478" w:firstLine="239" w:firstLineChars="100"/>
        <w:rPr>
          <w:rFonts w:hint="eastAsia" w:ascii="宋体" w:hAnsi="宋体" w:eastAsia="宋体" w:cs="宋体"/>
          <w:color w:val="auto"/>
          <w:sz w:val="24"/>
          <w:szCs w:val="24"/>
          <w:highlight w:val="none"/>
        </w:rPr>
      </w:pPr>
      <w:bookmarkStart w:id="217" w:name="bookmark147"/>
      <w:bookmarkEnd w:id="217"/>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8E91CD9">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6"/>
        <w:spacing w:line="304" w:lineRule="auto"/>
        <w:rPr>
          <w:rFonts w:hint="eastAsia" w:ascii="宋体" w:hAnsi="宋体" w:eastAsia="宋体" w:cs="宋体"/>
          <w:color w:val="auto"/>
          <w:highlight w:val="none"/>
        </w:rPr>
      </w:pPr>
    </w:p>
    <w:p w14:paraId="3841A216">
      <w:pPr>
        <w:spacing w:before="78" w:line="219" w:lineRule="auto"/>
        <w:ind w:left="3357"/>
        <w:outlineLvl w:val="0"/>
        <w:rPr>
          <w:rFonts w:hint="eastAsia" w:ascii="宋体" w:hAnsi="宋体" w:eastAsia="宋体" w:cs="宋体"/>
          <w:color w:val="auto"/>
          <w:sz w:val="24"/>
          <w:szCs w:val="24"/>
          <w:highlight w:val="none"/>
        </w:rPr>
      </w:pPr>
      <w:bookmarkStart w:id="218"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8"/>
    </w:p>
    <w:p w14:paraId="15B208D3">
      <w:pPr>
        <w:pStyle w:val="6"/>
        <w:spacing w:line="302" w:lineRule="auto"/>
        <w:jc w:val="right"/>
        <w:rPr>
          <w:rFonts w:hint="eastAsia" w:ascii="宋体" w:hAnsi="宋体" w:eastAsia="宋体" w:cs="宋体"/>
          <w:color w:val="auto"/>
          <w:highlight w:val="none"/>
        </w:rPr>
      </w:pPr>
    </w:p>
    <w:p w14:paraId="00706EC0">
      <w:pPr>
        <w:spacing w:before="78" w:line="220" w:lineRule="auto"/>
        <w:outlineLvl w:val="2"/>
        <w:rPr>
          <w:rFonts w:hint="eastAsia" w:ascii="宋体" w:hAnsi="宋体" w:eastAsia="宋体" w:cs="宋体"/>
          <w:color w:val="auto"/>
          <w:sz w:val="24"/>
          <w:szCs w:val="24"/>
          <w:highlight w:val="none"/>
        </w:rPr>
      </w:pPr>
      <w:bookmarkStart w:id="219"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9"/>
    </w:p>
    <w:p w14:paraId="0DD9B6DB">
      <w:pPr>
        <w:pStyle w:val="6"/>
        <w:spacing w:line="258" w:lineRule="auto"/>
        <w:rPr>
          <w:rFonts w:hint="eastAsia" w:ascii="宋体" w:hAnsi="宋体" w:eastAsia="宋体" w:cs="宋体"/>
          <w:color w:val="auto"/>
          <w:highlight w:val="none"/>
        </w:rPr>
      </w:pPr>
    </w:p>
    <w:p w14:paraId="30B4EFC1">
      <w:pPr>
        <w:pStyle w:val="6"/>
        <w:spacing w:line="259" w:lineRule="auto"/>
        <w:rPr>
          <w:rFonts w:hint="eastAsia" w:ascii="宋体" w:hAnsi="宋体" w:eastAsia="宋体" w:cs="宋体"/>
          <w:color w:val="auto"/>
          <w:highlight w:val="none"/>
        </w:rPr>
      </w:pPr>
    </w:p>
    <w:p w14:paraId="2BA24286">
      <w:pPr>
        <w:pStyle w:val="6"/>
        <w:spacing w:line="259" w:lineRule="auto"/>
        <w:rPr>
          <w:rFonts w:hint="eastAsia" w:ascii="宋体" w:hAnsi="宋体" w:eastAsia="宋体" w:cs="宋体"/>
          <w:color w:val="auto"/>
          <w:highlight w:val="none"/>
        </w:rPr>
      </w:pPr>
    </w:p>
    <w:p w14:paraId="1B97EE3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6"/>
        <w:spacing w:line="247" w:lineRule="auto"/>
        <w:rPr>
          <w:rFonts w:hint="eastAsia" w:ascii="宋体" w:hAnsi="宋体" w:eastAsia="宋体" w:cs="宋体"/>
          <w:color w:val="auto"/>
          <w:highlight w:val="none"/>
        </w:rPr>
      </w:pPr>
    </w:p>
    <w:p w14:paraId="7ABC2E3D">
      <w:pPr>
        <w:pStyle w:val="6"/>
        <w:spacing w:line="247" w:lineRule="auto"/>
        <w:rPr>
          <w:rFonts w:hint="eastAsia" w:ascii="宋体" w:hAnsi="宋体" w:eastAsia="宋体" w:cs="宋体"/>
          <w:color w:val="auto"/>
          <w:highlight w:val="none"/>
        </w:rPr>
      </w:pPr>
    </w:p>
    <w:p w14:paraId="6E24384B">
      <w:pPr>
        <w:pStyle w:val="6"/>
        <w:spacing w:line="247" w:lineRule="auto"/>
        <w:rPr>
          <w:rFonts w:hint="eastAsia" w:ascii="宋体" w:hAnsi="宋体" w:eastAsia="宋体" w:cs="宋体"/>
          <w:color w:val="auto"/>
          <w:highlight w:val="none"/>
        </w:rPr>
      </w:pPr>
    </w:p>
    <w:p w14:paraId="57625B3E">
      <w:pPr>
        <w:pStyle w:val="6"/>
        <w:spacing w:line="247" w:lineRule="auto"/>
        <w:rPr>
          <w:rFonts w:hint="eastAsia" w:ascii="宋体" w:hAnsi="宋体" w:eastAsia="宋体" w:cs="宋体"/>
          <w:color w:val="auto"/>
          <w:highlight w:val="none"/>
        </w:rPr>
      </w:pPr>
    </w:p>
    <w:p w14:paraId="2E7686F1">
      <w:pPr>
        <w:pStyle w:val="6"/>
        <w:spacing w:line="248" w:lineRule="auto"/>
        <w:rPr>
          <w:rFonts w:hint="eastAsia" w:ascii="宋体" w:hAnsi="宋体" w:eastAsia="宋体" w:cs="宋体"/>
          <w:color w:val="auto"/>
          <w:highlight w:val="none"/>
        </w:rPr>
      </w:pPr>
    </w:p>
    <w:p w14:paraId="46F8403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6"/>
        <w:spacing w:line="293" w:lineRule="auto"/>
        <w:rPr>
          <w:rFonts w:hint="eastAsia" w:ascii="宋体" w:hAnsi="宋体" w:eastAsia="宋体" w:cs="宋体"/>
          <w:color w:val="auto"/>
          <w:highlight w:val="none"/>
        </w:rPr>
      </w:pPr>
    </w:p>
    <w:p w14:paraId="056D96BE">
      <w:pPr>
        <w:pStyle w:val="6"/>
        <w:spacing w:line="293" w:lineRule="auto"/>
        <w:rPr>
          <w:rFonts w:hint="eastAsia" w:ascii="宋体" w:hAnsi="宋体" w:eastAsia="宋体" w:cs="宋体"/>
          <w:color w:val="auto"/>
          <w:highlight w:val="none"/>
        </w:rPr>
      </w:pPr>
    </w:p>
    <w:p w14:paraId="31B75796">
      <w:pPr>
        <w:spacing w:before="152" w:line="223" w:lineRule="auto"/>
        <w:jc w:val="center"/>
        <w:rPr>
          <w:rFonts w:hint="eastAsia" w:ascii="宋体" w:hAnsi="宋体" w:eastAsia="宋体" w:cs="宋体"/>
          <w:b/>
          <w:bCs/>
          <w:color w:val="auto"/>
          <w:spacing w:val="2"/>
          <w:sz w:val="40"/>
          <w:szCs w:val="40"/>
          <w:highlight w:val="none"/>
        </w:rPr>
      </w:pPr>
      <w:bookmarkStart w:id="220" w:name="bookmark105"/>
      <w:bookmarkEnd w:id="220"/>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bidi w:val="0"/>
        <w:rPr>
          <w:rFonts w:hint="eastAsia"/>
          <w:color w:val="auto"/>
          <w:highlight w:val="none"/>
        </w:rPr>
      </w:pPr>
    </w:p>
    <w:p w14:paraId="1260FD39">
      <w:pPr>
        <w:bidi w:val="0"/>
        <w:rPr>
          <w:rFonts w:hint="eastAsia"/>
          <w:color w:val="auto"/>
          <w:highlight w:val="none"/>
        </w:rPr>
      </w:pPr>
    </w:p>
    <w:p w14:paraId="6A252881">
      <w:pPr>
        <w:bidi w:val="0"/>
        <w:rPr>
          <w:rFonts w:hint="eastAsia"/>
          <w:color w:val="auto"/>
          <w:highlight w:val="none"/>
        </w:rPr>
      </w:pPr>
    </w:p>
    <w:p w14:paraId="31CDB2AA">
      <w:pPr>
        <w:bidi w:val="0"/>
        <w:rPr>
          <w:rFonts w:hint="eastAsia"/>
          <w:color w:val="auto"/>
          <w:highlight w:val="none"/>
        </w:rPr>
      </w:pPr>
    </w:p>
    <w:p w14:paraId="07041ABC">
      <w:pPr>
        <w:bidi w:val="0"/>
        <w:rPr>
          <w:rFonts w:hint="eastAsia"/>
          <w:color w:val="auto"/>
          <w:highlight w:val="none"/>
        </w:rPr>
      </w:pPr>
    </w:p>
    <w:p w14:paraId="6F4468B5">
      <w:pPr>
        <w:bidi w:val="0"/>
        <w:rPr>
          <w:rFonts w:hint="eastAsia"/>
          <w:color w:val="auto"/>
          <w:highlight w:val="none"/>
        </w:rPr>
      </w:pPr>
    </w:p>
    <w:p w14:paraId="57999A62">
      <w:pPr>
        <w:bidi w:val="0"/>
        <w:rPr>
          <w:rFonts w:hint="eastAsia"/>
          <w:color w:val="auto"/>
          <w:highlight w:val="none"/>
        </w:rPr>
      </w:pPr>
    </w:p>
    <w:p w14:paraId="5D805491">
      <w:pPr>
        <w:bidi w:val="0"/>
        <w:rPr>
          <w:rFonts w:hint="eastAsia"/>
          <w:color w:val="auto"/>
          <w:highlight w:val="none"/>
        </w:rPr>
      </w:pPr>
    </w:p>
    <w:p w14:paraId="7284779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40"/>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bidi w:val="0"/>
        <w:rPr>
          <w:rFonts w:hint="eastAsia"/>
          <w:color w:val="auto"/>
          <w:highlight w:val="none"/>
        </w:rPr>
      </w:pPr>
    </w:p>
    <w:p w14:paraId="161DBC52">
      <w:pPr>
        <w:outlineLvl w:val="9"/>
        <w:rPr>
          <w:rFonts w:hint="eastAsia"/>
          <w:color w:val="auto"/>
          <w:highlight w:val="none"/>
        </w:rPr>
      </w:pPr>
    </w:p>
    <w:p w14:paraId="4C360526">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spacing w:before="78" w:line="220" w:lineRule="auto"/>
        <w:outlineLvl w:val="2"/>
        <w:rPr>
          <w:rFonts w:hint="eastAsia" w:ascii="宋体" w:hAnsi="宋体" w:eastAsia="宋体" w:cs="宋体"/>
          <w:b/>
          <w:bCs/>
          <w:color w:val="auto"/>
          <w:spacing w:val="-4"/>
          <w:sz w:val="24"/>
          <w:szCs w:val="24"/>
          <w:highlight w:val="none"/>
        </w:rPr>
      </w:pPr>
      <w:bookmarkStart w:id="221" w:name="_Toc24492"/>
      <w:r>
        <w:rPr>
          <w:rFonts w:hint="eastAsia" w:ascii="宋体" w:hAnsi="宋体" w:eastAsia="宋体" w:cs="宋体"/>
          <w:b/>
          <w:bCs/>
          <w:color w:val="auto"/>
          <w:spacing w:val="-4"/>
          <w:sz w:val="24"/>
          <w:szCs w:val="24"/>
          <w:highlight w:val="none"/>
        </w:rPr>
        <w:t>格式二 投标函</w:t>
      </w:r>
      <w:bookmarkEnd w:id="221"/>
    </w:p>
    <w:p w14:paraId="3DF173B2">
      <w:pPr>
        <w:pStyle w:val="6"/>
        <w:spacing w:line="261" w:lineRule="auto"/>
        <w:rPr>
          <w:rFonts w:hint="eastAsia" w:ascii="宋体" w:hAnsi="宋体" w:eastAsia="宋体" w:cs="宋体"/>
          <w:color w:val="auto"/>
          <w:highlight w:val="none"/>
        </w:rPr>
      </w:pPr>
    </w:p>
    <w:p w14:paraId="0BF10E10">
      <w:pPr>
        <w:spacing w:before="97" w:line="221" w:lineRule="auto"/>
        <w:ind w:left="3799"/>
        <w:outlineLvl w:val="9"/>
        <w:rPr>
          <w:rFonts w:hint="eastAsia" w:ascii="宋体" w:hAnsi="宋体" w:eastAsia="宋体" w:cs="宋体"/>
          <w:color w:val="auto"/>
          <w:sz w:val="30"/>
          <w:szCs w:val="30"/>
          <w:highlight w:val="none"/>
        </w:rPr>
      </w:pPr>
      <w:bookmarkStart w:id="222" w:name="bookmark148"/>
      <w:bookmarkEnd w:id="222"/>
      <w:bookmarkStart w:id="223" w:name="_Toc317"/>
      <w:bookmarkStart w:id="224" w:name="_Toc297"/>
      <w:bookmarkStart w:id="225"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3"/>
      <w:bookmarkEnd w:id="224"/>
      <w:bookmarkEnd w:id="225"/>
    </w:p>
    <w:p w14:paraId="5786DC1E">
      <w:pPr>
        <w:pStyle w:val="6"/>
        <w:spacing w:line="249" w:lineRule="auto"/>
        <w:rPr>
          <w:rFonts w:hint="eastAsia" w:ascii="宋体" w:hAnsi="宋体" w:eastAsia="宋体" w:cs="宋体"/>
          <w:color w:val="auto"/>
          <w:highlight w:val="none"/>
        </w:rPr>
      </w:pPr>
    </w:p>
    <w:p w14:paraId="72CE24CA">
      <w:pPr>
        <w:pStyle w:val="6"/>
        <w:spacing w:line="250" w:lineRule="auto"/>
        <w:rPr>
          <w:rFonts w:hint="eastAsia" w:ascii="宋体" w:hAnsi="宋体" w:eastAsia="宋体" w:cs="宋体"/>
          <w:color w:val="auto"/>
          <w:highlight w:val="none"/>
        </w:rPr>
      </w:pPr>
    </w:p>
    <w:p w14:paraId="168AB820">
      <w:pPr>
        <w:pStyle w:val="6"/>
        <w:spacing w:line="250" w:lineRule="auto"/>
        <w:rPr>
          <w:rFonts w:hint="eastAsia" w:ascii="宋体" w:hAnsi="宋体" w:eastAsia="宋体" w:cs="宋体"/>
          <w:color w:val="auto"/>
          <w:highlight w:val="none"/>
        </w:rPr>
      </w:pPr>
    </w:p>
    <w:p w14:paraId="01F0CE90">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6"/>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6" w:name="OLE_LINK34"/>
      <w:r>
        <w:rPr>
          <w:rFonts w:hint="eastAsia" w:ascii="宋体" w:hAnsi="宋体" w:eastAsia="宋体" w:cs="宋体"/>
          <w:color w:val="auto"/>
          <w:sz w:val="24"/>
          <w:szCs w:val="24"/>
          <w:highlight w:val="none"/>
          <w:u w:val="single"/>
          <w:lang w:val="en-US" w:eastAsia="zh-CN"/>
        </w:rPr>
        <w:t xml:space="preserve">     </w:t>
      </w:r>
      <w:bookmarkEnd w:id="226"/>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6E2E000">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6"/>
        <w:spacing w:line="276" w:lineRule="auto"/>
        <w:rPr>
          <w:rFonts w:hint="eastAsia" w:ascii="宋体" w:hAnsi="宋体" w:eastAsia="宋体" w:cs="宋体"/>
          <w:color w:val="auto"/>
          <w:highlight w:val="none"/>
        </w:rPr>
      </w:pPr>
    </w:p>
    <w:p w14:paraId="3340DC23">
      <w:pPr>
        <w:pStyle w:val="6"/>
        <w:spacing w:line="277" w:lineRule="auto"/>
        <w:rPr>
          <w:rFonts w:hint="eastAsia" w:ascii="宋体" w:hAnsi="宋体" w:eastAsia="宋体" w:cs="宋体"/>
          <w:color w:val="auto"/>
          <w:highlight w:val="none"/>
        </w:rPr>
      </w:pPr>
    </w:p>
    <w:p w14:paraId="6112F4BB">
      <w:pPr>
        <w:pStyle w:val="6"/>
        <w:spacing w:line="277" w:lineRule="auto"/>
        <w:rPr>
          <w:rFonts w:hint="eastAsia" w:ascii="宋体" w:hAnsi="宋体" w:eastAsia="宋体" w:cs="宋体"/>
          <w:color w:val="auto"/>
          <w:highlight w:val="none"/>
        </w:rPr>
      </w:pPr>
    </w:p>
    <w:p w14:paraId="3C3B50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6"/>
        <w:spacing w:line="256" w:lineRule="auto"/>
        <w:jc w:val="right"/>
        <w:rPr>
          <w:rFonts w:hint="eastAsia" w:ascii="宋体" w:hAnsi="宋体" w:eastAsia="宋体" w:cs="宋体"/>
          <w:color w:val="auto"/>
          <w:highlight w:val="none"/>
        </w:rPr>
      </w:pPr>
    </w:p>
    <w:p w14:paraId="5D5796EA">
      <w:pPr>
        <w:pStyle w:val="6"/>
        <w:spacing w:line="256" w:lineRule="auto"/>
        <w:jc w:val="right"/>
        <w:rPr>
          <w:rFonts w:hint="eastAsia" w:ascii="宋体" w:hAnsi="宋体" w:eastAsia="宋体" w:cs="宋体"/>
          <w:color w:val="auto"/>
          <w:highlight w:val="none"/>
        </w:rPr>
      </w:pPr>
    </w:p>
    <w:p w14:paraId="077AAC23">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6"/>
        <w:spacing w:line="257" w:lineRule="auto"/>
        <w:rPr>
          <w:rFonts w:hint="eastAsia" w:ascii="宋体" w:hAnsi="宋体" w:eastAsia="宋体" w:cs="宋体"/>
          <w:color w:val="auto"/>
          <w:highlight w:val="none"/>
        </w:rPr>
      </w:pPr>
    </w:p>
    <w:p w14:paraId="3F18B311">
      <w:pPr>
        <w:pStyle w:val="6"/>
        <w:spacing w:line="257" w:lineRule="auto"/>
        <w:rPr>
          <w:rFonts w:hint="eastAsia" w:ascii="宋体" w:hAnsi="宋体" w:eastAsia="宋体" w:cs="宋体"/>
          <w:color w:val="auto"/>
          <w:highlight w:val="none"/>
        </w:rPr>
      </w:pPr>
    </w:p>
    <w:p w14:paraId="159419D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spacing w:before="78" w:line="220" w:lineRule="auto"/>
        <w:outlineLvl w:val="2"/>
        <w:rPr>
          <w:rFonts w:hint="eastAsia" w:ascii="宋体" w:hAnsi="宋体" w:eastAsia="宋体" w:cs="宋体"/>
          <w:b/>
          <w:bCs/>
          <w:color w:val="auto"/>
          <w:spacing w:val="-4"/>
          <w:sz w:val="24"/>
          <w:szCs w:val="24"/>
          <w:highlight w:val="none"/>
        </w:rPr>
      </w:pPr>
      <w:bookmarkStart w:id="227" w:name="_Toc15958"/>
      <w:r>
        <w:rPr>
          <w:rFonts w:hint="eastAsia" w:ascii="宋体" w:hAnsi="宋体" w:eastAsia="宋体" w:cs="宋体"/>
          <w:b/>
          <w:bCs/>
          <w:color w:val="auto"/>
          <w:spacing w:val="-4"/>
          <w:sz w:val="24"/>
          <w:szCs w:val="24"/>
          <w:highlight w:val="none"/>
        </w:rPr>
        <w:t>格式三 各项承诺一览表</w:t>
      </w:r>
      <w:bookmarkEnd w:id="227"/>
    </w:p>
    <w:p w14:paraId="026AE8D0">
      <w:pPr>
        <w:pStyle w:val="6"/>
        <w:spacing w:line="254" w:lineRule="auto"/>
        <w:rPr>
          <w:rFonts w:hint="eastAsia" w:ascii="宋体" w:hAnsi="宋体" w:eastAsia="宋体" w:cs="宋体"/>
          <w:color w:val="auto"/>
          <w:highlight w:val="none"/>
        </w:rPr>
      </w:pPr>
    </w:p>
    <w:p w14:paraId="40480B0B">
      <w:pPr>
        <w:spacing w:before="98" w:line="220" w:lineRule="auto"/>
        <w:ind w:left="3581"/>
        <w:outlineLvl w:val="9"/>
        <w:rPr>
          <w:rFonts w:hint="eastAsia" w:ascii="宋体" w:hAnsi="宋体" w:eastAsia="宋体" w:cs="宋体"/>
          <w:color w:val="auto"/>
          <w:sz w:val="30"/>
          <w:szCs w:val="30"/>
          <w:highlight w:val="none"/>
        </w:rPr>
      </w:pPr>
      <w:bookmarkStart w:id="228" w:name="bookmark149"/>
      <w:bookmarkEnd w:id="228"/>
      <w:bookmarkStart w:id="229" w:name="_Toc4767"/>
      <w:bookmarkStart w:id="230" w:name="_Toc10326"/>
      <w:bookmarkStart w:id="231" w:name="_Toc2936"/>
      <w:r>
        <w:rPr>
          <w:rFonts w:hint="eastAsia" w:ascii="宋体" w:hAnsi="宋体" w:eastAsia="宋体" w:cs="宋体"/>
          <w:b/>
          <w:bCs/>
          <w:color w:val="auto"/>
          <w:spacing w:val="-5"/>
          <w:sz w:val="30"/>
          <w:szCs w:val="30"/>
          <w:highlight w:val="none"/>
        </w:rPr>
        <w:t>各项承诺一览表</w:t>
      </w:r>
      <w:bookmarkEnd w:id="229"/>
      <w:bookmarkEnd w:id="230"/>
      <w:bookmarkEnd w:id="231"/>
    </w:p>
    <w:p w14:paraId="1019DBE2">
      <w:pPr>
        <w:spacing w:before="6"/>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2"/>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6"/>
        <w:spacing w:line="297" w:lineRule="auto"/>
        <w:jc w:val="right"/>
        <w:rPr>
          <w:rFonts w:hint="eastAsia" w:ascii="宋体" w:hAnsi="宋体" w:eastAsia="宋体" w:cs="宋体"/>
          <w:color w:val="auto"/>
          <w:highlight w:val="none"/>
        </w:rPr>
      </w:pPr>
    </w:p>
    <w:p w14:paraId="6AF2FDE1">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outlineLvl w:val="9"/>
        <w:rPr>
          <w:rFonts w:hint="eastAsia"/>
          <w:color w:val="auto"/>
          <w:highlight w:val="none"/>
        </w:rPr>
      </w:pPr>
    </w:p>
    <w:p w14:paraId="4D59FD4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spacing w:before="78" w:line="220" w:lineRule="auto"/>
        <w:outlineLvl w:val="2"/>
        <w:rPr>
          <w:rFonts w:hint="eastAsia" w:ascii="宋体" w:hAnsi="宋体" w:eastAsia="宋体" w:cs="宋体"/>
          <w:b/>
          <w:bCs/>
          <w:color w:val="auto"/>
          <w:spacing w:val="-4"/>
          <w:sz w:val="24"/>
          <w:szCs w:val="24"/>
          <w:highlight w:val="none"/>
        </w:rPr>
      </w:pPr>
      <w:bookmarkStart w:id="232" w:name="_Toc16537"/>
      <w:r>
        <w:rPr>
          <w:rFonts w:hint="eastAsia" w:ascii="宋体" w:hAnsi="宋体" w:eastAsia="宋体" w:cs="宋体"/>
          <w:b/>
          <w:bCs/>
          <w:color w:val="auto"/>
          <w:spacing w:val="-4"/>
          <w:sz w:val="24"/>
          <w:szCs w:val="24"/>
          <w:highlight w:val="none"/>
        </w:rPr>
        <w:t>格式四 授权委托书</w:t>
      </w:r>
      <w:bookmarkEnd w:id="232"/>
    </w:p>
    <w:p w14:paraId="52D6B1AC">
      <w:pPr>
        <w:pStyle w:val="6"/>
        <w:spacing w:line="351" w:lineRule="auto"/>
        <w:rPr>
          <w:rFonts w:hint="eastAsia" w:ascii="宋体" w:hAnsi="宋体" w:eastAsia="宋体" w:cs="宋体"/>
          <w:color w:val="auto"/>
          <w:highlight w:val="none"/>
        </w:rPr>
      </w:pPr>
    </w:p>
    <w:p w14:paraId="4FF0C18E">
      <w:pPr>
        <w:pStyle w:val="6"/>
        <w:spacing w:line="351" w:lineRule="auto"/>
        <w:rPr>
          <w:rFonts w:hint="eastAsia" w:ascii="宋体" w:hAnsi="宋体" w:eastAsia="宋体" w:cs="宋体"/>
          <w:color w:val="auto"/>
          <w:highlight w:val="none"/>
        </w:rPr>
      </w:pPr>
    </w:p>
    <w:p w14:paraId="392E9734">
      <w:pPr>
        <w:spacing w:before="97" w:line="219" w:lineRule="auto"/>
        <w:ind w:left="3786"/>
        <w:rPr>
          <w:rFonts w:hint="eastAsia" w:ascii="宋体" w:hAnsi="宋体" w:eastAsia="宋体" w:cs="宋体"/>
          <w:color w:val="auto"/>
          <w:sz w:val="30"/>
          <w:szCs w:val="30"/>
          <w:highlight w:val="none"/>
        </w:rPr>
      </w:pPr>
      <w:bookmarkStart w:id="233" w:name="bookmark151"/>
      <w:bookmarkEnd w:id="233"/>
      <w:r>
        <w:rPr>
          <w:rFonts w:hint="eastAsia" w:ascii="宋体" w:hAnsi="宋体" w:eastAsia="宋体" w:cs="宋体"/>
          <w:b/>
          <w:bCs/>
          <w:color w:val="auto"/>
          <w:spacing w:val="-5"/>
          <w:sz w:val="30"/>
          <w:szCs w:val="30"/>
          <w:highlight w:val="none"/>
        </w:rPr>
        <w:t>授权委托书</w:t>
      </w:r>
    </w:p>
    <w:p w14:paraId="04F88440">
      <w:pPr>
        <w:pStyle w:val="6"/>
        <w:spacing w:line="250" w:lineRule="auto"/>
        <w:rPr>
          <w:rFonts w:hint="eastAsia" w:ascii="宋体" w:hAnsi="宋体" w:eastAsia="宋体" w:cs="宋体"/>
          <w:color w:val="auto"/>
          <w:highlight w:val="none"/>
        </w:rPr>
      </w:pPr>
    </w:p>
    <w:p w14:paraId="2017F5C3">
      <w:pPr>
        <w:pStyle w:val="6"/>
        <w:spacing w:line="250" w:lineRule="auto"/>
        <w:rPr>
          <w:rFonts w:hint="eastAsia" w:ascii="宋体" w:hAnsi="宋体" w:eastAsia="宋体" w:cs="宋体"/>
          <w:color w:val="auto"/>
          <w:highlight w:val="none"/>
        </w:rPr>
      </w:pPr>
    </w:p>
    <w:p w14:paraId="05FEBBB4">
      <w:pPr>
        <w:pStyle w:val="6"/>
        <w:spacing w:line="251" w:lineRule="auto"/>
        <w:rPr>
          <w:rFonts w:hint="eastAsia" w:ascii="宋体" w:hAnsi="宋体" w:eastAsia="宋体" w:cs="宋体"/>
          <w:color w:val="auto"/>
          <w:highlight w:val="none"/>
        </w:rPr>
      </w:pPr>
    </w:p>
    <w:p w14:paraId="751DBC02">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CF2436B">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6"/>
        <w:spacing w:line="276" w:lineRule="auto"/>
        <w:rPr>
          <w:rFonts w:hint="eastAsia" w:ascii="宋体" w:hAnsi="宋体" w:eastAsia="宋体" w:cs="宋体"/>
          <w:color w:val="auto"/>
          <w:highlight w:val="none"/>
        </w:rPr>
      </w:pPr>
    </w:p>
    <w:p w14:paraId="418B1FBB">
      <w:pPr>
        <w:pStyle w:val="6"/>
        <w:spacing w:line="277" w:lineRule="auto"/>
        <w:rPr>
          <w:rFonts w:hint="eastAsia" w:ascii="宋体" w:hAnsi="宋体" w:eastAsia="宋体" w:cs="宋体"/>
          <w:color w:val="auto"/>
          <w:highlight w:val="none"/>
        </w:rPr>
      </w:pPr>
    </w:p>
    <w:p w14:paraId="0ECC62DD">
      <w:pPr>
        <w:pStyle w:val="6"/>
        <w:spacing w:line="277" w:lineRule="auto"/>
        <w:rPr>
          <w:rFonts w:hint="eastAsia" w:ascii="宋体" w:hAnsi="宋体" w:eastAsia="宋体" w:cs="宋体"/>
          <w:color w:val="auto"/>
          <w:highlight w:val="none"/>
        </w:rPr>
      </w:pPr>
    </w:p>
    <w:p w14:paraId="7120C75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6"/>
        <w:spacing w:line="317" w:lineRule="auto"/>
        <w:jc w:val="right"/>
        <w:rPr>
          <w:rFonts w:hint="eastAsia" w:ascii="宋体" w:hAnsi="宋体" w:eastAsia="宋体" w:cs="宋体"/>
          <w:color w:val="auto"/>
          <w:highlight w:val="none"/>
        </w:rPr>
      </w:pPr>
    </w:p>
    <w:p w14:paraId="387F00A4">
      <w:pPr>
        <w:pStyle w:val="6"/>
        <w:spacing w:line="317" w:lineRule="auto"/>
        <w:jc w:val="right"/>
        <w:rPr>
          <w:rFonts w:hint="eastAsia" w:ascii="宋体" w:hAnsi="宋体" w:eastAsia="宋体" w:cs="宋体"/>
          <w:color w:val="auto"/>
          <w:highlight w:val="none"/>
        </w:rPr>
      </w:pPr>
    </w:p>
    <w:p w14:paraId="1CDD9DC5">
      <w:pPr>
        <w:pStyle w:val="6"/>
        <w:spacing w:line="317" w:lineRule="auto"/>
        <w:jc w:val="right"/>
        <w:rPr>
          <w:rFonts w:hint="eastAsia" w:ascii="宋体" w:hAnsi="宋体" w:eastAsia="宋体" w:cs="宋体"/>
          <w:color w:val="auto"/>
          <w:highlight w:val="none"/>
        </w:rPr>
      </w:pPr>
    </w:p>
    <w:p w14:paraId="65F4BA3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6"/>
        <w:spacing w:line="317" w:lineRule="auto"/>
        <w:jc w:val="right"/>
        <w:rPr>
          <w:rFonts w:hint="eastAsia" w:ascii="宋体" w:hAnsi="宋体" w:eastAsia="宋体" w:cs="宋体"/>
          <w:color w:val="auto"/>
          <w:highlight w:val="none"/>
        </w:rPr>
      </w:pPr>
    </w:p>
    <w:p w14:paraId="19BDFE69">
      <w:pPr>
        <w:pStyle w:val="6"/>
        <w:spacing w:line="317" w:lineRule="auto"/>
        <w:jc w:val="right"/>
        <w:rPr>
          <w:rFonts w:hint="eastAsia" w:ascii="宋体" w:hAnsi="宋体" w:eastAsia="宋体" w:cs="宋体"/>
          <w:color w:val="auto"/>
          <w:highlight w:val="none"/>
        </w:rPr>
      </w:pPr>
    </w:p>
    <w:p w14:paraId="1EA7C1F1">
      <w:pPr>
        <w:pStyle w:val="6"/>
        <w:spacing w:line="317" w:lineRule="auto"/>
        <w:jc w:val="right"/>
        <w:rPr>
          <w:rFonts w:hint="eastAsia" w:ascii="宋体" w:hAnsi="宋体" w:eastAsia="宋体" w:cs="宋体"/>
          <w:color w:val="auto"/>
          <w:highlight w:val="none"/>
        </w:rPr>
      </w:pPr>
    </w:p>
    <w:p w14:paraId="1D10DF0C">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6"/>
        <w:spacing w:line="256" w:lineRule="auto"/>
        <w:jc w:val="right"/>
        <w:rPr>
          <w:rFonts w:hint="eastAsia" w:ascii="宋体" w:hAnsi="宋体" w:eastAsia="宋体" w:cs="宋体"/>
          <w:color w:val="auto"/>
          <w:highlight w:val="none"/>
        </w:rPr>
      </w:pPr>
    </w:p>
    <w:p w14:paraId="492E95D9">
      <w:pPr>
        <w:pStyle w:val="6"/>
        <w:spacing w:line="256" w:lineRule="auto"/>
        <w:jc w:val="right"/>
        <w:rPr>
          <w:rFonts w:hint="eastAsia" w:ascii="宋体" w:hAnsi="宋体" w:eastAsia="宋体" w:cs="宋体"/>
          <w:color w:val="auto"/>
          <w:highlight w:val="none"/>
        </w:rPr>
      </w:pPr>
    </w:p>
    <w:p w14:paraId="116EE12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spacing w:before="78" w:line="220" w:lineRule="auto"/>
        <w:ind w:left="4201"/>
        <w:jc w:val="right"/>
        <w:rPr>
          <w:rFonts w:hint="eastAsia" w:ascii="宋体" w:hAnsi="宋体" w:eastAsia="宋体" w:cs="宋体"/>
          <w:color w:val="auto"/>
          <w:sz w:val="24"/>
          <w:szCs w:val="24"/>
          <w:highlight w:val="none"/>
        </w:rPr>
      </w:pPr>
    </w:p>
    <w:p w14:paraId="6285CC3E">
      <w:pPr>
        <w:spacing w:before="69"/>
        <w:rPr>
          <w:rFonts w:hint="eastAsia" w:ascii="宋体" w:hAnsi="宋体" w:eastAsia="宋体" w:cs="宋体"/>
          <w:color w:val="auto"/>
          <w:highlight w:val="none"/>
        </w:rPr>
      </w:pPr>
    </w:p>
    <w:p w14:paraId="13041B14">
      <w:pPr>
        <w:spacing w:before="69"/>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2"/>
              <w:spacing w:line="245" w:lineRule="auto"/>
              <w:rPr>
                <w:rFonts w:hint="eastAsia" w:ascii="宋体" w:hAnsi="宋体" w:eastAsia="宋体" w:cs="宋体"/>
                <w:color w:val="auto"/>
                <w:highlight w:val="none"/>
              </w:rPr>
            </w:pPr>
          </w:p>
          <w:p w14:paraId="4B47535F">
            <w:pPr>
              <w:pStyle w:val="22"/>
              <w:spacing w:line="245" w:lineRule="auto"/>
              <w:rPr>
                <w:rFonts w:hint="eastAsia" w:ascii="宋体" w:hAnsi="宋体" w:eastAsia="宋体" w:cs="宋体"/>
                <w:color w:val="auto"/>
                <w:highlight w:val="none"/>
              </w:rPr>
            </w:pPr>
          </w:p>
          <w:p w14:paraId="0C140ADB">
            <w:pPr>
              <w:pStyle w:val="22"/>
              <w:spacing w:line="245" w:lineRule="auto"/>
              <w:rPr>
                <w:rFonts w:hint="eastAsia" w:ascii="宋体" w:hAnsi="宋体" w:eastAsia="宋体" w:cs="宋体"/>
                <w:color w:val="auto"/>
                <w:highlight w:val="none"/>
              </w:rPr>
            </w:pPr>
          </w:p>
          <w:p w14:paraId="37AC5D2F">
            <w:pPr>
              <w:pStyle w:val="22"/>
              <w:spacing w:line="245" w:lineRule="auto"/>
              <w:rPr>
                <w:rFonts w:hint="eastAsia" w:ascii="宋体" w:hAnsi="宋体" w:eastAsia="宋体" w:cs="宋体"/>
                <w:color w:val="auto"/>
                <w:highlight w:val="none"/>
              </w:rPr>
            </w:pPr>
          </w:p>
          <w:p w14:paraId="4D91F07F">
            <w:pPr>
              <w:pStyle w:val="22"/>
              <w:spacing w:line="245" w:lineRule="auto"/>
              <w:rPr>
                <w:rFonts w:hint="eastAsia" w:ascii="宋体" w:hAnsi="宋体" w:eastAsia="宋体" w:cs="宋体"/>
                <w:color w:val="auto"/>
                <w:highlight w:val="none"/>
              </w:rPr>
            </w:pPr>
          </w:p>
          <w:p w14:paraId="51376401">
            <w:pPr>
              <w:pStyle w:val="22"/>
              <w:spacing w:line="245" w:lineRule="auto"/>
              <w:rPr>
                <w:rFonts w:hint="eastAsia" w:ascii="宋体" w:hAnsi="宋体" w:eastAsia="宋体" w:cs="宋体"/>
                <w:color w:val="auto"/>
                <w:highlight w:val="none"/>
              </w:rPr>
            </w:pPr>
          </w:p>
          <w:p w14:paraId="3DA54932">
            <w:pPr>
              <w:pStyle w:val="22"/>
              <w:spacing w:line="246" w:lineRule="auto"/>
              <w:rPr>
                <w:rFonts w:hint="eastAsia" w:ascii="宋体" w:hAnsi="宋体" w:eastAsia="宋体" w:cs="宋体"/>
                <w:color w:val="auto"/>
                <w:highlight w:val="none"/>
              </w:rPr>
            </w:pPr>
          </w:p>
          <w:p w14:paraId="163627A6">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6"/>
        <w:rPr>
          <w:rFonts w:hint="eastAsia" w:ascii="宋体" w:hAnsi="宋体" w:eastAsia="宋体" w:cs="宋体"/>
          <w:color w:val="auto"/>
          <w:highlight w:val="none"/>
        </w:rPr>
      </w:pPr>
    </w:p>
    <w:p w14:paraId="54CE0BF6">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spacing w:before="78" w:line="220" w:lineRule="auto"/>
        <w:outlineLvl w:val="2"/>
        <w:rPr>
          <w:rFonts w:hint="eastAsia" w:ascii="宋体" w:hAnsi="宋体" w:eastAsia="宋体" w:cs="宋体"/>
          <w:b/>
          <w:bCs/>
          <w:color w:val="auto"/>
          <w:spacing w:val="-4"/>
          <w:sz w:val="24"/>
          <w:szCs w:val="24"/>
          <w:highlight w:val="none"/>
        </w:rPr>
      </w:pPr>
      <w:bookmarkStart w:id="234" w:name="_Toc30394"/>
      <w:r>
        <w:rPr>
          <w:rFonts w:hint="eastAsia" w:ascii="宋体" w:hAnsi="宋体" w:eastAsia="宋体" w:cs="宋体"/>
          <w:b/>
          <w:bCs/>
          <w:color w:val="auto"/>
          <w:spacing w:val="-4"/>
          <w:sz w:val="24"/>
          <w:szCs w:val="24"/>
          <w:highlight w:val="none"/>
        </w:rPr>
        <w:t>格式五 法定代表人身份证明</w:t>
      </w:r>
      <w:bookmarkEnd w:id="234"/>
    </w:p>
    <w:p w14:paraId="1AD2910A">
      <w:pPr>
        <w:pStyle w:val="6"/>
        <w:spacing w:line="350" w:lineRule="auto"/>
        <w:rPr>
          <w:rFonts w:hint="eastAsia" w:ascii="宋体" w:hAnsi="宋体" w:eastAsia="宋体" w:cs="宋体"/>
          <w:color w:val="auto"/>
          <w:highlight w:val="none"/>
        </w:rPr>
      </w:pPr>
    </w:p>
    <w:p w14:paraId="00B721B3">
      <w:pPr>
        <w:pStyle w:val="6"/>
        <w:spacing w:line="350" w:lineRule="auto"/>
        <w:rPr>
          <w:rFonts w:hint="eastAsia" w:ascii="宋体" w:hAnsi="宋体" w:eastAsia="宋体" w:cs="宋体"/>
          <w:color w:val="auto"/>
          <w:highlight w:val="none"/>
        </w:rPr>
      </w:pPr>
    </w:p>
    <w:p w14:paraId="62C321D1">
      <w:pPr>
        <w:spacing w:before="98" w:line="220" w:lineRule="auto"/>
        <w:ind w:left="3183"/>
        <w:rPr>
          <w:rFonts w:hint="eastAsia" w:ascii="宋体" w:hAnsi="宋体" w:eastAsia="宋体" w:cs="宋体"/>
          <w:color w:val="auto"/>
          <w:sz w:val="30"/>
          <w:szCs w:val="30"/>
          <w:highlight w:val="none"/>
        </w:rPr>
      </w:pPr>
      <w:bookmarkStart w:id="235" w:name="bookmark152"/>
      <w:bookmarkEnd w:id="235"/>
      <w:r>
        <w:rPr>
          <w:rFonts w:hint="eastAsia" w:ascii="宋体" w:hAnsi="宋体" w:eastAsia="宋体" w:cs="宋体"/>
          <w:b/>
          <w:bCs/>
          <w:color w:val="auto"/>
          <w:spacing w:val="-4"/>
          <w:sz w:val="30"/>
          <w:szCs w:val="30"/>
          <w:highlight w:val="none"/>
        </w:rPr>
        <w:t>法定代表人身份证明</w:t>
      </w:r>
    </w:p>
    <w:p w14:paraId="5055A950">
      <w:pPr>
        <w:pStyle w:val="6"/>
        <w:spacing w:line="250" w:lineRule="auto"/>
        <w:rPr>
          <w:rFonts w:hint="eastAsia" w:ascii="宋体" w:hAnsi="宋体" w:eastAsia="宋体" w:cs="宋体"/>
          <w:color w:val="auto"/>
          <w:highlight w:val="none"/>
        </w:rPr>
      </w:pPr>
    </w:p>
    <w:p w14:paraId="705CECB5">
      <w:pPr>
        <w:pStyle w:val="6"/>
        <w:spacing w:line="250" w:lineRule="auto"/>
        <w:rPr>
          <w:rFonts w:hint="eastAsia" w:ascii="宋体" w:hAnsi="宋体" w:eastAsia="宋体" w:cs="宋体"/>
          <w:color w:val="auto"/>
          <w:highlight w:val="none"/>
        </w:rPr>
      </w:pPr>
    </w:p>
    <w:p w14:paraId="0978BEEE">
      <w:pPr>
        <w:pStyle w:val="6"/>
        <w:spacing w:line="251" w:lineRule="auto"/>
        <w:rPr>
          <w:rFonts w:hint="eastAsia" w:ascii="宋体" w:hAnsi="宋体" w:eastAsia="宋体" w:cs="宋体"/>
          <w:color w:val="auto"/>
          <w:highlight w:val="none"/>
        </w:rPr>
      </w:pPr>
    </w:p>
    <w:p w14:paraId="59417B9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6"/>
        <w:spacing w:line="277" w:lineRule="auto"/>
        <w:rPr>
          <w:rFonts w:hint="eastAsia" w:ascii="宋体" w:hAnsi="宋体" w:eastAsia="宋体" w:cs="宋体"/>
          <w:color w:val="auto"/>
          <w:highlight w:val="none"/>
        </w:rPr>
      </w:pPr>
    </w:p>
    <w:p w14:paraId="7F91432D">
      <w:pPr>
        <w:pStyle w:val="6"/>
        <w:spacing w:line="277" w:lineRule="auto"/>
        <w:rPr>
          <w:rFonts w:hint="eastAsia" w:ascii="宋体" w:hAnsi="宋体" w:eastAsia="宋体" w:cs="宋体"/>
          <w:color w:val="auto"/>
          <w:highlight w:val="none"/>
        </w:rPr>
      </w:pPr>
    </w:p>
    <w:p w14:paraId="449CA16E">
      <w:pPr>
        <w:pStyle w:val="6"/>
        <w:spacing w:line="278" w:lineRule="auto"/>
        <w:rPr>
          <w:rFonts w:hint="eastAsia" w:ascii="宋体" w:hAnsi="宋体" w:eastAsia="宋体" w:cs="宋体"/>
          <w:color w:val="auto"/>
          <w:highlight w:val="none"/>
        </w:rPr>
      </w:pPr>
    </w:p>
    <w:p w14:paraId="739A3A6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6"/>
        <w:spacing w:line="317" w:lineRule="auto"/>
        <w:jc w:val="right"/>
        <w:rPr>
          <w:rFonts w:hint="eastAsia" w:ascii="宋体" w:hAnsi="宋体" w:eastAsia="宋体" w:cs="宋体"/>
          <w:color w:val="auto"/>
          <w:highlight w:val="none"/>
        </w:rPr>
      </w:pPr>
    </w:p>
    <w:p w14:paraId="7ED9322A">
      <w:pPr>
        <w:pStyle w:val="6"/>
        <w:spacing w:line="317" w:lineRule="auto"/>
        <w:jc w:val="right"/>
        <w:rPr>
          <w:rFonts w:hint="eastAsia" w:ascii="宋体" w:hAnsi="宋体" w:eastAsia="宋体" w:cs="宋体"/>
          <w:color w:val="auto"/>
          <w:highlight w:val="none"/>
        </w:rPr>
      </w:pPr>
    </w:p>
    <w:p w14:paraId="2815C601">
      <w:pPr>
        <w:pStyle w:val="6"/>
        <w:spacing w:line="317" w:lineRule="auto"/>
        <w:jc w:val="right"/>
        <w:rPr>
          <w:rFonts w:hint="eastAsia" w:ascii="宋体" w:hAnsi="宋体" w:eastAsia="宋体" w:cs="宋体"/>
          <w:color w:val="auto"/>
          <w:highlight w:val="none"/>
        </w:rPr>
      </w:pPr>
    </w:p>
    <w:p w14:paraId="42180BF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6"/>
        <w:spacing w:line="257" w:lineRule="auto"/>
        <w:jc w:val="right"/>
        <w:rPr>
          <w:rFonts w:hint="eastAsia" w:ascii="宋体" w:hAnsi="宋体" w:eastAsia="宋体" w:cs="宋体"/>
          <w:color w:val="auto"/>
          <w:highlight w:val="none"/>
        </w:rPr>
      </w:pPr>
    </w:p>
    <w:p w14:paraId="018096D8">
      <w:pPr>
        <w:pStyle w:val="6"/>
        <w:spacing w:line="257" w:lineRule="auto"/>
        <w:jc w:val="right"/>
        <w:rPr>
          <w:rFonts w:hint="eastAsia" w:ascii="宋体" w:hAnsi="宋体" w:eastAsia="宋体" w:cs="宋体"/>
          <w:color w:val="auto"/>
          <w:highlight w:val="none"/>
        </w:rPr>
      </w:pPr>
    </w:p>
    <w:p w14:paraId="617EB836">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6"/>
        <w:spacing w:line="254" w:lineRule="auto"/>
        <w:rPr>
          <w:rFonts w:hint="eastAsia" w:ascii="宋体" w:hAnsi="宋体" w:eastAsia="宋体" w:cs="宋体"/>
          <w:color w:val="auto"/>
          <w:highlight w:val="none"/>
        </w:rPr>
      </w:pPr>
    </w:p>
    <w:p w14:paraId="5CEDF64B">
      <w:pPr>
        <w:pStyle w:val="6"/>
        <w:spacing w:line="254" w:lineRule="auto"/>
        <w:rPr>
          <w:rFonts w:hint="eastAsia" w:ascii="宋体" w:hAnsi="宋体" w:eastAsia="宋体" w:cs="宋体"/>
          <w:color w:val="auto"/>
          <w:highlight w:val="none"/>
        </w:rPr>
      </w:pPr>
    </w:p>
    <w:p w14:paraId="37810D14">
      <w:pPr>
        <w:pStyle w:val="6"/>
        <w:spacing w:line="254" w:lineRule="auto"/>
        <w:rPr>
          <w:rFonts w:hint="eastAsia" w:ascii="宋体" w:hAnsi="宋体" w:eastAsia="宋体" w:cs="宋体"/>
          <w:color w:val="auto"/>
          <w:highlight w:val="none"/>
        </w:rPr>
      </w:pPr>
    </w:p>
    <w:p w14:paraId="160B9E44">
      <w:pPr>
        <w:pStyle w:val="6"/>
        <w:spacing w:line="254" w:lineRule="auto"/>
        <w:rPr>
          <w:rFonts w:hint="eastAsia" w:ascii="宋体" w:hAnsi="宋体" w:eastAsia="宋体" w:cs="宋体"/>
          <w:color w:val="auto"/>
          <w:highlight w:val="none"/>
        </w:rPr>
      </w:pPr>
    </w:p>
    <w:p w14:paraId="5A8402FE">
      <w:pPr>
        <w:pStyle w:val="6"/>
        <w:spacing w:line="255" w:lineRule="auto"/>
        <w:rPr>
          <w:rFonts w:hint="eastAsia" w:ascii="宋体" w:hAnsi="宋体" w:eastAsia="宋体" w:cs="宋体"/>
          <w:color w:val="auto"/>
          <w:highlight w:val="none"/>
        </w:rPr>
      </w:pPr>
    </w:p>
    <w:p w14:paraId="0AF113AB">
      <w:pPr>
        <w:pStyle w:val="6"/>
        <w:spacing w:line="255" w:lineRule="auto"/>
        <w:rPr>
          <w:rFonts w:hint="eastAsia" w:ascii="宋体" w:hAnsi="宋体" w:eastAsia="宋体" w:cs="宋体"/>
          <w:color w:val="auto"/>
          <w:highlight w:val="none"/>
        </w:rPr>
      </w:pPr>
    </w:p>
    <w:p w14:paraId="7240EAD7">
      <w:pPr>
        <w:pStyle w:val="6"/>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spacing w:before="78" w:line="220" w:lineRule="auto"/>
        <w:outlineLvl w:val="2"/>
        <w:rPr>
          <w:rFonts w:hint="eastAsia" w:ascii="宋体" w:hAnsi="宋体" w:eastAsia="宋体" w:cs="宋体"/>
          <w:b/>
          <w:bCs/>
          <w:color w:val="auto"/>
          <w:spacing w:val="-4"/>
          <w:sz w:val="24"/>
          <w:szCs w:val="24"/>
          <w:highlight w:val="none"/>
        </w:rPr>
      </w:pPr>
      <w:bookmarkStart w:id="236" w:name="_Toc5771"/>
      <w:r>
        <w:rPr>
          <w:rFonts w:hint="eastAsia" w:ascii="宋体" w:hAnsi="宋体" w:eastAsia="宋体" w:cs="宋体"/>
          <w:b/>
          <w:bCs/>
          <w:color w:val="auto"/>
          <w:spacing w:val="-4"/>
          <w:sz w:val="24"/>
          <w:szCs w:val="24"/>
          <w:highlight w:val="none"/>
        </w:rPr>
        <w:t>格式六 联合体协议书</w:t>
      </w:r>
      <w:bookmarkEnd w:id="236"/>
    </w:p>
    <w:p w14:paraId="3D9671D8">
      <w:pPr>
        <w:spacing w:before="98" w:line="219" w:lineRule="auto"/>
        <w:ind w:left="3638"/>
        <w:rPr>
          <w:rFonts w:hint="eastAsia" w:ascii="宋体" w:hAnsi="宋体" w:eastAsia="宋体" w:cs="宋体"/>
          <w:color w:val="auto"/>
          <w:sz w:val="30"/>
          <w:szCs w:val="30"/>
          <w:highlight w:val="none"/>
        </w:rPr>
      </w:pPr>
      <w:bookmarkStart w:id="237" w:name="bookmark153"/>
      <w:bookmarkEnd w:id="237"/>
      <w:r>
        <w:rPr>
          <w:rFonts w:hint="eastAsia" w:ascii="宋体" w:hAnsi="宋体" w:eastAsia="宋体" w:cs="宋体"/>
          <w:b/>
          <w:bCs/>
          <w:color w:val="auto"/>
          <w:spacing w:val="-5"/>
          <w:sz w:val="30"/>
          <w:szCs w:val="30"/>
          <w:highlight w:val="none"/>
        </w:rPr>
        <w:t>联合体协议书</w:t>
      </w:r>
    </w:p>
    <w:p w14:paraId="75F1511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outlineLvl w:val="9"/>
        <w:rPr>
          <w:rFonts w:hint="eastAsia"/>
          <w:color w:val="auto"/>
          <w:highlight w:val="none"/>
        </w:rPr>
      </w:pPr>
    </w:p>
    <w:p w14:paraId="3419B2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8" w:name="_Toc5365"/>
      <w:bookmarkStart w:id="239"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8"/>
      <w:bookmarkEnd w:id="239"/>
    </w:p>
    <w:p w14:paraId="17E97E7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0" w:name="_Toc26708"/>
      <w:bookmarkStart w:id="241"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0"/>
      <w:bookmarkEnd w:id="241"/>
    </w:p>
    <w:p w14:paraId="24676EC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2" w:name="bookmark154"/>
      <w:bookmarkEnd w:id="242"/>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spacing w:before="78" w:line="220" w:lineRule="auto"/>
        <w:outlineLvl w:val="2"/>
        <w:rPr>
          <w:rFonts w:hint="eastAsia" w:ascii="宋体" w:hAnsi="宋体" w:eastAsia="宋体" w:cs="宋体"/>
          <w:b/>
          <w:bCs/>
          <w:color w:val="auto"/>
          <w:spacing w:val="-4"/>
          <w:sz w:val="24"/>
          <w:szCs w:val="24"/>
          <w:highlight w:val="none"/>
        </w:rPr>
      </w:pPr>
      <w:bookmarkStart w:id="243" w:name="_Toc17838"/>
      <w:r>
        <w:rPr>
          <w:rFonts w:hint="eastAsia" w:ascii="宋体" w:hAnsi="宋体" w:eastAsia="宋体" w:cs="宋体"/>
          <w:b/>
          <w:bCs/>
          <w:color w:val="auto"/>
          <w:spacing w:val="-4"/>
          <w:sz w:val="24"/>
          <w:szCs w:val="24"/>
          <w:highlight w:val="none"/>
        </w:rPr>
        <w:t>格式七 投标人基本情况表</w:t>
      </w:r>
      <w:bookmarkEnd w:id="243"/>
    </w:p>
    <w:p w14:paraId="14DDA036">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spacing w:line="239" w:lineRule="exact"/>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2"/>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2"/>
              <w:rPr>
                <w:rFonts w:hint="eastAsia" w:ascii="宋体" w:hAnsi="宋体" w:eastAsia="宋体" w:cs="宋体"/>
                <w:color w:val="auto"/>
                <w:sz w:val="24"/>
                <w:szCs w:val="24"/>
                <w:highlight w:val="none"/>
              </w:rPr>
            </w:pPr>
          </w:p>
        </w:tc>
        <w:tc>
          <w:tcPr>
            <w:tcW w:w="1354" w:type="dxa"/>
            <w:gridSpan w:val="2"/>
            <w:vAlign w:val="top"/>
          </w:tcPr>
          <w:p w14:paraId="114BD33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2"/>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2"/>
              <w:spacing w:line="332" w:lineRule="auto"/>
              <w:rPr>
                <w:rFonts w:hint="eastAsia" w:ascii="宋体" w:hAnsi="宋体" w:eastAsia="宋体" w:cs="宋体"/>
                <w:color w:val="auto"/>
                <w:sz w:val="24"/>
                <w:szCs w:val="24"/>
                <w:highlight w:val="none"/>
              </w:rPr>
            </w:pPr>
          </w:p>
          <w:p w14:paraId="21572833">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2"/>
              <w:rPr>
                <w:rFonts w:hint="eastAsia" w:ascii="宋体" w:hAnsi="宋体" w:eastAsia="宋体" w:cs="宋体"/>
                <w:color w:val="auto"/>
                <w:sz w:val="24"/>
                <w:szCs w:val="24"/>
                <w:highlight w:val="none"/>
              </w:rPr>
            </w:pPr>
          </w:p>
        </w:tc>
        <w:tc>
          <w:tcPr>
            <w:tcW w:w="1354" w:type="dxa"/>
            <w:gridSpan w:val="2"/>
            <w:vAlign w:val="top"/>
          </w:tcPr>
          <w:p w14:paraId="126A236B">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2"/>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2"/>
              <w:rPr>
                <w:rFonts w:hint="eastAsia" w:ascii="宋体" w:hAnsi="宋体" w:eastAsia="宋体" w:cs="宋体"/>
                <w:color w:val="auto"/>
                <w:sz w:val="24"/>
                <w:szCs w:val="24"/>
                <w:highlight w:val="none"/>
              </w:rPr>
            </w:pPr>
          </w:p>
        </w:tc>
        <w:tc>
          <w:tcPr>
            <w:tcW w:w="975" w:type="dxa"/>
            <w:vAlign w:val="top"/>
          </w:tcPr>
          <w:p w14:paraId="6A4932C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2"/>
              <w:rPr>
                <w:rFonts w:hint="eastAsia" w:ascii="宋体" w:hAnsi="宋体" w:eastAsia="宋体" w:cs="宋体"/>
                <w:color w:val="auto"/>
                <w:sz w:val="24"/>
                <w:szCs w:val="24"/>
                <w:highlight w:val="none"/>
              </w:rPr>
            </w:pPr>
          </w:p>
        </w:tc>
        <w:tc>
          <w:tcPr>
            <w:tcW w:w="1354" w:type="dxa"/>
            <w:gridSpan w:val="2"/>
            <w:vAlign w:val="top"/>
          </w:tcPr>
          <w:p w14:paraId="4163A6B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2"/>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2"/>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2"/>
              <w:rPr>
                <w:rFonts w:hint="eastAsia" w:ascii="宋体" w:hAnsi="宋体" w:eastAsia="宋体" w:cs="宋体"/>
                <w:color w:val="auto"/>
                <w:sz w:val="24"/>
                <w:szCs w:val="24"/>
                <w:highlight w:val="none"/>
              </w:rPr>
            </w:pPr>
          </w:p>
        </w:tc>
        <w:tc>
          <w:tcPr>
            <w:tcW w:w="1183" w:type="dxa"/>
            <w:gridSpan w:val="2"/>
            <w:vAlign w:val="top"/>
          </w:tcPr>
          <w:p w14:paraId="3F974C1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2"/>
              <w:rPr>
                <w:rFonts w:hint="eastAsia" w:ascii="宋体" w:hAnsi="宋体" w:eastAsia="宋体" w:cs="宋体"/>
                <w:color w:val="auto"/>
                <w:sz w:val="24"/>
                <w:szCs w:val="24"/>
                <w:highlight w:val="none"/>
              </w:rPr>
            </w:pPr>
          </w:p>
        </w:tc>
        <w:tc>
          <w:tcPr>
            <w:tcW w:w="770" w:type="dxa"/>
            <w:vAlign w:val="top"/>
          </w:tcPr>
          <w:p w14:paraId="78C62852">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2"/>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2"/>
              <w:rPr>
                <w:rFonts w:hint="eastAsia" w:ascii="宋体" w:hAnsi="宋体" w:eastAsia="宋体" w:cs="宋体"/>
                <w:color w:val="auto"/>
                <w:sz w:val="24"/>
                <w:szCs w:val="24"/>
                <w:highlight w:val="none"/>
              </w:rPr>
            </w:pPr>
          </w:p>
        </w:tc>
        <w:tc>
          <w:tcPr>
            <w:tcW w:w="4827" w:type="dxa"/>
            <w:gridSpan w:val="6"/>
            <w:vAlign w:val="top"/>
          </w:tcPr>
          <w:p w14:paraId="68EE19B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2"/>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2"/>
              <w:spacing w:line="254" w:lineRule="auto"/>
              <w:rPr>
                <w:rFonts w:hint="eastAsia" w:ascii="宋体" w:hAnsi="宋体" w:eastAsia="宋体" w:cs="宋体"/>
                <w:color w:val="auto"/>
                <w:sz w:val="24"/>
                <w:szCs w:val="24"/>
                <w:highlight w:val="none"/>
              </w:rPr>
            </w:pPr>
          </w:p>
          <w:p w14:paraId="085FDF22">
            <w:pPr>
              <w:pStyle w:val="22"/>
              <w:spacing w:line="254" w:lineRule="auto"/>
              <w:rPr>
                <w:rFonts w:hint="eastAsia" w:ascii="宋体" w:hAnsi="宋体" w:eastAsia="宋体" w:cs="宋体"/>
                <w:color w:val="auto"/>
                <w:sz w:val="24"/>
                <w:szCs w:val="24"/>
                <w:highlight w:val="none"/>
              </w:rPr>
            </w:pPr>
          </w:p>
          <w:p w14:paraId="0058CF4E">
            <w:pPr>
              <w:pStyle w:val="22"/>
              <w:spacing w:line="254" w:lineRule="auto"/>
              <w:rPr>
                <w:rFonts w:hint="eastAsia" w:ascii="宋体" w:hAnsi="宋体" w:eastAsia="宋体" w:cs="宋体"/>
                <w:color w:val="auto"/>
                <w:sz w:val="24"/>
                <w:szCs w:val="24"/>
                <w:highlight w:val="none"/>
              </w:rPr>
            </w:pPr>
          </w:p>
          <w:p w14:paraId="52D89A9C">
            <w:pPr>
              <w:pStyle w:val="22"/>
              <w:spacing w:line="254" w:lineRule="auto"/>
              <w:rPr>
                <w:rFonts w:hint="eastAsia" w:ascii="宋体" w:hAnsi="宋体" w:eastAsia="宋体" w:cs="宋体"/>
                <w:color w:val="auto"/>
                <w:sz w:val="24"/>
                <w:szCs w:val="24"/>
                <w:highlight w:val="none"/>
              </w:rPr>
            </w:pPr>
          </w:p>
          <w:p w14:paraId="2A9C3BD7">
            <w:pPr>
              <w:pStyle w:val="22"/>
              <w:spacing w:line="255" w:lineRule="auto"/>
              <w:rPr>
                <w:rFonts w:hint="eastAsia" w:ascii="宋体" w:hAnsi="宋体" w:eastAsia="宋体" w:cs="宋体"/>
                <w:color w:val="auto"/>
                <w:sz w:val="24"/>
                <w:szCs w:val="24"/>
                <w:highlight w:val="none"/>
              </w:rPr>
            </w:pPr>
          </w:p>
          <w:p w14:paraId="6CC6EF4A">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2"/>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2"/>
              <w:rPr>
                <w:rFonts w:hint="eastAsia" w:ascii="宋体" w:hAnsi="宋体" w:eastAsia="宋体" w:cs="宋体"/>
                <w:color w:val="auto"/>
                <w:sz w:val="24"/>
                <w:szCs w:val="24"/>
                <w:highlight w:val="none"/>
              </w:rPr>
            </w:pPr>
          </w:p>
        </w:tc>
        <w:tc>
          <w:tcPr>
            <w:tcW w:w="2096" w:type="dxa"/>
            <w:gridSpan w:val="3"/>
            <w:vAlign w:val="top"/>
          </w:tcPr>
          <w:p w14:paraId="12538A97">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2"/>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2"/>
              <w:rPr>
                <w:rFonts w:hint="eastAsia" w:ascii="宋体" w:hAnsi="宋体" w:eastAsia="宋体" w:cs="宋体"/>
                <w:color w:val="auto"/>
                <w:sz w:val="24"/>
                <w:szCs w:val="24"/>
                <w:highlight w:val="none"/>
              </w:rPr>
            </w:pPr>
          </w:p>
        </w:tc>
        <w:tc>
          <w:tcPr>
            <w:tcW w:w="2096" w:type="dxa"/>
            <w:gridSpan w:val="3"/>
            <w:vAlign w:val="top"/>
          </w:tcPr>
          <w:p w14:paraId="254C5EFF">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2"/>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2"/>
              <w:rPr>
                <w:rFonts w:hint="eastAsia" w:ascii="宋体" w:hAnsi="宋体" w:eastAsia="宋体" w:cs="宋体"/>
                <w:color w:val="auto"/>
                <w:sz w:val="24"/>
                <w:szCs w:val="24"/>
                <w:highlight w:val="none"/>
              </w:rPr>
            </w:pPr>
          </w:p>
        </w:tc>
        <w:tc>
          <w:tcPr>
            <w:tcW w:w="2096" w:type="dxa"/>
            <w:gridSpan w:val="3"/>
            <w:vAlign w:val="top"/>
          </w:tcPr>
          <w:p w14:paraId="5A14CD2D">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2"/>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2"/>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2"/>
              <w:rPr>
                <w:rFonts w:hint="eastAsia" w:ascii="宋体" w:hAnsi="宋体" w:eastAsia="宋体" w:cs="宋体"/>
                <w:color w:val="auto"/>
                <w:sz w:val="24"/>
                <w:szCs w:val="24"/>
                <w:highlight w:val="none"/>
              </w:rPr>
            </w:pPr>
          </w:p>
        </w:tc>
        <w:tc>
          <w:tcPr>
            <w:tcW w:w="2096" w:type="dxa"/>
            <w:gridSpan w:val="3"/>
            <w:vAlign w:val="top"/>
          </w:tcPr>
          <w:p w14:paraId="71351406">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2"/>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2"/>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2"/>
              <w:spacing w:line="295" w:lineRule="auto"/>
              <w:rPr>
                <w:rFonts w:hint="eastAsia" w:ascii="宋体" w:hAnsi="宋体" w:eastAsia="宋体" w:cs="宋体"/>
                <w:color w:val="auto"/>
                <w:sz w:val="24"/>
                <w:szCs w:val="24"/>
                <w:highlight w:val="none"/>
              </w:rPr>
            </w:pPr>
          </w:p>
          <w:p w14:paraId="2DD91160">
            <w:pPr>
              <w:pStyle w:val="22"/>
              <w:spacing w:line="296" w:lineRule="auto"/>
              <w:rPr>
                <w:rFonts w:hint="eastAsia" w:ascii="宋体" w:hAnsi="宋体" w:eastAsia="宋体" w:cs="宋体"/>
                <w:color w:val="auto"/>
                <w:sz w:val="24"/>
                <w:szCs w:val="24"/>
                <w:highlight w:val="none"/>
              </w:rPr>
            </w:pPr>
          </w:p>
          <w:p w14:paraId="1E607DF4">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2"/>
              <w:rPr>
                <w:rFonts w:hint="eastAsia" w:ascii="宋体" w:hAnsi="宋体" w:eastAsia="宋体" w:cs="宋体"/>
                <w:color w:val="auto"/>
                <w:sz w:val="24"/>
                <w:szCs w:val="24"/>
                <w:highlight w:val="none"/>
              </w:rPr>
            </w:pPr>
          </w:p>
        </w:tc>
      </w:tr>
    </w:tbl>
    <w:p w14:paraId="2CDDCDA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4" w:name="_Toc14048"/>
      <w:bookmarkStart w:id="245" w:name="_Toc5131"/>
      <w:r>
        <w:rPr>
          <w:rFonts w:hint="eastAsia" w:ascii="宋体" w:hAnsi="宋体" w:eastAsia="宋体" w:cs="宋体"/>
          <w:color w:val="auto"/>
          <w:spacing w:val="4"/>
          <w:sz w:val="18"/>
          <w:szCs w:val="18"/>
          <w:highlight w:val="none"/>
        </w:rPr>
        <w:t>1 ．《投标人基本情况表》后应附以下资料：</w:t>
      </w:r>
      <w:bookmarkEnd w:id="244"/>
      <w:bookmarkEnd w:id="245"/>
    </w:p>
    <w:p w14:paraId="2CEABDB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7286EE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51A766F">
      <w:pPr>
        <w:spacing w:before="78" w:line="220" w:lineRule="auto"/>
        <w:outlineLvl w:val="2"/>
        <w:rPr>
          <w:rFonts w:hint="eastAsia" w:ascii="宋体" w:hAnsi="宋体" w:eastAsia="宋体" w:cs="宋体"/>
          <w:b/>
          <w:bCs/>
          <w:color w:val="auto"/>
          <w:spacing w:val="-4"/>
          <w:sz w:val="24"/>
          <w:szCs w:val="24"/>
          <w:highlight w:val="none"/>
        </w:rPr>
      </w:pPr>
      <w:bookmarkStart w:id="246" w:name="_Toc19699"/>
      <w:r>
        <w:rPr>
          <w:rFonts w:hint="eastAsia" w:ascii="宋体" w:hAnsi="宋体" w:eastAsia="宋体" w:cs="宋体"/>
          <w:b/>
          <w:bCs/>
          <w:color w:val="auto"/>
          <w:spacing w:val="-4"/>
          <w:sz w:val="24"/>
          <w:szCs w:val="24"/>
          <w:highlight w:val="none"/>
        </w:rPr>
        <w:t>格式八 项目经理简历表</w:t>
      </w:r>
      <w:bookmarkEnd w:id="246"/>
    </w:p>
    <w:p w14:paraId="44DC91D3">
      <w:pPr>
        <w:pStyle w:val="6"/>
        <w:spacing w:line="444" w:lineRule="auto"/>
        <w:rPr>
          <w:rFonts w:hint="eastAsia" w:ascii="宋体" w:hAnsi="宋体" w:eastAsia="宋体" w:cs="宋体"/>
          <w:color w:val="auto"/>
          <w:highlight w:val="none"/>
        </w:rPr>
      </w:pPr>
    </w:p>
    <w:p w14:paraId="185D5FD6">
      <w:pPr>
        <w:spacing w:before="97" w:line="219" w:lineRule="auto"/>
        <w:ind w:left="3538"/>
        <w:outlineLvl w:val="9"/>
        <w:rPr>
          <w:rFonts w:hint="eastAsia" w:ascii="宋体" w:hAnsi="宋体" w:eastAsia="宋体" w:cs="宋体"/>
          <w:color w:val="auto"/>
          <w:sz w:val="30"/>
          <w:szCs w:val="30"/>
          <w:highlight w:val="none"/>
        </w:rPr>
      </w:pPr>
      <w:bookmarkStart w:id="247" w:name="bookmark156"/>
      <w:bookmarkEnd w:id="247"/>
      <w:bookmarkStart w:id="248" w:name="bookmark89"/>
      <w:bookmarkEnd w:id="248"/>
      <w:bookmarkStart w:id="249" w:name="_Toc31533"/>
      <w:bookmarkStart w:id="250" w:name="_Toc24489"/>
      <w:r>
        <w:rPr>
          <w:rFonts w:hint="eastAsia" w:ascii="宋体" w:hAnsi="宋体" w:eastAsia="宋体" w:cs="宋体"/>
          <w:b/>
          <w:bCs/>
          <w:color w:val="auto"/>
          <w:spacing w:val="-5"/>
          <w:sz w:val="30"/>
          <w:szCs w:val="30"/>
          <w:highlight w:val="none"/>
        </w:rPr>
        <w:t>项目经理简历表</w:t>
      </w:r>
      <w:bookmarkEnd w:id="249"/>
      <w:bookmarkEnd w:id="250"/>
    </w:p>
    <w:p w14:paraId="7FF3B61F">
      <w:pPr>
        <w:spacing w:line="240" w:lineRule="exact"/>
        <w:rPr>
          <w:rFonts w:hint="eastAsia" w:ascii="宋体" w:hAnsi="宋体" w:eastAsia="宋体" w:cs="宋体"/>
          <w:color w:val="auto"/>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2"/>
              <w:rPr>
                <w:rFonts w:hint="eastAsia" w:ascii="宋体" w:hAnsi="宋体" w:eastAsia="宋体" w:cs="宋体"/>
                <w:color w:val="auto"/>
                <w:sz w:val="24"/>
                <w:szCs w:val="24"/>
                <w:highlight w:val="none"/>
              </w:rPr>
            </w:pPr>
          </w:p>
        </w:tc>
        <w:tc>
          <w:tcPr>
            <w:tcW w:w="1357" w:type="dxa"/>
            <w:vAlign w:val="top"/>
          </w:tcPr>
          <w:p w14:paraId="6A7A561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2"/>
              <w:rPr>
                <w:rFonts w:hint="eastAsia" w:ascii="宋体" w:hAnsi="宋体" w:eastAsia="宋体" w:cs="宋体"/>
                <w:color w:val="auto"/>
                <w:sz w:val="24"/>
                <w:szCs w:val="24"/>
                <w:highlight w:val="none"/>
              </w:rPr>
            </w:pPr>
          </w:p>
        </w:tc>
        <w:tc>
          <w:tcPr>
            <w:tcW w:w="1798" w:type="dxa"/>
            <w:vAlign w:val="top"/>
          </w:tcPr>
          <w:p w14:paraId="286B13D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2"/>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2"/>
              <w:rPr>
                <w:rFonts w:hint="eastAsia" w:ascii="宋体" w:hAnsi="宋体" w:eastAsia="宋体" w:cs="宋体"/>
                <w:color w:val="auto"/>
                <w:sz w:val="24"/>
                <w:szCs w:val="24"/>
                <w:highlight w:val="none"/>
              </w:rPr>
            </w:pPr>
          </w:p>
        </w:tc>
        <w:tc>
          <w:tcPr>
            <w:tcW w:w="1357" w:type="dxa"/>
            <w:vAlign w:val="top"/>
          </w:tcPr>
          <w:p w14:paraId="06A23A1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2"/>
              <w:rPr>
                <w:rFonts w:hint="eastAsia" w:ascii="宋体" w:hAnsi="宋体" w:eastAsia="宋体" w:cs="宋体"/>
                <w:color w:val="auto"/>
                <w:sz w:val="24"/>
                <w:szCs w:val="24"/>
                <w:highlight w:val="none"/>
              </w:rPr>
            </w:pPr>
          </w:p>
        </w:tc>
        <w:tc>
          <w:tcPr>
            <w:tcW w:w="1798" w:type="dxa"/>
            <w:vAlign w:val="top"/>
          </w:tcPr>
          <w:p w14:paraId="5AA14F9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2"/>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2"/>
              <w:rPr>
                <w:rFonts w:hint="eastAsia" w:ascii="宋体" w:hAnsi="宋体" w:eastAsia="宋体" w:cs="宋体"/>
                <w:color w:val="auto"/>
                <w:sz w:val="24"/>
                <w:szCs w:val="24"/>
                <w:highlight w:val="none"/>
              </w:rPr>
            </w:pPr>
          </w:p>
        </w:tc>
        <w:tc>
          <w:tcPr>
            <w:tcW w:w="3860" w:type="dxa"/>
            <w:gridSpan w:val="2"/>
            <w:vAlign w:val="top"/>
          </w:tcPr>
          <w:p w14:paraId="1B0D6DD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2"/>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2"/>
              <w:rPr>
                <w:rFonts w:hint="eastAsia" w:ascii="宋体" w:hAnsi="宋体" w:eastAsia="宋体" w:cs="宋体"/>
                <w:color w:val="auto"/>
                <w:sz w:val="24"/>
                <w:szCs w:val="24"/>
                <w:highlight w:val="none"/>
              </w:rPr>
            </w:pPr>
          </w:p>
        </w:tc>
        <w:tc>
          <w:tcPr>
            <w:tcW w:w="2037" w:type="dxa"/>
            <w:gridSpan w:val="2"/>
            <w:vAlign w:val="top"/>
          </w:tcPr>
          <w:p w14:paraId="7E680E92">
            <w:pPr>
              <w:pStyle w:val="22"/>
              <w:rPr>
                <w:rFonts w:hint="eastAsia" w:ascii="宋体" w:hAnsi="宋体" w:eastAsia="宋体" w:cs="宋体"/>
                <w:color w:val="auto"/>
                <w:sz w:val="24"/>
                <w:szCs w:val="24"/>
                <w:highlight w:val="none"/>
              </w:rPr>
            </w:pPr>
          </w:p>
        </w:tc>
        <w:tc>
          <w:tcPr>
            <w:tcW w:w="2062" w:type="dxa"/>
            <w:vAlign w:val="top"/>
          </w:tcPr>
          <w:p w14:paraId="6F8C779D">
            <w:pPr>
              <w:pStyle w:val="22"/>
              <w:rPr>
                <w:rFonts w:hint="eastAsia" w:ascii="宋体" w:hAnsi="宋体" w:eastAsia="宋体" w:cs="宋体"/>
                <w:color w:val="auto"/>
                <w:sz w:val="24"/>
                <w:szCs w:val="24"/>
                <w:highlight w:val="none"/>
              </w:rPr>
            </w:pPr>
          </w:p>
        </w:tc>
        <w:tc>
          <w:tcPr>
            <w:tcW w:w="1798" w:type="dxa"/>
            <w:vAlign w:val="top"/>
          </w:tcPr>
          <w:p w14:paraId="4FB28411">
            <w:pPr>
              <w:pStyle w:val="22"/>
              <w:rPr>
                <w:rFonts w:hint="eastAsia" w:ascii="宋体" w:hAnsi="宋体" w:eastAsia="宋体" w:cs="宋体"/>
                <w:color w:val="auto"/>
                <w:sz w:val="24"/>
                <w:szCs w:val="24"/>
                <w:highlight w:val="none"/>
              </w:rPr>
            </w:pPr>
          </w:p>
        </w:tc>
        <w:tc>
          <w:tcPr>
            <w:tcW w:w="1398" w:type="dxa"/>
            <w:vAlign w:val="top"/>
          </w:tcPr>
          <w:p w14:paraId="07C9E9B4">
            <w:pPr>
              <w:pStyle w:val="22"/>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2"/>
              <w:rPr>
                <w:rFonts w:hint="eastAsia" w:ascii="宋体" w:hAnsi="宋体" w:eastAsia="宋体" w:cs="宋体"/>
                <w:color w:val="auto"/>
                <w:sz w:val="24"/>
                <w:szCs w:val="24"/>
                <w:highlight w:val="none"/>
              </w:rPr>
            </w:pPr>
          </w:p>
        </w:tc>
        <w:tc>
          <w:tcPr>
            <w:tcW w:w="2037" w:type="dxa"/>
            <w:gridSpan w:val="2"/>
            <w:vAlign w:val="top"/>
          </w:tcPr>
          <w:p w14:paraId="78BE4EE8">
            <w:pPr>
              <w:pStyle w:val="22"/>
              <w:rPr>
                <w:rFonts w:hint="eastAsia" w:ascii="宋体" w:hAnsi="宋体" w:eastAsia="宋体" w:cs="宋体"/>
                <w:color w:val="auto"/>
                <w:sz w:val="24"/>
                <w:szCs w:val="24"/>
                <w:highlight w:val="none"/>
              </w:rPr>
            </w:pPr>
          </w:p>
        </w:tc>
        <w:tc>
          <w:tcPr>
            <w:tcW w:w="2062" w:type="dxa"/>
            <w:vAlign w:val="top"/>
          </w:tcPr>
          <w:p w14:paraId="202E95FE">
            <w:pPr>
              <w:pStyle w:val="22"/>
              <w:rPr>
                <w:rFonts w:hint="eastAsia" w:ascii="宋体" w:hAnsi="宋体" w:eastAsia="宋体" w:cs="宋体"/>
                <w:color w:val="auto"/>
                <w:sz w:val="24"/>
                <w:szCs w:val="24"/>
                <w:highlight w:val="none"/>
              </w:rPr>
            </w:pPr>
          </w:p>
        </w:tc>
        <w:tc>
          <w:tcPr>
            <w:tcW w:w="1798" w:type="dxa"/>
            <w:vAlign w:val="top"/>
          </w:tcPr>
          <w:p w14:paraId="39BD4C0A">
            <w:pPr>
              <w:pStyle w:val="22"/>
              <w:rPr>
                <w:rFonts w:hint="eastAsia" w:ascii="宋体" w:hAnsi="宋体" w:eastAsia="宋体" w:cs="宋体"/>
                <w:color w:val="auto"/>
                <w:sz w:val="24"/>
                <w:szCs w:val="24"/>
                <w:highlight w:val="none"/>
              </w:rPr>
            </w:pPr>
          </w:p>
        </w:tc>
        <w:tc>
          <w:tcPr>
            <w:tcW w:w="1398" w:type="dxa"/>
            <w:vAlign w:val="top"/>
          </w:tcPr>
          <w:p w14:paraId="3FCA662F">
            <w:pPr>
              <w:pStyle w:val="22"/>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2"/>
              <w:rPr>
                <w:rFonts w:hint="eastAsia" w:ascii="宋体" w:hAnsi="宋体" w:eastAsia="宋体" w:cs="宋体"/>
                <w:color w:val="auto"/>
                <w:sz w:val="24"/>
                <w:szCs w:val="24"/>
                <w:highlight w:val="none"/>
              </w:rPr>
            </w:pPr>
          </w:p>
        </w:tc>
        <w:tc>
          <w:tcPr>
            <w:tcW w:w="2037" w:type="dxa"/>
            <w:gridSpan w:val="2"/>
            <w:vAlign w:val="top"/>
          </w:tcPr>
          <w:p w14:paraId="37D97746">
            <w:pPr>
              <w:pStyle w:val="22"/>
              <w:rPr>
                <w:rFonts w:hint="eastAsia" w:ascii="宋体" w:hAnsi="宋体" w:eastAsia="宋体" w:cs="宋体"/>
                <w:color w:val="auto"/>
                <w:sz w:val="24"/>
                <w:szCs w:val="24"/>
                <w:highlight w:val="none"/>
              </w:rPr>
            </w:pPr>
          </w:p>
        </w:tc>
        <w:tc>
          <w:tcPr>
            <w:tcW w:w="2062" w:type="dxa"/>
            <w:vAlign w:val="top"/>
          </w:tcPr>
          <w:p w14:paraId="4CDFAAF5">
            <w:pPr>
              <w:pStyle w:val="22"/>
              <w:rPr>
                <w:rFonts w:hint="eastAsia" w:ascii="宋体" w:hAnsi="宋体" w:eastAsia="宋体" w:cs="宋体"/>
                <w:color w:val="auto"/>
                <w:sz w:val="24"/>
                <w:szCs w:val="24"/>
                <w:highlight w:val="none"/>
              </w:rPr>
            </w:pPr>
          </w:p>
        </w:tc>
        <w:tc>
          <w:tcPr>
            <w:tcW w:w="1798" w:type="dxa"/>
            <w:vAlign w:val="top"/>
          </w:tcPr>
          <w:p w14:paraId="26C0B79B">
            <w:pPr>
              <w:pStyle w:val="22"/>
              <w:rPr>
                <w:rFonts w:hint="eastAsia" w:ascii="宋体" w:hAnsi="宋体" w:eastAsia="宋体" w:cs="宋体"/>
                <w:color w:val="auto"/>
                <w:sz w:val="24"/>
                <w:szCs w:val="24"/>
                <w:highlight w:val="none"/>
              </w:rPr>
            </w:pPr>
          </w:p>
        </w:tc>
        <w:tc>
          <w:tcPr>
            <w:tcW w:w="1398" w:type="dxa"/>
            <w:vAlign w:val="top"/>
          </w:tcPr>
          <w:p w14:paraId="2086BBE1">
            <w:pPr>
              <w:pStyle w:val="22"/>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2"/>
              <w:rPr>
                <w:rFonts w:hint="eastAsia" w:ascii="宋体" w:hAnsi="宋体" w:eastAsia="宋体" w:cs="宋体"/>
                <w:color w:val="auto"/>
                <w:sz w:val="24"/>
                <w:szCs w:val="24"/>
                <w:highlight w:val="none"/>
              </w:rPr>
            </w:pPr>
          </w:p>
        </w:tc>
        <w:tc>
          <w:tcPr>
            <w:tcW w:w="2037" w:type="dxa"/>
            <w:gridSpan w:val="2"/>
            <w:vAlign w:val="top"/>
          </w:tcPr>
          <w:p w14:paraId="1BA39C6C">
            <w:pPr>
              <w:pStyle w:val="22"/>
              <w:rPr>
                <w:rFonts w:hint="eastAsia" w:ascii="宋体" w:hAnsi="宋体" w:eastAsia="宋体" w:cs="宋体"/>
                <w:color w:val="auto"/>
                <w:sz w:val="24"/>
                <w:szCs w:val="24"/>
                <w:highlight w:val="none"/>
              </w:rPr>
            </w:pPr>
          </w:p>
        </w:tc>
        <w:tc>
          <w:tcPr>
            <w:tcW w:w="2062" w:type="dxa"/>
            <w:vAlign w:val="top"/>
          </w:tcPr>
          <w:p w14:paraId="7040D83F">
            <w:pPr>
              <w:pStyle w:val="22"/>
              <w:rPr>
                <w:rFonts w:hint="eastAsia" w:ascii="宋体" w:hAnsi="宋体" w:eastAsia="宋体" w:cs="宋体"/>
                <w:color w:val="auto"/>
                <w:sz w:val="24"/>
                <w:szCs w:val="24"/>
                <w:highlight w:val="none"/>
              </w:rPr>
            </w:pPr>
          </w:p>
        </w:tc>
        <w:tc>
          <w:tcPr>
            <w:tcW w:w="1798" w:type="dxa"/>
            <w:vAlign w:val="top"/>
          </w:tcPr>
          <w:p w14:paraId="62989CF7">
            <w:pPr>
              <w:pStyle w:val="22"/>
              <w:rPr>
                <w:rFonts w:hint="eastAsia" w:ascii="宋体" w:hAnsi="宋体" w:eastAsia="宋体" w:cs="宋体"/>
                <w:color w:val="auto"/>
                <w:sz w:val="24"/>
                <w:szCs w:val="24"/>
                <w:highlight w:val="none"/>
              </w:rPr>
            </w:pPr>
          </w:p>
        </w:tc>
        <w:tc>
          <w:tcPr>
            <w:tcW w:w="1398" w:type="dxa"/>
            <w:vAlign w:val="top"/>
          </w:tcPr>
          <w:p w14:paraId="4044AF0E">
            <w:pPr>
              <w:pStyle w:val="22"/>
              <w:rPr>
                <w:rFonts w:hint="eastAsia" w:ascii="宋体" w:hAnsi="宋体" w:eastAsia="宋体" w:cs="宋体"/>
                <w:color w:val="auto"/>
                <w:sz w:val="24"/>
                <w:szCs w:val="24"/>
                <w:highlight w:val="none"/>
              </w:rPr>
            </w:pPr>
          </w:p>
        </w:tc>
      </w:tr>
    </w:tbl>
    <w:p w14:paraId="72E3EBBA">
      <w:pPr>
        <w:pStyle w:val="6"/>
        <w:spacing w:line="315" w:lineRule="auto"/>
        <w:rPr>
          <w:rFonts w:hint="eastAsia" w:ascii="宋体" w:hAnsi="宋体" w:eastAsia="宋体" w:cs="宋体"/>
          <w:color w:val="auto"/>
          <w:highlight w:val="none"/>
        </w:rPr>
      </w:pPr>
    </w:p>
    <w:p w14:paraId="30968C7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6"/>
        <w:spacing w:line="256" w:lineRule="auto"/>
        <w:rPr>
          <w:rFonts w:hint="eastAsia" w:ascii="宋体" w:hAnsi="宋体" w:eastAsia="宋体" w:cs="宋体"/>
          <w:color w:val="auto"/>
          <w:highlight w:val="none"/>
        </w:rPr>
      </w:pPr>
    </w:p>
    <w:p w14:paraId="70170666">
      <w:pPr>
        <w:pStyle w:val="6"/>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spacing w:before="78" w:line="220" w:lineRule="auto"/>
        <w:ind w:left="4226"/>
        <w:jc w:val="center"/>
        <w:rPr>
          <w:rFonts w:hint="eastAsia" w:ascii="宋体" w:hAnsi="宋体" w:eastAsia="宋体" w:cs="宋体"/>
          <w:color w:val="auto"/>
          <w:highlight w:val="none"/>
        </w:rPr>
      </w:pPr>
    </w:p>
    <w:p w14:paraId="29F18F2D">
      <w:pPr>
        <w:pStyle w:val="6"/>
        <w:spacing w:line="241" w:lineRule="auto"/>
        <w:rPr>
          <w:rFonts w:hint="eastAsia" w:ascii="宋体" w:hAnsi="宋体" w:eastAsia="宋体" w:cs="宋体"/>
          <w:color w:val="auto"/>
          <w:highlight w:val="none"/>
        </w:rPr>
      </w:pPr>
    </w:p>
    <w:p w14:paraId="72DD2BA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spacing w:before="152" w:line="228" w:lineRule="auto"/>
        <w:ind w:left="484"/>
        <w:outlineLvl w:val="9"/>
        <w:rPr>
          <w:rFonts w:hint="eastAsia" w:ascii="宋体" w:hAnsi="宋体" w:eastAsia="宋体" w:cs="宋体"/>
          <w:color w:val="auto"/>
          <w:sz w:val="24"/>
          <w:szCs w:val="24"/>
          <w:highlight w:val="none"/>
        </w:rPr>
      </w:pPr>
      <w:bookmarkStart w:id="251" w:name="_Toc1942"/>
      <w:bookmarkStart w:id="252"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1"/>
      <w:bookmarkEnd w:id="252"/>
    </w:p>
    <w:p w14:paraId="23DC4C02">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3"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bookmarkEnd w:id="253"/>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3E39AB">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50763957">
      <w:pPr>
        <w:pStyle w:val="6"/>
        <w:spacing w:line="350" w:lineRule="auto"/>
        <w:rPr>
          <w:rFonts w:hint="eastAsia" w:ascii="宋体" w:hAnsi="宋体" w:eastAsia="宋体" w:cs="宋体"/>
          <w:color w:val="auto"/>
          <w:highlight w:val="none"/>
        </w:rPr>
      </w:pPr>
    </w:p>
    <w:p w14:paraId="72B47896">
      <w:pPr>
        <w:pStyle w:val="6"/>
        <w:spacing w:line="350" w:lineRule="auto"/>
        <w:rPr>
          <w:rFonts w:hint="eastAsia" w:ascii="宋体" w:hAnsi="宋体" w:eastAsia="宋体" w:cs="宋体"/>
          <w:color w:val="auto"/>
          <w:highlight w:val="none"/>
        </w:rPr>
      </w:pPr>
    </w:p>
    <w:p w14:paraId="532FA83A">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3B33C0D5">
      <w:pPr>
        <w:pStyle w:val="6"/>
        <w:spacing w:line="250" w:lineRule="auto"/>
        <w:rPr>
          <w:rFonts w:hint="eastAsia" w:ascii="宋体" w:hAnsi="宋体" w:eastAsia="宋体" w:cs="宋体"/>
          <w:color w:val="auto"/>
          <w:highlight w:val="none"/>
        </w:rPr>
      </w:pPr>
    </w:p>
    <w:p w14:paraId="09BEE3C9">
      <w:pPr>
        <w:pStyle w:val="6"/>
        <w:spacing w:line="250" w:lineRule="auto"/>
        <w:rPr>
          <w:rFonts w:hint="eastAsia" w:ascii="宋体" w:hAnsi="宋体" w:eastAsia="宋体" w:cs="宋体"/>
          <w:color w:val="auto"/>
          <w:highlight w:val="none"/>
        </w:rPr>
      </w:pPr>
    </w:p>
    <w:p w14:paraId="0AA4EB6D">
      <w:pPr>
        <w:pStyle w:val="6"/>
        <w:spacing w:line="251" w:lineRule="auto"/>
        <w:rPr>
          <w:rFonts w:hint="eastAsia" w:ascii="宋体" w:hAnsi="宋体" w:eastAsia="宋体" w:cs="宋体"/>
          <w:color w:val="auto"/>
          <w:highlight w:val="none"/>
        </w:rPr>
      </w:pPr>
    </w:p>
    <w:p w14:paraId="3FE5935C">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6"/>
        <w:spacing w:line="391" w:lineRule="auto"/>
        <w:rPr>
          <w:rFonts w:hint="eastAsia" w:ascii="宋体" w:hAnsi="宋体" w:eastAsia="宋体" w:cs="宋体"/>
          <w:color w:val="auto"/>
          <w:highlight w:val="none"/>
        </w:rPr>
      </w:pPr>
    </w:p>
    <w:p w14:paraId="024308CE">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6"/>
        <w:spacing w:line="316" w:lineRule="auto"/>
        <w:rPr>
          <w:rFonts w:hint="eastAsia" w:ascii="宋体" w:hAnsi="宋体" w:eastAsia="宋体" w:cs="宋体"/>
          <w:color w:val="auto"/>
          <w:highlight w:val="none"/>
        </w:rPr>
      </w:pPr>
    </w:p>
    <w:p w14:paraId="4D0D96FE">
      <w:pPr>
        <w:pStyle w:val="6"/>
        <w:spacing w:line="317" w:lineRule="auto"/>
        <w:rPr>
          <w:rFonts w:hint="eastAsia" w:ascii="宋体" w:hAnsi="宋体" w:eastAsia="宋体" w:cs="宋体"/>
          <w:color w:val="auto"/>
          <w:highlight w:val="none"/>
        </w:rPr>
      </w:pPr>
    </w:p>
    <w:p w14:paraId="3A9D0045">
      <w:pPr>
        <w:pStyle w:val="6"/>
        <w:spacing w:line="317" w:lineRule="auto"/>
        <w:rPr>
          <w:rFonts w:hint="eastAsia" w:ascii="宋体" w:hAnsi="宋体" w:eastAsia="宋体" w:cs="宋体"/>
          <w:color w:val="auto"/>
          <w:highlight w:val="none"/>
        </w:rPr>
      </w:pPr>
    </w:p>
    <w:p w14:paraId="4EFCA4D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6"/>
        <w:spacing w:line="317" w:lineRule="auto"/>
        <w:rPr>
          <w:rFonts w:hint="eastAsia" w:ascii="宋体" w:hAnsi="宋体" w:eastAsia="宋体" w:cs="宋体"/>
          <w:color w:val="auto"/>
          <w:highlight w:val="none"/>
        </w:rPr>
      </w:pPr>
    </w:p>
    <w:p w14:paraId="542278CE">
      <w:pPr>
        <w:pStyle w:val="6"/>
        <w:spacing w:line="317" w:lineRule="auto"/>
        <w:rPr>
          <w:rFonts w:hint="eastAsia" w:ascii="宋体" w:hAnsi="宋体" w:eastAsia="宋体" w:cs="宋体"/>
          <w:color w:val="auto"/>
          <w:highlight w:val="none"/>
        </w:rPr>
      </w:pPr>
    </w:p>
    <w:p w14:paraId="72A1A21F">
      <w:pPr>
        <w:pStyle w:val="6"/>
        <w:spacing w:line="317" w:lineRule="auto"/>
        <w:rPr>
          <w:rFonts w:hint="eastAsia" w:ascii="宋体" w:hAnsi="宋体" w:eastAsia="宋体" w:cs="宋体"/>
          <w:color w:val="auto"/>
          <w:highlight w:val="none"/>
        </w:rPr>
      </w:pPr>
    </w:p>
    <w:p w14:paraId="7874471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6"/>
        <w:spacing w:line="257" w:lineRule="auto"/>
        <w:rPr>
          <w:rFonts w:hint="eastAsia" w:ascii="宋体" w:hAnsi="宋体" w:eastAsia="宋体" w:cs="宋体"/>
          <w:color w:val="auto"/>
          <w:highlight w:val="none"/>
        </w:rPr>
      </w:pPr>
    </w:p>
    <w:p w14:paraId="6A0A2006">
      <w:pPr>
        <w:pStyle w:val="6"/>
        <w:spacing w:line="257" w:lineRule="auto"/>
        <w:rPr>
          <w:rFonts w:hint="eastAsia" w:ascii="宋体" w:hAnsi="宋体" w:eastAsia="宋体" w:cs="宋体"/>
          <w:color w:val="auto"/>
          <w:highlight w:val="none"/>
        </w:rPr>
      </w:pPr>
    </w:p>
    <w:p w14:paraId="129D384D">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2B5EE9D3">
      <w:pPr>
        <w:pStyle w:val="6"/>
        <w:spacing w:line="444" w:lineRule="auto"/>
        <w:rPr>
          <w:rFonts w:hint="eastAsia" w:ascii="宋体" w:hAnsi="宋体" w:eastAsia="宋体" w:cs="宋体"/>
          <w:color w:val="auto"/>
          <w:highlight w:val="none"/>
        </w:rPr>
      </w:pPr>
    </w:p>
    <w:p w14:paraId="660126C7">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793853DC">
      <w:pPr>
        <w:spacing w:line="240" w:lineRule="exact"/>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2"/>
              <w:rPr>
                <w:rFonts w:hint="eastAsia" w:ascii="宋体" w:hAnsi="宋体" w:eastAsia="宋体" w:cs="宋体"/>
                <w:color w:val="auto"/>
                <w:sz w:val="24"/>
                <w:szCs w:val="24"/>
                <w:highlight w:val="none"/>
              </w:rPr>
            </w:pPr>
          </w:p>
        </w:tc>
        <w:tc>
          <w:tcPr>
            <w:tcW w:w="1346" w:type="dxa"/>
            <w:vAlign w:val="top"/>
          </w:tcPr>
          <w:p w14:paraId="31353E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2"/>
              <w:rPr>
                <w:rFonts w:hint="eastAsia" w:ascii="宋体" w:hAnsi="宋体" w:eastAsia="宋体" w:cs="宋体"/>
                <w:color w:val="auto"/>
                <w:sz w:val="24"/>
                <w:szCs w:val="24"/>
                <w:highlight w:val="none"/>
              </w:rPr>
            </w:pPr>
          </w:p>
        </w:tc>
        <w:tc>
          <w:tcPr>
            <w:tcW w:w="1783" w:type="dxa"/>
            <w:vAlign w:val="top"/>
          </w:tcPr>
          <w:p w14:paraId="079602E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2"/>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2"/>
              <w:rPr>
                <w:rFonts w:hint="eastAsia" w:ascii="宋体" w:hAnsi="宋体" w:eastAsia="宋体" w:cs="宋体"/>
                <w:color w:val="auto"/>
                <w:sz w:val="24"/>
                <w:szCs w:val="24"/>
                <w:highlight w:val="none"/>
              </w:rPr>
            </w:pPr>
          </w:p>
        </w:tc>
        <w:tc>
          <w:tcPr>
            <w:tcW w:w="1346" w:type="dxa"/>
            <w:vAlign w:val="top"/>
          </w:tcPr>
          <w:p w14:paraId="15CBDD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2"/>
              <w:rPr>
                <w:rFonts w:hint="eastAsia" w:ascii="宋体" w:hAnsi="宋体" w:eastAsia="宋体" w:cs="宋体"/>
                <w:color w:val="auto"/>
                <w:sz w:val="24"/>
                <w:szCs w:val="24"/>
                <w:highlight w:val="none"/>
              </w:rPr>
            </w:pPr>
          </w:p>
        </w:tc>
        <w:tc>
          <w:tcPr>
            <w:tcW w:w="1783" w:type="dxa"/>
            <w:vAlign w:val="top"/>
          </w:tcPr>
          <w:p w14:paraId="01085AC3">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2"/>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2"/>
              <w:rPr>
                <w:rFonts w:hint="eastAsia" w:ascii="宋体" w:hAnsi="宋体" w:eastAsia="宋体" w:cs="宋体"/>
                <w:color w:val="auto"/>
                <w:sz w:val="24"/>
                <w:szCs w:val="24"/>
                <w:highlight w:val="none"/>
              </w:rPr>
            </w:pPr>
          </w:p>
        </w:tc>
        <w:tc>
          <w:tcPr>
            <w:tcW w:w="3830" w:type="dxa"/>
            <w:gridSpan w:val="2"/>
            <w:vAlign w:val="top"/>
          </w:tcPr>
          <w:p w14:paraId="1475BD9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2"/>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2"/>
              <w:rPr>
                <w:rFonts w:hint="eastAsia" w:ascii="宋体" w:hAnsi="宋体" w:eastAsia="宋体" w:cs="宋体"/>
                <w:color w:val="auto"/>
                <w:sz w:val="24"/>
                <w:szCs w:val="24"/>
                <w:highlight w:val="none"/>
              </w:rPr>
            </w:pPr>
          </w:p>
        </w:tc>
        <w:tc>
          <w:tcPr>
            <w:tcW w:w="2021" w:type="dxa"/>
            <w:gridSpan w:val="2"/>
            <w:vAlign w:val="top"/>
          </w:tcPr>
          <w:p w14:paraId="3F5ED66B">
            <w:pPr>
              <w:pStyle w:val="22"/>
              <w:rPr>
                <w:rFonts w:hint="eastAsia" w:ascii="宋体" w:hAnsi="宋体" w:eastAsia="宋体" w:cs="宋体"/>
                <w:color w:val="auto"/>
                <w:sz w:val="24"/>
                <w:szCs w:val="24"/>
                <w:highlight w:val="none"/>
              </w:rPr>
            </w:pPr>
          </w:p>
        </w:tc>
        <w:tc>
          <w:tcPr>
            <w:tcW w:w="2047" w:type="dxa"/>
            <w:vAlign w:val="top"/>
          </w:tcPr>
          <w:p w14:paraId="75504A0F">
            <w:pPr>
              <w:pStyle w:val="22"/>
              <w:rPr>
                <w:rFonts w:hint="eastAsia" w:ascii="宋体" w:hAnsi="宋体" w:eastAsia="宋体" w:cs="宋体"/>
                <w:color w:val="auto"/>
                <w:sz w:val="24"/>
                <w:szCs w:val="24"/>
                <w:highlight w:val="none"/>
              </w:rPr>
            </w:pPr>
          </w:p>
        </w:tc>
        <w:tc>
          <w:tcPr>
            <w:tcW w:w="1783" w:type="dxa"/>
            <w:vAlign w:val="top"/>
          </w:tcPr>
          <w:p w14:paraId="647437AC">
            <w:pPr>
              <w:pStyle w:val="22"/>
              <w:rPr>
                <w:rFonts w:hint="eastAsia" w:ascii="宋体" w:hAnsi="宋体" w:eastAsia="宋体" w:cs="宋体"/>
                <w:color w:val="auto"/>
                <w:sz w:val="24"/>
                <w:szCs w:val="24"/>
                <w:highlight w:val="none"/>
              </w:rPr>
            </w:pPr>
          </w:p>
        </w:tc>
        <w:tc>
          <w:tcPr>
            <w:tcW w:w="1386" w:type="dxa"/>
            <w:vAlign w:val="top"/>
          </w:tcPr>
          <w:p w14:paraId="5B367338">
            <w:pPr>
              <w:pStyle w:val="22"/>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2"/>
              <w:rPr>
                <w:rFonts w:hint="eastAsia" w:ascii="宋体" w:hAnsi="宋体" w:eastAsia="宋体" w:cs="宋体"/>
                <w:color w:val="auto"/>
                <w:sz w:val="24"/>
                <w:szCs w:val="24"/>
                <w:highlight w:val="none"/>
              </w:rPr>
            </w:pPr>
          </w:p>
        </w:tc>
        <w:tc>
          <w:tcPr>
            <w:tcW w:w="2021" w:type="dxa"/>
            <w:gridSpan w:val="2"/>
            <w:vAlign w:val="top"/>
          </w:tcPr>
          <w:p w14:paraId="4273DA5B">
            <w:pPr>
              <w:pStyle w:val="22"/>
              <w:rPr>
                <w:rFonts w:hint="eastAsia" w:ascii="宋体" w:hAnsi="宋体" w:eastAsia="宋体" w:cs="宋体"/>
                <w:color w:val="auto"/>
                <w:sz w:val="24"/>
                <w:szCs w:val="24"/>
                <w:highlight w:val="none"/>
              </w:rPr>
            </w:pPr>
          </w:p>
        </w:tc>
        <w:tc>
          <w:tcPr>
            <w:tcW w:w="2047" w:type="dxa"/>
            <w:vAlign w:val="top"/>
          </w:tcPr>
          <w:p w14:paraId="1AAF2D51">
            <w:pPr>
              <w:pStyle w:val="22"/>
              <w:rPr>
                <w:rFonts w:hint="eastAsia" w:ascii="宋体" w:hAnsi="宋体" w:eastAsia="宋体" w:cs="宋体"/>
                <w:color w:val="auto"/>
                <w:sz w:val="24"/>
                <w:szCs w:val="24"/>
                <w:highlight w:val="none"/>
              </w:rPr>
            </w:pPr>
          </w:p>
        </w:tc>
        <w:tc>
          <w:tcPr>
            <w:tcW w:w="1783" w:type="dxa"/>
            <w:vAlign w:val="top"/>
          </w:tcPr>
          <w:p w14:paraId="051D15DF">
            <w:pPr>
              <w:pStyle w:val="22"/>
              <w:rPr>
                <w:rFonts w:hint="eastAsia" w:ascii="宋体" w:hAnsi="宋体" w:eastAsia="宋体" w:cs="宋体"/>
                <w:color w:val="auto"/>
                <w:sz w:val="24"/>
                <w:szCs w:val="24"/>
                <w:highlight w:val="none"/>
              </w:rPr>
            </w:pPr>
          </w:p>
        </w:tc>
        <w:tc>
          <w:tcPr>
            <w:tcW w:w="1386" w:type="dxa"/>
            <w:vAlign w:val="top"/>
          </w:tcPr>
          <w:p w14:paraId="4200AD4E">
            <w:pPr>
              <w:pStyle w:val="22"/>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2"/>
              <w:rPr>
                <w:rFonts w:hint="eastAsia" w:ascii="宋体" w:hAnsi="宋体" w:eastAsia="宋体" w:cs="宋体"/>
                <w:color w:val="auto"/>
                <w:sz w:val="24"/>
                <w:szCs w:val="24"/>
                <w:highlight w:val="none"/>
              </w:rPr>
            </w:pPr>
          </w:p>
        </w:tc>
        <w:tc>
          <w:tcPr>
            <w:tcW w:w="2021" w:type="dxa"/>
            <w:gridSpan w:val="2"/>
            <w:vAlign w:val="top"/>
          </w:tcPr>
          <w:p w14:paraId="72F4C53F">
            <w:pPr>
              <w:pStyle w:val="22"/>
              <w:rPr>
                <w:rFonts w:hint="eastAsia" w:ascii="宋体" w:hAnsi="宋体" w:eastAsia="宋体" w:cs="宋体"/>
                <w:color w:val="auto"/>
                <w:sz w:val="24"/>
                <w:szCs w:val="24"/>
                <w:highlight w:val="none"/>
              </w:rPr>
            </w:pPr>
          </w:p>
        </w:tc>
        <w:tc>
          <w:tcPr>
            <w:tcW w:w="2047" w:type="dxa"/>
            <w:vAlign w:val="top"/>
          </w:tcPr>
          <w:p w14:paraId="0E072B1F">
            <w:pPr>
              <w:pStyle w:val="22"/>
              <w:rPr>
                <w:rFonts w:hint="eastAsia" w:ascii="宋体" w:hAnsi="宋体" w:eastAsia="宋体" w:cs="宋体"/>
                <w:color w:val="auto"/>
                <w:sz w:val="24"/>
                <w:szCs w:val="24"/>
                <w:highlight w:val="none"/>
              </w:rPr>
            </w:pPr>
          </w:p>
        </w:tc>
        <w:tc>
          <w:tcPr>
            <w:tcW w:w="1783" w:type="dxa"/>
            <w:vAlign w:val="top"/>
          </w:tcPr>
          <w:p w14:paraId="2FEEBEC8">
            <w:pPr>
              <w:pStyle w:val="22"/>
              <w:rPr>
                <w:rFonts w:hint="eastAsia" w:ascii="宋体" w:hAnsi="宋体" w:eastAsia="宋体" w:cs="宋体"/>
                <w:color w:val="auto"/>
                <w:sz w:val="24"/>
                <w:szCs w:val="24"/>
                <w:highlight w:val="none"/>
              </w:rPr>
            </w:pPr>
          </w:p>
        </w:tc>
        <w:tc>
          <w:tcPr>
            <w:tcW w:w="1386" w:type="dxa"/>
            <w:vAlign w:val="top"/>
          </w:tcPr>
          <w:p w14:paraId="45AD2BC7">
            <w:pPr>
              <w:pStyle w:val="22"/>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2"/>
              <w:rPr>
                <w:rFonts w:hint="eastAsia" w:ascii="宋体" w:hAnsi="宋体" w:eastAsia="宋体" w:cs="宋体"/>
                <w:color w:val="auto"/>
                <w:sz w:val="24"/>
                <w:szCs w:val="24"/>
                <w:highlight w:val="none"/>
              </w:rPr>
            </w:pPr>
          </w:p>
        </w:tc>
        <w:tc>
          <w:tcPr>
            <w:tcW w:w="1610" w:type="dxa"/>
            <w:gridSpan w:val="2"/>
            <w:vAlign w:val="top"/>
          </w:tcPr>
          <w:p w14:paraId="3D172603">
            <w:pPr>
              <w:pStyle w:val="22"/>
              <w:rPr>
                <w:rFonts w:hint="eastAsia" w:ascii="宋体" w:hAnsi="宋体" w:eastAsia="宋体" w:cs="宋体"/>
                <w:color w:val="auto"/>
                <w:sz w:val="24"/>
                <w:szCs w:val="24"/>
                <w:highlight w:val="none"/>
              </w:rPr>
            </w:pPr>
          </w:p>
        </w:tc>
        <w:tc>
          <w:tcPr>
            <w:tcW w:w="2021" w:type="dxa"/>
            <w:gridSpan w:val="2"/>
            <w:vAlign w:val="top"/>
          </w:tcPr>
          <w:p w14:paraId="6088B8A2">
            <w:pPr>
              <w:pStyle w:val="22"/>
              <w:rPr>
                <w:rFonts w:hint="eastAsia" w:ascii="宋体" w:hAnsi="宋体" w:eastAsia="宋体" w:cs="宋体"/>
                <w:color w:val="auto"/>
                <w:sz w:val="24"/>
                <w:szCs w:val="24"/>
                <w:highlight w:val="none"/>
              </w:rPr>
            </w:pPr>
          </w:p>
        </w:tc>
        <w:tc>
          <w:tcPr>
            <w:tcW w:w="2047" w:type="dxa"/>
            <w:vAlign w:val="top"/>
          </w:tcPr>
          <w:p w14:paraId="71FA95CE">
            <w:pPr>
              <w:pStyle w:val="22"/>
              <w:rPr>
                <w:rFonts w:hint="eastAsia" w:ascii="宋体" w:hAnsi="宋体" w:eastAsia="宋体" w:cs="宋体"/>
                <w:color w:val="auto"/>
                <w:sz w:val="24"/>
                <w:szCs w:val="24"/>
                <w:highlight w:val="none"/>
              </w:rPr>
            </w:pPr>
          </w:p>
        </w:tc>
        <w:tc>
          <w:tcPr>
            <w:tcW w:w="1783" w:type="dxa"/>
            <w:vAlign w:val="top"/>
          </w:tcPr>
          <w:p w14:paraId="63618EC9">
            <w:pPr>
              <w:pStyle w:val="22"/>
              <w:rPr>
                <w:rFonts w:hint="eastAsia" w:ascii="宋体" w:hAnsi="宋体" w:eastAsia="宋体" w:cs="宋体"/>
                <w:color w:val="auto"/>
                <w:sz w:val="24"/>
                <w:szCs w:val="24"/>
                <w:highlight w:val="none"/>
              </w:rPr>
            </w:pPr>
          </w:p>
        </w:tc>
        <w:tc>
          <w:tcPr>
            <w:tcW w:w="1386" w:type="dxa"/>
            <w:vAlign w:val="top"/>
          </w:tcPr>
          <w:p w14:paraId="5F9677E7">
            <w:pPr>
              <w:pStyle w:val="22"/>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2"/>
              <w:rPr>
                <w:rFonts w:hint="eastAsia" w:ascii="宋体" w:hAnsi="宋体" w:eastAsia="宋体" w:cs="宋体"/>
                <w:color w:val="auto"/>
                <w:sz w:val="24"/>
                <w:szCs w:val="24"/>
                <w:highlight w:val="none"/>
              </w:rPr>
            </w:pPr>
          </w:p>
        </w:tc>
        <w:tc>
          <w:tcPr>
            <w:tcW w:w="1610" w:type="dxa"/>
            <w:gridSpan w:val="2"/>
            <w:vAlign w:val="top"/>
          </w:tcPr>
          <w:p w14:paraId="2EA095B3">
            <w:pPr>
              <w:pStyle w:val="22"/>
              <w:rPr>
                <w:rFonts w:hint="eastAsia" w:ascii="宋体" w:hAnsi="宋体" w:eastAsia="宋体" w:cs="宋体"/>
                <w:color w:val="auto"/>
                <w:sz w:val="24"/>
                <w:szCs w:val="24"/>
                <w:highlight w:val="none"/>
              </w:rPr>
            </w:pPr>
          </w:p>
        </w:tc>
        <w:tc>
          <w:tcPr>
            <w:tcW w:w="2021" w:type="dxa"/>
            <w:gridSpan w:val="2"/>
            <w:vAlign w:val="top"/>
          </w:tcPr>
          <w:p w14:paraId="783DB79D">
            <w:pPr>
              <w:pStyle w:val="22"/>
              <w:rPr>
                <w:rFonts w:hint="eastAsia" w:ascii="宋体" w:hAnsi="宋体" w:eastAsia="宋体" w:cs="宋体"/>
                <w:color w:val="auto"/>
                <w:sz w:val="24"/>
                <w:szCs w:val="24"/>
                <w:highlight w:val="none"/>
              </w:rPr>
            </w:pPr>
          </w:p>
        </w:tc>
        <w:tc>
          <w:tcPr>
            <w:tcW w:w="2047" w:type="dxa"/>
            <w:vAlign w:val="top"/>
          </w:tcPr>
          <w:p w14:paraId="707CEA4B">
            <w:pPr>
              <w:pStyle w:val="22"/>
              <w:rPr>
                <w:rFonts w:hint="eastAsia" w:ascii="宋体" w:hAnsi="宋体" w:eastAsia="宋体" w:cs="宋体"/>
                <w:color w:val="auto"/>
                <w:sz w:val="24"/>
                <w:szCs w:val="24"/>
                <w:highlight w:val="none"/>
              </w:rPr>
            </w:pPr>
          </w:p>
        </w:tc>
        <w:tc>
          <w:tcPr>
            <w:tcW w:w="1783" w:type="dxa"/>
            <w:vAlign w:val="top"/>
          </w:tcPr>
          <w:p w14:paraId="6634F4F2">
            <w:pPr>
              <w:pStyle w:val="22"/>
              <w:rPr>
                <w:rFonts w:hint="eastAsia" w:ascii="宋体" w:hAnsi="宋体" w:eastAsia="宋体" w:cs="宋体"/>
                <w:color w:val="auto"/>
                <w:sz w:val="24"/>
                <w:szCs w:val="24"/>
                <w:highlight w:val="none"/>
              </w:rPr>
            </w:pPr>
          </w:p>
        </w:tc>
        <w:tc>
          <w:tcPr>
            <w:tcW w:w="1386" w:type="dxa"/>
            <w:vAlign w:val="top"/>
          </w:tcPr>
          <w:p w14:paraId="79AF8F10">
            <w:pPr>
              <w:pStyle w:val="22"/>
              <w:rPr>
                <w:rFonts w:hint="eastAsia" w:ascii="宋体" w:hAnsi="宋体" w:eastAsia="宋体" w:cs="宋体"/>
                <w:color w:val="auto"/>
                <w:sz w:val="24"/>
                <w:szCs w:val="24"/>
                <w:highlight w:val="none"/>
              </w:rPr>
            </w:pPr>
          </w:p>
        </w:tc>
      </w:tr>
    </w:tbl>
    <w:p w14:paraId="79842BF8">
      <w:pPr>
        <w:pStyle w:val="6"/>
        <w:spacing w:line="314" w:lineRule="auto"/>
        <w:rPr>
          <w:rFonts w:hint="eastAsia" w:ascii="宋体" w:hAnsi="宋体" w:eastAsia="宋体" w:cs="宋体"/>
          <w:color w:val="auto"/>
          <w:sz w:val="24"/>
          <w:szCs w:val="24"/>
          <w:highlight w:val="none"/>
        </w:rPr>
      </w:pPr>
    </w:p>
    <w:p w14:paraId="7F27F6D4">
      <w:pPr>
        <w:pStyle w:val="6"/>
        <w:spacing w:line="315" w:lineRule="auto"/>
        <w:rPr>
          <w:rFonts w:hint="eastAsia" w:ascii="宋体" w:hAnsi="宋体" w:eastAsia="宋体" w:cs="宋体"/>
          <w:color w:val="auto"/>
          <w:sz w:val="24"/>
          <w:szCs w:val="24"/>
          <w:highlight w:val="none"/>
        </w:rPr>
      </w:pPr>
    </w:p>
    <w:p w14:paraId="4C0BB797">
      <w:pPr>
        <w:pStyle w:val="6"/>
        <w:spacing w:line="315" w:lineRule="auto"/>
        <w:rPr>
          <w:rFonts w:hint="eastAsia" w:ascii="宋体" w:hAnsi="宋体" w:eastAsia="宋体" w:cs="宋体"/>
          <w:color w:val="auto"/>
          <w:sz w:val="24"/>
          <w:szCs w:val="24"/>
          <w:highlight w:val="none"/>
        </w:rPr>
      </w:pPr>
    </w:p>
    <w:p w14:paraId="502CE3BE">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6"/>
        <w:spacing w:line="256" w:lineRule="auto"/>
        <w:jc w:val="right"/>
        <w:rPr>
          <w:rFonts w:hint="eastAsia" w:ascii="宋体" w:hAnsi="宋体" w:eastAsia="宋体" w:cs="宋体"/>
          <w:color w:val="auto"/>
          <w:sz w:val="24"/>
          <w:szCs w:val="24"/>
          <w:highlight w:val="none"/>
        </w:rPr>
      </w:pPr>
    </w:p>
    <w:p w14:paraId="5D66CCAB">
      <w:pPr>
        <w:pStyle w:val="6"/>
        <w:spacing w:line="257" w:lineRule="auto"/>
        <w:jc w:val="right"/>
        <w:rPr>
          <w:rFonts w:hint="eastAsia" w:ascii="宋体" w:hAnsi="宋体" w:eastAsia="宋体" w:cs="宋体"/>
          <w:color w:val="auto"/>
          <w:sz w:val="24"/>
          <w:szCs w:val="24"/>
          <w:highlight w:val="none"/>
        </w:rPr>
      </w:pPr>
    </w:p>
    <w:p w14:paraId="774C3229">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0EC7063">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2EC5C59E">
      <w:pPr>
        <w:pStyle w:val="6"/>
        <w:spacing w:line="351" w:lineRule="auto"/>
        <w:rPr>
          <w:rFonts w:hint="eastAsia" w:ascii="宋体" w:hAnsi="宋体" w:eastAsia="宋体" w:cs="宋体"/>
          <w:color w:val="auto"/>
          <w:highlight w:val="none"/>
        </w:rPr>
      </w:pPr>
    </w:p>
    <w:p w14:paraId="0156357D">
      <w:pPr>
        <w:pStyle w:val="6"/>
        <w:spacing w:line="351" w:lineRule="auto"/>
        <w:rPr>
          <w:rFonts w:hint="eastAsia" w:ascii="宋体" w:hAnsi="宋体" w:eastAsia="宋体" w:cs="宋体"/>
          <w:color w:val="auto"/>
          <w:highlight w:val="none"/>
        </w:rPr>
      </w:pPr>
    </w:p>
    <w:p w14:paraId="7B0876F5">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19973"/>
      <w:bookmarkStart w:id="262" w:name="_Toc28765"/>
      <w:r>
        <w:rPr>
          <w:rFonts w:hint="eastAsia" w:ascii="宋体" w:hAnsi="宋体" w:eastAsia="宋体" w:cs="宋体"/>
          <w:b/>
          <w:bCs/>
          <w:color w:val="auto"/>
          <w:spacing w:val="-4"/>
          <w:sz w:val="30"/>
          <w:szCs w:val="30"/>
          <w:highlight w:val="none"/>
        </w:rPr>
        <w:t>项目管理机构组成表</w:t>
      </w:r>
      <w:bookmarkEnd w:id="261"/>
      <w:bookmarkEnd w:id="262"/>
    </w:p>
    <w:p w14:paraId="639C8DF8">
      <w:pPr>
        <w:spacing w:before="7"/>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2"/>
              <w:rPr>
                <w:rFonts w:hint="eastAsia" w:ascii="宋体" w:hAnsi="宋体" w:eastAsia="宋体" w:cs="宋体"/>
                <w:color w:val="auto"/>
                <w:sz w:val="24"/>
                <w:szCs w:val="24"/>
                <w:highlight w:val="none"/>
              </w:rPr>
            </w:pPr>
          </w:p>
        </w:tc>
        <w:tc>
          <w:tcPr>
            <w:tcW w:w="1017" w:type="dxa"/>
            <w:vAlign w:val="top"/>
          </w:tcPr>
          <w:p w14:paraId="215B5DE9">
            <w:pPr>
              <w:pStyle w:val="22"/>
              <w:rPr>
                <w:rFonts w:hint="eastAsia" w:ascii="宋体" w:hAnsi="宋体" w:eastAsia="宋体" w:cs="宋体"/>
                <w:color w:val="auto"/>
                <w:sz w:val="24"/>
                <w:szCs w:val="24"/>
                <w:highlight w:val="none"/>
              </w:rPr>
            </w:pPr>
          </w:p>
        </w:tc>
        <w:tc>
          <w:tcPr>
            <w:tcW w:w="1002" w:type="dxa"/>
            <w:vAlign w:val="top"/>
          </w:tcPr>
          <w:p w14:paraId="386DD35A">
            <w:pPr>
              <w:pStyle w:val="22"/>
              <w:rPr>
                <w:rFonts w:hint="eastAsia" w:ascii="宋体" w:hAnsi="宋体" w:eastAsia="宋体" w:cs="宋体"/>
                <w:color w:val="auto"/>
                <w:sz w:val="24"/>
                <w:szCs w:val="24"/>
                <w:highlight w:val="none"/>
              </w:rPr>
            </w:pPr>
          </w:p>
        </w:tc>
        <w:tc>
          <w:tcPr>
            <w:tcW w:w="1551" w:type="dxa"/>
            <w:vAlign w:val="top"/>
          </w:tcPr>
          <w:p w14:paraId="4C5E1A1C">
            <w:pPr>
              <w:pStyle w:val="22"/>
              <w:rPr>
                <w:rFonts w:hint="eastAsia" w:ascii="宋体" w:hAnsi="宋体" w:eastAsia="宋体" w:cs="宋体"/>
                <w:color w:val="auto"/>
                <w:sz w:val="24"/>
                <w:szCs w:val="24"/>
                <w:highlight w:val="none"/>
              </w:rPr>
            </w:pPr>
          </w:p>
        </w:tc>
        <w:tc>
          <w:tcPr>
            <w:tcW w:w="1926" w:type="dxa"/>
            <w:vAlign w:val="top"/>
          </w:tcPr>
          <w:p w14:paraId="16BC8A53">
            <w:pPr>
              <w:pStyle w:val="22"/>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2"/>
              <w:rPr>
                <w:rFonts w:hint="eastAsia" w:ascii="宋体" w:hAnsi="宋体" w:eastAsia="宋体" w:cs="宋体"/>
                <w:color w:val="auto"/>
                <w:sz w:val="24"/>
                <w:szCs w:val="24"/>
                <w:highlight w:val="none"/>
              </w:rPr>
            </w:pPr>
          </w:p>
        </w:tc>
        <w:tc>
          <w:tcPr>
            <w:tcW w:w="1017" w:type="dxa"/>
            <w:vAlign w:val="top"/>
          </w:tcPr>
          <w:p w14:paraId="1E67812B">
            <w:pPr>
              <w:pStyle w:val="22"/>
              <w:rPr>
                <w:rFonts w:hint="eastAsia" w:ascii="宋体" w:hAnsi="宋体" w:eastAsia="宋体" w:cs="宋体"/>
                <w:color w:val="auto"/>
                <w:sz w:val="24"/>
                <w:szCs w:val="24"/>
                <w:highlight w:val="none"/>
              </w:rPr>
            </w:pPr>
          </w:p>
        </w:tc>
        <w:tc>
          <w:tcPr>
            <w:tcW w:w="1002" w:type="dxa"/>
            <w:vAlign w:val="top"/>
          </w:tcPr>
          <w:p w14:paraId="26A91E61">
            <w:pPr>
              <w:pStyle w:val="22"/>
              <w:rPr>
                <w:rFonts w:hint="eastAsia" w:ascii="宋体" w:hAnsi="宋体" w:eastAsia="宋体" w:cs="宋体"/>
                <w:color w:val="auto"/>
                <w:sz w:val="24"/>
                <w:szCs w:val="24"/>
                <w:highlight w:val="none"/>
              </w:rPr>
            </w:pPr>
          </w:p>
        </w:tc>
        <w:tc>
          <w:tcPr>
            <w:tcW w:w="1551" w:type="dxa"/>
            <w:vAlign w:val="top"/>
          </w:tcPr>
          <w:p w14:paraId="6BEE9151">
            <w:pPr>
              <w:pStyle w:val="22"/>
              <w:rPr>
                <w:rFonts w:hint="eastAsia" w:ascii="宋体" w:hAnsi="宋体" w:eastAsia="宋体" w:cs="宋体"/>
                <w:color w:val="auto"/>
                <w:sz w:val="24"/>
                <w:szCs w:val="24"/>
                <w:highlight w:val="none"/>
              </w:rPr>
            </w:pPr>
          </w:p>
        </w:tc>
        <w:tc>
          <w:tcPr>
            <w:tcW w:w="1926" w:type="dxa"/>
            <w:vAlign w:val="top"/>
          </w:tcPr>
          <w:p w14:paraId="5EE9AF99">
            <w:pPr>
              <w:pStyle w:val="22"/>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2"/>
              <w:rPr>
                <w:rFonts w:hint="eastAsia" w:ascii="宋体" w:hAnsi="宋体" w:eastAsia="宋体" w:cs="宋体"/>
                <w:color w:val="auto"/>
                <w:sz w:val="24"/>
                <w:szCs w:val="24"/>
                <w:highlight w:val="none"/>
              </w:rPr>
            </w:pPr>
          </w:p>
        </w:tc>
        <w:tc>
          <w:tcPr>
            <w:tcW w:w="1017" w:type="dxa"/>
            <w:vAlign w:val="top"/>
          </w:tcPr>
          <w:p w14:paraId="1030E0E6">
            <w:pPr>
              <w:pStyle w:val="22"/>
              <w:rPr>
                <w:rFonts w:hint="eastAsia" w:ascii="宋体" w:hAnsi="宋体" w:eastAsia="宋体" w:cs="宋体"/>
                <w:color w:val="auto"/>
                <w:sz w:val="24"/>
                <w:szCs w:val="24"/>
                <w:highlight w:val="none"/>
              </w:rPr>
            </w:pPr>
          </w:p>
        </w:tc>
        <w:tc>
          <w:tcPr>
            <w:tcW w:w="1002" w:type="dxa"/>
            <w:vAlign w:val="top"/>
          </w:tcPr>
          <w:p w14:paraId="3463FE6D">
            <w:pPr>
              <w:pStyle w:val="22"/>
              <w:rPr>
                <w:rFonts w:hint="eastAsia" w:ascii="宋体" w:hAnsi="宋体" w:eastAsia="宋体" w:cs="宋体"/>
                <w:color w:val="auto"/>
                <w:sz w:val="24"/>
                <w:szCs w:val="24"/>
                <w:highlight w:val="none"/>
              </w:rPr>
            </w:pPr>
          </w:p>
        </w:tc>
        <w:tc>
          <w:tcPr>
            <w:tcW w:w="1551" w:type="dxa"/>
            <w:vAlign w:val="top"/>
          </w:tcPr>
          <w:p w14:paraId="521B8CC1">
            <w:pPr>
              <w:pStyle w:val="22"/>
              <w:rPr>
                <w:rFonts w:hint="eastAsia" w:ascii="宋体" w:hAnsi="宋体" w:eastAsia="宋体" w:cs="宋体"/>
                <w:color w:val="auto"/>
                <w:sz w:val="24"/>
                <w:szCs w:val="24"/>
                <w:highlight w:val="none"/>
              </w:rPr>
            </w:pPr>
          </w:p>
        </w:tc>
        <w:tc>
          <w:tcPr>
            <w:tcW w:w="1926" w:type="dxa"/>
            <w:vAlign w:val="top"/>
          </w:tcPr>
          <w:p w14:paraId="2FCE3AF2">
            <w:pPr>
              <w:pStyle w:val="22"/>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2"/>
              <w:rPr>
                <w:rFonts w:hint="eastAsia" w:ascii="宋体" w:hAnsi="宋体" w:eastAsia="宋体" w:cs="宋体"/>
                <w:color w:val="auto"/>
                <w:sz w:val="24"/>
                <w:szCs w:val="24"/>
                <w:highlight w:val="none"/>
              </w:rPr>
            </w:pPr>
          </w:p>
        </w:tc>
        <w:tc>
          <w:tcPr>
            <w:tcW w:w="1017" w:type="dxa"/>
            <w:vAlign w:val="top"/>
          </w:tcPr>
          <w:p w14:paraId="4508121F">
            <w:pPr>
              <w:pStyle w:val="22"/>
              <w:rPr>
                <w:rFonts w:hint="eastAsia" w:ascii="宋体" w:hAnsi="宋体" w:eastAsia="宋体" w:cs="宋体"/>
                <w:color w:val="auto"/>
                <w:sz w:val="24"/>
                <w:szCs w:val="24"/>
                <w:highlight w:val="none"/>
              </w:rPr>
            </w:pPr>
          </w:p>
        </w:tc>
        <w:tc>
          <w:tcPr>
            <w:tcW w:w="1002" w:type="dxa"/>
            <w:vAlign w:val="top"/>
          </w:tcPr>
          <w:p w14:paraId="2DC0E2D3">
            <w:pPr>
              <w:pStyle w:val="22"/>
              <w:rPr>
                <w:rFonts w:hint="eastAsia" w:ascii="宋体" w:hAnsi="宋体" w:eastAsia="宋体" w:cs="宋体"/>
                <w:color w:val="auto"/>
                <w:sz w:val="24"/>
                <w:szCs w:val="24"/>
                <w:highlight w:val="none"/>
              </w:rPr>
            </w:pPr>
          </w:p>
        </w:tc>
        <w:tc>
          <w:tcPr>
            <w:tcW w:w="1551" w:type="dxa"/>
            <w:vAlign w:val="top"/>
          </w:tcPr>
          <w:p w14:paraId="2D99A1F3">
            <w:pPr>
              <w:pStyle w:val="22"/>
              <w:rPr>
                <w:rFonts w:hint="eastAsia" w:ascii="宋体" w:hAnsi="宋体" w:eastAsia="宋体" w:cs="宋体"/>
                <w:color w:val="auto"/>
                <w:sz w:val="24"/>
                <w:szCs w:val="24"/>
                <w:highlight w:val="none"/>
              </w:rPr>
            </w:pPr>
          </w:p>
        </w:tc>
        <w:tc>
          <w:tcPr>
            <w:tcW w:w="1926" w:type="dxa"/>
            <w:vAlign w:val="top"/>
          </w:tcPr>
          <w:p w14:paraId="71DCF47A">
            <w:pPr>
              <w:pStyle w:val="22"/>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2"/>
              <w:rPr>
                <w:rFonts w:hint="eastAsia" w:ascii="宋体" w:hAnsi="宋体" w:eastAsia="宋体" w:cs="宋体"/>
                <w:color w:val="auto"/>
                <w:sz w:val="24"/>
                <w:szCs w:val="24"/>
                <w:highlight w:val="none"/>
              </w:rPr>
            </w:pPr>
          </w:p>
        </w:tc>
        <w:tc>
          <w:tcPr>
            <w:tcW w:w="1017" w:type="dxa"/>
            <w:vAlign w:val="top"/>
          </w:tcPr>
          <w:p w14:paraId="0A047E98">
            <w:pPr>
              <w:pStyle w:val="22"/>
              <w:rPr>
                <w:rFonts w:hint="eastAsia" w:ascii="宋体" w:hAnsi="宋体" w:eastAsia="宋体" w:cs="宋体"/>
                <w:color w:val="auto"/>
                <w:sz w:val="24"/>
                <w:szCs w:val="24"/>
                <w:highlight w:val="none"/>
              </w:rPr>
            </w:pPr>
          </w:p>
        </w:tc>
        <w:tc>
          <w:tcPr>
            <w:tcW w:w="1002" w:type="dxa"/>
            <w:vAlign w:val="top"/>
          </w:tcPr>
          <w:p w14:paraId="01946ADC">
            <w:pPr>
              <w:pStyle w:val="22"/>
              <w:rPr>
                <w:rFonts w:hint="eastAsia" w:ascii="宋体" w:hAnsi="宋体" w:eastAsia="宋体" w:cs="宋体"/>
                <w:color w:val="auto"/>
                <w:sz w:val="24"/>
                <w:szCs w:val="24"/>
                <w:highlight w:val="none"/>
              </w:rPr>
            </w:pPr>
          </w:p>
        </w:tc>
        <w:tc>
          <w:tcPr>
            <w:tcW w:w="1551" w:type="dxa"/>
            <w:vAlign w:val="top"/>
          </w:tcPr>
          <w:p w14:paraId="10FAFF09">
            <w:pPr>
              <w:pStyle w:val="22"/>
              <w:rPr>
                <w:rFonts w:hint="eastAsia" w:ascii="宋体" w:hAnsi="宋体" w:eastAsia="宋体" w:cs="宋体"/>
                <w:color w:val="auto"/>
                <w:sz w:val="24"/>
                <w:szCs w:val="24"/>
                <w:highlight w:val="none"/>
              </w:rPr>
            </w:pPr>
          </w:p>
        </w:tc>
        <w:tc>
          <w:tcPr>
            <w:tcW w:w="1926" w:type="dxa"/>
            <w:vAlign w:val="top"/>
          </w:tcPr>
          <w:p w14:paraId="2CAFD4ED">
            <w:pPr>
              <w:pStyle w:val="22"/>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2"/>
              <w:rPr>
                <w:rFonts w:hint="eastAsia" w:ascii="宋体" w:hAnsi="宋体" w:eastAsia="宋体" w:cs="宋体"/>
                <w:color w:val="auto"/>
                <w:sz w:val="24"/>
                <w:szCs w:val="24"/>
                <w:highlight w:val="none"/>
              </w:rPr>
            </w:pPr>
          </w:p>
        </w:tc>
        <w:tc>
          <w:tcPr>
            <w:tcW w:w="1017" w:type="dxa"/>
            <w:vAlign w:val="top"/>
          </w:tcPr>
          <w:p w14:paraId="24920843">
            <w:pPr>
              <w:pStyle w:val="22"/>
              <w:rPr>
                <w:rFonts w:hint="eastAsia" w:ascii="宋体" w:hAnsi="宋体" w:eastAsia="宋体" w:cs="宋体"/>
                <w:color w:val="auto"/>
                <w:sz w:val="24"/>
                <w:szCs w:val="24"/>
                <w:highlight w:val="none"/>
              </w:rPr>
            </w:pPr>
          </w:p>
        </w:tc>
        <w:tc>
          <w:tcPr>
            <w:tcW w:w="1002" w:type="dxa"/>
            <w:vAlign w:val="top"/>
          </w:tcPr>
          <w:p w14:paraId="596EC4C2">
            <w:pPr>
              <w:pStyle w:val="22"/>
              <w:rPr>
                <w:rFonts w:hint="eastAsia" w:ascii="宋体" w:hAnsi="宋体" w:eastAsia="宋体" w:cs="宋体"/>
                <w:color w:val="auto"/>
                <w:sz w:val="24"/>
                <w:szCs w:val="24"/>
                <w:highlight w:val="none"/>
              </w:rPr>
            </w:pPr>
          </w:p>
        </w:tc>
        <w:tc>
          <w:tcPr>
            <w:tcW w:w="1551" w:type="dxa"/>
            <w:vAlign w:val="top"/>
          </w:tcPr>
          <w:p w14:paraId="14255466">
            <w:pPr>
              <w:pStyle w:val="22"/>
              <w:rPr>
                <w:rFonts w:hint="eastAsia" w:ascii="宋体" w:hAnsi="宋体" w:eastAsia="宋体" w:cs="宋体"/>
                <w:color w:val="auto"/>
                <w:sz w:val="24"/>
                <w:szCs w:val="24"/>
                <w:highlight w:val="none"/>
              </w:rPr>
            </w:pPr>
          </w:p>
        </w:tc>
        <w:tc>
          <w:tcPr>
            <w:tcW w:w="1926" w:type="dxa"/>
            <w:vAlign w:val="top"/>
          </w:tcPr>
          <w:p w14:paraId="39BF5C26">
            <w:pPr>
              <w:pStyle w:val="22"/>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2"/>
              <w:rPr>
                <w:rFonts w:hint="eastAsia" w:ascii="宋体" w:hAnsi="宋体" w:eastAsia="宋体" w:cs="宋体"/>
                <w:color w:val="auto"/>
                <w:sz w:val="24"/>
                <w:szCs w:val="24"/>
                <w:highlight w:val="none"/>
              </w:rPr>
            </w:pPr>
          </w:p>
        </w:tc>
        <w:tc>
          <w:tcPr>
            <w:tcW w:w="1017" w:type="dxa"/>
            <w:vAlign w:val="top"/>
          </w:tcPr>
          <w:p w14:paraId="731B0BB4">
            <w:pPr>
              <w:pStyle w:val="22"/>
              <w:rPr>
                <w:rFonts w:hint="eastAsia" w:ascii="宋体" w:hAnsi="宋体" w:eastAsia="宋体" w:cs="宋体"/>
                <w:color w:val="auto"/>
                <w:sz w:val="24"/>
                <w:szCs w:val="24"/>
                <w:highlight w:val="none"/>
              </w:rPr>
            </w:pPr>
          </w:p>
        </w:tc>
        <w:tc>
          <w:tcPr>
            <w:tcW w:w="1002" w:type="dxa"/>
            <w:vAlign w:val="top"/>
          </w:tcPr>
          <w:p w14:paraId="1CB4F26F">
            <w:pPr>
              <w:pStyle w:val="22"/>
              <w:rPr>
                <w:rFonts w:hint="eastAsia" w:ascii="宋体" w:hAnsi="宋体" w:eastAsia="宋体" w:cs="宋体"/>
                <w:color w:val="auto"/>
                <w:sz w:val="24"/>
                <w:szCs w:val="24"/>
                <w:highlight w:val="none"/>
              </w:rPr>
            </w:pPr>
          </w:p>
        </w:tc>
        <w:tc>
          <w:tcPr>
            <w:tcW w:w="1551" w:type="dxa"/>
            <w:vAlign w:val="top"/>
          </w:tcPr>
          <w:p w14:paraId="62B9287E">
            <w:pPr>
              <w:pStyle w:val="22"/>
              <w:rPr>
                <w:rFonts w:hint="eastAsia" w:ascii="宋体" w:hAnsi="宋体" w:eastAsia="宋体" w:cs="宋体"/>
                <w:color w:val="auto"/>
                <w:sz w:val="24"/>
                <w:szCs w:val="24"/>
                <w:highlight w:val="none"/>
              </w:rPr>
            </w:pPr>
          </w:p>
        </w:tc>
        <w:tc>
          <w:tcPr>
            <w:tcW w:w="1926" w:type="dxa"/>
            <w:vAlign w:val="top"/>
          </w:tcPr>
          <w:p w14:paraId="22A6499B">
            <w:pPr>
              <w:pStyle w:val="22"/>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jc w:val="center"/>
        </w:trPr>
        <w:tc>
          <w:tcPr>
            <w:tcW w:w="634" w:type="dxa"/>
            <w:vAlign w:val="top"/>
          </w:tcPr>
          <w:p w14:paraId="1F9DE00F">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2"/>
              <w:rPr>
                <w:rFonts w:hint="eastAsia" w:ascii="宋体" w:hAnsi="宋体" w:eastAsia="宋体" w:cs="宋体"/>
                <w:color w:val="auto"/>
                <w:sz w:val="24"/>
                <w:szCs w:val="24"/>
                <w:highlight w:val="none"/>
              </w:rPr>
            </w:pPr>
          </w:p>
        </w:tc>
        <w:tc>
          <w:tcPr>
            <w:tcW w:w="1567" w:type="dxa"/>
            <w:vAlign w:val="top"/>
          </w:tcPr>
          <w:p w14:paraId="74287E00">
            <w:pPr>
              <w:pStyle w:val="22"/>
              <w:rPr>
                <w:rFonts w:hint="eastAsia" w:ascii="宋体" w:hAnsi="宋体" w:eastAsia="宋体" w:cs="宋体"/>
                <w:color w:val="auto"/>
                <w:sz w:val="24"/>
                <w:szCs w:val="24"/>
                <w:highlight w:val="none"/>
              </w:rPr>
            </w:pPr>
          </w:p>
        </w:tc>
        <w:tc>
          <w:tcPr>
            <w:tcW w:w="1017" w:type="dxa"/>
            <w:vAlign w:val="top"/>
          </w:tcPr>
          <w:p w14:paraId="5804450C">
            <w:pPr>
              <w:pStyle w:val="22"/>
              <w:rPr>
                <w:rFonts w:hint="eastAsia" w:ascii="宋体" w:hAnsi="宋体" w:eastAsia="宋体" w:cs="宋体"/>
                <w:color w:val="auto"/>
                <w:sz w:val="24"/>
                <w:szCs w:val="24"/>
                <w:highlight w:val="none"/>
              </w:rPr>
            </w:pPr>
          </w:p>
        </w:tc>
        <w:tc>
          <w:tcPr>
            <w:tcW w:w="1002" w:type="dxa"/>
            <w:vAlign w:val="top"/>
          </w:tcPr>
          <w:p w14:paraId="7C125147">
            <w:pPr>
              <w:pStyle w:val="22"/>
              <w:rPr>
                <w:rFonts w:hint="eastAsia" w:ascii="宋体" w:hAnsi="宋体" w:eastAsia="宋体" w:cs="宋体"/>
                <w:color w:val="auto"/>
                <w:sz w:val="24"/>
                <w:szCs w:val="24"/>
                <w:highlight w:val="none"/>
              </w:rPr>
            </w:pPr>
          </w:p>
        </w:tc>
        <w:tc>
          <w:tcPr>
            <w:tcW w:w="1551" w:type="dxa"/>
            <w:vAlign w:val="top"/>
          </w:tcPr>
          <w:p w14:paraId="4F54B0AF">
            <w:pPr>
              <w:pStyle w:val="22"/>
              <w:rPr>
                <w:rFonts w:hint="eastAsia" w:ascii="宋体" w:hAnsi="宋体" w:eastAsia="宋体" w:cs="宋体"/>
                <w:color w:val="auto"/>
                <w:sz w:val="24"/>
                <w:szCs w:val="24"/>
                <w:highlight w:val="none"/>
              </w:rPr>
            </w:pPr>
          </w:p>
        </w:tc>
        <w:tc>
          <w:tcPr>
            <w:tcW w:w="1926" w:type="dxa"/>
            <w:vAlign w:val="top"/>
          </w:tcPr>
          <w:p w14:paraId="4FFC9BC0">
            <w:pPr>
              <w:pStyle w:val="22"/>
              <w:rPr>
                <w:rFonts w:hint="eastAsia" w:ascii="宋体" w:hAnsi="宋体" w:eastAsia="宋体" w:cs="宋体"/>
                <w:color w:val="auto"/>
                <w:sz w:val="24"/>
                <w:szCs w:val="24"/>
                <w:highlight w:val="none"/>
              </w:rPr>
            </w:pPr>
          </w:p>
        </w:tc>
      </w:tr>
    </w:tbl>
    <w:p w14:paraId="7732D9E9">
      <w:pPr>
        <w:pStyle w:val="6"/>
        <w:spacing w:line="395" w:lineRule="auto"/>
        <w:rPr>
          <w:rFonts w:hint="eastAsia" w:ascii="宋体" w:hAnsi="宋体" w:eastAsia="宋体" w:cs="宋体"/>
          <w:color w:val="auto"/>
          <w:sz w:val="24"/>
          <w:szCs w:val="24"/>
          <w:highlight w:val="none"/>
        </w:rPr>
      </w:pPr>
    </w:p>
    <w:p w14:paraId="3B1E59B3">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AA20B55">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B601F95">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33F901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3B3A6E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w:t>
      </w:r>
      <w:r>
        <w:rPr>
          <w:rFonts w:hint="eastAsia" w:ascii="宋体" w:hAnsi="宋体" w:eastAsia="宋体"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040304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829D625">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069CF15">
      <w:pPr>
        <w:pStyle w:val="6"/>
        <w:spacing w:line="248" w:lineRule="auto"/>
        <w:rPr>
          <w:rFonts w:hint="eastAsia" w:ascii="宋体" w:hAnsi="宋体" w:eastAsia="宋体" w:cs="宋体"/>
          <w:color w:val="auto"/>
          <w:sz w:val="24"/>
          <w:szCs w:val="24"/>
          <w:highlight w:val="none"/>
        </w:rPr>
      </w:pPr>
    </w:p>
    <w:p w14:paraId="6BC18C6E">
      <w:pPr>
        <w:pStyle w:val="6"/>
        <w:spacing w:line="248" w:lineRule="auto"/>
        <w:rPr>
          <w:rFonts w:hint="eastAsia" w:ascii="宋体" w:hAnsi="宋体" w:eastAsia="宋体" w:cs="宋体"/>
          <w:color w:val="auto"/>
          <w:sz w:val="24"/>
          <w:szCs w:val="24"/>
          <w:highlight w:val="none"/>
        </w:rPr>
      </w:pPr>
    </w:p>
    <w:p w14:paraId="176F2752">
      <w:pPr>
        <w:pStyle w:val="6"/>
        <w:spacing w:line="248" w:lineRule="auto"/>
        <w:rPr>
          <w:rFonts w:hint="eastAsia" w:ascii="宋体" w:hAnsi="宋体" w:eastAsia="宋体" w:cs="宋体"/>
          <w:color w:val="auto"/>
          <w:highlight w:val="none"/>
        </w:rPr>
      </w:pPr>
    </w:p>
    <w:p w14:paraId="5D072C9A">
      <w:pPr>
        <w:pStyle w:val="6"/>
        <w:spacing w:line="248" w:lineRule="auto"/>
        <w:rPr>
          <w:rFonts w:hint="eastAsia" w:ascii="宋体" w:hAnsi="宋体" w:eastAsia="宋体" w:cs="宋体"/>
          <w:color w:val="auto"/>
          <w:highlight w:val="none"/>
        </w:rPr>
      </w:pPr>
    </w:p>
    <w:p w14:paraId="3AE49CA0">
      <w:pPr>
        <w:spacing w:before="79" w:line="220" w:lineRule="auto"/>
        <w:rPr>
          <w:rFonts w:hint="eastAsia" w:ascii="宋体" w:hAnsi="宋体" w:eastAsia="宋体" w:cs="宋体"/>
          <w:b/>
          <w:bCs/>
          <w:color w:val="auto"/>
          <w:spacing w:val="-2"/>
          <w:sz w:val="24"/>
          <w:szCs w:val="24"/>
          <w:highlight w:val="none"/>
        </w:rPr>
      </w:pPr>
    </w:p>
    <w:p w14:paraId="64B5E5D2">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450E46D9">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1386CCA3">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EE8513">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813AADB">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D36A69A">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233B3372">
      <w:pPr>
        <w:pStyle w:val="6"/>
        <w:spacing w:line="269" w:lineRule="auto"/>
        <w:rPr>
          <w:rFonts w:hint="eastAsia" w:ascii="宋体" w:hAnsi="宋体" w:eastAsia="宋体" w:cs="宋体"/>
          <w:color w:val="auto"/>
          <w:highlight w:val="none"/>
        </w:rPr>
      </w:pPr>
    </w:p>
    <w:p w14:paraId="73CEABAE">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5733B35F">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BA34EDA">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F8B397A">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869C1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AF6072E">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CD3BDF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A389843">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0957CC1">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9A3F64C">
      <w:pPr>
        <w:spacing w:before="40"/>
        <w:rPr>
          <w:rFonts w:hint="eastAsia" w:ascii="宋体" w:hAnsi="宋体" w:eastAsia="宋体" w:cs="宋体"/>
          <w:color w:val="auto"/>
          <w:highlight w:val="none"/>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8"/>
        <w:gridCol w:w="1353"/>
        <w:gridCol w:w="1353"/>
        <w:gridCol w:w="1057"/>
      </w:tblGrid>
      <w:tr w14:paraId="24A2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center"/>
          </w:tcPr>
          <w:p w14:paraId="52064E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一、危险性较大的分部分项工程清单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CA059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建设单位</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14C33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9B85025">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备注</w:t>
            </w:r>
          </w:p>
        </w:tc>
      </w:tr>
      <w:tr w14:paraId="2C6FF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EF313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一、基坑支护</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9655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69213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CE144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82B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3CDA00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（一）开挖深度超过3m（含3m）的基坑（槽）的土方开挖、支护、降水工程。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8559E1">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 </w:t>
            </w:r>
            <w:r>
              <w:rPr>
                <w:rFonts w:hint="eastAsia" w:ascii="宋体" w:hAnsi="宋体" w:eastAsia="宋体" w:cs="宋体"/>
                <w:color w:val="auto"/>
                <w:kern w:val="2"/>
                <w:sz w:val="24"/>
                <w:szCs w:val="24"/>
                <w:highlight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3B99E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81124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D67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A2CD7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（二）开挖深度虽未超过3m，但地质条件、周围环境和地下管线复杂，或影响毗邻建、构筑物安全的基坑（槽）的土方开挖、支护、降水工程。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C9058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44CC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30516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4AA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D071E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7605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0AF1A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139E5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FE6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40F8F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80C7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99B7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42CA4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F568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93810F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0102F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88DCB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050A9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3BE2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BD10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A169E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FFDF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40488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F81B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93709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60771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B75E3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71CC0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257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8F35B6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（一）采用非常规起重设备、方法，且单件起吊重量在10kN及以上的起重吊装工程。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78A9E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DF5B2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4EB40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142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6D298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（二）采用起重机械进行安装的工程。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1DD5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F9465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DD935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6961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7E028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（三）起重机械安装和拆卸工程。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F8F1E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454DF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65F51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81F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64B92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28177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B7056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107F3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7E4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A7D49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（一）搭设高度24m及以上的落地式钢管脚手架工程（包括采光井、电梯井脚手架）。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3257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7ACD2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19199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EA7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71C562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（二）附着式升降脚手架工程。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56D2E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71FBF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14DFB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C93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7C480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（三）悬挑式脚手架工程。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7BDEE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5CF3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87A4D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0FE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19315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（四）高处作业吊篮。</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05C4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3CB78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A767E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504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43FC8C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（五）卸料平台、操作平台工程。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39DB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695BC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136DC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2EBC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8DB6A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（六）异型脚手架工程。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C15A8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FBEE4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2828E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885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02C9D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E4B82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F7EDD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B615F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9A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A8E4CC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可能影响行人、交通、电力设施、通讯设施或其他建、构筑物安全的拆除工程。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25C27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D7456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ED7C7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674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37ED4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六、暗挖工程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733DC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769F6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54CF4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E8E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340CF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09830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6497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4BCD2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A70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D8FA9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七、其他</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E8B9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58C4E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B671E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C3F5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5933CC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（一）建筑幕墙安装工程。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1D05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513E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80525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CF9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CDD636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（二）钢结构、网架和索膜结构安装工程。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E902F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3BD9F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41060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132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EC45B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（三）人工挖孔桩工程。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48F71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1E8C1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B831D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CFC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4DF3A3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58D97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F7E5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4EF11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6BC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13B6C2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（五）装配式建筑混凝土预制构件安装工程。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71883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50BB9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E8FEB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C05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429FBF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7C95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8029A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EECAA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36E3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center"/>
          </w:tcPr>
          <w:p w14:paraId="1024276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color w:val="auto"/>
                <w:kern w:val="2"/>
                <w:sz w:val="24"/>
                <w:szCs w:val="24"/>
                <w:highlight w:val="none"/>
                <w:lang w:val="en-US" w:eastAsia="zh-CN" w:bidi="ar"/>
              </w:rPr>
              <w:t>二、超过一定规模的危险性较大的分部分项工程清单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0F564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建设单位</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50B2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9CC20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备注</w:t>
            </w:r>
          </w:p>
        </w:tc>
      </w:tr>
      <w:tr w14:paraId="51DD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12A6E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一、深基坑工程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7D878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019B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CF2B3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E6CA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27257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开挖深度超过5m（含5m）的基坑（槽）的土方开挖、支护、降水工程。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23B9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 </w:t>
            </w:r>
            <w:r>
              <w:rPr>
                <w:rFonts w:hint="eastAsia" w:ascii="宋体" w:hAnsi="宋体" w:eastAsia="宋体" w:cs="宋体"/>
                <w:color w:val="auto"/>
                <w:kern w:val="2"/>
                <w:sz w:val="24"/>
                <w:szCs w:val="24"/>
                <w:highlight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1E4E2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CC60A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59F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019CCA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10B7C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1F3C2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09BD5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8E4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BBE85D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4D5D1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32AD2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8BF00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14C3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AEF52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（二）混凝土模板支撑工程：搭设高度8m及以上，或搭设跨度18m及以上，或施工总荷载（设计值）15kN/m2及以上，或集中线荷载（设计值）20kN/m及以上。</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1D624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6F95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0C1E7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29D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D6140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（三）承重支撑体系：用于钢结构安装等满堂支撑体系，承受单点集中荷载7kN及以上。</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2A01E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B25E8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12300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170C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597B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C91CE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3E22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71267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BD1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3C5DF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（一）采用非常规起重设备、方法，且单件起吊重量在100kN及以上的起重吊装工程。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A009B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3450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A4CEF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94F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0CAAE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（二）起重量300kN及以上，或搭设总高度200m及以上，或搭设基础标高在200m及以上的起重机械安装和拆卸工程。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727C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2DD42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76BD9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DBF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5289F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81E5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38C0C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519F2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661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FA31E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（一）搭设高度50m及以上的落地式钢管脚手架工程。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C7B51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BB0D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A8A51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D0A5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20E80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（二）提升高度在150m及以上的附着式升降脚手架工程或附着式升降操作平台工程。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0ED33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7F0FA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7DEE5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2CC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EFA1A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（三）分段架体搭设高度20m及以上的悬挑式脚手架工程。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63CEC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86AEC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B0412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2B4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AACBE0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CAC39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4094B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E5BF9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2EC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F8FE3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（一）码头、桥梁、高架、烟囱、水塔或拆除中容易引起有毒有害气（液）体或粉尘扩散、易燃易爆事故发生的特殊建、构筑物的拆除工程。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6BED9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EF6E8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40624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A65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BA870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（二）文物保护建筑、优秀历史建筑或历史文化风貌区影响范围内的拆除工程。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78597E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6C54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04FBB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0DF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1A39E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六、暗挖工程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74E55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DD9E6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C4A75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82A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097A6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CB6F3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C050B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6C64A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947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322D2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七、其他</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CA7C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F693A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67D9A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99F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F20E6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（一）施工高度50m及以上的建筑幕墙安装工程。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E651E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8FF62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87A94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E4E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229F0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（二）跨度36m及以上的钢结构安装工程，或跨度60m及以上的网架和索膜结构安装工程。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8355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19DCB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2409F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432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D12BF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（三）开挖深度16m及以上的人工挖孔桩工程。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756CE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1B97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5C130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7F8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E3C5F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076D4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ABBC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E3ED7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985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1C7F3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（五）重量1000kN及以上的大型结构整体顶升、平移、转体等施工工艺。</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9098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05D4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59CBF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1A5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179E25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5D78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F892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A544A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bl>
    <w:p w14:paraId="00A9CD31">
      <w:pPr>
        <w:pStyle w:val="6"/>
        <w:spacing w:line="288" w:lineRule="auto"/>
        <w:rPr>
          <w:rFonts w:hint="eastAsia" w:ascii="宋体" w:hAnsi="宋体" w:eastAsia="宋体" w:cs="宋体"/>
          <w:color w:val="auto"/>
          <w:highlight w:val="none"/>
        </w:rPr>
      </w:pPr>
    </w:p>
    <w:p w14:paraId="44E6AB1E">
      <w:pPr>
        <w:pStyle w:val="6"/>
        <w:spacing w:line="288" w:lineRule="auto"/>
        <w:rPr>
          <w:rFonts w:hint="eastAsia" w:ascii="宋体" w:hAnsi="宋体" w:eastAsia="宋体" w:cs="宋体"/>
          <w:color w:val="auto"/>
          <w:highlight w:val="none"/>
        </w:rPr>
      </w:pPr>
    </w:p>
    <w:p w14:paraId="53809DE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F1F685">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2407D028">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2D3F718">
      <w:pPr>
        <w:rPr>
          <w:color w:val="auto"/>
          <w:highlight w:val="none"/>
        </w:rPr>
      </w:pPr>
    </w:p>
    <w:p w14:paraId="77B667EE">
      <w:pPr>
        <w:pStyle w:val="14"/>
        <w:rPr>
          <w:rFonts w:hint="eastAsia" w:ascii="宋体" w:hAnsi="宋体" w:eastAsia="宋体" w:cs="宋体"/>
          <w:b/>
          <w:bCs/>
          <w:color w:val="auto"/>
          <w:spacing w:val="-4"/>
          <w:sz w:val="24"/>
          <w:szCs w:val="24"/>
          <w:highlight w:val="none"/>
        </w:rPr>
      </w:pPr>
    </w:p>
    <w:p w14:paraId="7353CEAB">
      <w:pPr>
        <w:pStyle w:val="14"/>
        <w:rPr>
          <w:rFonts w:hint="eastAsia" w:ascii="宋体" w:hAnsi="宋体" w:eastAsia="宋体" w:cs="宋体"/>
          <w:b/>
          <w:bCs/>
          <w:color w:val="auto"/>
          <w:spacing w:val="-4"/>
          <w:sz w:val="24"/>
          <w:szCs w:val="24"/>
          <w:highlight w:val="none"/>
        </w:rPr>
      </w:pPr>
    </w:p>
    <w:p w14:paraId="7BC0F757">
      <w:pPr>
        <w:pStyle w:val="14"/>
        <w:rPr>
          <w:rFonts w:hint="eastAsia" w:ascii="宋体" w:hAnsi="宋体" w:eastAsia="宋体" w:cs="宋体"/>
          <w:b/>
          <w:bCs/>
          <w:color w:val="auto"/>
          <w:spacing w:val="-4"/>
          <w:sz w:val="24"/>
          <w:szCs w:val="24"/>
          <w:highlight w:val="none"/>
        </w:rPr>
      </w:pPr>
    </w:p>
    <w:p w14:paraId="25244F8F">
      <w:pPr>
        <w:pStyle w:val="14"/>
        <w:rPr>
          <w:rFonts w:hint="eastAsia" w:ascii="宋体" w:hAnsi="宋体" w:eastAsia="宋体" w:cs="宋体"/>
          <w:b/>
          <w:bCs/>
          <w:color w:val="auto"/>
          <w:spacing w:val="-4"/>
          <w:sz w:val="24"/>
          <w:szCs w:val="24"/>
          <w:highlight w:val="none"/>
        </w:rPr>
      </w:pPr>
    </w:p>
    <w:p w14:paraId="2099144E">
      <w:pPr>
        <w:pStyle w:val="14"/>
        <w:rPr>
          <w:rFonts w:hint="eastAsia" w:ascii="宋体" w:hAnsi="宋体" w:eastAsia="宋体" w:cs="宋体"/>
          <w:b/>
          <w:bCs/>
          <w:color w:val="auto"/>
          <w:spacing w:val="-4"/>
          <w:sz w:val="24"/>
          <w:szCs w:val="24"/>
          <w:highlight w:val="none"/>
        </w:rPr>
      </w:pPr>
    </w:p>
    <w:p w14:paraId="3EA8987A">
      <w:pPr>
        <w:pStyle w:val="14"/>
        <w:ind w:left="0" w:leftChars="0" w:firstLine="0" w:firstLineChars="0"/>
        <w:rPr>
          <w:rFonts w:hint="eastAsia" w:ascii="宋体" w:hAnsi="宋体" w:eastAsia="宋体" w:cs="宋体"/>
          <w:b/>
          <w:bCs/>
          <w:color w:val="auto"/>
          <w:spacing w:val="-4"/>
          <w:sz w:val="24"/>
          <w:szCs w:val="24"/>
          <w:highlight w:val="none"/>
        </w:rPr>
      </w:pPr>
    </w:p>
    <w:p w14:paraId="103650DD">
      <w:pPr>
        <w:spacing w:before="78" w:line="220" w:lineRule="auto"/>
        <w:jc w:val="left"/>
        <w:outlineLvl w:val="9"/>
        <w:rPr>
          <w:rFonts w:hint="eastAsia" w:ascii="宋体" w:hAnsi="宋体" w:eastAsia="宋体" w:cs="宋体"/>
          <w:b/>
          <w:bCs/>
          <w:color w:val="auto"/>
          <w:spacing w:val="-4"/>
          <w:sz w:val="24"/>
          <w:szCs w:val="24"/>
          <w:highlight w:val="none"/>
        </w:rPr>
      </w:pPr>
    </w:p>
    <w:p w14:paraId="6C9A6F6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112B7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7"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7"/>
    </w:p>
    <w:p w14:paraId="20478BA2">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CA68F3">
      <w:pPr>
        <w:pStyle w:val="6"/>
        <w:spacing w:line="408" w:lineRule="auto"/>
        <w:rPr>
          <w:rFonts w:hint="eastAsia" w:ascii="宋体" w:hAnsi="宋体" w:eastAsia="宋体" w:cs="宋体"/>
          <w:color w:val="auto"/>
          <w:highlight w:val="none"/>
        </w:rPr>
      </w:pPr>
    </w:p>
    <w:p w14:paraId="6190CB97">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A1A631F">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7797558">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FDADFE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E4988C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2BE0B852">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977FF7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935A407">
      <w:pPr>
        <w:pStyle w:val="6"/>
        <w:spacing w:line="329" w:lineRule="auto"/>
        <w:rPr>
          <w:rFonts w:hint="eastAsia" w:ascii="宋体" w:hAnsi="宋体" w:eastAsia="宋体" w:cs="宋体"/>
          <w:color w:val="auto"/>
          <w:sz w:val="24"/>
          <w:szCs w:val="24"/>
          <w:highlight w:val="none"/>
        </w:rPr>
      </w:pPr>
    </w:p>
    <w:p w14:paraId="28791B82">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51FED33">
      <w:pPr>
        <w:pStyle w:val="6"/>
        <w:spacing w:line="457" w:lineRule="auto"/>
        <w:rPr>
          <w:rFonts w:hint="eastAsia" w:ascii="宋体" w:hAnsi="宋体" w:eastAsia="宋体" w:cs="宋体"/>
          <w:color w:val="auto"/>
          <w:sz w:val="24"/>
          <w:szCs w:val="24"/>
          <w:highlight w:val="none"/>
        </w:rPr>
      </w:pPr>
    </w:p>
    <w:p w14:paraId="74661644">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33913F6">
      <w:pPr>
        <w:pStyle w:val="6"/>
        <w:spacing w:line="457" w:lineRule="auto"/>
        <w:rPr>
          <w:rFonts w:hint="eastAsia" w:ascii="宋体" w:hAnsi="宋体" w:eastAsia="宋体" w:cs="宋体"/>
          <w:color w:val="auto"/>
          <w:sz w:val="24"/>
          <w:szCs w:val="24"/>
          <w:highlight w:val="none"/>
        </w:rPr>
      </w:pPr>
    </w:p>
    <w:p w14:paraId="12B0B2E7">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DA818FA">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364BC4A7">
      <w:pPr>
        <w:pStyle w:val="14"/>
        <w:rPr>
          <w:rFonts w:hint="eastAsia" w:ascii="宋体" w:hAnsi="宋体" w:eastAsia="宋体" w:cs="宋体"/>
          <w:color w:val="auto"/>
          <w:highlight w:val="none"/>
        </w:rPr>
      </w:pPr>
    </w:p>
    <w:p w14:paraId="473A10BB">
      <w:pPr>
        <w:pStyle w:val="14"/>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8C9B33">
      <w:pPr>
        <w:spacing w:before="78" w:line="220" w:lineRule="auto"/>
        <w:outlineLvl w:val="2"/>
        <w:rPr>
          <w:rFonts w:hint="eastAsia" w:ascii="宋体" w:hAnsi="宋体" w:eastAsia="宋体" w:cs="宋体"/>
          <w:b/>
          <w:bCs/>
          <w:color w:val="auto"/>
          <w:spacing w:val="-4"/>
          <w:sz w:val="24"/>
          <w:szCs w:val="24"/>
          <w:highlight w:val="none"/>
        </w:rPr>
      </w:pPr>
      <w:bookmarkStart w:id="268"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8"/>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2"/>
              <w:spacing w:line="253" w:lineRule="auto"/>
              <w:rPr>
                <w:rFonts w:hint="eastAsia" w:ascii="宋体" w:hAnsi="宋体" w:eastAsia="宋体" w:cs="宋体"/>
                <w:color w:val="auto"/>
                <w:sz w:val="24"/>
                <w:szCs w:val="24"/>
                <w:highlight w:val="none"/>
              </w:rPr>
            </w:pPr>
          </w:p>
          <w:p w14:paraId="4739685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2"/>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2"/>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2"/>
              <w:rPr>
                <w:rFonts w:hint="eastAsia" w:ascii="宋体" w:hAnsi="宋体" w:eastAsia="宋体" w:cs="宋体"/>
                <w:color w:val="auto"/>
                <w:sz w:val="24"/>
                <w:szCs w:val="24"/>
                <w:highlight w:val="none"/>
              </w:rPr>
            </w:pPr>
          </w:p>
        </w:tc>
        <w:tc>
          <w:tcPr>
            <w:tcW w:w="1499" w:type="dxa"/>
            <w:gridSpan w:val="2"/>
            <w:vAlign w:val="top"/>
          </w:tcPr>
          <w:p w14:paraId="01659EE4">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2"/>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2"/>
              <w:spacing w:line="257" w:lineRule="auto"/>
              <w:rPr>
                <w:rFonts w:hint="eastAsia" w:ascii="宋体" w:hAnsi="宋体" w:eastAsia="宋体" w:cs="宋体"/>
                <w:color w:val="auto"/>
                <w:sz w:val="24"/>
                <w:szCs w:val="24"/>
                <w:highlight w:val="none"/>
              </w:rPr>
            </w:pPr>
          </w:p>
          <w:p w14:paraId="5581F312">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2"/>
              <w:spacing w:line="257" w:lineRule="auto"/>
              <w:rPr>
                <w:rFonts w:hint="eastAsia" w:ascii="宋体" w:hAnsi="宋体" w:eastAsia="宋体" w:cs="宋体"/>
                <w:color w:val="auto"/>
                <w:sz w:val="24"/>
                <w:szCs w:val="24"/>
                <w:highlight w:val="none"/>
              </w:rPr>
            </w:pPr>
          </w:p>
          <w:p w14:paraId="5B666611">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2"/>
              <w:spacing w:line="256" w:lineRule="auto"/>
              <w:rPr>
                <w:rFonts w:hint="eastAsia" w:ascii="宋体" w:hAnsi="宋体" w:eastAsia="宋体" w:cs="宋体"/>
                <w:color w:val="auto"/>
                <w:sz w:val="24"/>
                <w:szCs w:val="24"/>
                <w:highlight w:val="none"/>
              </w:rPr>
            </w:pPr>
          </w:p>
          <w:p w14:paraId="7FF59202">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2"/>
              <w:spacing w:line="256" w:lineRule="auto"/>
              <w:rPr>
                <w:rFonts w:hint="eastAsia" w:ascii="宋体" w:hAnsi="宋体" w:eastAsia="宋体" w:cs="宋体"/>
                <w:color w:val="auto"/>
                <w:sz w:val="24"/>
                <w:szCs w:val="24"/>
                <w:highlight w:val="none"/>
              </w:rPr>
            </w:pPr>
          </w:p>
          <w:p w14:paraId="66B6886C">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2"/>
              <w:rPr>
                <w:rFonts w:hint="eastAsia" w:ascii="宋体" w:hAnsi="宋体" w:eastAsia="宋体" w:cs="宋体"/>
                <w:color w:val="auto"/>
                <w:sz w:val="24"/>
                <w:szCs w:val="24"/>
                <w:highlight w:val="none"/>
              </w:rPr>
            </w:pPr>
          </w:p>
        </w:tc>
        <w:tc>
          <w:tcPr>
            <w:tcW w:w="1771" w:type="dxa"/>
            <w:gridSpan w:val="2"/>
            <w:vAlign w:val="top"/>
          </w:tcPr>
          <w:p w14:paraId="7168FCC1">
            <w:pPr>
              <w:pStyle w:val="22"/>
              <w:rPr>
                <w:rFonts w:hint="eastAsia" w:ascii="宋体" w:hAnsi="宋体" w:eastAsia="宋体" w:cs="宋体"/>
                <w:color w:val="auto"/>
                <w:sz w:val="24"/>
                <w:szCs w:val="24"/>
                <w:highlight w:val="none"/>
              </w:rPr>
            </w:pPr>
          </w:p>
        </w:tc>
        <w:tc>
          <w:tcPr>
            <w:tcW w:w="1637" w:type="dxa"/>
            <w:vAlign w:val="top"/>
          </w:tcPr>
          <w:p w14:paraId="0A86B06F">
            <w:pPr>
              <w:pStyle w:val="22"/>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2"/>
              <w:rPr>
                <w:rFonts w:hint="eastAsia" w:ascii="宋体" w:hAnsi="宋体" w:eastAsia="宋体" w:cs="宋体"/>
                <w:color w:val="auto"/>
                <w:sz w:val="24"/>
                <w:szCs w:val="24"/>
                <w:highlight w:val="none"/>
              </w:rPr>
            </w:pPr>
          </w:p>
        </w:tc>
        <w:tc>
          <w:tcPr>
            <w:tcW w:w="1771" w:type="dxa"/>
            <w:gridSpan w:val="2"/>
            <w:vAlign w:val="top"/>
          </w:tcPr>
          <w:p w14:paraId="7BD1D335">
            <w:pPr>
              <w:pStyle w:val="22"/>
              <w:rPr>
                <w:rFonts w:hint="eastAsia" w:ascii="宋体" w:hAnsi="宋体" w:eastAsia="宋体" w:cs="宋体"/>
                <w:color w:val="auto"/>
                <w:sz w:val="24"/>
                <w:szCs w:val="24"/>
                <w:highlight w:val="none"/>
              </w:rPr>
            </w:pPr>
          </w:p>
        </w:tc>
        <w:tc>
          <w:tcPr>
            <w:tcW w:w="1637" w:type="dxa"/>
            <w:vAlign w:val="top"/>
          </w:tcPr>
          <w:p w14:paraId="74734796">
            <w:pPr>
              <w:pStyle w:val="22"/>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2"/>
              <w:rPr>
                <w:rFonts w:hint="eastAsia" w:ascii="宋体" w:hAnsi="宋体" w:eastAsia="宋体" w:cs="宋体"/>
                <w:color w:val="auto"/>
                <w:sz w:val="24"/>
                <w:szCs w:val="24"/>
                <w:highlight w:val="none"/>
              </w:rPr>
            </w:pPr>
          </w:p>
        </w:tc>
        <w:tc>
          <w:tcPr>
            <w:tcW w:w="1771" w:type="dxa"/>
            <w:gridSpan w:val="2"/>
            <w:vAlign w:val="top"/>
          </w:tcPr>
          <w:p w14:paraId="02FF66A5">
            <w:pPr>
              <w:pStyle w:val="22"/>
              <w:rPr>
                <w:rFonts w:hint="eastAsia" w:ascii="宋体" w:hAnsi="宋体" w:eastAsia="宋体" w:cs="宋体"/>
                <w:color w:val="auto"/>
                <w:sz w:val="24"/>
                <w:szCs w:val="24"/>
                <w:highlight w:val="none"/>
              </w:rPr>
            </w:pPr>
          </w:p>
        </w:tc>
        <w:tc>
          <w:tcPr>
            <w:tcW w:w="1637" w:type="dxa"/>
            <w:vAlign w:val="top"/>
          </w:tcPr>
          <w:p w14:paraId="177B8CBE">
            <w:pPr>
              <w:pStyle w:val="22"/>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2"/>
              <w:spacing w:line="348" w:lineRule="auto"/>
              <w:rPr>
                <w:rFonts w:hint="eastAsia" w:ascii="宋体" w:hAnsi="宋体" w:eastAsia="宋体" w:cs="宋体"/>
                <w:color w:val="auto"/>
                <w:sz w:val="24"/>
                <w:szCs w:val="24"/>
                <w:highlight w:val="none"/>
              </w:rPr>
            </w:pPr>
          </w:p>
          <w:p w14:paraId="02E200D6">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2"/>
              <w:rPr>
                <w:rFonts w:hint="eastAsia" w:ascii="宋体" w:hAnsi="宋体" w:eastAsia="宋体" w:cs="宋体"/>
                <w:color w:val="auto"/>
                <w:sz w:val="24"/>
                <w:szCs w:val="24"/>
                <w:highlight w:val="none"/>
              </w:rPr>
            </w:pPr>
          </w:p>
        </w:tc>
        <w:tc>
          <w:tcPr>
            <w:tcW w:w="1771" w:type="dxa"/>
            <w:gridSpan w:val="2"/>
            <w:vAlign w:val="top"/>
          </w:tcPr>
          <w:p w14:paraId="0DCF009C">
            <w:pPr>
              <w:pStyle w:val="22"/>
              <w:rPr>
                <w:rFonts w:hint="eastAsia" w:ascii="宋体" w:hAnsi="宋体" w:eastAsia="宋体" w:cs="宋体"/>
                <w:color w:val="auto"/>
                <w:sz w:val="24"/>
                <w:szCs w:val="24"/>
                <w:highlight w:val="none"/>
              </w:rPr>
            </w:pPr>
          </w:p>
        </w:tc>
        <w:tc>
          <w:tcPr>
            <w:tcW w:w="1637" w:type="dxa"/>
            <w:vAlign w:val="top"/>
          </w:tcPr>
          <w:p w14:paraId="685D7DF6">
            <w:pPr>
              <w:pStyle w:val="22"/>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2"/>
              <w:spacing w:line="274" w:lineRule="auto"/>
              <w:rPr>
                <w:rFonts w:hint="eastAsia" w:ascii="宋体" w:hAnsi="宋体" w:eastAsia="宋体" w:cs="宋体"/>
                <w:color w:val="auto"/>
                <w:sz w:val="24"/>
                <w:szCs w:val="24"/>
                <w:highlight w:val="none"/>
              </w:rPr>
            </w:pPr>
          </w:p>
          <w:p w14:paraId="7C7AA007">
            <w:pPr>
              <w:pStyle w:val="22"/>
              <w:spacing w:line="275" w:lineRule="auto"/>
              <w:rPr>
                <w:rFonts w:hint="eastAsia" w:ascii="宋体" w:hAnsi="宋体" w:eastAsia="宋体" w:cs="宋体"/>
                <w:color w:val="auto"/>
                <w:sz w:val="24"/>
                <w:szCs w:val="24"/>
                <w:highlight w:val="none"/>
              </w:rPr>
            </w:pPr>
          </w:p>
          <w:p w14:paraId="25B22B5E">
            <w:pPr>
              <w:pStyle w:val="22"/>
              <w:spacing w:line="275" w:lineRule="auto"/>
              <w:rPr>
                <w:rFonts w:hint="eastAsia" w:ascii="宋体" w:hAnsi="宋体" w:eastAsia="宋体" w:cs="宋体"/>
                <w:color w:val="auto"/>
                <w:sz w:val="24"/>
                <w:szCs w:val="24"/>
                <w:highlight w:val="none"/>
              </w:rPr>
            </w:pPr>
          </w:p>
          <w:p w14:paraId="78D89547">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2"/>
              <w:spacing w:line="240" w:lineRule="auto"/>
              <w:rPr>
                <w:rFonts w:hint="eastAsia" w:ascii="宋体" w:hAnsi="宋体" w:eastAsia="宋体" w:cs="宋体"/>
                <w:color w:val="auto"/>
                <w:sz w:val="24"/>
                <w:szCs w:val="24"/>
                <w:highlight w:val="none"/>
              </w:rPr>
            </w:pPr>
          </w:p>
          <w:p w14:paraId="14A5F96A">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2"/>
              <w:rPr>
                <w:rFonts w:hint="eastAsia" w:ascii="宋体" w:hAnsi="宋体" w:eastAsia="宋体" w:cs="宋体"/>
                <w:color w:val="auto"/>
                <w:sz w:val="24"/>
                <w:szCs w:val="24"/>
                <w:highlight w:val="none"/>
              </w:rPr>
            </w:pPr>
          </w:p>
        </w:tc>
        <w:tc>
          <w:tcPr>
            <w:tcW w:w="1683" w:type="dxa"/>
            <w:gridSpan w:val="2"/>
            <w:vAlign w:val="top"/>
          </w:tcPr>
          <w:p w14:paraId="76A44D1C">
            <w:pPr>
              <w:pStyle w:val="22"/>
              <w:spacing w:line="288" w:lineRule="auto"/>
              <w:rPr>
                <w:rFonts w:hint="eastAsia" w:ascii="宋体" w:hAnsi="宋体" w:eastAsia="宋体" w:cs="宋体"/>
                <w:color w:val="auto"/>
                <w:sz w:val="24"/>
                <w:szCs w:val="24"/>
                <w:highlight w:val="none"/>
              </w:rPr>
            </w:pPr>
          </w:p>
          <w:p w14:paraId="5BD3A69A">
            <w:pPr>
              <w:pStyle w:val="22"/>
              <w:spacing w:line="289" w:lineRule="auto"/>
              <w:rPr>
                <w:rFonts w:hint="eastAsia" w:ascii="宋体" w:hAnsi="宋体" w:eastAsia="宋体" w:cs="宋体"/>
                <w:color w:val="auto"/>
                <w:sz w:val="24"/>
                <w:szCs w:val="24"/>
                <w:highlight w:val="none"/>
              </w:rPr>
            </w:pPr>
          </w:p>
          <w:p w14:paraId="42A3A6F8">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2"/>
              <w:spacing w:line="288" w:lineRule="auto"/>
              <w:rPr>
                <w:rFonts w:hint="eastAsia" w:ascii="宋体" w:hAnsi="宋体" w:eastAsia="宋体" w:cs="宋体"/>
                <w:color w:val="auto"/>
                <w:sz w:val="24"/>
                <w:szCs w:val="24"/>
                <w:highlight w:val="none"/>
              </w:rPr>
            </w:pPr>
          </w:p>
          <w:p w14:paraId="7E762E7A">
            <w:pPr>
              <w:pStyle w:val="22"/>
              <w:spacing w:line="289" w:lineRule="auto"/>
              <w:rPr>
                <w:rFonts w:hint="eastAsia" w:ascii="宋体" w:hAnsi="宋体" w:eastAsia="宋体" w:cs="宋体"/>
                <w:color w:val="auto"/>
                <w:sz w:val="24"/>
                <w:szCs w:val="24"/>
                <w:highlight w:val="none"/>
              </w:rPr>
            </w:pPr>
          </w:p>
          <w:p w14:paraId="77DFBA6D">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2"/>
              <w:rPr>
                <w:rFonts w:hint="eastAsia" w:ascii="宋体" w:hAnsi="宋体" w:eastAsia="宋体" w:cs="宋体"/>
                <w:color w:val="auto"/>
                <w:sz w:val="24"/>
                <w:szCs w:val="24"/>
                <w:highlight w:val="none"/>
              </w:rPr>
            </w:pPr>
          </w:p>
        </w:tc>
        <w:tc>
          <w:tcPr>
            <w:tcW w:w="1683" w:type="dxa"/>
            <w:gridSpan w:val="2"/>
            <w:vAlign w:val="top"/>
          </w:tcPr>
          <w:p w14:paraId="0B4C8580">
            <w:pPr>
              <w:pStyle w:val="22"/>
              <w:spacing w:line="336" w:lineRule="auto"/>
              <w:rPr>
                <w:rFonts w:hint="eastAsia" w:ascii="宋体" w:hAnsi="宋体" w:eastAsia="宋体" w:cs="宋体"/>
                <w:color w:val="auto"/>
                <w:sz w:val="24"/>
                <w:szCs w:val="24"/>
                <w:highlight w:val="none"/>
              </w:rPr>
            </w:pPr>
          </w:p>
          <w:p w14:paraId="3906D1A1">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2"/>
              <w:spacing w:line="335" w:lineRule="auto"/>
              <w:rPr>
                <w:rFonts w:hint="eastAsia" w:ascii="宋体" w:hAnsi="宋体" w:eastAsia="宋体" w:cs="宋体"/>
                <w:color w:val="auto"/>
                <w:sz w:val="24"/>
                <w:szCs w:val="24"/>
                <w:highlight w:val="none"/>
              </w:rPr>
            </w:pPr>
          </w:p>
          <w:p w14:paraId="2538A7C2">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rPr>
          <w:rFonts w:hint="eastAsia" w:ascii="宋体" w:hAnsi="宋体" w:eastAsia="宋体" w:cs="宋体"/>
          <w:b/>
          <w:bCs/>
          <w:color w:val="auto"/>
          <w:spacing w:val="-3"/>
          <w:sz w:val="24"/>
          <w:szCs w:val="24"/>
          <w:highlight w:val="none"/>
        </w:rPr>
      </w:pPr>
      <w:bookmarkStart w:id="269" w:name="bookmark107"/>
      <w:bookmarkEnd w:id="269"/>
      <w:r>
        <w:rPr>
          <w:rFonts w:hint="eastAsia" w:ascii="宋体" w:hAnsi="宋体" w:eastAsia="宋体" w:cs="宋体"/>
          <w:b/>
          <w:bCs/>
          <w:color w:val="auto"/>
          <w:spacing w:val="-3"/>
          <w:sz w:val="24"/>
          <w:szCs w:val="24"/>
          <w:highlight w:val="none"/>
        </w:rPr>
        <w:br w:type="page"/>
      </w:r>
    </w:p>
    <w:p w14:paraId="7680BC03">
      <w:pPr>
        <w:pStyle w:val="46"/>
        <w:snapToGrid w:val="0"/>
        <w:spacing w:line="440" w:lineRule="exact"/>
        <w:outlineLvl w:val="1"/>
        <w:rPr>
          <w:rStyle w:val="21"/>
          <w:rFonts w:hint="eastAsia" w:ascii="Times New Roman" w:hAnsi="宋体" w:eastAsia="宋体" w:cs="Times New Roman"/>
          <w:b/>
          <w:bCs/>
          <w:color w:val="auto"/>
          <w:sz w:val="21"/>
          <w:szCs w:val="21"/>
          <w:highlight w:val="none"/>
          <w:lang w:val="en-US" w:eastAsia="zh-CN"/>
        </w:rPr>
      </w:pPr>
      <w:bookmarkStart w:id="270" w:name="_Toc26911"/>
      <w:bookmarkStart w:id="271" w:name="_Toc26323"/>
      <w:r>
        <w:rPr>
          <w:rStyle w:val="21"/>
          <w:rFonts w:hint="eastAsia" w:ascii="Times New Roman" w:hAnsi="宋体" w:eastAsia="宋体" w:cs="Times New Roman"/>
          <w:b/>
          <w:bCs/>
          <w:color w:val="auto"/>
          <w:sz w:val="21"/>
          <w:szCs w:val="21"/>
          <w:highlight w:val="none"/>
          <w:lang w:eastAsia="zh-CN"/>
        </w:rPr>
        <w:t>格式十</w:t>
      </w:r>
      <w:r>
        <w:rPr>
          <w:rStyle w:val="21"/>
          <w:rFonts w:hint="eastAsia" w:ascii="Times New Roman" w:hAnsi="宋体" w:cs="Times New Roman"/>
          <w:b/>
          <w:bCs/>
          <w:color w:val="auto"/>
          <w:sz w:val="21"/>
          <w:szCs w:val="21"/>
          <w:highlight w:val="none"/>
          <w:lang w:val="en-US" w:eastAsia="zh-CN"/>
        </w:rPr>
        <w:t xml:space="preserve">六  </w:t>
      </w:r>
      <w:r>
        <w:rPr>
          <w:rStyle w:val="21"/>
          <w:rFonts w:hint="eastAsia" w:ascii="Times New Roman" w:hAnsi="宋体" w:eastAsia="宋体" w:cs="Times New Roman"/>
          <w:b/>
          <w:bCs/>
          <w:color w:val="auto"/>
          <w:sz w:val="21"/>
          <w:szCs w:val="21"/>
          <w:highlight w:val="none"/>
          <w:lang w:val="en-US" w:eastAsia="zh-CN"/>
        </w:rPr>
        <w:t>定标因素评审资料</w:t>
      </w:r>
      <w:bookmarkEnd w:id="270"/>
      <w:bookmarkEnd w:id="271"/>
    </w:p>
    <w:p w14:paraId="2D4CC8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jc w:val="left"/>
        <w:rPr>
          <w:rFonts w:hint="eastAsia" w:ascii="宋体" w:hAnsi="宋体" w:eastAsia="宋体" w:cs="宋体"/>
          <w:color w:val="auto"/>
          <w:sz w:val="24"/>
          <w:highlight w:val="none"/>
          <w:lang w:eastAsia="zh-CN"/>
        </w:rPr>
      </w:pPr>
    </w:p>
    <w:p w14:paraId="726A3E52">
      <w:pPr>
        <w:pStyle w:val="40"/>
        <w:ind w:left="0" w:leftChars="0" w:firstLine="0" w:firstLineChars="0"/>
        <w:rPr>
          <w:rStyle w:val="44"/>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spacing w:before="78" w:line="219" w:lineRule="auto"/>
        <w:jc w:val="center"/>
        <w:outlineLvl w:val="1"/>
        <w:rPr>
          <w:rFonts w:hint="eastAsia" w:ascii="宋体" w:hAnsi="宋体" w:eastAsia="宋体" w:cs="宋体"/>
          <w:b/>
          <w:bCs/>
          <w:color w:val="auto"/>
          <w:spacing w:val="-3"/>
          <w:sz w:val="24"/>
          <w:szCs w:val="24"/>
          <w:highlight w:val="none"/>
        </w:rPr>
      </w:pPr>
    </w:p>
    <w:p w14:paraId="5D94E8E4">
      <w:pPr>
        <w:spacing w:before="78" w:line="219" w:lineRule="auto"/>
        <w:jc w:val="center"/>
        <w:outlineLvl w:val="1"/>
        <w:rPr>
          <w:rFonts w:hint="eastAsia" w:ascii="宋体" w:hAnsi="宋体" w:eastAsia="宋体" w:cs="宋体"/>
          <w:b/>
          <w:bCs/>
          <w:color w:val="auto"/>
          <w:spacing w:val="-3"/>
          <w:sz w:val="24"/>
          <w:szCs w:val="24"/>
          <w:highlight w:val="none"/>
        </w:rPr>
      </w:pPr>
    </w:p>
    <w:p w14:paraId="25987E99">
      <w:pPr>
        <w:spacing w:before="78" w:line="219" w:lineRule="auto"/>
        <w:jc w:val="center"/>
        <w:outlineLvl w:val="1"/>
        <w:rPr>
          <w:rFonts w:hint="eastAsia" w:ascii="宋体" w:hAnsi="宋体" w:eastAsia="宋体" w:cs="宋体"/>
          <w:b/>
          <w:bCs/>
          <w:color w:val="auto"/>
          <w:spacing w:val="-3"/>
          <w:sz w:val="24"/>
          <w:szCs w:val="24"/>
          <w:highlight w:val="none"/>
        </w:rPr>
      </w:pPr>
    </w:p>
    <w:p w14:paraId="1386DFE3">
      <w:pPr>
        <w:spacing w:before="78" w:line="219" w:lineRule="auto"/>
        <w:jc w:val="center"/>
        <w:outlineLvl w:val="1"/>
        <w:rPr>
          <w:rFonts w:hint="eastAsia" w:ascii="宋体" w:hAnsi="宋体" w:eastAsia="宋体" w:cs="宋体"/>
          <w:b/>
          <w:bCs/>
          <w:color w:val="auto"/>
          <w:spacing w:val="-3"/>
          <w:sz w:val="24"/>
          <w:szCs w:val="24"/>
          <w:highlight w:val="none"/>
        </w:rPr>
      </w:pPr>
    </w:p>
    <w:p w14:paraId="3CF95731">
      <w:pPr>
        <w:spacing w:before="78" w:line="219" w:lineRule="auto"/>
        <w:jc w:val="center"/>
        <w:outlineLvl w:val="1"/>
        <w:rPr>
          <w:rFonts w:hint="eastAsia" w:ascii="宋体" w:hAnsi="宋体" w:eastAsia="宋体" w:cs="宋体"/>
          <w:b/>
          <w:bCs/>
          <w:color w:val="auto"/>
          <w:spacing w:val="-3"/>
          <w:sz w:val="24"/>
          <w:szCs w:val="24"/>
          <w:highlight w:val="none"/>
        </w:rPr>
      </w:pPr>
    </w:p>
    <w:p w14:paraId="7C26BAA4">
      <w:pPr>
        <w:spacing w:before="78" w:line="219" w:lineRule="auto"/>
        <w:jc w:val="center"/>
        <w:outlineLvl w:val="1"/>
        <w:rPr>
          <w:rFonts w:hint="eastAsia" w:ascii="宋体" w:hAnsi="宋体" w:eastAsia="宋体" w:cs="宋体"/>
          <w:b/>
          <w:bCs/>
          <w:color w:val="auto"/>
          <w:spacing w:val="-3"/>
          <w:sz w:val="24"/>
          <w:szCs w:val="24"/>
          <w:highlight w:val="none"/>
        </w:rPr>
      </w:pPr>
    </w:p>
    <w:p w14:paraId="6031DE05">
      <w:pPr>
        <w:spacing w:before="78" w:line="219" w:lineRule="auto"/>
        <w:jc w:val="center"/>
        <w:outlineLvl w:val="1"/>
        <w:rPr>
          <w:rFonts w:hint="eastAsia" w:ascii="宋体" w:hAnsi="宋体" w:eastAsia="宋体" w:cs="宋体"/>
          <w:b/>
          <w:bCs/>
          <w:color w:val="auto"/>
          <w:spacing w:val="-3"/>
          <w:sz w:val="24"/>
          <w:szCs w:val="24"/>
          <w:highlight w:val="none"/>
        </w:rPr>
      </w:pPr>
    </w:p>
    <w:p w14:paraId="64CD36A6">
      <w:pPr>
        <w:spacing w:before="78" w:line="219" w:lineRule="auto"/>
        <w:jc w:val="center"/>
        <w:outlineLvl w:val="1"/>
        <w:rPr>
          <w:rFonts w:hint="eastAsia" w:ascii="宋体" w:hAnsi="宋体" w:eastAsia="宋体" w:cs="宋体"/>
          <w:b/>
          <w:bCs/>
          <w:color w:val="auto"/>
          <w:spacing w:val="-3"/>
          <w:sz w:val="24"/>
          <w:szCs w:val="24"/>
          <w:highlight w:val="none"/>
        </w:rPr>
      </w:pPr>
    </w:p>
    <w:p w14:paraId="574E0CC1">
      <w:pPr>
        <w:spacing w:before="78" w:line="219" w:lineRule="auto"/>
        <w:jc w:val="center"/>
        <w:outlineLvl w:val="1"/>
        <w:rPr>
          <w:rFonts w:hint="eastAsia" w:ascii="宋体" w:hAnsi="宋体" w:eastAsia="宋体" w:cs="宋体"/>
          <w:b/>
          <w:bCs/>
          <w:color w:val="auto"/>
          <w:spacing w:val="-3"/>
          <w:sz w:val="24"/>
          <w:szCs w:val="24"/>
          <w:highlight w:val="none"/>
        </w:rPr>
      </w:pPr>
    </w:p>
    <w:p w14:paraId="06A23923">
      <w:pPr>
        <w:spacing w:before="78" w:line="219" w:lineRule="auto"/>
        <w:jc w:val="center"/>
        <w:outlineLvl w:val="1"/>
        <w:rPr>
          <w:rFonts w:hint="eastAsia" w:ascii="宋体" w:hAnsi="宋体" w:eastAsia="宋体" w:cs="宋体"/>
          <w:b/>
          <w:bCs/>
          <w:color w:val="auto"/>
          <w:spacing w:val="-3"/>
          <w:sz w:val="24"/>
          <w:szCs w:val="24"/>
          <w:highlight w:val="none"/>
        </w:rPr>
      </w:pPr>
    </w:p>
    <w:p w14:paraId="50F27CC9">
      <w:pPr>
        <w:spacing w:before="78" w:line="219" w:lineRule="auto"/>
        <w:jc w:val="center"/>
        <w:outlineLvl w:val="1"/>
        <w:rPr>
          <w:rFonts w:hint="eastAsia" w:ascii="宋体" w:hAnsi="宋体" w:eastAsia="宋体" w:cs="宋体"/>
          <w:b/>
          <w:bCs/>
          <w:color w:val="auto"/>
          <w:spacing w:val="-3"/>
          <w:sz w:val="24"/>
          <w:szCs w:val="24"/>
          <w:highlight w:val="none"/>
        </w:rPr>
      </w:pPr>
    </w:p>
    <w:p w14:paraId="205EA7EB">
      <w:pPr>
        <w:spacing w:before="78" w:line="219" w:lineRule="auto"/>
        <w:jc w:val="center"/>
        <w:outlineLvl w:val="1"/>
        <w:rPr>
          <w:rFonts w:hint="eastAsia" w:ascii="宋体" w:hAnsi="宋体" w:eastAsia="宋体" w:cs="宋体"/>
          <w:b/>
          <w:bCs/>
          <w:color w:val="auto"/>
          <w:spacing w:val="-3"/>
          <w:sz w:val="24"/>
          <w:szCs w:val="24"/>
          <w:highlight w:val="none"/>
        </w:rPr>
      </w:pPr>
    </w:p>
    <w:p w14:paraId="7C6D4CC9">
      <w:pPr>
        <w:spacing w:before="78" w:line="219" w:lineRule="auto"/>
        <w:jc w:val="center"/>
        <w:outlineLvl w:val="1"/>
        <w:rPr>
          <w:rFonts w:hint="eastAsia" w:ascii="宋体" w:hAnsi="宋体" w:eastAsia="宋体" w:cs="宋体"/>
          <w:b/>
          <w:bCs/>
          <w:color w:val="auto"/>
          <w:spacing w:val="-3"/>
          <w:sz w:val="24"/>
          <w:szCs w:val="24"/>
          <w:highlight w:val="none"/>
        </w:rPr>
      </w:pPr>
    </w:p>
    <w:p w14:paraId="30193241">
      <w:pPr>
        <w:spacing w:before="78" w:line="219" w:lineRule="auto"/>
        <w:jc w:val="center"/>
        <w:outlineLvl w:val="1"/>
        <w:rPr>
          <w:rFonts w:hint="eastAsia" w:ascii="宋体" w:hAnsi="宋体" w:eastAsia="宋体" w:cs="宋体"/>
          <w:b/>
          <w:bCs/>
          <w:color w:val="auto"/>
          <w:spacing w:val="-3"/>
          <w:sz w:val="24"/>
          <w:szCs w:val="24"/>
          <w:highlight w:val="none"/>
        </w:rPr>
      </w:pPr>
    </w:p>
    <w:p w14:paraId="20D40A6B">
      <w:pPr>
        <w:spacing w:before="78" w:line="219" w:lineRule="auto"/>
        <w:jc w:val="center"/>
        <w:outlineLvl w:val="1"/>
        <w:rPr>
          <w:rFonts w:hint="eastAsia" w:ascii="宋体" w:hAnsi="宋体" w:eastAsia="宋体" w:cs="宋体"/>
          <w:b/>
          <w:bCs/>
          <w:color w:val="auto"/>
          <w:spacing w:val="-3"/>
          <w:sz w:val="24"/>
          <w:szCs w:val="24"/>
          <w:highlight w:val="none"/>
        </w:rPr>
      </w:pPr>
    </w:p>
    <w:p w14:paraId="2C3333F2">
      <w:pPr>
        <w:spacing w:before="78" w:line="219" w:lineRule="auto"/>
        <w:jc w:val="center"/>
        <w:outlineLvl w:val="1"/>
        <w:rPr>
          <w:rFonts w:hint="eastAsia" w:ascii="宋体" w:hAnsi="宋体" w:eastAsia="宋体" w:cs="宋体"/>
          <w:b/>
          <w:bCs/>
          <w:color w:val="auto"/>
          <w:spacing w:val="-3"/>
          <w:sz w:val="24"/>
          <w:szCs w:val="24"/>
          <w:highlight w:val="none"/>
        </w:rPr>
      </w:pPr>
    </w:p>
    <w:p w14:paraId="6D622BC9">
      <w:pPr>
        <w:spacing w:before="78" w:line="219" w:lineRule="auto"/>
        <w:jc w:val="center"/>
        <w:outlineLvl w:val="1"/>
        <w:rPr>
          <w:rFonts w:hint="eastAsia" w:ascii="宋体" w:hAnsi="宋体" w:eastAsia="宋体" w:cs="宋体"/>
          <w:b/>
          <w:bCs/>
          <w:color w:val="auto"/>
          <w:spacing w:val="-3"/>
          <w:sz w:val="24"/>
          <w:szCs w:val="24"/>
          <w:highlight w:val="none"/>
        </w:rPr>
      </w:pPr>
    </w:p>
    <w:p w14:paraId="45D785F6">
      <w:pPr>
        <w:spacing w:before="78" w:line="219" w:lineRule="auto"/>
        <w:jc w:val="center"/>
        <w:outlineLvl w:val="1"/>
        <w:rPr>
          <w:rFonts w:hint="eastAsia" w:ascii="宋体" w:hAnsi="宋体" w:eastAsia="宋体" w:cs="宋体"/>
          <w:b/>
          <w:bCs/>
          <w:color w:val="auto"/>
          <w:spacing w:val="-3"/>
          <w:sz w:val="24"/>
          <w:szCs w:val="24"/>
          <w:highlight w:val="none"/>
        </w:rPr>
      </w:pPr>
    </w:p>
    <w:p w14:paraId="1A798D0E">
      <w:pPr>
        <w:spacing w:before="78" w:line="219" w:lineRule="auto"/>
        <w:jc w:val="center"/>
        <w:outlineLvl w:val="1"/>
        <w:rPr>
          <w:rFonts w:hint="eastAsia" w:ascii="宋体" w:hAnsi="宋体" w:eastAsia="宋体" w:cs="宋体"/>
          <w:b/>
          <w:bCs/>
          <w:color w:val="auto"/>
          <w:spacing w:val="-3"/>
          <w:sz w:val="24"/>
          <w:szCs w:val="24"/>
          <w:highlight w:val="none"/>
        </w:rPr>
      </w:pPr>
    </w:p>
    <w:p w14:paraId="7253BFBB">
      <w:pPr>
        <w:spacing w:before="78" w:line="219" w:lineRule="auto"/>
        <w:jc w:val="center"/>
        <w:outlineLvl w:val="1"/>
        <w:rPr>
          <w:rFonts w:hint="eastAsia" w:ascii="宋体" w:hAnsi="宋体" w:eastAsia="宋体" w:cs="宋体"/>
          <w:b/>
          <w:bCs/>
          <w:color w:val="auto"/>
          <w:spacing w:val="-3"/>
          <w:sz w:val="24"/>
          <w:szCs w:val="24"/>
          <w:highlight w:val="none"/>
        </w:rPr>
      </w:pPr>
    </w:p>
    <w:p w14:paraId="1BA659E5">
      <w:pPr>
        <w:spacing w:before="78" w:line="219" w:lineRule="auto"/>
        <w:jc w:val="center"/>
        <w:outlineLvl w:val="1"/>
        <w:rPr>
          <w:rFonts w:hint="eastAsia" w:ascii="宋体" w:hAnsi="宋体" w:eastAsia="宋体" w:cs="宋体"/>
          <w:b/>
          <w:bCs/>
          <w:color w:val="auto"/>
          <w:spacing w:val="-3"/>
          <w:sz w:val="24"/>
          <w:szCs w:val="24"/>
          <w:highlight w:val="none"/>
        </w:rPr>
      </w:pPr>
    </w:p>
    <w:p w14:paraId="44FDDF06">
      <w:pPr>
        <w:spacing w:before="78" w:line="219" w:lineRule="auto"/>
        <w:jc w:val="center"/>
        <w:outlineLvl w:val="1"/>
        <w:rPr>
          <w:rFonts w:hint="eastAsia" w:ascii="宋体" w:hAnsi="宋体" w:eastAsia="宋体" w:cs="宋体"/>
          <w:b/>
          <w:bCs/>
          <w:color w:val="auto"/>
          <w:spacing w:val="-3"/>
          <w:sz w:val="24"/>
          <w:szCs w:val="24"/>
          <w:highlight w:val="none"/>
        </w:rPr>
      </w:pPr>
    </w:p>
    <w:p w14:paraId="6A814535">
      <w:pPr>
        <w:spacing w:before="78" w:line="219" w:lineRule="auto"/>
        <w:jc w:val="center"/>
        <w:outlineLvl w:val="1"/>
        <w:rPr>
          <w:rFonts w:hint="eastAsia" w:ascii="宋体" w:hAnsi="宋体" w:eastAsia="宋体" w:cs="宋体"/>
          <w:b/>
          <w:bCs/>
          <w:color w:val="auto"/>
          <w:spacing w:val="-3"/>
          <w:sz w:val="24"/>
          <w:szCs w:val="24"/>
          <w:highlight w:val="none"/>
        </w:rPr>
      </w:pPr>
    </w:p>
    <w:p w14:paraId="2C84FF1B">
      <w:pPr>
        <w:spacing w:before="78" w:line="219" w:lineRule="auto"/>
        <w:jc w:val="center"/>
        <w:outlineLvl w:val="1"/>
        <w:rPr>
          <w:rFonts w:hint="eastAsia" w:ascii="宋体" w:hAnsi="宋体" w:eastAsia="宋体" w:cs="宋体"/>
          <w:b/>
          <w:bCs/>
          <w:color w:val="auto"/>
          <w:spacing w:val="-3"/>
          <w:sz w:val="24"/>
          <w:szCs w:val="24"/>
          <w:highlight w:val="none"/>
        </w:rPr>
      </w:pPr>
    </w:p>
    <w:p w14:paraId="2B712078">
      <w:pPr>
        <w:spacing w:before="78" w:line="219" w:lineRule="auto"/>
        <w:jc w:val="center"/>
        <w:outlineLvl w:val="1"/>
        <w:rPr>
          <w:rFonts w:hint="eastAsia" w:ascii="宋体" w:hAnsi="宋体" w:eastAsia="宋体" w:cs="宋体"/>
          <w:b/>
          <w:bCs/>
          <w:color w:val="auto"/>
          <w:spacing w:val="-3"/>
          <w:sz w:val="24"/>
          <w:szCs w:val="24"/>
          <w:highlight w:val="none"/>
        </w:rPr>
      </w:pPr>
    </w:p>
    <w:p w14:paraId="2C719281">
      <w:pPr>
        <w:spacing w:before="78" w:line="219" w:lineRule="auto"/>
        <w:jc w:val="center"/>
        <w:outlineLvl w:val="1"/>
        <w:rPr>
          <w:rFonts w:hint="eastAsia" w:ascii="宋体" w:hAnsi="宋体" w:eastAsia="宋体" w:cs="宋体"/>
          <w:b/>
          <w:bCs/>
          <w:color w:val="auto"/>
          <w:spacing w:val="-3"/>
          <w:sz w:val="24"/>
          <w:szCs w:val="24"/>
          <w:highlight w:val="none"/>
        </w:rPr>
      </w:pPr>
    </w:p>
    <w:p w14:paraId="1A6F67AB">
      <w:pPr>
        <w:spacing w:before="78" w:line="219" w:lineRule="auto"/>
        <w:jc w:val="center"/>
        <w:outlineLvl w:val="1"/>
        <w:rPr>
          <w:rFonts w:hint="eastAsia" w:ascii="宋体" w:hAnsi="宋体" w:eastAsia="宋体" w:cs="宋体"/>
          <w:b/>
          <w:bCs/>
          <w:color w:val="auto"/>
          <w:spacing w:val="-3"/>
          <w:sz w:val="24"/>
          <w:szCs w:val="24"/>
          <w:highlight w:val="none"/>
        </w:rPr>
      </w:pPr>
    </w:p>
    <w:p w14:paraId="7B9B4278">
      <w:pPr>
        <w:spacing w:before="78" w:line="219" w:lineRule="auto"/>
        <w:jc w:val="center"/>
        <w:outlineLvl w:val="1"/>
        <w:rPr>
          <w:rFonts w:hint="eastAsia" w:ascii="宋体" w:hAnsi="宋体" w:eastAsia="宋体" w:cs="宋体"/>
          <w:b/>
          <w:bCs/>
          <w:color w:val="auto"/>
          <w:spacing w:val="-3"/>
          <w:sz w:val="24"/>
          <w:szCs w:val="24"/>
          <w:highlight w:val="none"/>
        </w:rPr>
      </w:pPr>
    </w:p>
    <w:p w14:paraId="6F09FB96">
      <w:pPr>
        <w:spacing w:before="78" w:line="219" w:lineRule="auto"/>
        <w:jc w:val="center"/>
        <w:outlineLvl w:val="1"/>
        <w:rPr>
          <w:rFonts w:hint="eastAsia" w:ascii="宋体" w:hAnsi="宋体" w:eastAsia="宋体" w:cs="宋体"/>
          <w:b/>
          <w:bCs/>
          <w:color w:val="auto"/>
          <w:spacing w:val="-3"/>
          <w:sz w:val="24"/>
          <w:szCs w:val="24"/>
          <w:highlight w:val="none"/>
        </w:rPr>
      </w:pPr>
    </w:p>
    <w:p w14:paraId="3C47F80F">
      <w:pPr>
        <w:spacing w:before="78" w:line="219" w:lineRule="auto"/>
        <w:jc w:val="center"/>
        <w:outlineLvl w:val="1"/>
        <w:rPr>
          <w:rFonts w:hint="eastAsia" w:ascii="宋体" w:hAnsi="宋体" w:eastAsia="宋体" w:cs="宋体"/>
          <w:b/>
          <w:bCs/>
          <w:color w:val="auto"/>
          <w:spacing w:val="-3"/>
          <w:sz w:val="24"/>
          <w:szCs w:val="24"/>
          <w:highlight w:val="none"/>
        </w:rPr>
      </w:pPr>
    </w:p>
    <w:p w14:paraId="272AC14D">
      <w:pPr>
        <w:spacing w:before="78" w:line="219" w:lineRule="auto"/>
        <w:jc w:val="center"/>
        <w:outlineLvl w:val="1"/>
        <w:rPr>
          <w:rFonts w:hint="eastAsia" w:ascii="宋体" w:hAnsi="宋体" w:eastAsia="宋体" w:cs="宋体"/>
          <w:b/>
          <w:bCs/>
          <w:color w:val="auto"/>
          <w:spacing w:val="-3"/>
          <w:sz w:val="24"/>
          <w:szCs w:val="24"/>
          <w:highlight w:val="none"/>
        </w:rPr>
      </w:pPr>
    </w:p>
    <w:p w14:paraId="054924C2">
      <w:pPr>
        <w:spacing w:before="78" w:line="219" w:lineRule="auto"/>
        <w:jc w:val="center"/>
        <w:outlineLvl w:val="1"/>
        <w:rPr>
          <w:rFonts w:hint="eastAsia" w:ascii="宋体" w:hAnsi="宋体" w:eastAsia="宋体" w:cs="宋体"/>
          <w:b/>
          <w:bCs/>
          <w:color w:val="auto"/>
          <w:spacing w:val="-3"/>
          <w:sz w:val="24"/>
          <w:szCs w:val="24"/>
          <w:highlight w:val="none"/>
        </w:rPr>
      </w:pPr>
    </w:p>
    <w:p w14:paraId="3A4ECF1E">
      <w:pPr>
        <w:spacing w:before="78" w:line="219" w:lineRule="auto"/>
        <w:jc w:val="center"/>
        <w:outlineLvl w:val="1"/>
        <w:rPr>
          <w:rFonts w:hint="eastAsia" w:ascii="宋体" w:hAnsi="宋体" w:eastAsia="宋体" w:cs="宋体"/>
          <w:b/>
          <w:bCs/>
          <w:color w:val="auto"/>
          <w:spacing w:val="-3"/>
          <w:sz w:val="24"/>
          <w:szCs w:val="24"/>
          <w:highlight w:val="none"/>
        </w:rPr>
      </w:pPr>
    </w:p>
    <w:p w14:paraId="40F38C4C">
      <w:pPr>
        <w:spacing w:before="78" w:line="219" w:lineRule="auto"/>
        <w:jc w:val="center"/>
        <w:outlineLvl w:val="1"/>
        <w:rPr>
          <w:rFonts w:hint="eastAsia" w:ascii="宋体" w:hAnsi="宋体" w:eastAsia="宋体" w:cs="宋体"/>
          <w:color w:val="auto"/>
          <w:highlight w:val="none"/>
        </w:rPr>
      </w:pPr>
      <w:bookmarkStart w:id="272"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2"/>
    </w:p>
    <w:p w14:paraId="4F8929F7">
      <w:pPr>
        <w:pStyle w:val="6"/>
        <w:spacing w:line="257" w:lineRule="auto"/>
        <w:rPr>
          <w:rFonts w:hint="eastAsia" w:ascii="宋体" w:hAnsi="宋体" w:eastAsia="宋体" w:cs="宋体"/>
          <w:color w:val="auto"/>
          <w:highlight w:val="none"/>
        </w:rPr>
      </w:pPr>
    </w:p>
    <w:p w14:paraId="0A77C2EA">
      <w:pPr>
        <w:spacing w:before="78" w:line="324" w:lineRule="auto"/>
        <w:ind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w:t>
      </w:r>
      <w:r>
        <w:rPr>
          <w:rFonts w:hint="eastAsia" w:ascii="宋体" w:hAnsi="宋体" w:eastAsia="宋体" w:cs="宋体"/>
          <w:color w:val="auto"/>
          <w:spacing w:val="-1"/>
          <w:sz w:val="24"/>
          <w:szCs w:val="24"/>
          <w:highlight w:val="none"/>
          <w:lang w:val="en-US" w:eastAsia="zh-CN"/>
        </w:rPr>
        <w:t>或《建设工程施工合同示范文本（房屋建筑和市政工程）》（WJ-2026-0227）</w:t>
      </w:r>
      <w:r>
        <w:rPr>
          <w:rFonts w:hint="eastAsia" w:ascii="宋体" w:hAnsi="宋体" w:eastAsia="宋体" w:cs="宋体"/>
          <w:color w:val="auto"/>
          <w:spacing w:val="-1"/>
          <w:sz w:val="24"/>
          <w:szCs w:val="24"/>
          <w:highlight w:val="none"/>
        </w:rPr>
        <w:t>执行。</w:t>
      </w:r>
    </w:p>
    <w:p w14:paraId="131B8557">
      <w:pPr>
        <w:spacing w:before="78" w:line="324" w:lineRule="auto"/>
        <w:ind w:firstLine="480"/>
        <w:rPr>
          <w:rFonts w:hint="eastAsia" w:ascii="宋体" w:hAnsi="宋体" w:eastAsia="宋体" w:cs="宋体"/>
          <w:color w:val="auto"/>
          <w:sz w:val="24"/>
          <w:szCs w:val="24"/>
          <w:highlight w:val="none"/>
        </w:rPr>
      </w:pPr>
    </w:p>
    <w:p w14:paraId="44640A2C">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9"/>
    </w:pPr>
    <w:r>
      <w:rPr>
        <w:sz w:val="18"/>
      </w:rPr>
      <mc:AlternateContent>
        <mc:Choice Requires="wps">
          <w:drawing>
            <wp:anchor distT="0" distB="0" distL="114300" distR="114300" simplePos="0" relativeHeight="251679744"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7AA0AA63">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79744;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7AA0AA6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3678">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BDFEE">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8BDFEE">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6CE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08575">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73F08575">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4D2CA">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8F4D2C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52E4">
    <w:pPr>
      <w:pStyle w:val="6"/>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DFFD4"/>
    <w:multiLevelType w:val="singleLevel"/>
    <w:tmpl w:val="B21DFFD4"/>
    <w:lvl w:ilvl="0" w:tentative="0">
      <w:start w:val="1"/>
      <w:numFmt w:val="decimal"/>
      <w:suff w:val="nothing"/>
      <w:lvlText w:val="%1．"/>
      <w:lvlJc w:val="left"/>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3AB1A774"/>
    <w:multiLevelType w:val="singleLevel"/>
    <w:tmpl w:val="3AB1A774"/>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473031"/>
    <w:rsid w:val="007A3406"/>
    <w:rsid w:val="00824069"/>
    <w:rsid w:val="00D61DC8"/>
    <w:rsid w:val="01276505"/>
    <w:rsid w:val="013F232E"/>
    <w:rsid w:val="014C6B51"/>
    <w:rsid w:val="018B7D8A"/>
    <w:rsid w:val="01B6213A"/>
    <w:rsid w:val="01BE1198"/>
    <w:rsid w:val="01D33421"/>
    <w:rsid w:val="01E25ABE"/>
    <w:rsid w:val="01EE7C08"/>
    <w:rsid w:val="01FD63CC"/>
    <w:rsid w:val="02337D11"/>
    <w:rsid w:val="023B3D55"/>
    <w:rsid w:val="024978A8"/>
    <w:rsid w:val="024F6BF1"/>
    <w:rsid w:val="02BF0C55"/>
    <w:rsid w:val="02F13018"/>
    <w:rsid w:val="03044E9C"/>
    <w:rsid w:val="03103BAE"/>
    <w:rsid w:val="031418F0"/>
    <w:rsid w:val="0358304C"/>
    <w:rsid w:val="035F488B"/>
    <w:rsid w:val="03661A20"/>
    <w:rsid w:val="03884133"/>
    <w:rsid w:val="039E06FB"/>
    <w:rsid w:val="04021749"/>
    <w:rsid w:val="040D352F"/>
    <w:rsid w:val="04225756"/>
    <w:rsid w:val="043520BC"/>
    <w:rsid w:val="04B67F25"/>
    <w:rsid w:val="04BA3A86"/>
    <w:rsid w:val="04BF763A"/>
    <w:rsid w:val="04E2157A"/>
    <w:rsid w:val="04EF43C3"/>
    <w:rsid w:val="055E6E53"/>
    <w:rsid w:val="056C5F91"/>
    <w:rsid w:val="059A3EA8"/>
    <w:rsid w:val="05D4768F"/>
    <w:rsid w:val="05E67124"/>
    <w:rsid w:val="05E732EC"/>
    <w:rsid w:val="05EC614B"/>
    <w:rsid w:val="062235DD"/>
    <w:rsid w:val="063C112F"/>
    <w:rsid w:val="067B1C86"/>
    <w:rsid w:val="06856661"/>
    <w:rsid w:val="069B537E"/>
    <w:rsid w:val="06C70A28"/>
    <w:rsid w:val="06C929F2"/>
    <w:rsid w:val="06CA23DC"/>
    <w:rsid w:val="06D05B2E"/>
    <w:rsid w:val="06DD024B"/>
    <w:rsid w:val="07001B9F"/>
    <w:rsid w:val="07133987"/>
    <w:rsid w:val="07520C39"/>
    <w:rsid w:val="07A1396F"/>
    <w:rsid w:val="07A71DAB"/>
    <w:rsid w:val="07DE24CD"/>
    <w:rsid w:val="08103ADB"/>
    <w:rsid w:val="086230FE"/>
    <w:rsid w:val="087C3598"/>
    <w:rsid w:val="088C763C"/>
    <w:rsid w:val="089718A3"/>
    <w:rsid w:val="08CD7283"/>
    <w:rsid w:val="08D062B9"/>
    <w:rsid w:val="08E41D65"/>
    <w:rsid w:val="08EB6C4F"/>
    <w:rsid w:val="092D5890"/>
    <w:rsid w:val="0963211F"/>
    <w:rsid w:val="098E2AFB"/>
    <w:rsid w:val="09C807D3"/>
    <w:rsid w:val="09F06AB0"/>
    <w:rsid w:val="09FA34EB"/>
    <w:rsid w:val="09FF4A68"/>
    <w:rsid w:val="0A3C3AB5"/>
    <w:rsid w:val="0A62467A"/>
    <w:rsid w:val="0A7D4664"/>
    <w:rsid w:val="0A8235E3"/>
    <w:rsid w:val="0A87732E"/>
    <w:rsid w:val="0AD33307"/>
    <w:rsid w:val="0AE05E8C"/>
    <w:rsid w:val="0AF3628F"/>
    <w:rsid w:val="0B3866B7"/>
    <w:rsid w:val="0B41524D"/>
    <w:rsid w:val="0B9E41C6"/>
    <w:rsid w:val="0BC6217A"/>
    <w:rsid w:val="0BD240F7"/>
    <w:rsid w:val="0BE5207C"/>
    <w:rsid w:val="0BF41F06"/>
    <w:rsid w:val="0C120997"/>
    <w:rsid w:val="0C2A7A8F"/>
    <w:rsid w:val="0C2B1A59"/>
    <w:rsid w:val="0C4153D2"/>
    <w:rsid w:val="0C49746F"/>
    <w:rsid w:val="0C597D15"/>
    <w:rsid w:val="0CA07D76"/>
    <w:rsid w:val="0CA27F6D"/>
    <w:rsid w:val="0CC0489C"/>
    <w:rsid w:val="0CD128FC"/>
    <w:rsid w:val="0CF14A50"/>
    <w:rsid w:val="0D03679A"/>
    <w:rsid w:val="0D181D64"/>
    <w:rsid w:val="0D3B3F1D"/>
    <w:rsid w:val="0DCB0DFD"/>
    <w:rsid w:val="0DCE22AF"/>
    <w:rsid w:val="0DF525DE"/>
    <w:rsid w:val="0DF61CE0"/>
    <w:rsid w:val="0DF86616"/>
    <w:rsid w:val="0E1E1875"/>
    <w:rsid w:val="0E460DCC"/>
    <w:rsid w:val="0E684952"/>
    <w:rsid w:val="0E86353F"/>
    <w:rsid w:val="0E8E37ED"/>
    <w:rsid w:val="0EAF2E14"/>
    <w:rsid w:val="0EDB59B8"/>
    <w:rsid w:val="0F1C2D99"/>
    <w:rsid w:val="0F363986"/>
    <w:rsid w:val="0F6F04DC"/>
    <w:rsid w:val="0FAB0EE6"/>
    <w:rsid w:val="105858FC"/>
    <w:rsid w:val="106C3AC2"/>
    <w:rsid w:val="108403E2"/>
    <w:rsid w:val="109275A9"/>
    <w:rsid w:val="10C15734"/>
    <w:rsid w:val="10C44237"/>
    <w:rsid w:val="11164A85"/>
    <w:rsid w:val="1122342A"/>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3566096"/>
    <w:rsid w:val="13612AFD"/>
    <w:rsid w:val="14141B79"/>
    <w:rsid w:val="1457788F"/>
    <w:rsid w:val="14760C96"/>
    <w:rsid w:val="14882C02"/>
    <w:rsid w:val="14CB3DD9"/>
    <w:rsid w:val="14D013EF"/>
    <w:rsid w:val="150A2744"/>
    <w:rsid w:val="150D2643"/>
    <w:rsid w:val="15115C90"/>
    <w:rsid w:val="1557566D"/>
    <w:rsid w:val="15763D45"/>
    <w:rsid w:val="15853F88"/>
    <w:rsid w:val="15A45AE5"/>
    <w:rsid w:val="15D97B34"/>
    <w:rsid w:val="15DC13FE"/>
    <w:rsid w:val="15E038B4"/>
    <w:rsid w:val="16005D04"/>
    <w:rsid w:val="160E0085"/>
    <w:rsid w:val="162E6E4D"/>
    <w:rsid w:val="16443E43"/>
    <w:rsid w:val="165D1EF2"/>
    <w:rsid w:val="16737FC1"/>
    <w:rsid w:val="16C17241"/>
    <w:rsid w:val="16CB4A2F"/>
    <w:rsid w:val="17051824"/>
    <w:rsid w:val="1722468F"/>
    <w:rsid w:val="173C4B1A"/>
    <w:rsid w:val="17560191"/>
    <w:rsid w:val="17726DD2"/>
    <w:rsid w:val="17C50FB3"/>
    <w:rsid w:val="17DD454F"/>
    <w:rsid w:val="18226406"/>
    <w:rsid w:val="182A472E"/>
    <w:rsid w:val="18602A8A"/>
    <w:rsid w:val="190B3062"/>
    <w:rsid w:val="1963464B"/>
    <w:rsid w:val="197764F6"/>
    <w:rsid w:val="19BC1F42"/>
    <w:rsid w:val="19C04161"/>
    <w:rsid w:val="1A3A6836"/>
    <w:rsid w:val="1A584D7E"/>
    <w:rsid w:val="1A5B5BFF"/>
    <w:rsid w:val="1A5D1977"/>
    <w:rsid w:val="1AC50DC4"/>
    <w:rsid w:val="1AE57555"/>
    <w:rsid w:val="1B0A266C"/>
    <w:rsid w:val="1B656D35"/>
    <w:rsid w:val="1B6A170F"/>
    <w:rsid w:val="1B745FC1"/>
    <w:rsid w:val="1B7E3953"/>
    <w:rsid w:val="1BAC43B0"/>
    <w:rsid w:val="1BE35EAC"/>
    <w:rsid w:val="1BEC4D61"/>
    <w:rsid w:val="1C185B56"/>
    <w:rsid w:val="1C2A3ADB"/>
    <w:rsid w:val="1C2D7127"/>
    <w:rsid w:val="1C324211"/>
    <w:rsid w:val="1C370023"/>
    <w:rsid w:val="1C396CE8"/>
    <w:rsid w:val="1C512E14"/>
    <w:rsid w:val="1C7F3E27"/>
    <w:rsid w:val="1D880AB9"/>
    <w:rsid w:val="1DA27862"/>
    <w:rsid w:val="1DE11B57"/>
    <w:rsid w:val="1E206F43"/>
    <w:rsid w:val="1E2A7432"/>
    <w:rsid w:val="1E3B5B2B"/>
    <w:rsid w:val="1E491296"/>
    <w:rsid w:val="1E4F7829"/>
    <w:rsid w:val="1E5D49E3"/>
    <w:rsid w:val="1E994221"/>
    <w:rsid w:val="1ED336BB"/>
    <w:rsid w:val="1EDA5344"/>
    <w:rsid w:val="1EE13915"/>
    <w:rsid w:val="1EE461C3"/>
    <w:rsid w:val="1F2307F8"/>
    <w:rsid w:val="1F2C3EC6"/>
    <w:rsid w:val="1F30765A"/>
    <w:rsid w:val="1F487665"/>
    <w:rsid w:val="1F683A66"/>
    <w:rsid w:val="1F875754"/>
    <w:rsid w:val="1FA95F4C"/>
    <w:rsid w:val="1FFE32B4"/>
    <w:rsid w:val="2020237A"/>
    <w:rsid w:val="203A3726"/>
    <w:rsid w:val="20515ADA"/>
    <w:rsid w:val="20801F1B"/>
    <w:rsid w:val="208952ED"/>
    <w:rsid w:val="208A4B48"/>
    <w:rsid w:val="209669C5"/>
    <w:rsid w:val="20B16579"/>
    <w:rsid w:val="20C37337"/>
    <w:rsid w:val="20CB1F07"/>
    <w:rsid w:val="20F6072B"/>
    <w:rsid w:val="21090925"/>
    <w:rsid w:val="21244F9D"/>
    <w:rsid w:val="213D3171"/>
    <w:rsid w:val="21584C46"/>
    <w:rsid w:val="216B0B49"/>
    <w:rsid w:val="219739C1"/>
    <w:rsid w:val="222C2B90"/>
    <w:rsid w:val="22457E73"/>
    <w:rsid w:val="22596EC8"/>
    <w:rsid w:val="22837AA1"/>
    <w:rsid w:val="22884FD6"/>
    <w:rsid w:val="22941CAE"/>
    <w:rsid w:val="22F866E1"/>
    <w:rsid w:val="23213C5D"/>
    <w:rsid w:val="232C2DD6"/>
    <w:rsid w:val="2331574F"/>
    <w:rsid w:val="233953DA"/>
    <w:rsid w:val="235B72E4"/>
    <w:rsid w:val="23931F66"/>
    <w:rsid w:val="23C465C3"/>
    <w:rsid w:val="23D25D19"/>
    <w:rsid w:val="24262DDA"/>
    <w:rsid w:val="2446643F"/>
    <w:rsid w:val="245A2A83"/>
    <w:rsid w:val="246102B6"/>
    <w:rsid w:val="24782AD4"/>
    <w:rsid w:val="24793672"/>
    <w:rsid w:val="248726E0"/>
    <w:rsid w:val="249C3951"/>
    <w:rsid w:val="24DB3BC4"/>
    <w:rsid w:val="24FA6740"/>
    <w:rsid w:val="25004979"/>
    <w:rsid w:val="25243F0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9F111B"/>
    <w:rsid w:val="26A61FB0"/>
    <w:rsid w:val="27035E88"/>
    <w:rsid w:val="27415C62"/>
    <w:rsid w:val="27A83832"/>
    <w:rsid w:val="27AC35F6"/>
    <w:rsid w:val="27B65EBB"/>
    <w:rsid w:val="27BD1CA7"/>
    <w:rsid w:val="27CA47C6"/>
    <w:rsid w:val="28182C62"/>
    <w:rsid w:val="282B4E63"/>
    <w:rsid w:val="28884FF7"/>
    <w:rsid w:val="289A5B44"/>
    <w:rsid w:val="289F315B"/>
    <w:rsid w:val="28AC626B"/>
    <w:rsid w:val="28C84027"/>
    <w:rsid w:val="28D472A8"/>
    <w:rsid w:val="29017971"/>
    <w:rsid w:val="290F389D"/>
    <w:rsid w:val="29600B3C"/>
    <w:rsid w:val="2962542C"/>
    <w:rsid w:val="299E36C0"/>
    <w:rsid w:val="29B33362"/>
    <w:rsid w:val="2B367172"/>
    <w:rsid w:val="2B7314CC"/>
    <w:rsid w:val="2B744CBB"/>
    <w:rsid w:val="2B784A6E"/>
    <w:rsid w:val="2B9A7B07"/>
    <w:rsid w:val="2BA07916"/>
    <w:rsid w:val="2BAE2033"/>
    <w:rsid w:val="2BB37649"/>
    <w:rsid w:val="2BB440A0"/>
    <w:rsid w:val="2BC9037C"/>
    <w:rsid w:val="2BE47802"/>
    <w:rsid w:val="2BFD3113"/>
    <w:rsid w:val="2C0003B4"/>
    <w:rsid w:val="2C0D2669"/>
    <w:rsid w:val="2C1005F7"/>
    <w:rsid w:val="2C15160E"/>
    <w:rsid w:val="2C44430E"/>
    <w:rsid w:val="2C4F172C"/>
    <w:rsid w:val="2C9C00DD"/>
    <w:rsid w:val="2CA156F3"/>
    <w:rsid w:val="2D03015C"/>
    <w:rsid w:val="2D906B09"/>
    <w:rsid w:val="2D9C13E5"/>
    <w:rsid w:val="2D9C5EBB"/>
    <w:rsid w:val="2DD973AC"/>
    <w:rsid w:val="2DFB1659"/>
    <w:rsid w:val="2E0221C2"/>
    <w:rsid w:val="2E611B70"/>
    <w:rsid w:val="2E9A689E"/>
    <w:rsid w:val="2EBD258D"/>
    <w:rsid w:val="2ECB6A58"/>
    <w:rsid w:val="2EDD4BB1"/>
    <w:rsid w:val="2F01185F"/>
    <w:rsid w:val="2F0410A6"/>
    <w:rsid w:val="2F2729AC"/>
    <w:rsid w:val="2F3C0F4C"/>
    <w:rsid w:val="2FA94990"/>
    <w:rsid w:val="2FAA4950"/>
    <w:rsid w:val="2FB82F9F"/>
    <w:rsid w:val="2FC33BD3"/>
    <w:rsid w:val="2FE418AC"/>
    <w:rsid w:val="2FE5383E"/>
    <w:rsid w:val="2FEA4C7F"/>
    <w:rsid w:val="30330D58"/>
    <w:rsid w:val="3037089D"/>
    <w:rsid w:val="308948D8"/>
    <w:rsid w:val="30EA3353"/>
    <w:rsid w:val="31013C49"/>
    <w:rsid w:val="312319EF"/>
    <w:rsid w:val="313C778B"/>
    <w:rsid w:val="318F6462"/>
    <w:rsid w:val="31C559E0"/>
    <w:rsid w:val="321A2D0F"/>
    <w:rsid w:val="322D02E9"/>
    <w:rsid w:val="32382656"/>
    <w:rsid w:val="324D664C"/>
    <w:rsid w:val="32503341"/>
    <w:rsid w:val="3267118D"/>
    <w:rsid w:val="32870EE7"/>
    <w:rsid w:val="32B65BD7"/>
    <w:rsid w:val="32BE6EB2"/>
    <w:rsid w:val="32C7154E"/>
    <w:rsid w:val="33156D5E"/>
    <w:rsid w:val="3317207A"/>
    <w:rsid w:val="331A6B7B"/>
    <w:rsid w:val="331D184C"/>
    <w:rsid w:val="331F2052"/>
    <w:rsid w:val="333554DB"/>
    <w:rsid w:val="33396D39"/>
    <w:rsid w:val="334E5EA9"/>
    <w:rsid w:val="33643EF5"/>
    <w:rsid w:val="33D80BF4"/>
    <w:rsid w:val="33F77F81"/>
    <w:rsid w:val="34254482"/>
    <w:rsid w:val="343A12C2"/>
    <w:rsid w:val="34445D20"/>
    <w:rsid w:val="346F257B"/>
    <w:rsid w:val="348C4EDB"/>
    <w:rsid w:val="348F605A"/>
    <w:rsid w:val="34E716B6"/>
    <w:rsid w:val="34EE16F2"/>
    <w:rsid w:val="3505113E"/>
    <w:rsid w:val="350B22A4"/>
    <w:rsid w:val="35233259"/>
    <w:rsid w:val="35357321"/>
    <w:rsid w:val="355115AF"/>
    <w:rsid w:val="359F2BE0"/>
    <w:rsid w:val="35AE6CC5"/>
    <w:rsid w:val="35C23876"/>
    <w:rsid w:val="35FC399A"/>
    <w:rsid w:val="36150400"/>
    <w:rsid w:val="362A675A"/>
    <w:rsid w:val="36670714"/>
    <w:rsid w:val="36B60605"/>
    <w:rsid w:val="36DB3EF8"/>
    <w:rsid w:val="36DB7A54"/>
    <w:rsid w:val="36EC39E0"/>
    <w:rsid w:val="37482CF9"/>
    <w:rsid w:val="37525FC5"/>
    <w:rsid w:val="37647A49"/>
    <w:rsid w:val="37704A11"/>
    <w:rsid w:val="37C45ACE"/>
    <w:rsid w:val="37DA5F5D"/>
    <w:rsid w:val="37DF2D89"/>
    <w:rsid w:val="37E335F2"/>
    <w:rsid w:val="380D7A3D"/>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B2C2F74"/>
    <w:rsid w:val="3B3415C4"/>
    <w:rsid w:val="3B345984"/>
    <w:rsid w:val="3B351E28"/>
    <w:rsid w:val="3B4F53C1"/>
    <w:rsid w:val="3B605CFC"/>
    <w:rsid w:val="3B626996"/>
    <w:rsid w:val="3B6C6BA3"/>
    <w:rsid w:val="3B78218B"/>
    <w:rsid w:val="3B930424"/>
    <w:rsid w:val="3BAE3989"/>
    <w:rsid w:val="3BB15227"/>
    <w:rsid w:val="3BB56AC5"/>
    <w:rsid w:val="3BC82C9D"/>
    <w:rsid w:val="3BF02721"/>
    <w:rsid w:val="3BFA0A8A"/>
    <w:rsid w:val="3C222894"/>
    <w:rsid w:val="3C242530"/>
    <w:rsid w:val="3C4165AB"/>
    <w:rsid w:val="3C875FEC"/>
    <w:rsid w:val="3CCA02B2"/>
    <w:rsid w:val="3CD613E9"/>
    <w:rsid w:val="3CE62383"/>
    <w:rsid w:val="3CEC7A2A"/>
    <w:rsid w:val="3CFE68F9"/>
    <w:rsid w:val="3D0433A8"/>
    <w:rsid w:val="3D0F69B6"/>
    <w:rsid w:val="3D2959BD"/>
    <w:rsid w:val="3D3219D3"/>
    <w:rsid w:val="3D3474F8"/>
    <w:rsid w:val="3D621A0D"/>
    <w:rsid w:val="3D785FFC"/>
    <w:rsid w:val="3D874292"/>
    <w:rsid w:val="3D970405"/>
    <w:rsid w:val="3DCE35B6"/>
    <w:rsid w:val="3DD136B5"/>
    <w:rsid w:val="3DD5344F"/>
    <w:rsid w:val="3DFA6213"/>
    <w:rsid w:val="3E0F3EB7"/>
    <w:rsid w:val="3E2609B2"/>
    <w:rsid w:val="3E76426F"/>
    <w:rsid w:val="3E7F6463"/>
    <w:rsid w:val="3E962D65"/>
    <w:rsid w:val="3ECB4852"/>
    <w:rsid w:val="3EEB0292"/>
    <w:rsid w:val="3EFE2742"/>
    <w:rsid w:val="3F281B00"/>
    <w:rsid w:val="3F6A7BC7"/>
    <w:rsid w:val="3F930BE9"/>
    <w:rsid w:val="3F952DC8"/>
    <w:rsid w:val="3F962053"/>
    <w:rsid w:val="3FE15005"/>
    <w:rsid w:val="3FE77469"/>
    <w:rsid w:val="3FF04570"/>
    <w:rsid w:val="400E2C48"/>
    <w:rsid w:val="40450DDC"/>
    <w:rsid w:val="40B26A7A"/>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D5ED7"/>
    <w:rsid w:val="437454B8"/>
    <w:rsid w:val="43750C3B"/>
    <w:rsid w:val="438945E6"/>
    <w:rsid w:val="43947908"/>
    <w:rsid w:val="43962512"/>
    <w:rsid w:val="43AA0EDA"/>
    <w:rsid w:val="43D25E53"/>
    <w:rsid w:val="43E25FC1"/>
    <w:rsid w:val="440138A0"/>
    <w:rsid w:val="44246EDE"/>
    <w:rsid w:val="44692B43"/>
    <w:rsid w:val="447C65C0"/>
    <w:rsid w:val="4487121B"/>
    <w:rsid w:val="448742A8"/>
    <w:rsid w:val="44983428"/>
    <w:rsid w:val="44C47D79"/>
    <w:rsid w:val="451A208F"/>
    <w:rsid w:val="45433394"/>
    <w:rsid w:val="45877724"/>
    <w:rsid w:val="458A0FC3"/>
    <w:rsid w:val="458D2861"/>
    <w:rsid w:val="45BB3260"/>
    <w:rsid w:val="46092999"/>
    <w:rsid w:val="4612476D"/>
    <w:rsid w:val="464D7AE1"/>
    <w:rsid w:val="468F5CB4"/>
    <w:rsid w:val="46957C1F"/>
    <w:rsid w:val="46B53E1D"/>
    <w:rsid w:val="46C027C2"/>
    <w:rsid w:val="4743767B"/>
    <w:rsid w:val="474820C5"/>
    <w:rsid w:val="475B13E7"/>
    <w:rsid w:val="476768EC"/>
    <w:rsid w:val="47777325"/>
    <w:rsid w:val="47C557D7"/>
    <w:rsid w:val="47DD7AD0"/>
    <w:rsid w:val="47E70FBB"/>
    <w:rsid w:val="47F02414"/>
    <w:rsid w:val="481D611E"/>
    <w:rsid w:val="48221986"/>
    <w:rsid w:val="48232C90"/>
    <w:rsid w:val="48540005"/>
    <w:rsid w:val="486E6250"/>
    <w:rsid w:val="48B545A9"/>
    <w:rsid w:val="48BF3FF2"/>
    <w:rsid w:val="48D34790"/>
    <w:rsid w:val="48DD58AD"/>
    <w:rsid w:val="48ED18F0"/>
    <w:rsid w:val="48F826E7"/>
    <w:rsid w:val="4929464F"/>
    <w:rsid w:val="49321B41"/>
    <w:rsid w:val="494C6C0E"/>
    <w:rsid w:val="4955379A"/>
    <w:rsid w:val="498C348F"/>
    <w:rsid w:val="49C34AA3"/>
    <w:rsid w:val="49DA3B9B"/>
    <w:rsid w:val="49DA528B"/>
    <w:rsid w:val="49FA4012"/>
    <w:rsid w:val="49FA5FEB"/>
    <w:rsid w:val="4A4F4589"/>
    <w:rsid w:val="4A5573E4"/>
    <w:rsid w:val="4A62606A"/>
    <w:rsid w:val="4A712751"/>
    <w:rsid w:val="4A9D2E1F"/>
    <w:rsid w:val="4AF87271"/>
    <w:rsid w:val="4B380D6F"/>
    <w:rsid w:val="4B3A1029"/>
    <w:rsid w:val="4B555BCF"/>
    <w:rsid w:val="4B6E0A3F"/>
    <w:rsid w:val="4B771FE9"/>
    <w:rsid w:val="4BBC29D4"/>
    <w:rsid w:val="4C443C2D"/>
    <w:rsid w:val="4C560DCF"/>
    <w:rsid w:val="4C723258"/>
    <w:rsid w:val="4C812F78"/>
    <w:rsid w:val="4CB608EF"/>
    <w:rsid w:val="4D0E072B"/>
    <w:rsid w:val="4D0F1621"/>
    <w:rsid w:val="4D1F6318"/>
    <w:rsid w:val="4D24354A"/>
    <w:rsid w:val="4D4E6D7A"/>
    <w:rsid w:val="4D666D38"/>
    <w:rsid w:val="4D9A1FBF"/>
    <w:rsid w:val="4DCE1F8B"/>
    <w:rsid w:val="4DF94F37"/>
    <w:rsid w:val="4E0D2791"/>
    <w:rsid w:val="4E2A6045"/>
    <w:rsid w:val="4E437F61"/>
    <w:rsid w:val="4E4E19C6"/>
    <w:rsid w:val="4E6F6FA8"/>
    <w:rsid w:val="4EB40E5E"/>
    <w:rsid w:val="4F1A33B7"/>
    <w:rsid w:val="4F3F52E7"/>
    <w:rsid w:val="4F411EB6"/>
    <w:rsid w:val="4F582EF7"/>
    <w:rsid w:val="4F8528F9"/>
    <w:rsid w:val="4FBA24A4"/>
    <w:rsid w:val="4FBB7FCB"/>
    <w:rsid w:val="50100316"/>
    <w:rsid w:val="502A41CA"/>
    <w:rsid w:val="502B6EFE"/>
    <w:rsid w:val="50983373"/>
    <w:rsid w:val="50AB5953"/>
    <w:rsid w:val="50D60C20"/>
    <w:rsid w:val="51183927"/>
    <w:rsid w:val="5135755A"/>
    <w:rsid w:val="51574F11"/>
    <w:rsid w:val="517B73AD"/>
    <w:rsid w:val="518A5306"/>
    <w:rsid w:val="51983548"/>
    <w:rsid w:val="51AB3D3B"/>
    <w:rsid w:val="51BD3D23"/>
    <w:rsid w:val="51D04201"/>
    <w:rsid w:val="51DA0BDC"/>
    <w:rsid w:val="51DC4954"/>
    <w:rsid w:val="51FD1EA1"/>
    <w:rsid w:val="521A27DD"/>
    <w:rsid w:val="52534816"/>
    <w:rsid w:val="52634928"/>
    <w:rsid w:val="52A0414F"/>
    <w:rsid w:val="53277999"/>
    <w:rsid w:val="5328255F"/>
    <w:rsid w:val="53987EBC"/>
    <w:rsid w:val="53A35FB7"/>
    <w:rsid w:val="53E24E44"/>
    <w:rsid w:val="53F94527"/>
    <w:rsid w:val="54014B46"/>
    <w:rsid w:val="541C3178"/>
    <w:rsid w:val="54297BF9"/>
    <w:rsid w:val="5472334E"/>
    <w:rsid w:val="5488180C"/>
    <w:rsid w:val="548E0C37"/>
    <w:rsid w:val="54DB5397"/>
    <w:rsid w:val="550348EE"/>
    <w:rsid w:val="55142657"/>
    <w:rsid w:val="555D5DAC"/>
    <w:rsid w:val="5563097D"/>
    <w:rsid w:val="556F4EE2"/>
    <w:rsid w:val="55BA31FE"/>
    <w:rsid w:val="55D21BD3"/>
    <w:rsid w:val="55E9246E"/>
    <w:rsid w:val="56312D95"/>
    <w:rsid w:val="564725B8"/>
    <w:rsid w:val="56507F87"/>
    <w:rsid w:val="56652099"/>
    <w:rsid w:val="56680EAC"/>
    <w:rsid w:val="56843C9F"/>
    <w:rsid w:val="569B3338"/>
    <w:rsid w:val="56A40209"/>
    <w:rsid w:val="56DA7D27"/>
    <w:rsid w:val="56F5281F"/>
    <w:rsid w:val="573A49B9"/>
    <w:rsid w:val="573E766F"/>
    <w:rsid w:val="5765355C"/>
    <w:rsid w:val="57690BD0"/>
    <w:rsid w:val="576F0018"/>
    <w:rsid w:val="57914433"/>
    <w:rsid w:val="57C15E41"/>
    <w:rsid w:val="57CA1153"/>
    <w:rsid w:val="57E207EA"/>
    <w:rsid w:val="57E44562"/>
    <w:rsid w:val="57E46E53"/>
    <w:rsid w:val="580118E9"/>
    <w:rsid w:val="580E253F"/>
    <w:rsid w:val="58254B7B"/>
    <w:rsid w:val="584A495B"/>
    <w:rsid w:val="5892758E"/>
    <w:rsid w:val="58947716"/>
    <w:rsid w:val="58A65CBC"/>
    <w:rsid w:val="58B66C06"/>
    <w:rsid w:val="58C779E0"/>
    <w:rsid w:val="58E81E30"/>
    <w:rsid w:val="5909228A"/>
    <w:rsid w:val="59154BEF"/>
    <w:rsid w:val="59433AAE"/>
    <w:rsid w:val="59CA7788"/>
    <w:rsid w:val="5A1B6236"/>
    <w:rsid w:val="5A2E712E"/>
    <w:rsid w:val="5A2F2D66"/>
    <w:rsid w:val="5A440992"/>
    <w:rsid w:val="5A6C562B"/>
    <w:rsid w:val="5A6D6164"/>
    <w:rsid w:val="5A86004F"/>
    <w:rsid w:val="5A8938AD"/>
    <w:rsid w:val="5AAE69DB"/>
    <w:rsid w:val="5AD40392"/>
    <w:rsid w:val="5AF0582F"/>
    <w:rsid w:val="5AF947C9"/>
    <w:rsid w:val="5B1B6AA6"/>
    <w:rsid w:val="5B224E28"/>
    <w:rsid w:val="5B606CBC"/>
    <w:rsid w:val="5B7D7A78"/>
    <w:rsid w:val="5BAF7B56"/>
    <w:rsid w:val="5BD91F04"/>
    <w:rsid w:val="5BDB5C7C"/>
    <w:rsid w:val="5BE2525D"/>
    <w:rsid w:val="5BE56AFB"/>
    <w:rsid w:val="5BF611E3"/>
    <w:rsid w:val="5C0E6052"/>
    <w:rsid w:val="5C313AEE"/>
    <w:rsid w:val="5C86208C"/>
    <w:rsid w:val="5C8F6A67"/>
    <w:rsid w:val="5CAC7619"/>
    <w:rsid w:val="5D131446"/>
    <w:rsid w:val="5D2E3846"/>
    <w:rsid w:val="5D6D6DA8"/>
    <w:rsid w:val="5D7C18C6"/>
    <w:rsid w:val="5DA14CA4"/>
    <w:rsid w:val="5DA779D9"/>
    <w:rsid w:val="5DC84953"/>
    <w:rsid w:val="5DDC3F2E"/>
    <w:rsid w:val="5E0C01F1"/>
    <w:rsid w:val="5E9D051F"/>
    <w:rsid w:val="5EAC56AE"/>
    <w:rsid w:val="5EDA0A8B"/>
    <w:rsid w:val="5F0537AA"/>
    <w:rsid w:val="5F162912"/>
    <w:rsid w:val="5F20072A"/>
    <w:rsid w:val="5F2117F1"/>
    <w:rsid w:val="5F27754A"/>
    <w:rsid w:val="5F2B3E04"/>
    <w:rsid w:val="5F3A625B"/>
    <w:rsid w:val="5F760F40"/>
    <w:rsid w:val="5FF3691B"/>
    <w:rsid w:val="5FFF5CB2"/>
    <w:rsid w:val="60161979"/>
    <w:rsid w:val="60673F83"/>
    <w:rsid w:val="606E1F64"/>
    <w:rsid w:val="607B7A2E"/>
    <w:rsid w:val="609E5FA7"/>
    <w:rsid w:val="60C253E7"/>
    <w:rsid w:val="60CE0B25"/>
    <w:rsid w:val="61441636"/>
    <w:rsid w:val="61555832"/>
    <w:rsid w:val="61A30FEA"/>
    <w:rsid w:val="61C83B89"/>
    <w:rsid w:val="61D5316E"/>
    <w:rsid w:val="61D67CE4"/>
    <w:rsid w:val="61DB6D9C"/>
    <w:rsid w:val="61EF4230"/>
    <w:rsid w:val="6200643D"/>
    <w:rsid w:val="623C3CCB"/>
    <w:rsid w:val="6277131B"/>
    <w:rsid w:val="62894736"/>
    <w:rsid w:val="62A46F2F"/>
    <w:rsid w:val="62EC69C1"/>
    <w:rsid w:val="6304220F"/>
    <w:rsid w:val="632514A5"/>
    <w:rsid w:val="63520F1A"/>
    <w:rsid w:val="636E0BBA"/>
    <w:rsid w:val="63964B41"/>
    <w:rsid w:val="63994A58"/>
    <w:rsid w:val="63EA124B"/>
    <w:rsid w:val="640026DC"/>
    <w:rsid w:val="640C1F5B"/>
    <w:rsid w:val="646C600B"/>
    <w:rsid w:val="647C3D75"/>
    <w:rsid w:val="6493641A"/>
    <w:rsid w:val="64A526D7"/>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E83943"/>
    <w:rsid w:val="66ED7428"/>
    <w:rsid w:val="670F317A"/>
    <w:rsid w:val="673D6A15"/>
    <w:rsid w:val="67627252"/>
    <w:rsid w:val="676A4610"/>
    <w:rsid w:val="67960780"/>
    <w:rsid w:val="67AD40A3"/>
    <w:rsid w:val="682E5386"/>
    <w:rsid w:val="683726A5"/>
    <w:rsid w:val="684B23DC"/>
    <w:rsid w:val="68576EF7"/>
    <w:rsid w:val="6874548F"/>
    <w:rsid w:val="68817FE2"/>
    <w:rsid w:val="688D47A2"/>
    <w:rsid w:val="68AA5354"/>
    <w:rsid w:val="68CD623B"/>
    <w:rsid w:val="68DB72BC"/>
    <w:rsid w:val="68FD36D6"/>
    <w:rsid w:val="690164B5"/>
    <w:rsid w:val="69337C0B"/>
    <w:rsid w:val="69562DE6"/>
    <w:rsid w:val="695E105C"/>
    <w:rsid w:val="696012B6"/>
    <w:rsid w:val="69642093"/>
    <w:rsid w:val="69B239D8"/>
    <w:rsid w:val="69C02956"/>
    <w:rsid w:val="69CA6B08"/>
    <w:rsid w:val="6A042666"/>
    <w:rsid w:val="6A38073E"/>
    <w:rsid w:val="6A9736F0"/>
    <w:rsid w:val="6A987B4F"/>
    <w:rsid w:val="6ACE0724"/>
    <w:rsid w:val="6AF830B1"/>
    <w:rsid w:val="6B1715B7"/>
    <w:rsid w:val="6B2C2051"/>
    <w:rsid w:val="6B3233DF"/>
    <w:rsid w:val="6B680BAF"/>
    <w:rsid w:val="6B6C68F1"/>
    <w:rsid w:val="6BA17D14"/>
    <w:rsid w:val="6BAA7419"/>
    <w:rsid w:val="6BB42FE3"/>
    <w:rsid w:val="6BBB33D4"/>
    <w:rsid w:val="6BCC55E2"/>
    <w:rsid w:val="6BEA8026"/>
    <w:rsid w:val="6C0320AF"/>
    <w:rsid w:val="6C0C5BDB"/>
    <w:rsid w:val="6C6770B8"/>
    <w:rsid w:val="6C757A27"/>
    <w:rsid w:val="6C845EBC"/>
    <w:rsid w:val="6CA41CC8"/>
    <w:rsid w:val="6CC20E82"/>
    <w:rsid w:val="6CD26C28"/>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4C538F"/>
    <w:rsid w:val="6E8C1058"/>
    <w:rsid w:val="6EBF142E"/>
    <w:rsid w:val="6ED722D3"/>
    <w:rsid w:val="6EE175F6"/>
    <w:rsid w:val="6F7C2E7B"/>
    <w:rsid w:val="6FC36D9E"/>
    <w:rsid w:val="6FE70C3C"/>
    <w:rsid w:val="70076BE8"/>
    <w:rsid w:val="70512559"/>
    <w:rsid w:val="70852D97"/>
    <w:rsid w:val="70A47AAD"/>
    <w:rsid w:val="70AE40C7"/>
    <w:rsid w:val="70C25205"/>
    <w:rsid w:val="70DA254F"/>
    <w:rsid w:val="70E51DA8"/>
    <w:rsid w:val="70F20FE3"/>
    <w:rsid w:val="71174B27"/>
    <w:rsid w:val="71946BA2"/>
    <w:rsid w:val="71A843FB"/>
    <w:rsid w:val="71C97895"/>
    <w:rsid w:val="71CA0962"/>
    <w:rsid w:val="72030E1E"/>
    <w:rsid w:val="721E450C"/>
    <w:rsid w:val="7256750B"/>
    <w:rsid w:val="7262278F"/>
    <w:rsid w:val="72C13278"/>
    <w:rsid w:val="72C6062B"/>
    <w:rsid w:val="72D73D3D"/>
    <w:rsid w:val="733633B7"/>
    <w:rsid w:val="73394BB6"/>
    <w:rsid w:val="73397A01"/>
    <w:rsid w:val="736A253A"/>
    <w:rsid w:val="73A429A0"/>
    <w:rsid w:val="73AC2D59"/>
    <w:rsid w:val="73BE1CB4"/>
    <w:rsid w:val="73EC5B91"/>
    <w:rsid w:val="73FC458A"/>
    <w:rsid w:val="742E7E7F"/>
    <w:rsid w:val="743012D6"/>
    <w:rsid w:val="747B5DF7"/>
    <w:rsid w:val="74850A24"/>
    <w:rsid w:val="74C002E8"/>
    <w:rsid w:val="74CF1255"/>
    <w:rsid w:val="74E7523A"/>
    <w:rsid w:val="74EB6CBD"/>
    <w:rsid w:val="74FB54A4"/>
    <w:rsid w:val="751A7B05"/>
    <w:rsid w:val="75220020"/>
    <w:rsid w:val="754D1541"/>
    <w:rsid w:val="755522F8"/>
    <w:rsid w:val="755E2DEF"/>
    <w:rsid w:val="75611CC1"/>
    <w:rsid w:val="758F08AE"/>
    <w:rsid w:val="75A03D67"/>
    <w:rsid w:val="75DD731F"/>
    <w:rsid w:val="7621652A"/>
    <w:rsid w:val="76265AC6"/>
    <w:rsid w:val="763A2EF5"/>
    <w:rsid w:val="7643312E"/>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D46CD2"/>
    <w:rsid w:val="77D83D50"/>
    <w:rsid w:val="781D0CC1"/>
    <w:rsid w:val="7823193A"/>
    <w:rsid w:val="782E61C7"/>
    <w:rsid w:val="78342545"/>
    <w:rsid w:val="783B33E4"/>
    <w:rsid w:val="7844130F"/>
    <w:rsid w:val="78534B66"/>
    <w:rsid w:val="78537A1F"/>
    <w:rsid w:val="785B3F75"/>
    <w:rsid w:val="787B0197"/>
    <w:rsid w:val="787E1A12"/>
    <w:rsid w:val="78B04CEF"/>
    <w:rsid w:val="78BE10F6"/>
    <w:rsid w:val="78CA4C57"/>
    <w:rsid w:val="78D43D28"/>
    <w:rsid w:val="78DD2BDC"/>
    <w:rsid w:val="79435553"/>
    <w:rsid w:val="794672BF"/>
    <w:rsid w:val="79CB512B"/>
    <w:rsid w:val="79E263BE"/>
    <w:rsid w:val="7A064282"/>
    <w:rsid w:val="7A164D8B"/>
    <w:rsid w:val="7A3C1D44"/>
    <w:rsid w:val="7A9E283F"/>
    <w:rsid w:val="7ACB4CB6"/>
    <w:rsid w:val="7ADD5362"/>
    <w:rsid w:val="7B036E36"/>
    <w:rsid w:val="7B0E3521"/>
    <w:rsid w:val="7B1A0118"/>
    <w:rsid w:val="7B31160A"/>
    <w:rsid w:val="7B4E023F"/>
    <w:rsid w:val="7B551150"/>
    <w:rsid w:val="7B62386D"/>
    <w:rsid w:val="7B6E2211"/>
    <w:rsid w:val="7BAB4A6E"/>
    <w:rsid w:val="7BAD0A4E"/>
    <w:rsid w:val="7BB00E61"/>
    <w:rsid w:val="7BD227A0"/>
    <w:rsid w:val="7BEE3352"/>
    <w:rsid w:val="7C1822AA"/>
    <w:rsid w:val="7C2E19A1"/>
    <w:rsid w:val="7C3F5A2C"/>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autoSpaceDE w:val="0"/>
      <w:autoSpaceDN w:val="0"/>
      <w:adjustRightInd w:val="0"/>
      <w:jc w:val="left"/>
      <w:outlineLvl w:val="0"/>
    </w:pPr>
    <w:rPr>
      <w:rFonts w:ascii="Times New Roman" w:hAnsi="Times New Roman" w:eastAsia="宋体" w:cs="Times New Roman"/>
      <w:kern w:val="0"/>
      <w:sz w:val="30"/>
    </w:rPr>
  </w:style>
  <w:style w:type="paragraph" w:styleId="3">
    <w:name w:val="heading 2"/>
    <w:basedOn w:val="1"/>
    <w:next w:val="1"/>
    <w:link w:val="44"/>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20">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1">
    <w:name w:val="NormalCharacter"/>
    <w:qFormat/>
    <w:uiPriority w:val="99"/>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widowControl/>
      <w:ind w:firstLine="420"/>
      <w:jc w:val="left"/>
    </w:pPr>
    <w:rPr>
      <w:kern w:val="0"/>
    </w:rPr>
  </w:style>
  <w:style w:type="paragraph" w:customStyle="1" w:styleId="25">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Heading2"/>
    <w:basedOn w:val="1"/>
    <w:next w:val="1"/>
    <w:qFormat/>
    <w:uiPriority w:val="99"/>
    <w:pPr>
      <w:jc w:val="left"/>
    </w:pPr>
    <w:rPr>
      <w:kern w:val="0"/>
    </w:rPr>
  </w:style>
  <w:style w:type="paragraph" w:customStyle="1" w:styleId="31">
    <w:name w:val="AnnotationText"/>
    <w:basedOn w:val="1"/>
    <w:qFormat/>
    <w:uiPriority w:val="99"/>
    <w:pPr>
      <w:spacing w:line="360" w:lineRule="atLeast"/>
      <w:jc w:val="left"/>
    </w:pPr>
    <w:rPr>
      <w:kern w:val="0"/>
    </w:rPr>
  </w:style>
  <w:style w:type="paragraph" w:customStyle="1" w:styleId="32">
    <w:name w:val="UserStyle_44"/>
    <w:basedOn w:val="33"/>
    <w:qFormat/>
    <w:uiPriority w:val="99"/>
    <w:rPr>
      <w:sz w:val="24"/>
      <w:szCs w:val="24"/>
    </w:rPr>
  </w:style>
  <w:style w:type="paragraph" w:customStyle="1" w:styleId="33">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4">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6">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7">
    <w:name w:val="BodyText"/>
    <w:basedOn w:val="1"/>
    <w:next w:val="38"/>
    <w:qFormat/>
    <w:uiPriority w:val="99"/>
    <w:pPr>
      <w:spacing w:after="120"/>
    </w:pPr>
  </w:style>
  <w:style w:type="paragraph" w:customStyle="1" w:styleId="38">
    <w:name w:val="BodyText2"/>
    <w:basedOn w:val="1"/>
    <w:qFormat/>
    <w:uiPriority w:val="99"/>
    <w:pPr>
      <w:spacing w:line="500" w:lineRule="exact"/>
    </w:pPr>
  </w:style>
  <w:style w:type="paragraph" w:customStyle="1" w:styleId="3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缩进 New"/>
    <w:basedOn w:val="41"/>
    <w:qFormat/>
    <w:uiPriority w:val="0"/>
    <w:pPr>
      <w:widowControl/>
      <w:ind w:firstLine="420"/>
      <w:jc w:val="left"/>
    </w:pPr>
    <w:rPr>
      <w:kern w:val="0"/>
      <w:sz w:val="20"/>
    </w:rPr>
  </w:style>
  <w:style w:type="paragraph" w:customStyle="1" w:styleId="41">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3">
    <w:name w:val="正文文本 (2) + 间距 0 pt3"/>
    <w:basedOn w:val="17"/>
    <w:qFormat/>
    <w:uiPriority w:val="0"/>
    <w:rPr>
      <w:rFonts w:ascii="MingLiU" w:hAnsi="Times New Roman" w:eastAsia="MingLiU" w:cs="MingLiU"/>
      <w:spacing w:val="0"/>
      <w:sz w:val="22"/>
      <w:szCs w:val="22"/>
      <w:u w:val="none"/>
    </w:rPr>
  </w:style>
  <w:style w:type="character" w:customStyle="1" w:styleId="44">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5">
    <w:name w:val="标题 3 New New"/>
    <w:basedOn w:val="40"/>
    <w:next w:val="40"/>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6">
    <w:name w:val="UserStyle_76"/>
    <w:basedOn w:val="47"/>
    <w:qFormat/>
    <w:uiPriority w:val="99"/>
    <w:pPr>
      <w:ind w:firstLine="420"/>
      <w:jc w:val="left"/>
    </w:pPr>
    <w:rPr>
      <w:kern w:val="0"/>
      <w:sz w:val="20"/>
      <w:szCs w:val="20"/>
    </w:rPr>
  </w:style>
  <w:style w:type="paragraph" w:customStyle="1" w:styleId="47">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13666</Words>
  <Characters>14861</Characters>
  <Lines>0</Lines>
  <Paragraphs>0</Paragraphs>
  <TotalTime>59</TotalTime>
  <ScaleCrop>false</ScaleCrop>
  <LinksUpToDate>false</LinksUpToDate>
  <CharactersWithSpaces>15494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何海涛✨ </cp:lastModifiedBy>
  <cp:lastPrinted>2026-06-16T10:27:00Z</cp:lastPrinted>
  <dcterms:modified xsi:type="dcterms:W3CDTF">2026-06-17T07:44:59Z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8884865174324F5AA0A4CC38415B9FE0_13</vt:lpwstr>
  </property>
  <property fmtid="{D5CDD505-2E9C-101B-9397-08002B2CF9AE}" pid="4" name="KSOTemplateDocerSaveRecord">
    <vt:lpwstr>eyJoZGlkIjoiYjY2YjhlODFmNDRkY2E4NDYxYWYzNDUzNTdjZDJkYjAiLCJ1c2VySWQiOiIyOTExNDg2NzEifQ==</vt:lpwstr>
  </property>
</Properties>
</file>