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B7BB6">
      <w:pPr>
        <w:pStyle w:val="48"/>
        <w:spacing w:line="360" w:lineRule="auto"/>
        <w:jc w:val="center"/>
        <w:rPr>
          <w:rFonts w:hint="eastAsia" w:ascii="宋体" w:hAnsi="宋体" w:eastAsia="宋体" w:cs="宋体"/>
          <w:b/>
          <w:bCs/>
          <w:color w:val="auto"/>
          <w:sz w:val="52"/>
          <w:szCs w:val="52"/>
          <w:highlight w:val="none"/>
          <w:lang w:eastAsia="zh-CN"/>
        </w:rPr>
      </w:pPr>
      <w:r>
        <w:rPr>
          <w:rFonts w:hint="eastAsia" w:ascii="宋体" w:hAnsi="宋体" w:eastAsia="宋体" w:cs="宋体"/>
          <w:b/>
          <w:bCs/>
          <w:color w:val="auto"/>
          <w:sz w:val="52"/>
          <w:szCs w:val="52"/>
          <w:highlight w:val="none"/>
          <w:lang w:eastAsia="zh-CN"/>
        </w:rPr>
        <w:t>韶关市武江区城区排水防涝系统改造项目（三期）A标施工</w:t>
      </w:r>
    </w:p>
    <w:p w14:paraId="737C064C">
      <w:pPr>
        <w:pStyle w:val="48"/>
        <w:spacing w:line="360" w:lineRule="auto"/>
        <w:jc w:val="center"/>
        <w:rPr>
          <w:rFonts w:hint="eastAsia" w:ascii="宋体" w:hAnsi="宋体" w:eastAsia="宋体" w:cs="宋体"/>
          <w:b/>
          <w:bCs/>
          <w:color w:val="auto"/>
          <w:sz w:val="52"/>
          <w:szCs w:val="52"/>
          <w:highlight w:val="none"/>
          <w:lang w:eastAsia="zh-CN"/>
        </w:rPr>
      </w:pPr>
    </w:p>
    <w:p w14:paraId="7F3BE48C">
      <w:pPr>
        <w:pStyle w:val="48"/>
        <w:spacing w:line="360" w:lineRule="auto"/>
        <w:jc w:val="cente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t>招标文件</w:t>
      </w:r>
    </w:p>
    <w:p w14:paraId="31E03FD0">
      <w:pPr>
        <w:pStyle w:val="48"/>
        <w:spacing w:line="360" w:lineRule="auto"/>
        <w:rPr>
          <w:rFonts w:hint="eastAsia" w:ascii="宋体" w:hAnsi="宋体" w:eastAsia="宋体" w:cs="宋体"/>
          <w:b/>
          <w:bCs/>
          <w:color w:val="auto"/>
          <w:spacing w:val="26"/>
          <w:sz w:val="52"/>
          <w:szCs w:val="52"/>
          <w:highlight w:val="none"/>
          <w14:shadow w14:blurRad="50800" w14:dist="38100" w14:dir="2700000" w14:sx="100000" w14:sy="100000" w14:kx="0" w14:ky="0" w14:algn="tl">
            <w14:srgbClr w14:val="000000">
              <w14:alpha w14:val="60000"/>
            </w14:srgbClr>
          </w14:shadow>
        </w:rPr>
      </w:pPr>
    </w:p>
    <w:tbl>
      <w:tblPr>
        <w:tblStyle w:val="15"/>
        <w:tblpPr w:leftFromText="180" w:rightFromText="180" w:vertAnchor="text" w:horzAnchor="page" w:tblpX="1312" w:tblpY="423"/>
        <w:tblOverlap w:val="never"/>
        <w:tblW w:w="9659" w:type="dxa"/>
        <w:tblInd w:w="0" w:type="dxa"/>
        <w:tblLayout w:type="fixed"/>
        <w:tblCellMar>
          <w:top w:w="0" w:type="dxa"/>
          <w:left w:w="0" w:type="dxa"/>
          <w:bottom w:w="0" w:type="dxa"/>
          <w:right w:w="0" w:type="dxa"/>
        </w:tblCellMar>
      </w:tblPr>
      <w:tblGrid>
        <w:gridCol w:w="4815"/>
        <w:gridCol w:w="4844"/>
      </w:tblGrid>
      <w:tr w14:paraId="204754C4">
        <w:tblPrEx>
          <w:tblCellMar>
            <w:top w:w="0" w:type="dxa"/>
            <w:left w:w="0" w:type="dxa"/>
            <w:bottom w:w="0" w:type="dxa"/>
            <w:right w:w="0" w:type="dxa"/>
          </w:tblCellMar>
        </w:tblPrEx>
        <w:trPr>
          <w:trHeight w:val="1057" w:hRule="atLeast"/>
        </w:trPr>
        <w:tc>
          <w:tcPr>
            <w:tcW w:w="4815" w:type="dxa"/>
            <w:noWrap w:val="0"/>
            <w:vAlign w:val="center"/>
          </w:tcPr>
          <w:p w14:paraId="45A2C9EA">
            <w:pPr>
              <w:pStyle w:val="49"/>
              <w:spacing w:line="240" w:lineRule="auto"/>
              <w:rPr>
                <w:rFonts w:hint="eastAsia" w:hAnsi="宋体" w:cs="宋体"/>
                <w:color w:val="auto"/>
                <w:sz w:val="28"/>
                <w:szCs w:val="28"/>
                <w:highlight w:val="none"/>
              </w:rPr>
            </w:pPr>
            <w:r>
              <w:rPr>
                <w:rFonts w:hint="eastAsia" w:hAnsi="宋体" w:cs="宋体"/>
                <w:color w:val="auto"/>
                <w:sz w:val="28"/>
                <w:szCs w:val="28"/>
                <w:highlight w:val="none"/>
              </w:rPr>
              <w:t xml:space="preserve"> 招        标        人（盖 章）：</w:t>
            </w:r>
          </w:p>
        </w:tc>
        <w:tc>
          <w:tcPr>
            <w:tcW w:w="4844" w:type="dxa"/>
            <w:noWrap w:val="0"/>
            <w:vAlign w:val="center"/>
          </w:tcPr>
          <w:p w14:paraId="6B79DFF5">
            <w:pPr>
              <w:pStyle w:val="49"/>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韶关市武江区城市管理和综合执法局</w:t>
            </w:r>
          </w:p>
        </w:tc>
      </w:tr>
      <w:tr w14:paraId="71A5190E">
        <w:tblPrEx>
          <w:tblCellMar>
            <w:top w:w="0" w:type="dxa"/>
            <w:left w:w="0" w:type="dxa"/>
            <w:bottom w:w="0" w:type="dxa"/>
            <w:right w:w="0" w:type="dxa"/>
          </w:tblCellMar>
        </w:tblPrEx>
        <w:trPr>
          <w:trHeight w:val="1158" w:hRule="atLeast"/>
        </w:trPr>
        <w:tc>
          <w:tcPr>
            <w:tcW w:w="4815" w:type="dxa"/>
            <w:noWrap w:val="0"/>
            <w:vAlign w:val="center"/>
          </w:tcPr>
          <w:p w14:paraId="1804EA22">
            <w:pPr>
              <w:pStyle w:val="49"/>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招标人工作领导小组负责人（签字）：</w:t>
            </w:r>
          </w:p>
        </w:tc>
        <w:tc>
          <w:tcPr>
            <w:tcW w:w="4844" w:type="dxa"/>
            <w:noWrap w:val="0"/>
            <w:vAlign w:val="center"/>
          </w:tcPr>
          <w:p w14:paraId="1B329948">
            <w:pPr>
              <w:pStyle w:val="49"/>
              <w:spacing w:line="240" w:lineRule="auto"/>
              <w:rPr>
                <w:rFonts w:hint="eastAsia" w:hAnsi="宋体" w:cs="宋体"/>
                <w:color w:val="auto"/>
                <w:sz w:val="28"/>
                <w:szCs w:val="28"/>
                <w:highlight w:val="none"/>
              </w:rPr>
            </w:pPr>
          </w:p>
        </w:tc>
      </w:tr>
      <w:tr w14:paraId="7BDFF2AA">
        <w:tblPrEx>
          <w:tblCellMar>
            <w:top w:w="0" w:type="dxa"/>
            <w:left w:w="0" w:type="dxa"/>
            <w:bottom w:w="0" w:type="dxa"/>
            <w:right w:w="0" w:type="dxa"/>
          </w:tblCellMar>
        </w:tblPrEx>
        <w:trPr>
          <w:trHeight w:val="1083" w:hRule="atLeast"/>
        </w:trPr>
        <w:tc>
          <w:tcPr>
            <w:tcW w:w="4815" w:type="dxa"/>
            <w:noWrap w:val="0"/>
            <w:vAlign w:val="center"/>
          </w:tcPr>
          <w:p w14:paraId="7CE13960">
            <w:pPr>
              <w:pStyle w:val="49"/>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代  理  机  构（盖 章）：</w:t>
            </w:r>
          </w:p>
        </w:tc>
        <w:tc>
          <w:tcPr>
            <w:tcW w:w="4844" w:type="dxa"/>
            <w:noWrap w:val="0"/>
            <w:vAlign w:val="center"/>
          </w:tcPr>
          <w:p w14:paraId="7183D8E9">
            <w:pPr>
              <w:pStyle w:val="49"/>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广东合正项目管理有限公司</w:t>
            </w:r>
          </w:p>
        </w:tc>
      </w:tr>
      <w:tr w14:paraId="1584FF1B">
        <w:tblPrEx>
          <w:tblCellMar>
            <w:top w:w="0" w:type="dxa"/>
            <w:left w:w="0" w:type="dxa"/>
            <w:bottom w:w="0" w:type="dxa"/>
            <w:right w:w="0" w:type="dxa"/>
          </w:tblCellMar>
        </w:tblPrEx>
        <w:trPr>
          <w:trHeight w:val="1192" w:hRule="atLeast"/>
        </w:trPr>
        <w:tc>
          <w:tcPr>
            <w:tcW w:w="4815" w:type="dxa"/>
            <w:noWrap w:val="0"/>
            <w:vAlign w:val="center"/>
          </w:tcPr>
          <w:p w14:paraId="7D1284AC">
            <w:pPr>
              <w:pStyle w:val="49"/>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人 （签字）：</w:t>
            </w:r>
          </w:p>
        </w:tc>
        <w:tc>
          <w:tcPr>
            <w:tcW w:w="4844" w:type="dxa"/>
            <w:noWrap w:val="0"/>
            <w:vAlign w:val="center"/>
          </w:tcPr>
          <w:p w14:paraId="51F91DA9">
            <w:pPr>
              <w:pStyle w:val="49"/>
              <w:spacing w:line="240" w:lineRule="auto"/>
              <w:rPr>
                <w:rFonts w:hint="eastAsia" w:hAnsi="宋体" w:cs="宋体"/>
                <w:color w:val="auto"/>
                <w:sz w:val="28"/>
                <w:szCs w:val="28"/>
                <w:highlight w:val="none"/>
              </w:rPr>
            </w:pPr>
          </w:p>
        </w:tc>
      </w:tr>
      <w:tr w14:paraId="0C61C7A2">
        <w:tblPrEx>
          <w:tblCellMar>
            <w:top w:w="0" w:type="dxa"/>
            <w:left w:w="0" w:type="dxa"/>
            <w:bottom w:w="0" w:type="dxa"/>
            <w:right w:w="0" w:type="dxa"/>
          </w:tblCellMar>
        </w:tblPrEx>
        <w:trPr>
          <w:trHeight w:val="1217" w:hRule="atLeast"/>
        </w:trPr>
        <w:tc>
          <w:tcPr>
            <w:tcW w:w="4815" w:type="dxa"/>
            <w:noWrap w:val="0"/>
            <w:vAlign w:val="center"/>
          </w:tcPr>
          <w:p w14:paraId="27D3040E">
            <w:pPr>
              <w:pStyle w:val="49"/>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招标代理机构项目负责人 （签字）：</w:t>
            </w:r>
          </w:p>
        </w:tc>
        <w:tc>
          <w:tcPr>
            <w:tcW w:w="4844" w:type="dxa"/>
            <w:noWrap w:val="0"/>
            <w:vAlign w:val="center"/>
          </w:tcPr>
          <w:p w14:paraId="163F4C30">
            <w:pPr>
              <w:pStyle w:val="49"/>
              <w:spacing w:line="240" w:lineRule="auto"/>
              <w:rPr>
                <w:rFonts w:hint="eastAsia" w:hAnsi="宋体" w:cs="宋体"/>
                <w:color w:val="auto"/>
                <w:sz w:val="28"/>
                <w:szCs w:val="28"/>
                <w:highlight w:val="none"/>
              </w:rPr>
            </w:pPr>
          </w:p>
        </w:tc>
      </w:tr>
      <w:tr w14:paraId="779D13E8">
        <w:tblPrEx>
          <w:tblCellMar>
            <w:top w:w="0" w:type="dxa"/>
            <w:left w:w="0" w:type="dxa"/>
            <w:bottom w:w="0" w:type="dxa"/>
            <w:right w:w="0" w:type="dxa"/>
          </w:tblCellMar>
        </w:tblPrEx>
        <w:trPr>
          <w:trHeight w:val="950" w:hRule="atLeast"/>
        </w:trPr>
        <w:tc>
          <w:tcPr>
            <w:tcW w:w="4815" w:type="dxa"/>
            <w:noWrap w:val="0"/>
            <w:vAlign w:val="center"/>
          </w:tcPr>
          <w:p w14:paraId="1F32F23A">
            <w:pPr>
              <w:pStyle w:val="49"/>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日  期： </w:t>
            </w:r>
          </w:p>
        </w:tc>
        <w:tc>
          <w:tcPr>
            <w:tcW w:w="4844" w:type="dxa"/>
            <w:noWrap w:val="0"/>
            <w:vAlign w:val="center"/>
          </w:tcPr>
          <w:p w14:paraId="44D1754B">
            <w:pPr>
              <w:pStyle w:val="49"/>
              <w:spacing w:line="240" w:lineRule="auto"/>
              <w:rPr>
                <w:rFonts w:hint="eastAsia" w:hAnsi="宋体" w:cs="宋体"/>
                <w:color w:val="auto"/>
                <w:sz w:val="28"/>
                <w:highlight w:val="none"/>
              </w:rPr>
            </w:pPr>
            <w:r>
              <w:rPr>
                <w:rFonts w:hint="eastAsia" w:hAnsi="宋体" w:cs="宋体"/>
                <w:color w:val="auto"/>
                <w:sz w:val="28"/>
                <w:highlight w:val="none"/>
              </w:rPr>
              <w:t>202</w:t>
            </w:r>
            <w:r>
              <w:rPr>
                <w:rFonts w:hint="eastAsia" w:hAnsi="宋体" w:cs="宋体"/>
                <w:color w:val="auto"/>
                <w:sz w:val="28"/>
                <w:highlight w:val="none"/>
                <w:lang w:val="en-US" w:eastAsia="zh-CN"/>
              </w:rPr>
              <w:t>6</w:t>
            </w:r>
            <w:r>
              <w:rPr>
                <w:rFonts w:hint="eastAsia" w:hAnsi="宋体" w:cs="宋体"/>
                <w:color w:val="auto"/>
                <w:sz w:val="28"/>
                <w:highlight w:val="none"/>
              </w:rPr>
              <w:t>年</w:t>
            </w:r>
            <w:r>
              <w:rPr>
                <w:rFonts w:hint="eastAsia" w:hAnsi="宋体" w:cs="宋体"/>
                <w:color w:val="auto"/>
                <w:sz w:val="28"/>
                <w:highlight w:val="none"/>
                <w:lang w:val="en-US" w:eastAsia="zh-CN"/>
              </w:rPr>
              <w:t>6</w:t>
            </w:r>
            <w:r>
              <w:rPr>
                <w:rFonts w:hint="eastAsia" w:hAnsi="宋体" w:cs="宋体"/>
                <w:color w:val="auto"/>
                <w:sz w:val="28"/>
                <w:highlight w:val="none"/>
              </w:rPr>
              <w:t>月</w:t>
            </w:r>
          </w:p>
        </w:tc>
      </w:tr>
    </w:tbl>
    <w:p w14:paraId="2DF2E24F">
      <w:pPr>
        <w:pStyle w:val="4"/>
        <w:rPr>
          <w:rFonts w:hint="eastAsia" w:ascii="宋体" w:hAnsi="宋体" w:eastAsia="宋体" w:cs="宋体"/>
          <w:b/>
          <w:bCs/>
          <w:color w:val="auto"/>
          <w:kern w:val="2"/>
          <w:sz w:val="56"/>
          <w:szCs w:val="72"/>
          <w:highlight w:val="none"/>
          <w:u w:val="none"/>
          <w:lang w:val="en-US" w:eastAsia="zh-CN" w:bidi="ar-SA"/>
        </w:rPr>
      </w:pPr>
    </w:p>
    <w:p w14:paraId="0751871B">
      <w:pPr>
        <w:rPr>
          <w:rFonts w:hint="eastAsia" w:ascii="宋体" w:hAnsi="宋体" w:eastAsia="宋体" w:cs="宋体"/>
          <w:b/>
          <w:bCs/>
          <w:color w:val="auto"/>
          <w:kern w:val="2"/>
          <w:sz w:val="56"/>
          <w:szCs w:val="72"/>
          <w:highlight w:val="none"/>
          <w:u w:val="none"/>
          <w:lang w:val="en-US" w:eastAsia="zh-CN" w:bidi="ar-SA"/>
        </w:rPr>
      </w:pPr>
    </w:p>
    <w:p w14:paraId="754B1189">
      <w:pPr>
        <w:rPr>
          <w:rFonts w:hint="eastAsia" w:ascii="宋体" w:hAnsi="宋体" w:eastAsia="宋体" w:cs="宋体"/>
          <w:b/>
          <w:bCs/>
          <w:color w:val="auto"/>
          <w:kern w:val="2"/>
          <w:sz w:val="56"/>
          <w:szCs w:val="72"/>
          <w:highlight w:val="none"/>
          <w:u w:val="none"/>
          <w:lang w:val="en-US" w:eastAsia="zh-CN" w:bidi="ar-SA"/>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484EE0F0">
      <w:pPr>
        <w:rPr>
          <w:rFonts w:hint="eastAsia" w:ascii="宋体" w:hAnsi="宋体" w:eastAsia="宋体" w:cs="宋体"/>
          <w:color w:val="auto"/>
          <w:highlight w:val="none"/>
        </w:rPr>
      </w:pPr>
    </w:p>
    <w:p w14:paraId="16F7CD0A">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3DFC7087">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_Toc30584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_Toc30584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A0223B6">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_Toc1079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822F934">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_Toc14297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第二节 重要事项时间地点一览表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_Toc14297 \h </w:instrText>
      </w:r>
      <w:r>
        <w:rPr>
          <w:color w:val="auto"/>
          <w:sz w:val="24"/>
          <w:szCs w:val="24"/>
          <w:highlight w:val="none"/>
        </w:rPr>
        <w:fldChar w:fldCharType="separate"/>
      </w:r>
      <w:r>
        <w:rPr>
          <w:color w:val="auto"/>
          <w:sz w:val="24"/>
          <w:szCs w:val="24"/>
          <w:highlight w:val="none"/>
        </w:rPr>
        <w:t>10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4609B84">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_Toc9283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投标人须知正文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_Toc9283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53F24B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_Toc19017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4"/>
          <w:sz w:val="24"/>
          <w:szCs w:val="24"/>
          <w:highlight w:val="none"/>
        </w:rPr>
        <w:t>．项目概况、招标范围和标段划分、投标费用等</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_Toc19017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CC4B9B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_Toc21208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2．</w:t>
      </w:r>
      <w:r>
        <w:rPr>
          <w:rFonts w:hint="eastAsia" w:ascii="宋体" w:hAnsi="宋体" w:eastAsia="宋体" w:cs="宋体"/>
          <w:bCs w:val="0"/>
          <w:color w:val="auto"/>
          <w:sz w:val="24"/>
          <w:szCs w:val="24"/>
          <w:highlight w:val="none"/>
          <w:lang w:eastAsia="zh-CN"/>
        </w:rPr>
        <w:t>投标人</w:t>
      </w:r>
      <w:r>
        <w:rPr>
          <w:rFonts w:hint="eastAsia" w:ascii="宋体" w:hAnsi="宋体" w:eastAsia="宋体" w:cs="宋体"/>
          <w:bCs w:val="0"/>
          <w:color w:val="auto"/>
          <w:sz w:val="24"/>
          <w:szCs w:val="24"/>
          <w:highlight w:val="none"/>
        </w:rPr>
        <w:t>资质要求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_Toc21208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6661F8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_Toc21490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3．招标文件的获取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_Toc21490 \h </w:instrText>
      </w:r>
      <w:r>
        <w:rPr>
          <w:color w:val="auto"/>
          <w:sz w:val="24"/>
          <w:szCs w:val="24"/>
          <w:highlight w:val="none"/>
        </w:rPr>
        <w:fldChar w:fldCharType="separate"/>
      </w:r>
      <w:r>
        <w:rPr>
          <w:color w:val="auto"/>
          <w:sz w:val="24"/>
          <w:szCs w:val="24"/>
          <w:highlight w:val="none"/>
        </w:rPr>
        <w:t>13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6F8D0CD">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_Toc8255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8"/>
          <w:sz w:val="24"/>
          <w:szCs w:val="24"/>
          <w:highlight w:val="none"/>
          <w:lang w:val="en-US" w:eastAsia="zh-CN"/>
        </w:rPr>
        <w:t xml:space="preserve"> </w:t>
      </w:r>
      <w:r>
        <w:rPr>
          <w:rFonts w:hint="eastAsia" w:ascii="宋体" w:hAnsi="宋体" w:eastAsia="宋体" w:cs="宋体"/>
          <w:bCs/>
          <w:color w:val="auto"/>
          <w:spacing w:val="-8"/>
          <w:sz w:val="24"/>
          <w:szCs w:val="24"/>
          <w:highlight w:val="none"/>
        </w:rPr>
        <w:t>．工期要求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_Toc8255 \h </w:instrText>
      </w:r>
      <w:r>
        <w:rPr>
          <w:color w:val="auto"/>
          <w:sz w:val="24"/>
          <w:szCs w:val="24"/>
          <w:highlight w:val="none"/>
        </w:rPr>
        <w:fldChar w:fldCharType="separate"/>
      </w:r>
      <w:r>
        <w:rPr>
          <w:color w:val="auto"/>
          <w:sz w:val="24"/>
          <w:szCs w:val="24"/>
          <w:highlight w:val="none"/>
        </w:rPr>
        <w:t>15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945DC3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_Toc11449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5</w:t>
      </w:r>
      <w:r>
        <w:rPr>
          <w:rFonts w:hint="eastAsia" w:ascii="宋体" w:hAnsi="宋体" w:eastAsia="宋体" w:cs="宋体"/>
          <w:bCs/>
          <w:color w:val="auto"/>
          <w:spacing w:val="-5"/>
          <w:sz w:val="24"/>
          <w:szCs w:val="24"/>
          <w:highlight w:val="none"/>
          <w:lang w:val="en-US" w:eastAsia="zh-CN"/>
        </w:rPr>
        <w:t xml:space="preserve"> </w:t>
      </w:r>
      <w:r>
        <w:rPr>
          <w:rFonts w:hint="eastAsia" w:ascii="宋体" w:hAnsi="宋体" w:eastAsia="宋体" w:cs="宋体"/>
          <w:bCs/>
          <w:color w:val="auto"/>
          <w:spacing w:val="-5"/>
          <w:sz w:val="24"/>
          <w:szCs w:val="24"/>
          <w:highlight w:val="none"/>
        </w:rPr>
        <w:t>．质量标准和材料、机械要求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_Toc11449 \h </w:instrText>
      </w:r>
      <w:r>
        <w:rPr>
          <w:color w:val="auto"/>
          <w:sz w:val="24"/>
          <w:szCs w:val="24"/>
          <w:highlight w:val="none"/>
        </w:rPr>
        <w:fldChar w:fldCharType="separate"/>
      </w:r>
      <w:r>
        <w:rPr>
          <w:color w:val="auto"/>
          <w:sz w:val="24"/>
          <w:szCs w:val="24"/>
          <w:highlight w:val="none"/>
        </w:rPr>
        <w:t>15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CA13DC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_Toc21146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6</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bCs/>
          <w:color w:val="auto"/>
          <w:spacing w:val="-6"/>
          <w:sz w:val="24"/>
          <w:szCs w:val="24"/>
          <w:highlight w:val="none"/>
        </w:rPr>
        <w:t>．施工条件及现场踏勘</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_Toc21146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DB3956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_Toc24768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7</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5"/>
          <w:sz w:val="24"/>
          <w:szCs w:val="24"/>
          <w:highlight w:val="none"/>
        </w:rPr>
        <w:t>．招标文件的提问和答疑</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_Toc24768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1678CD">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8</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5"/>
          <w:sz w:val="24"/>
          <w:szCs w:val="24"/>
          <w:highlight w:val="none"/>
        </w:rPr>
        <w:t>．</w:t>
      </w:r>
      <w:r>
        <w:rPr>
          <w:rFonts w:hint="eastAsia" w:ascii="宋体" w:hAnsi="宋体" w:eastAsia="宋体" w:cs="宋体"/>
          <w:bCs/>
          <w:color w:val="auto"/>
          <w:spacing w:val="-1"/>
          <w:sz w:val="24"/>
          <w:szCs w:val="24"/>
          <w:highlight w:val="none"/>
          <w:lang w:eastAsia="zh-CN"/>
        </w:rPr>
        <w:t>最高投标限价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_Toc20958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82D89D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_Toc6911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9</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8"/>
          <w:sz w:val="24"/>
          <w:szCs w:val="24"/>
          <w:highlight w:val="none"/>
        </w:rPr>
        <w:t>．投标报价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_Toc6911 \h </w:instrText>
      </w:r>
      <w:r>
        <w:rPr>
          <w:color w:val="auto"/>
          <w:sz w:val="24"/>
          <w:szCs w:val="24"/>
          <w:highlight w:val="none"/>
        </w:rPr>
        <w:fldChar w:fldCharType="separate"/>
      </w:r>
      <w:r>
        <w:rPr>
          <w:color w:val="auto"/>
          <w:sz w:val="24"/>
          <w:szCs w:val="24"/>
          <w:highlight w:val="none"/>
        </w:rPr>
        <w:t>18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2C3515A">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_Toc23711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10</w:t>
      </w:r>
      <w:r>
        <w:rPr>
          <w:rFonts w:hint="eastAsia" w:ascii="宋体" w:hAnsi="宋体" w:eastAsia="宋体" w:cs="宋体"/>
          <w:bCs/>
          <w:color w:val="auto"/>
          <w:spacing w:val="-21"/>
          <w:sz w:val="24"/>
          <w:szCs w:val="24"/>
          <w:highlight w:val="none"/>
        </w:rPr>
        <w:t xml:space="preserve"> </w:t>
      </w:r>
      <w:r>
        <w:rPr>
          <w:rFonts w:hint="eastAsia" w:ascii="宋体" w:hAnsi="宋体" w:eastAsia="宋体" w:cs="宋体"/>
          <w:bCs/>
          <w:color w:val="auto"/>
          <w:spacing w:val="-6"/>
          <w:sz w:val="24"/>
          <w:szCs w:val="24"/>
          <w:highlight w:val="none"/>
        </w:rPr>
        <w:t>．投标文件的编制要求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_Toc23711 \h </w:instrText>
      </w:r>
      <w:r>
        <w:rPr>
          <w:color w:val="auto"/>
          <w:sz w:val="24"/>
          <w:szCs w:val="24"/>
          <w:highlight w:val="none"/>
        </w:rPr>
        <w:fldChar w:fldCharType="separate"/>
      </w:r>
      <w:r>
        <w:rPr>
          <w:color w:val="auto"/>
          <w:sz w:val="24"/>
          <w:szCs w:val="24"/>
          <w:highlight w:val="none"/>
        </w:rPr>
        <w:t>19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FF2D0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_Toc10599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11.</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_Toc10599 \h </w:instrText>
      </w:r>
      <w:r>
        <w:rPr>
          <w:color w:val="auto"/>
          <w:sz w:val="24"/>
          <w:szCs w:val="24"/>
          <w:highlight w:val="none"/>
        </w:rPr>
        <w:fldChar w:fldCharType="separate"/>
      </w:r>
      <w:r>
        <w:rPr>
          <w:color w:val="auto"/>
          <w:sz w:val="24"/>
          <w:szCs w:val="24"/>
          <w:highlight w:val="none"/>
        </w:rPr>
        <w:t>23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2521956">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_Toc5126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lang w:val="en-US" w:eastAsia="zh-CN"/>
        </w:rPr>
        <w:t>12.</w:t>
      </w:r>
      <w:r>
        <w:rPr>
          <w:rFonts w:hint="eastAsia" w:ascii="宋体" w:hAnsi="宋体" w:eastAsia="宋体" w:cs="宋体"/>
          <w:bCs/>
          <w:color w:val="auto"/>
          <w:spacing w:val="22"/>
          <w:w w:val="101"/>
          <w:sz w:val="24"/>
          <w:szCs w:val="24"/>
          <w:highlight w:val="none"/>
        </w:rPr>
        <w:t xml:space="preserve"> </w:t>
      </w:r>
      <w:r>
        <w:rPr>
          <w:rFonts w:hint="eastAsia" w:ascii="宋体" w:hAnsi="宋体" w:eastAsia="宋体" w:cs="宋体"/>
          <w:bCs/>
          <w:color w:val="auto"/>
          <w:spacing w:val="-4"/>
          <w:sz w:val="24"/>
          <w:szCs w:val="24"/>
          <w:highlight w:val="none"/>
        </w:rPr>
        <w:t>电子投标及投标解密失败及突发情况的补救方案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_Toc5126 \h </w:instrText>
      </w:r>
      <w:r>
        <w:rPr>
          <w:color w:val="auto"/>
          <w:sz w:val="24"/>
          <w:szCs w:val="24"/>
          <w:highlight w:val="none"/>
        </w:rPr>
        <w:fldChar w:fldCharType="separate"/>
      </w:r>
      <w:r>
        <w:rPr>
          <w:color w:val="auto"/>
          <w:sz w:val="24"/>
          <w:szCs w:val="24"/>
          <w:highlight w:val="none"/>
        </w:rPr>
        <w:t>23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8AA048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_Toc3957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13</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7"/>
          <w:sz w:val="24"/>
          <w:szCs w:val="24"/>
          <w:highlight w:val="none"/>
        </w:rPr>
        <w:t>．投标文件的提交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_Toc3957 \h </w:instrText>
      </w:r>
      <w:r>
        <w:rPr>
          <w:color w:val="auto"/>
          <w:sz w:val="24"/>
          <w:szCs w:val="24"/>
          <w:highlight w:val="none"/>
        </w:rPr>
        <w:fldChar w:fldCharType="separate"/>
      </w:r>
      <w:r>
        <w:rPr>
          <w:color w:val="auto"/>
          <w:sz w:val="24"/>
          <w:szCs w:val="24"/>
          <w:highlight w:val="none"/>
        </w:rPr>
        <w:t>23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F76608C">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_Toc8365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14</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．开标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_Toc8365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1ECD35C">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15</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．评标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_Toc554 \h </w:instrText>
      </w:r>
      <w:r>
        <w:rPr>
          <w:color w:val="auto"/>
          <w:sz w:val="24"/>
          <w:szCs w:val="24"/>
          <w:highlight w:val="none"/>
        </w:rPr>
        <w:fldChar w:fldCharType="separate"/>
      </w:r>
      <w:r>
        <w:rPr>
          <w:color w:val="auto"/>
          <w:sz w:val="24"/>
          <w:szCs w:val="24"/>
          <w:highlight w:val="none"/>
        </w:rPr>
        <w:t>25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F9A60A6">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firstLine="436" w:firstLineChars="200"/>
        <w:textAlignment w:val="baseline"/>
        <w:rPr>
          <w:color w:val="auto"/>
          <w:sz w:val="24"/>
          <w:szCs w:val="24"/>
          <w:highlight w:val="none"/>
        </w:rPr>
      </w:pPr>
      <w:r>
        <w:rPr>
          <w:rFonts w:hint="eastAsia" w:ascii="宋体" w:hAnsi="宋体" w:eastAsia="宋体" w:cs="宋体"/>
          <w:bCs/>
          <w:snapToGrid w:val="0"/>
          <w:color w:val="auto"/>
          <w:spacing w:val="-11"/>
          <w:sz w:val="24"/>
          <w:szCs w:val="24"/>
          <w:highlight w:val="none"/>
          <w:lang w:val="en-US" w:eastAsia="en-US" w:bidi="ar-SA"/>
        </w:rPr>
        <w:t>16</w:t>
      </w:r>
      <w:r>
        <w:rPr>
          <w:rFonts w:hint="eastAsia" w:ascii="宋体" w:hAnsi="宋体" w:eastAsia="宋体" w:cs="宋体"/>
          <w:bCs/>
          <w:snapToGrid w:val="0"/>
          <w:color w:val="auto"/>
          <w:spacing w:val="-11"/>
          <w:sz w:val="24"/>
          <w:szCs w:val="24"/>
          <w:highlight w:val="none"/>
          <w:lang w:val="en-US" w:eastAsia="zh-CN" w:bidi="ar-SA"/>
        </w:rPr>
        <w:t>.  评标结果公示</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_Toc32569 </w:instrText>
      </w:r>
      <w:r>
        <w:rPr>
          <w:rFonts w:hint="eastAsia" w:ascii="宋体" w:hAnsi="宋体" w:eastAsia="宋体" w:cs="宋体"/>
          <w:color w:val="auto"/>
          <w:sz w:val="24"/>
          <w:szCs w:val="24"/>
          <w:highlight w:val="none"/>
        </w:rPr>
        <w:fldChar w:fldCharType="separate"/>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_Toc32569 \h </w:instrText>
      </w:r>
      <w:r>
        <w:rPr>
          <w:color w:val="auto"/>
          <w:sz w:val="24"/>
          <w:szCs w:val="24"/>
          <w:highlight w:val="none"/>
        </w:rPr>
        <w:fldChar w:fldCharType="separate"/>
      </w:r>
      <w:r>
        <w:rPr>
          <w:color w:val="auto"/>
          <w:sz w:val="24"/>
          <w:szCs w:val="24"/>
          <w:highlight w:val="none"/>
        </w:rPr>
        <w:t>38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5EBCF35">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否决投标条件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_Toc16554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8E09DD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_Toc15082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．资格评审环节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_Toc15082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8E3D5A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．形式评审环节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_Toc5925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9CB2B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_Toc19828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3</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6"/>
          <w:sz w:val="24"/>
          <w:szCs w:val="24"/>
          <w:highlight w:val="none"/>
        </w:rPr>
        <w:t>．响应性评审环节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_Toc19828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BEB922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4</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11"/>
          <w:sz w:val="24"/>
          <w:szCs w:val="24"/>
          <w:highlight w:val="none"/>
        </w:rPr>
        <w:t>．其他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_Toc1458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EBCD9DE">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_Toc22243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五</w:t>
      </w:r>
      <w:r>
        <w:rPr>
          <w:rFonts w:hint="eastAsia" w:ascii="宋体" w:hAnsi="宋体" w:eastAsia="宋体" w:cs="宋体"/>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定标规定及细则（本项目采用票决数量法定标）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_Toc22243 \h </w:instrText>
      </w:r>
      <w:r>
        <w:rPr>
          <w:color w:val="auto"/>
          <w:sz w:val="24"/>
          <w:szCs w:val="24"/>
          <w:highlight w:val="none"/>
        </w:rPr>
        <w:fldChar w:fldCharType="separate"/>
      </w:r>
      <w:r>
        <w:rPr>
          <w:color w:val="auto"/>
          <w:sz w:val="24"/>
          <w:szCs w:val="24"/>
          <w:highlight w:val="none"/>
        </w:rPr>
        <w:t>42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B09D727">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_Toc4926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六</w:t>
      </w:r>
      <w:r>
        <w:rPr>
          <w:rFonts w:hint="eastAsia" w:ascii="宋体" w:hAnsi="宋体" w:eastAsia="宋体" w:cs="宋体"/>
          <w:bCs/>
          <w:color w:val="auto"/>
          <w:spacing w:val="-3"/>
          <w:sz w:val="24"/>
          <w:szCs w:val="24"/>
          <w:highlight w:val="none"/>
        </w:rPr>
        <w:t>节 中标确认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_Toc4926 \h </w:instrText>
      </w:r>
      <w:r>
        <w:rPr>
          <w:color w:val="auto"/>
          <w:sz w:val="24"/>
          <w:szCs w:val="24"/>
          <w:highlight w:val="none"/>
        </w:rPr>
        <w:fldChar w:fldCharType="separate"/>
      </w:r>
      <w:r>
        <w:rPr>
          <w:color w:val="auto"/>
          <w:sz w:val="24"/>
          <w:szCs w:val="24"/>
          <w:highlight w:val="none"/>
        </w:rPr>
        <w:t>45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D9F5BD6">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_Toc13655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Cs/>
          <w:color w:val="auto"/>
          <w:spacing w:val="-7"/>
          <w:sz w:val="24"/>
          <w:szCs w:val="24"/>
          <w:highlight w:val="none"/>
        </w:rPr>
        <w:t>中标人须知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_Toc13655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C7805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9"/>
          <w:sz w:val="24"/>
          <w:szCs w:val="24"/>
          <w:highlight w:val="none"/>
        </w:rPr>
        <w:t>．中标通知书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_Toc21697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09130F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．中标结果公示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_Toc979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B6204D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_Toc13145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．履约保证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_Toc13145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88ED6E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8"/>
          <w:sz w:val="24"/>
          <w:szCs w:val="24"/>
          <w:highlight w:val="none"/>
        </w:rPr>
        <w:t>．合同订立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_Toc133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21671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_Toc4089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5</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6"/>
          <w:sz w:val="24"/>
          <w:szCs w:val="24"/>
          <w:highlight w:val="none"/>
        </w:rPr>
        <w:t>．放弃中标的处理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_Toc4089 \h </w:instrText>
      </w:r>
      <w:r>
        <w:rPr>
          <w:color w:val="auto"/>
          <w:sz w:val="24"/>
          <w:szCs w:val="24"/>
          <w:highlight w:val="none"/>
        </w:rPr>
        <w:fldChar w:fldCharType="separate"/>
      </w:r>
      <w:r>
        <w:rPr>
          <w:color w:val="auto"/>
          <w:sz w:val="24"/>
          <w:szCs w:val="24"/>
          <w:highlight w:val="none"/>
        </w:rPr>
        <w:t>49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21332B1">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_Toc7715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拟签订合同的主要条款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_Toc7715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61C23E6">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_Toc6603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．工程承包方式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_Toc6603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D9D3902">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_Toc24910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．工程结算原则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_Toc24910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DA451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_Toc5247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3. 工程付款办法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_Toc5247 \h </w:instrText>
      </w:r>
      <w:r>
        <w:rPr>
          <w:color w:val="auto"/>
          <w:sz w:val="24"/>
          <w:szCs w:val="24"/>
          <w:highlight w:val="none"/>
        </w:rPr>
        <w:fldChar w:fldCharType="separate"/>
      </w:r>
      <w:r>
        <w:rPr>
          <w:color w:val="auto"/>
          <w:sz w:val="24"/>
          <w:szCs w:val="24"/>
          <w:highlight w:val="none"/>
        </w:rPr>
        <w:t>56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DD4D14D">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_Toc29229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4</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7"/>
          <w:sz w:val="24"/>
          <w:szCs w:val="24"/>
          <w:highlight w:val="none"/>
        </w:rPr>
        <w:t>．其他专用合同条款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_Toc29229 \h </w:instrText>
      </w:r>
      <w:r>
        <w:rPr>
          <w:color w:val="auto"/>
          <w:sz w:val="24"/>
          <w:szCs w:val="24"/>
          <w:highlight w:val="none"/>
        </w:rPr>
        <w:fldChar w:fldCharType="separate"/>
      </w:r>
      <w:r>
        <w:rPr>
          <w:color w:val="auto"/>
          <w:sz w:val="24"/>
          <w:szCs w:val="24"/>
          <w:highlight w:val="none"/>
        </w:rPr>
        <w:t>57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82F1F31">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_Toc30225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技术要求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_Toc30225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2C733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_Toc19340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6"/>
          <w:sz w:val="24"/>
          <w:szCs w:val="24"/>
          <w:highlight w:val="none"/>
        </w:rPr>
        <w:t>．</w:t>
      </w:r>
      <w:r>
        <w:rPr>
          <w:rFonts w:hint="eastAsia" w:ascii="宋体" w:hAnsi="宋体" w:eastAsia="宋体" w:cs="宋体"/>
          <w:bCs/>
          <w:color w:val="auto"/>
          <w:spacing w:val="-1"/>
          <w:sz w:val="24"/>
          <w:szCs w:val="24"/>
          <w:highlight w:val="none"/>
        </w:rPr>
        <w:t>房屋建筑工程建设项目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_Toc19340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F5ACA6">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_Toc16340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2</w:t>
      </w:r>
      <w:r>
        <w:rPr>
          <w:rFonts w:hint="eastAsia" w:ascii="宋体" w:hAnsi="宋体" w:eastAsia="宋体" w:cs="宋体"/>
          <w:bCs/>
          <w:color w:val="auto"/>
          <w:spacing w:val="-18"/>
          <w:sz w:val="24"/>
          <w:szCs w:val="24"/>
          <w:highlight w:val="none"/>
        </w:rPr>
        <w:t xml:space="preserve"> </w:t>
      </w:r>
      <w:r>
        <w:rPr>
          <w:rFonts w:hint="eastAsia" w:ascii="宋体" w:hAnsi="宋体" w:eastAsia="宋体" w:cs="宋体"/>
          <w:bCs/>
          <w:color w:val="auto"/>
          <w:spacing w:val="-5"/>
          <w:sz w:val="24"/>
          <w:szCs w:val="24"/>
          <w:highlight w:val="none"/>
        </w:rPr>
        <w:t>．市政基础设施工程建设项目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_Toc16340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15472F8">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_Toc31813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．备查要求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_Toc31813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51C0CAD">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Cs/>
          <w:color w:val="auto"/>
          <w:spacing w:val="-5"/>
          <w:sz w:val="24"/>
          <w:szCs w:val="24"/>
          <w:highlight w:val="none"/>
        </w:rPr>
        <w:t>图纸和招标工程量清单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_Toc21699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0187F4D">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_Toc21706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4"/>
          <w:sz w:val="24"/>
          <w:szCs w:val="24"/>
          <w:highlight w:val="none"/>
        </w:rPr>
        <w:t>1</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14"/>
          <w:sz w:val="24"/>
          <w:szCs w:val="24"/>
          <w:highlight w:val="none"/>
        </w:rPr>
        <w:t>．图纸</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_Toc21706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CD028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_Toc24419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2</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6"/>
          <w:sz w:val="24"/>
          <w:szCs w:val="24"/>
          <w:highlight w:val="none"/>
        </w:rPr>
        <w:t>．招标工程量清单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_Toc24419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203C0AF">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_Toc27130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_Toc27130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5E6BCE1">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_Toc11203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Cs/>
          <w:color w:val="auto"/>
          <w:spacing w:val="-4"/>
          <w:sz w:val="24"/>
          <w:szCs w:val="24"/>
          <w:highlight w:val="none"/>
        </w:rPr>
        <w:t>封面</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_Toc11203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5A9416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_Toc24492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格式二 投标函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_Toc24492 \h </w:instrText>
      </w:r>
      <w:r>
        <w:rPr>
          <w:color w:val="auto"/>
          <w:sz w:val="24"/>
          <w:szCs w:val="24"/>
          <w:highlight w:val="none"/>
        </w:rPr>
        <w:fldChar w:fldCharType="separate"/>
      </w:r>
      <w:r>
        <w:rPr>
          <w:color w:val="auto"/>
          <w:sz w:val="24"/>
          <w:szCs w:val="24"/>
          <w:highlight w:val="none"/>
        </w:rPr>
        <w:t>70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34F0D0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格式三 各项承诺一览表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_Toc15958 \h </w:instrText>
      </w:r>
      <w:r>
        <w:rPr>
          <w:color w:val="auto"/>
          <w:sz w:val="24"/>
          <w:szCs w:val="24"/>
          <w:highlight w:val="none"/>
        </w:rPr>
        <w:fldChar w:fldCharType="separate"/>
      </w:r>
      <w:r>
        <w:rPr>
          <w:color w:val="auto"/>
          <w:sz w:val="24"/>
          <w:szCs w:val="24"/>
          <w:highlight w:val="none"/>
        </w:rPr>
        <w:t>71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2A84939">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格式四 授权委托书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_Toc16537 \h </w:instrText>
      </w:r>
      <w:r>
        <w:rPr>
          <w:color w:val="auto"/>
          <w:sz w:val="24"/>
          <w:szCs w:val="24"/>
          <w:highlight w:val="none"/>
        </w:rPr>
        <w:fldChar w:fldCharType="separate"/>
      </w:r>
      <w:r>
        <w:rPr>
          <w:color w:val="auto"/>
          <w:sz w:val="24"/>
          <w:szCs w:val="24"/>
          <w:highlight w:val="none"/>
        </w:rPr>
        <w:t>73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62D047">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_Toc30394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格式五 法定代表人身份证明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_Toc30394 \h </w:instrText>
      </w:r>
      <w:r>
        <w:rPr>
          <w:color w:val="auto"/>
          <w:sz w:val="24"/>
          <w:szCs w:val="24"/>
          <w:highlight w:val="none"/>
        </w:rPr>
        <w:fldChar w:fldCharType="separate"/>
      </w:r>
      <w:r>
        <w:rPr>
          <w:color w:val="auto"/>
          <w:sz w:val="24"/>
          <w:szCs w:val="24"/>
          <w:highlight w:val="none"/>
        </w:rPr>
        <w:t>74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47D5A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_Toc5771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格式六 联合体协议书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_Toc5771 \h </w:instrText>
      </w:r>
      <w:r>
        <w:rPr>
          <w:color w:val="auto"/>
          <w:sz w:val="24"/>
          <w:szCs w:val="24"/>
          <w:highlight w:val="none"/>
        </w:rPr>
        <w:fldChar w:fldCharType="separate"/>
      </w:r>
      <w:r>
        <w:rPr>
          <w:color w:val="auto"/>
          <w:sz w:val="24"/>
          <w:szCs w:val="24"/>
          <w:highlight w:val="none"/>
        </w:rPr>
        <w:t>75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3326E95">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_Toc17838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格式七 投标人基本情况表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_Toc17838 \h </w:instrText>
      </w:r>
      <w:r>
        <w:rPr>
          <w:color w:val="auto"/>
          <w:sz w:val="24"/>
          <w:szCs w:val="24"/>
          <w:highlight w:val="none"/>
        </w:rPr>
        <w:fldChar w:fldCharType="separate"/>
      </w:r>
      <w:r>
        <w:rPr>
          <w:color w:val="auto"/>
          <w:sz w:val="24"/>
          <w:szCs w:val="24"/>
          <w:highlight w:val="none"/>
        </w:rPr>
        <w:t>76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9BEDFF4">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格式八 项目经理简历表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_Toc19699 \h </w:instrText>
      </w:r>
      <w:r>
        <w:rPr>
          <w:color w:val="auto"/>
          <w:sz w:val="24"/>
          <w:szCs w:val="24"/>
          <w:highlight w:val="none"/>
        </w:rPr>
        <w:fldChar w:fldCharType="separate"/>
      </w:r>
      <w:r>
        <w:rPr>
          <w:color w:val="auto"/>
          <w:sz w:val="24"/>
          <w:szCs w:val="24"/>
          <w:highlight w:val="none"/>
        </w:rPr>
        <w:t>77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8C87CE">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_Toc30661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格式九 项目经理任职声明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_Toc30661 \h </w:instrText>
      </w:r>
      <w:r>
        <w:rPr>
          <w:color w:val="auto"/>
          <w:sz w:val="24"/>
          <w:szCs w:val="24"/>
          <w:highlight w:val="none"/>
        </w:rPr>
        <w:fldChar w:fldCharType="separate"/>
      </w:r>
      <w:r>
        <w:rPr>
          <w:color w:val="auto"/>
          <w:sz w:val="24"/>
          <w:szCs w:val="24"/>
          <w:highlight w:val="none"/>
        </w:rPr>
        <w:t>78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8612EDC">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_Toc31071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 项目技术负责人简历表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_Toc31071 \h </w:instrText>
      </w:r>
      <w:r>
        <w:rPr>
          <w:color w:val="auto"/>
          <w:sz w:val="24"/>
          <w:szCs w:val="24"/>
          <w:highlight w:val="none"/>
        </w:rPr>
        <w:fldChar w:fldCharType="separate"/>
      </w:r>
      <w:r>
        <w:rPr>
          <w:color w:val="auto"/>
          <w:sz w:val="24"/>
          <w:szCs w:val="24"/>
          <w:highlight w:val="none"/>
        </w:rPr>
        <w:t>79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2D609AD">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_Toc25235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格式十一 项目管理机构组成表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_Toc25235 \h </w:instrText>
      </w:r>
      <w:r>
        <w:rPr>
          <w:color w:val="auto"/>
          <w:sz w:val="24"/>
          <w:szCs w:val="24"/>
          <w:highlight w:val="none"/>
        </w:rPr>
        <w:fldChar w:fldCharType="separate"/>
      </w:r>
      <w:r>
        <w:rPr>
          <w:color w:val="auto"/>
          <w:sz w:val="24"/>
          <w:szCs w:val="24"/>
          <w:highlight w:val="none"/>
        </w:rPr>
        <w:t>80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4141F3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_Toc16480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格式十二 建造师查询页（有效期+建造师签字）</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_Toc16480 \h </w:instrText>
      </w:r>
      <w:r>
        <w:rPr>
          <w:color w:val="auto"/>
          <w:sz w:val="24"/>
          <w:szCs w:val="24"/>
          <w:highlight w:val="none"/>
        </w:rPr>
        <w:fldChar w:fldCharType="separate"/>
      </w:r>
      <w:r>
        <w:rPr>
          <w:color w:val="auto"/>
          <w:sz w:val="24"/>
          <w:szCs w:val="24"/>
          <w:highlight w:val="none"/>
        </w:rPr>
        <w:t>81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00DB63">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_Toc28779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格式十三：</w:t>
      </w:r>
      <w:r>
        <w:rPr>
          <w:rFonts w:hint="eastAsia" w:ascii="宋体" w:hAnsi="宋体" w:eastAsia="宋体" w:cs="宋体"/>
          <w:bCs/>
          <w:color w:val="auto"/>
          <w:spacing w:val="7"/>
          <w:sz w:val="24"/>
          <w:szCs w:val="24"/>
          <w:highlight w:val="none"/>
        </w:rPr>
        <w:t>危险性较大的分部分项工程清单及超过一定规模的危险性较大的</w:t>
      </w:r>
      <w:r>
        <w:rPr>
          <w:rFonts w:hint="eastAsia" w:ascii="宋体" w:hAnsi="宋体" w:eastAsia="宋体" w:cs="宋体"/>
          <w:bCs/>
          <w:color w:val="auto"/>
          <w:spacing w:val="5"/>
          <w:sz w:val="24"/>
          <w:szCs w:val="24"/>
          <w:highlight w:val="none"/>
        </w:rPr>
        <w:t>分部分项工程清单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_Toc28779 \h </w:instrText>
      </w:r>
      <w:r>
        <w:rPr>
          <w:color w:val="auto"/>
          <w:sz w:val="24"/>
          <w:szCs w:val="24"/>
          <w:highlight w:val="none"/>
        </w:rPr>
        <w:fldChar w:fldCharType="separate"/>
      </w:r>
      <w:r>
        <w:rPr>
          <w:color w:val="auto"/>
          <w:sz w:val="24"/>
          <w:szCs w:val="24"/>
          <w:highlight w:val="none"/>
        </w:rPr>
        <w:t>83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37AEA4F">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格式十四</w:t>
      </w:r>
      <w:r>
        <w:rPr>
          <w:rFonts w:hint="eastAsia" w:ascii="宋体" w:hAnsi="宋体" w:eastAsia="宋体" w:cs="宋体"/>
          <w:bCs/>
          <w:color w:val="auto"/>
          <w:spacing w:val="-4"/>
          <w:sz w:val="24"/>
          <w:szCs w:val="24"/>
          <w:highlight w:val="none"/>
          <w:lang w:val="en-US" w:eastAsia="zh-CN"/>
        </w:rPr>
        <w:t xml:space="preserve">  </w:t>
      </w:r>
      <w:r>
        <w:rPr>
          <w:rFonts w:hint="eastAsia" w:ascii="宋体" w:hAnsi="宋体" w:eastAsia="宋体" w:cs="宋体"/>
          <w:bCs/>
          <w:color w:val="auto"/>
          <w:spacing w:val="4"/>
          <w:position w:val="3"/>
          <w:sz w:val="24"/>
          <w:szCs w:val="24"/>
          <w:highlight w:val="none"/>
        </w:rPr>
        <w:t>投标保证金信用承诺函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_Toc738 \h </w:instrText>
      </w:r>
      <w:r>
        <w:rPr>
          <w:color w:val="auto"/>
          <w:sz w:val="24"/>
          <w:szCs w:val="24"/>
          <w:highlight w:val="none"/>
        </w:rPr>
        <w:fldChar w:fldCharType="separate"/>
      </w:r>
      <w:r>
        <w:rPr>
          <w:color w:val="auto"/>
          <w:sz w:val="24"/>
          <w:szCs w:val="24"/>
          <w:highlight w:val="none"/>
        </w:rPr>
        <w:t>88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9B5F870">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_Toc9960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w:t>
      </w:r>
      <w:r>
        <w:rPr>
          <w:rFonts w:hint="eastAsia" w:ascii="宋体" w:hAnsi="宋体" w:eastAsia="宋体" w:cs="宋体"/>
          <w:bCs/>
          <w:color w:val="auto"/>
          <w:spacing w:val="-4"/>
          <w:sz w:val="24"/>
          <w:szCs w:val="24"/>
          <w:highlight w:val="none"/>
          <w:lang w:eastAsia="zh-CN"/>
        </w:rPr>
        <w:t>五</w:t>
      </w:r>
      <w:r>
        <w:rPr>
          <w:rFonts w:hint="eastAsia" w:ascii="宋体" w:hAnsi="宋体" w:eastAsia="宋体" w:cs="宋体"/>
          <w:bCs/>
          <w:color w:val="auto"/>
          <w:spacing w:val="-4"/>
          <w:sz w:val="24"/>
          <w:szCs w:val="24"/>
          <w:highlight w:val="none"/>
        </w:rPr>
        <w:t xml:space="preserve">  原件一览表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_Toc9960 \h </w:instrText>
      </w:r>
      <w:r>
        <w:rPr>
          <w:color w:val="auto"/>
          <w:sz w:val="24"/>
          <w:szCs w:val="24"/>
          <w:highlight w:val="none"/>
        </w:rPr>
        <w:fldChar w:fldCharType="separate"/>
      </w:r>
      <w:r>
        <w:rPr>
          <w:color w:val="auto"/>
          <w:sz w:val="24"/>
          <w:szCs w:val="24"/>
          <w:highlight w:val="none"/>
        </w:rPr>
        <w:t>89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27380DD">
      <w:pPr>
        <w:pStyle w:val="7"/>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HYPERLINK \l _Toc26323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lang w:eastAsia="zh-CN"/>
        </w:rPr>
        <w:t>格式十</w:t>
      </w:r>
      <w:r>
        <w:rPr>
          <w:rFonts w:hint="eastAsia" w:ascii="宋体" w:hAnsi="宋体" w:eastAsia="宋体" w:cs="宋体"/>
          <w:bCs/>
          <w:color w:val="auto"/>
          <w:spacing w:val="-4"/>
          <w:sz w:val="24"/>
          <w:szCs w:val="24"/>
          <w:highlight w:val="none"/>
          <w:lang w:val="en-US" w:eastAsia="zh-CN"/>
        </w:rPr>
        <w:t>六 定标因素评审资料</w:t>
      </w:r>
      <w:r>
        <w:rPr>
          <w:rFonts w:hint="eastAsia" w:ascii="宋体" w:hAnsi="宋体" w:eastAsia="宋体" w:cs="宋体"/>
          <w:bCs/>
          <w:color w:val="auto"/>
          <w:spacing w:val="-4"/>
          <w:sz w:val="24"/>
          <w:szCs w:val="24"/>
          <w:highlight w:val="none"/>
        </w:rPr>
        <w:tab/>
      </w: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PAGEREF _Toc26323 \h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90</w:t>
      </w:r>
      <w:r>
        <w:rPr>
          <w:rFonts w:hint="eastAsia" w:ascii="宋体" w:hAnsi="宋体" w:eastAsia="宋体" w:cs="宋体"/>
          <w:bCs/>
          <w:color w:val="auto"/>
          <w:spacing w:val="-4"/>
          <w:sz w:val="24"/>
          <w:szCs w:val="24"/>
          <w:highlight w:val="none"/>
        </w:rPr>
        <w:fldChar w:fldCharType="end"/>
      </w:r>
      <w:r>
        <w:rPr>
          <w:rFonts w:hint="eastAsia" w:ascii="宋体" w:hAnsi="宋体" w:eastAsia="宋体" w:cs="宋体"/>
          <w:bCs/>
          <w:color w:val="auto"/>
          <w:spacing w:val="-4"/>
          <w:sz w:val="24"/>
          <w:szCs w:val="24"/>
          <w:highlight w:val="none"/>
        </w:rPr>
        <w:fldChar w:fldCharType="end"/>
      </w:r>
    </w:p>
    <w:p w14:paraId="00202401">
      <w:pPr>
        <w:pStyle w:val="11"/>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_Toc10482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建设工程施工合同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_Toc10482 \h </w:instrText>
      </w:r>
      <w:r>
        <w:rPr>
          <w:color w:val="auto"/>
          <w:sz w:val="24"/>
          <w:szCs w:val="24"/>
          <w:highlight w:val="none"/>
        </w:rPr>
        <w:fldChar w:fldCharType="separate"/>
      </w:r>
      <w:r>
        <w:rPr>
          <w:color w:val="auto"/>
          <w:sz w:val="24"/>
          <w:szCs w:val="24"/>
          <w:highlight w:val="none"/>
        </w:rPr>
        <w:t>91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BA2C37D">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color w:val="auto"/>
          <w:sz w:val="24"/>
          <w:szCs w:val="24"/>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 w:val="24"/>
          <w:szCs w:val="24"/>
          <w:highlight w:val="none"/>
        </w:rPr>
        <w:fldChar w:fldCharType="end"/>
      </w:r>
    </w:p>
    <w:p w14:paraId="7A1B4748">
      <w:pPr>
        <w:pStyle w:val="6"/>
        <w:spacing w:line="272" w:lineRule="auto"/>
        <w:rPr>
          <w:rFonts w:hint="eastAsia" w:ascii="宋体" w:hAnsi="宋体" w:eastAsia="宋体" w:cs="宋体"/>
          <w:color w:val="auto"/>
          <w:highlight w:val="none"/>
        </w:rPr>
      </w:pPr>
    </w:p>
    <w:p w14:paraId="1275B705">
      <w:pPr>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30584"/>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75617145">
      <w:pPr>
        <w:spacing w:before="156" w:line="219" w:lineRule="auto"/>
        <w:ind w:left="17"/>
        <w:outlineLvl w:val="1"/>
        <w:rPr>
          <w:rFonts w:hint="eastAsia" w:ascii="宋体" w:hAnsi="宋体" w:eastAsia="宋体" w:cs="宋体"/>
          <w:color w:val="auto"/>
          <w:sz w:val="24"/>
          <w:szCs w:val="24"/>
          <w:highlight w:val="none"/>
        </w:rPr>
      </w:pPr>
      <w:bookmarkStart w:id="2" w:name="bookmark3"/>
      <w:bookmarkEnd w:id="2"/>
      <w:bookmarkStart w:id="3" w:name="_Toc1079"/>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1D853073">
      <w:pPr>
        <w:spacing w:before="25"/>
        <w:rPr>
          <w:rFonts w:hint="eastAsia" w:ascii="宋体" w:hAnsi="宋体" w:eastAsia="宋体" w:cs="宋体"/>
          <w:color w:val="auto"/>
          <w:highlight w:val="none"/>
        </w:rPr>
      </w:pPr>
    </w:p>
    <w:tbl>
      <w:tblPr>
        <w:tblStyle w:val="15"/>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2548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582" w:type="dxa"/>
            <w:vAlign w:val="top"/>
          </w:tcPr>
          <w:p w14:paraId="57F31717">
            <w:pPr>
              <w:spacing w:before="203" w:line="209" w:lineRule="auto"/>
              <w:ind w:left="0" w:lef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序号</w:t>
            </w:r>
          </w:p>
        </w:tc>
        <w:tc>
          <w:tcPr>
            <w:tcW w:w="1860" w:type="dxa"/>
            <w:vAlign w:val="center"/>
          </w:tcPr>
          <w:p w14:paraId="014D554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内容</w:t>
            </w:r>
          </w:p>
        </w:tc>
        <w:tc>
          <w:tcPr>
            <w:tcW w:w="7544" w:type="dxa"/>
            <w:vAlign w:val="center"/>
          </w:tcPr>
          <w:p w14:paraId="4715AF9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说明与要求</w:t>
            </w:r>
          </w:p>
        </w:tc>
      </w:tr>
      <w:tr w14:paraId="21A4D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5E350CD8">
            <w:pPr>
              <w:spacing w:before="223" w:line="195" w:lineRule="auto"/>
              <w:jc w:val="center"/>
              <w:rPr>
                <w:rFonts w:hint="eastAsia" w:asciiTheme="minorEastAsia" w:hAnsiTheme="minorEastAsia" w:eastAsiaTheme="minorEastAsia" w:cstheme="minorEastAsia"/>
                <w:color w:val="auto"/>
                <w:sz w:val="21"/>
                <w:szCs w:val="21"/>
                <w:highlight w:val="none"/>
              </w:rPr>
            </w:pPr>
            <w:bookmarkStart w:id="4" w:name="OLE_LINK2" w:colFirst="2" w:colLast="2"/>
            <w:r>
              <w:rPr>
                <w:rFonts w:hint="eastAsia" w:asciiTheme="minorEastAsia" w:hAnsiTheme="minorEastAsia" w:eastAsiaTheme="minorEastAsia" w:cstheme="minorEastAsia"/>
                <w:color w:val="auto"/>
                <w:sz w:val="21"/>
                <w:szCs w:val="21"/>
                <w:highlight w:val="none"/>
              </w:rPr>
              <w:t>1</w:t>
            </w:r>
          </w:p>
        </w:tc>
        <w:tc>
          <w:tcPr>
            <w:tcW w:w="1860" w:type="dxa"/>
            <w:vAlign w:val="center"/>
          </w:tcPr>
          <w:p w14:paraId="012004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项目名称</w:t>
            </w:r>
          </w:p>
        </w:tc>
        <w:tc>
          <w:tcPr>
            <w:tcW w:w="7544" w:type="dxa"/>
            <w:vAlign w:val="center"/>
          </w:tcPr>
          <w:p w14:paraId="31F65808">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韶关市武江区城区排水防涝系统改造项目（三期）A标施工</w:t>
            </w:r>
          </w:p>
        </w:tc>
      </w:tr>
      <w:tr w14:paraId="7C81C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7359E557">
            <w:pPr>
              <w:spacing w:before="22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860" w:type="dxa"/>
            <w:vAlign w:val="center"/>
          </w:tcPr>
          <w:p w14:paraId="28FE386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项目业主</w:t>
            </w:r>
          </w:p>
        </w:tc>
        <w:tc>
          <w:tcPr>
            <w:tcW w:w="7544" w:type="dxa"/>
            <w:vAlign w:val="center"/>
          </w:tcPr>
          <w:p w14:paraId="18CB074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韶关市武江区城市管理和综合执法局</w:t>
            </w:r>
          </w:p>
        </w:tc>
      </w:tr>
      <w:tr w14:paraId="43C6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56E39C53">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860" w:type="dxa"/>
            <w:vAlign w:val="center"/>
          </w:tcPr>
          <w:p w14:paraId="78720D6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项目批准部门及项目批准文号</w:t>
            </w:r>
          </w:p>
        </w:tc>
        <w:tc>
          <w:tcPr>
            <w:tcW w:w="7544" w:type="dxa"/>
            <w:vAlign w:val="center"/>
          </w:tcPr>
          <w:p w14:paraId="65A9B3B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韶关市武江区发展和改革局</w:t>
            </w:r>
          </w:p>
          <w:p w14:paraId="79223BF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韶武发改投审〔2025〕3 号、韶武发改投审〔2026〕20号</w:t>
            </w:r>
          </w:p>
        </w:tc>
      </w:tr>
      <w:tr w14:paraId="4EB4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7228FB2F">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w:t>
            </w:r>
          </w:p>
        </w:tc>
        <w:tc>
          <w:tcPr>
            <w:tcW w:w="1860" w:type="dxa"/>
            <w:vAlign w:val="center"/>
          </w:tcPr>
          <w:p w14:paraId="73DCFD2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建设地点</w:t>
            </w:r>
          </w:p>
        </w:tc>
        <w:tc>
          <w:tcPr>
            <w:tcW w:w="7544" w:type="dxa"/>
            <w:tcMar>
              <w:top w:w="0" w:type="dxa"/>
              <w:left w:w="0" w:type="dxa"/>
              <w:bottom w:w="0" w:type="dxa"/>
              <w:right w:w="0" w:type="dxa"/>
            </w:tcMar>
            <w:vAlign w:val="center"/>
          </w:tcPr>
          <w:p w14:paraId="2453AF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韶关市武江区</w:t>
            </w:r>
          </w:p>
        </w:tc>
      </w:tr>
      <w:tr w14:paraId="30C72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681E1B8E">
            <w:pPr>
              <w:spacing w:before="226"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1860" w:type="dxa"/>
            <w:vAlign w:val="center"/>
          </w:tcPr>
          <w:p w14:paraId="2AE1F4D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项目代码</w:t>
            </w:r>
          </w:p>
        </w:tc>
        <w:tc>
          <w:tcPr>
            <w:tcW w:w="7544" w:type="dxa"/>
            <w:vAlign w:val="center"/>
          </w:tcPr>
          <w:p w14:paraId="5F3E159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eastAsia="zh-CN"/>
              </w:rPr>
              <w:t>2405-440203-17-01-545355</w:t>
            </w:r>
          </w:p>
        </w:tc>
      </w:tr>
      <w:tr w14:paraId="3CCFB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5DE790D0">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1860" w:type="dxa"/>
            <w:vAlign w:val="center"/>
          </w:tcPr>
          <w:p w14:paraId="482BD446">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资金来源及落实情况</w:t>
            </w:r>
          </w:p>
        </w:tc>
        <w:tc>
          <w:tcPr>
            <w:tcW w:w="7544" w:type="dxa"/>
            <w:vAlign w:val="center"/>
          </w:tcPr>
          <w:p w14:paraId="19FD980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区财政统筹解决，资金已落实</w:t>
            </w:r>
          </w:p>
        </w:tc>
      </w:tr>
      <w:tr w14:paraId="00728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491A7FEC">
            <w:pPr>
              <w:spacing w:before="228"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1860" w:type="dxa"/>
            <w:vAlign w:val="center"/>
          </w:tcPr>
          <w:p w14:paraId="7CF6BA8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招标人</w:t>
            </w:r>
          </w:p>
        </w:tc>
        <w:tc>
          <w:tcPr>
            <w:tcW w:w="7544" w:type="dxa"/>
            <w:vAlign w:val="center"/>
          </w:tcPr>
          <w:p w14:paraId="3CF7D4D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韶关市武江区城市管理和综合执法局</w:t>
            </w:r>
          </w:p>
        </w:tc>
      </w:tr>
      <w:tr w14:paraId="2FC9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16D8FF60">
            <w:pPr>
              <w:spacing w:before="224"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1860" w:type="dxa"/>
            <w:vAlign w:val="center"/>
          </w:tcPr>
          <w:p w14:paraId="1027C8D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招标代理机构</w:t>
            </w:r>
          </w:p>
        </w:tc>
        <w:tc>
          <w:tcPr>
            <w:tcW w:w="7544" w:type="dxa"/>
            <w:vAlign w:val="center"/>
          </w:tcPr>
          <w:p w14:paraId="7CC68DE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广东合正项目管理有限公司</w:t>
            </w:r>
          </w:p>
        </w:tc>
      </w:tr>
      <w:tr w14:paraId="6DD42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82" w:type="dxa"/>
            <w:vAlign w:val="center"/>
          </w:tcPr>
          <w:p w14:paraId="5BBAB668">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p>
        </w:tc>
        <w:tc>
          <w:tcPr>
            <w:tcW w:w="1860" w:type="dxa"/>
            <w:vAlign w:val="center"/>
          </w:tcPr>
          <w:p w14:paraId="3959B52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c>
          <w:tcPr>
            <w:tcW w:w="7544" w:type="dxa"/>
            <w:vAlign w:val="center"/>
          </w:tcPr>
          <w:p w14:paraId="2F1A1B2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中誉设计有限公司</w:t>
            </w:r>
          </w:p>
        </w:tc>
      </w:tr>
      <w:bookmarkEnd w:id="4"/>
      <w:tr w14:paraId="164A0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522CB4BD">
            <w:pPr>
              <w:spacing w:before="24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10</w:t>
            </w:r>
          </w:p>
        </w:tc>
        <w:tc>
          <w:tcPr>
            <w:tcW w:w="1860" w:type="dxa"/>
            <w:vAlign w:val="center"/>
          </w:tcPr>
          <w:p w14:paraId="5F32E64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造价咨询单位</w:t>
            </w:r>
          </w:p>
        </w:tc>
        <w:tc>
          <w:tcPr>
            <w:tcW w:w="7544" w:type="dxa"/>
            <w:vAlign w:val="center"/>
          </w:tcPr>
          <w:p w14:paraId="24CBDE4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□非全过程造价咨询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p>
        </w:tc>
      </w:tr>
      <w:tr w14:paraId="3F63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4F381BD5">
            <w:pPr>
              <w:spacing w:before="24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11</w:t>
            </w:r>
          </w:p>
        </w:tc>
        <w:tc>
          <w:tcPr>
            <w:tcW w:w="1860" w:type="dxa"/>
            <w:vAlign w:val="center"/>
          </w:tcPr>
          <w:p w14:paraId="2281F74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监理单位</w:t>
            </w:r>
          </w:p>
        </w:tc>
        <w:tc>
          <w:tcPr>
            <w:tcW w:w="7544" w:type="dxa"/>
            <w:vAlign w:val="center"/>
          </w:tcPr>
          <w:p w14:paraId="55306AB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□已确定监理单位</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☑未确定监理单位</w:t>
            </w:r>
          </w:p>
        </w:tc>
      </w:tr>
      <w:tr w14:paraId="2F847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0C23CBE5">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lang w:eastAsia="zh-CN"/>
              </w:rPr>
              <w:t>1</w:t>
            </w:r>
            <w:r>
              <w:rPr>
                <w:rFonts w:hint="eastAsia" w:asciiTheme="minorEastAsia" w:hAnsiTheme="minorEastAsia" w:eastAsiaTheme="minorEastAsia" w:cstheme="minorEastAsia"/>
                <w:color w:val="auto"/>
                <w:spacing w:val="-8"/>
                <w:sz w:val="21"/>
                <w:szCs w:val="21"/>
                <w:highlight w:val="none"/>
              </w:rPr>
              <w:t>2</w:t>
            </w:r>
          </w:p>
        </w:tc>
        <w:tc>
          <w:tcPr>
            <w:tcW w:w="1860" w:type="dxa"/>
            <w:vAlign w:val="center"/>
          </w:tcPr>
          <w:p w14:paraId="5425489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建设内容和规模</w:t>
            </w:r>
          </w:p>
        </w:tc>
        <w:tc>
          <w:tcPr>
            <w:tcW w:w="7544" w:type="dxa"/>
            <w:vAlign w:val="center"/>
          </w:tcPr>
          <w:p w14:paraId="6A44A4D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□建设规模：</w:t>
            </w:r>
            <w:r>
              <w:rPr>
                <w:rFonts w:hint="eastAsia" w:asciiTheme="minorEastAsia" w:hAnsiTheme="minorEastAsia" w:eastAsiaTheme="minorEastAsia" w:cstheme="minorEastAsia"/>
                <w:snapToGrid w:val="0"/>
                <w:color w:val="auto"/>
                <w:kern w:val="0"/>
                <w:sz w:val="21"/>
                <w:szCs w:val="21"/>
                <w:highlight w:val="none"/>
                <w:lang w:val="en-US" w:eastAsia="zh-CN"/>
              </w:rPr>
              <w:t>/</w:t>
            </w:r>
          </w:p>
          <w:p w14:paraId="3E7CF5D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☑建设内容：在芙蓉北一路、韶关大道、工业路、奥园后山、志福新村、教育路、人民南路等地点，新建管径为 DN300 -DN1200的排水管约2478米，新建规格为1500*500、1000*500、800*800的雨水渠约1148米等。包括排水管渠修建、道路路面修复等工程。（</w:t>
            </w:r>
            <w:r>
              <w:rPr>
                <w:rFonts w:hint="eastAsia" w:asciiTheme="minorEastAsia" w:hAnsiTheme="minorEastAsia" w:eastAsiaTheme="minorEastAsia" w:cstheme="minorEastAsia"/>
                <w:snapToGrid w:val="0"/>
                <w:color w:val="auto"/>
                <w:kern w:val="0"/>
                <w:sz w:val="21"/>
                <w:szCs w:val="21"/>
                <w:highlight w:val="none"/>
                <w:lang w:val="en-US" w:eastAsia="zh-CN"/>
              </w:rPr>
              <w:t>最终以施工图纸及工程量清单为准</w:t>
            </w:r>
            <w:r>
              <w:rPr>
                <w:rFonts w:hint="eastAsia" w:asciiTheme="minorEastAsia" w:hAnsiTheme="minorEastAsia" w:eastAsiaTheme="minorEastAsia" w:cstheme="minorEastAsia"/>
                <w:snapToGrid w:val="0"/>
                <w:color w:val="auto"/>
                <w:kern w:val="0"/>
                <w:sz w:val="21"/>
                <w:szCs w:val="21"/>
                <w:highlight w:val="none"/>
                <w:lang w:eastAsia="zh-CN"/>
              </w:rPr>
              <w:t>）</w:t>
            </w:r>
          </w:p>
        </w:tc>
      </w:tr>
      <w:tr w14:paraId="5D13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2A78B69A">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13</w:t>
            </w:r>
          </w:p>
        </w:tc>
        <w:tc>
          <w:tcPr>
            <w:tcW w:w="1860" w:type="dxa"/>
            <w:vAlign w:val="center"/>
          </w:tcPr>
          <w:p w14:paraId="683DE04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项目总投资</w:t>
            </w:r>
          </w:p>
        </w:tc>
        <w:tc>
          <w:tcPr>
            <w:tcW w:w="7544" w:type="dxa"/>
            <w:vAlign w:val="center"/>
          </w:tcPr>
          <w:p w14:paraId="4F117E5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项目概算总投资2068.98万元，其中工程费用1741.24万元，工程建设其他费用267.48万元，预备费用60.26万元。</w:t>
            </w:r>
          </w:p>
        </w:tc>
      </w:tr>
      <w:tr w14:paraId="36016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2E978522">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14</w:t>
            </w:r>
          </w:p>
        </w:tc>
        <w:tc>
          <w:tcPr>
            <w:tcW w:w="1860" w:type="dxa"/>
            <w:vAlign w:val="center"/>
          </w:tcPr>
          <w:p w14:paraId="505D0A7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招标范围</w:t>
            </w:r>
          </w:p>
        </w:tc>
        <w:tc>
          <w:tcPr>
            <w:tcW w:w="7544" w:type="dxa"/>
            <w:vAlign w:val="center"/>
          </w:tcPr>
          <w:p w14:paraId="1298BEF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按审查合格的施工图纸及工程量清单内容施工</w:t>
            </w:r>
          </w:p>
        </w:tc>
      </w:tr>
      <w:tr w14:paraId="0BBE4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565679C">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15</w:t>
            </w:r>
          </w:p>
        </w:tc>
        <w:tc>
          <w:tcPr>
            <w:tcW w:w="1860" w:type="dxa"/>
            <w:vAlign w:val="center"/>
          </w:tcPr>
          <w:p w14:paraId="55794B4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标段划分</w:t>
            </w:r>
          </w:p>
        </w:tc>
        <w:tc>
          <w:tcPr>
            <w:tcW w:w="7544" w:type="dxa"/>
            <w:vAlign w:val="center"/>
          </w:tcPr>
          <w:p w14:paraId="36F0DCE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本招标项目不划分标段。 </w:t>
            </w:r>
          </w:p>
        </w:tc>
      </w:tr>
      <w:tr w14:paraId="35EA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6" w:hRule="atLeast"/>
        </w:trPr>
        <w:tc>
          <w:tcPr>
            <w:tcW w:w="582" w:type="dxa"/>
            <w:vAlign w:val="center"/>
          </w:tcPr>
          <w:p w14:paraId="47D18B68">
            <w:pPr>
              <w:spacing w:before="57" w:line="195"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8"/>
                <w:sz w:val="21"/>
                <w:szCs w:val="21"/>
                <w:highlight w:val="none"/>
              </w:rPr>
              <w:t>16</w:t>
            </w:r>
          </w:p>
        </w:tc>
        <w:tc>
          <w:tcPr>
            <w:tcW w:w="1860" w:type="dxa"/>
            <w:vAlign w:val="center"/>
          </w:tcPr>
          <w:p w14:paraId="479DA87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工期</w:t>
            </w:r>
          </w:p>
        </w:tc>
        <w:tc>
          <w:tcPr>
            <w:tcW w:w="7544" w:type="dxa"/>
            <w:vAlign w:val="top"/>
          </w:tcPr>
          <w:p w14:paraId="68E278A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kern w:val="0"/>
                <w:sz w:val="21"/>
                <w:szCs w:val="21"/>
                <w:highlight w:val="none"/>
                <w:lang w:val="en-US" w:eastAsia="zh-CN"/>
              </w:rPr>
              <w:t>240个日历天</w:t>
            </w:r>
            <w:r>
              <w:rPr>
                <w:rFonts w:hint="eastAsia" w:asciiTheme="minorEastAsia" w:hAnsiTheme="minorEastAsia" w:eastAsiaTheme="minorEastAsia" w:cstheme="minorEastAsia"/>
                <w:snapToGrid w:val="0"/>
                <w:color w:val="auto"/>
                <w:kern w:val="0"/>
                <w:sz w:val="21"/>
                <w:szCs w:val="21"/>
                <w:highlight w:val="none"/>
                <w:lang w:eastAsia="zh-CN"/>
              </w:rPr>
              <w:t>。具体如下：</w:t>
            </w:r>
          </w:p>
          <w:p w14:paraId="24C6737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☑总工期：</w:t>
            </w:r>
            <w:r>
              <w:rPr>
                <w:rFonts w:hint="eastAsia" w:asciiTheme="minorEastAsia" w:hAnsiTheme="minorEastAsia" w:eastAsiaTheme="minorEastAsia" w:cstheme="minorEastAsia"/>
                <w:snapToGrid w:val="0"/>
                <w:color w:val="auto"/>
                <w:kern w:val="0"/>
                <w:sz w:val="21"/>
                <w:szCs w:val="21"/>
                <w:highlight w:val="none"/>
                <w:lang w:val="en-US" w:eastAsia="zh-CN"/>
              </w:rPr>
              <w:t>240</w:t>
            </w:r>
            <w:r>
              <w:rPr>
                <w:rFonts w:hint="eastAsia" w:asciiTheme="minorEastAsia" w:hAnsiTheme="minorEastAsia" w:eastAsiaTheme="minorEastAsia" w:cstheme="minorEastAsia"/>
                <w:snapToGrid w:val="0"/>
                <w:color w:val="auto"/>
                <w:kern w:val="0"/>
                <w:sz w:val="21"/>
                <w:szCs w:val="21"/>
                <w:highlight w:val="none"/>
                <w:lang w:eastAsia="zh-CN"/>
              </w:rPr>
              <w:t>天 （日历天）。</w:t>
            </w:r>
          </w:p>
          <w:p w14:paraId="6A9E835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□计划开工日期：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日（具体开工日期以合同为准）</w:t>
            </w:r>
          </w:p>
          <w:p w14:paraId="7E4002F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□计划竣工日期：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w:t>
            </w:r>
          </w:p>
          <w:p w14:paraId="25225ED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□除上述总工期外，发包人还要求以下阶段工期：        </w:t>
            </w:r>
          </w:p>
        </w:tc>
      </w:tr>
      <w:tr w14:paraId="717B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0" w:hRule="atLeast"/>
        </w:trPr>
        <w:tc>
          <w:tcPr>
            <w:tcW w:w="582" w:type="dxa"/>
            <w:vAlign w:val="center"/>
          </w:tcPr>
          <w:p w14:paraId="05CA0D43">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17</w:t>
            </w:r>
          </w:p>
        </w:tc>
        <w:tc>
          <w:tcPr>
            <w:tcW w:w="1860" w:type="dxa"/>
            <w:vAlign w:val="center"/>
          </w:tcPr>
          <w:p w14:paraId="05DF5E6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p>
        </w:tc>
        <w:tc>
          <w:tcPr>
            <w:tcW w:w="7544" w:type="dxa"/>
            <w:vAlign w:val="top"/>
          </w:tcPr>
          <w:p w14:paraId="7E3D7D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☑质量目标：</w:t>
            </w:r>
            <w:r>
              <w:rPr>
                <w:rFonts w:hint="eastAsia" w:asciiTheme="minorEastAsia" w:hAnsiTheme="minorEastAsia" w:eastAsiaTheme="minorEastAsia" w:cstheme="minorEastAsia"/>
                <w:snapToGrid w:val="0"/>
                <w:color w:val="auto"/>
                <w:kern w:val="0"/>
                <w:sz w:val="21"/>
                <w:szCs w:val="21"/>
                <w:highlight w:val="none"/>
                <w:u w:val="single"/>
                <w:lang w:eastAsia="zh-CN"/>
              </w:rPr>
              <w:t>合格</w:t>
            </w:r>
          </w:p>
          <w:p w14:paraId="5589E58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r>
              <w:rPr>
                <w:rFonts w:hint="eastAsia" w:asciiTheme="minorEastAsia" w:hAnsiTheme="minorEastAsia" w:eastAsiaTheme="minorEastAsia" w:cstheme="minorEastAsia"/>
                <w:snapToGrid w:val="0"/>
                <w:color w:val="auto"/>
                <w:kern w:val="0"/>
                <w:sz w:val="21"/>
                <w:szCs w:val="21"/>
                <w:highlight w:val="none"/>
                <w:lang w:val="en-US" w:eastAsia="zh-CN"/>
              </w:rPr>
              <w:t>符合现行国家有关工程施工质量验收规范和标准的要求。</w:t>
            </w:r>
          </w:p>
          <w:p w14:paraId="688E24F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□优质工程要求：</w:t>
            </w:r>
            <w:r>
              <w:rPr>
                <w:rFonts w:hint="eastAsia" w:asciiTheme="minorEastAsia" w:hAnsiTheme="minorEastAsia" w:eastAsiaTheme="minorEastAsia" w:cstheme="minorEastAsia"/>
                <w:snapToGrid w:val="0"/>
                <w:color w:val="auto"/>
                <w:kern w:val="0"/>
                <w:sz w:val="21"/>
                <w:szCs w:val="21"/>
                <w:highlight w:val="none"/>
                <w:u w:val="single"/>
                <w:lang w:eastAsia="zh-CN"/>
              </w:rPr>
              <w:t>无</w:t>
            </w:r>
            <w:r>
              <w:rPr>
                <w:rFonts w:hint="eastAsia" w:asciiTheme="minorEastAsia" w:hAnsiTheme="minorEastAsia" w:eastAsiaTheme="minorEastAsia" w:cstheme="minorEastAsia"/>
                <w:snapToGrid w:val="0"/>
                <w:color w:val="auto"/>
                <w:kern w:val="0"/>
                <w:sz w:val="21"/>
                <w:szCs w:val="21"/>
                <w:highlight w:val="none"/>
                <w:lang w:eastAsia="zh-CN"/>
              </w:rPr>
              <w:t>....</w:t>
            </w:r>
          </w:p>
          <w:p w14:paraId="2E385EE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工程优质费：☑无</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□有：</w:t>
            </w:r>
            <w:r>
              <w:rPr>
                <w:rFonts w:hint="eastAsia" w:asciiTheme="minorEastAsia" w:hAnsiTheme="minorEastAsia" w:eastAsiaTheme="minorEastAsia" w:cstheme="minorEastAsia"/>
                <w:snapToGrid w:val="0"/>
                <w:color w:val="auto"/>
                <w:kern w:val="0"/>
                <w:sz w:val="21"/>
                <w:szCs w:val="21"/>
                <w:highlight w:val="none"/>
                <w:lang w:val="en-US" w:eastAsia="zh-CN"/>
              </w:rPr>
              <w:t>/</w:t>
            </w:r>
          </w:p>
        </w:tc>
      </w:tr>
      <w:tr w14:paraId="61DE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3241D3ED">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18</w:t>
            </w:r>
          </w:p>
        </w:tc>
        <w:tc>
          <w:tcPr>
            <w:tcW w:w="1860" w:type="dxa"/>
            <w:vMerge w:val="restart"/>
            <w:vAlign w:val="center"/>
          </w:tcPr>
          <w:p w14:paraId="48092A7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合同类型</w:t>
            </w:r>
          </w:p>
        </w:tc>
        <w:tc>
          <w:tcPr>
            <w:tcW w:w="7544" w:type="dxa"/>
            <w:vAlign w:val="top"/>
          </w:tcPr>
          <w:p w14:paraId="493FED4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☑单价合同：发承包双方约定以工程量清单及其综合单价进行合同价款计算、调整和确认的建设工程施工合同。</w:t>
            </w:r>
          </w:p>
          <w:p w14:paraId="5B69C0B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0B9FC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231CE4D3">
            <w:pPr>
              <w:spacing w:before="57" w:line="195" w:lineRule="auto"/>
              <w:jc w:val="center"/>
              <w:rPr>
                <w:rFonts w:hint="eastAsia" w:asciiTheme="minorEastAsia" w:hAnsiTheme="minorEastAsia" w:eastAsiaTheme="minorEastAsia" w:cstheme="minorEastAsia"/>
                <w:color w:val="auto"/>
                <w:spacing w:val="-8"/>
                <w:sz w:val="21"/>
                <w:szCs w:val="21"/>
                <w:highlight w:val="none"/>
              </w:rPr>
            </w:pPr>
          </w:p>
        </w:tc>
        <w:tc>
          <w:tcPr>
            <w:tcW w:w="1860" w:type="dxa"/>
            <w:vMerge w:val="continue"/>
            <w:vAlign w:val="center"/>
          </w:tcPr>
          <w:p w14:paraId="266E0A9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p>
        </w:tc>
        <w:tc>
          <w:tcPr>
            <w:tcW w:w="7544" w:type="dxa"/>
            <w:vAlign w:val="top"/>
          </w:tcPr>
          <w:p w14:paraId="113BD1B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□总价合同：发承包双方约定以施工图及其预算和有关条件进行合同价款计算、调整和确认的建设工程施工合同。 </w:t>
            </w:r>
          </w:p>
          <w:p w14:paraId="01100DD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339D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6F522EA8">
            <w:pPr>
              <w:spacing w:before="1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19</w:t>
            </w:r>
          </w:p>
        </w:tc>
        <w:tc>
          <w:tcPr>
            <w:tcW w:w="1860" w:type="dxa"/>
            <w:vAlign w:val="center"/>
          </w:tcPr>
          <w:p w14:paraId="002FE62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房屋建筑工程绿色建筑标准</w:t>
            </w:r>
          </w:p>
        </w:tc>
        <w:tc>
          <w:tcPr>
            <w:tcW w:w="7544" w:type="dxa"/>
            <w:vAlign w:val="center"/>
          </w:tcPr>
          <w:p w14:paraId="4A116F9B">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纳入绿色建设实施范围。</w:t>
            </w:r>
          </w:p>
        </w:tc>
      </w:tr>
      <w:tr w14:paraId="621E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50C167CF">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19.</w:t>
            </w:r>
            <w:r>
              <w:rPr>
                <w:rFonts w:hint="eastAsia" w:asciiTheme="minorEastAsia" w:hAnsiTheme="minorEastAsia" w:eastAsiaTheme="minorEastAsia" w:cstheme="minorEastAsia"/>
                <w:color w:val="auto"/>
                <w:spacing w:val="-26"/>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1</w:t>
            </w:r>
          </w:p>
        </w:tc>
        <w:tc>
          <w:tcPr>
            <w:tcW w:w="1860" w:type="dxa"/>
            <w:vAlign w:val="center"/>
          </w:tcPr>
          <w:p w14:paraId="32286FA7">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装配式建筑标准</w:t>
            </w:r>
          </w:p>
        </w:tc>
        <w:tc>
          <w:tcPr>
            <w:tcW w:w="7544" w:type="dxa"/>
            <w:vAlign w:val="center"/>
          </w:tcPr>
          <w:p w14:paraId="3644E47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纳入装配式建造建设实施范围。</w:t>
            </w:r>
          </w:p>
        </w:tc>
      </w:tr>
      <w:tr w14:paraId="29DB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B7DE3D3">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20</w:t>
            </w:r>
          </w:p>
        </w:tc>
        <w:tc>
          <w:tcPr>
            <w:tcW w:w="1860" w:type="dxa"/>
            <w:vAlign w:val="center"/>
          </w:tcPr>
          <w:p w14:paraId="4A62BB9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w:t>
            </w:r>
          </w:p>
        </w:tc>
        <w:tc>
          <w:tcPr>
            <w:tcW w:w="7544" w:type="dxa"/>
            <w:vAlign w:val="center"/>
          </w:tcPr>
          <w:p w14:paraId="6082D71F">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 ☑无     □有：</w:t>
            </w:r>
          </w:p>
        </w:tc>
      </w:tr>
      <w:tr w14:paraId="547D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0E5FF6E1">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21</w:t>
            </w:r>
          </w:p>
        </w:tc>
        <w:tc>
          <w:tcPr>
            <w:tcW w:w="1860" w:type="dxa"/>
            <w:vAlign w:val="center"/>
          </w:tcPr>
          <w:p w14:paraId="17CDAEE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承包人提供材料和工程设备</w:t>
            </w:r>
          </w:p>
        </w:tc>
        <w:tc>
          <w:tcPr>
            <w:tcW w:w="7544" w:type="dxa"/>
            <w:vAlign w:val="top"/>
          </w:tcPr>
          <w:p w14:paraId="753275F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2C8F879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□其它说明：鼓励承包人积极采购环保产品进行施工。</w:t>
            </w:r>
          </w:p>
        </w:tc>
      </w:tr>
      <w:tr w14:paraId="75C89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3B9CE185">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22</w:t>
            </w:r>
          </w:p>
        </w:tc>
        <w:tc>
          <w:tcPr>
            <w:tcW w:w="1860" w:type="dxa"/>
            <w:vAlign w:val="center"/>
          </w:tcPr>
          <w:p w14:paraId="11B3302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最高投标限价</w:t>
            </w:r>
          </w:p>
        </w:tc>
        <w:tc>
          <w:tcPr>
            <w:tcW w:w="7544" w:type="dxa"/>
            <w:vAlign w:val="center"/>
          </w:tcPr>
          <w:p w14:paraId="59270BE1">
            <w:pPr>
              <w:pageBreakBefore w:val="0"/>
              <w:widowControl w:val="0"/>
              <w:kinsoku/>
              <w:wordWrap w:val="0"/>
              <w:overflowPunct/>
              <w:topLinePunct w:val="0"/>
              <w:autoSpaceDE/>
              <w:autoSpaceDN/>
              <w:bidi w:val="0"/>
              <w:adjustRightInd w:val="0"/>
              <w:snapToGrid w:val="0"/>
              <w:spacing w:line="400" w:lineRule="exact"/>
              <w:ind w:left="0" w:leftChars="0" w:firstLine="401" w:firstLineChars="1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ajorEastAsia" w:hAnsiTheme="majorEastAsia" w:eastAsiaTheme="majorEastAsia" w:cstheme="majorEastAsia"/>
                <w:b w:val="0"/>
                <w:bCs/>
                <w:i w:val="0"/>
                <w:iCs/>
                <w:color w:val="auto"/>
                <w:kern w:val="2"/>
                <w:sz w:val="21"/>
                <w:szCs w:val="21"/>
                <w:highlight w:val="none"/>
                <w:lang w:val="en-US" w:eastAsia="zh-CN" w:bidi="ar-SA"/>
              </w:rPr>
              <w:t>本项目最高投标限价为人民币（大写）：壹仟陆佰柒拾贰万柒仟陆佰叁拾捌元叁角叁分（¥16727638.33元）；其中安全生产措施费不得低于255530.99元，暂列金额(统一报价)为：¥1305519.94元，专业工程暂估价(统一报价)为：¥124055.50元。</w:t>
            </w:r>
          </w:p>
        </w:tc>
      </w:tr>
      <w:tr w14:paraId="5A7F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0969254D">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23</w:t>
            </w:r>
          </w:p>
        </w:tc>
        <w:tc>
          <w:tcPr>
            <w:tcW w:w="1860" w:type="dxa"/>
            <w:vAlign w:val="center"/>
          </w:tcPr>
          <w:p w14:paraId="03C203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投标人的投标报价</w:t>
            </w:r>
          </w:p>
        </w:tc>
        <w:tc>
          <w:tcPr>
            <w:tcW w:w="7544" w:type="dxa"/>
            <w:vAlign w:val="center"/>
          </w:tcPr>
          <w:p w14:paraId="69AB178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1E008D6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投标报价方式： ☑工程量清单报</w:t>
            </w:r>
          </w:p>
        </w:tc>
      </w:tr>
      <w:tr w14:paraId="3B80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6A229068">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24</w:t>
            </w:r>
          </w:p>
        </w:tc>
        <w:tc>
          <w:tcPr>
            <w:tcW w:w="1860" w:type="dxa"/>
            <w:vAlign w:val="center"/>
          </w:tcPr>
          <w:p w14:paraId="666E400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投标报价风险</w:t>
            </w:r>
          </w:p>
        </w:tc>
        <w:tc>
          <w:tcPr>
            <w:tcW w:w="7544" w:type="dxa"/>
            <w:vAlign w:val="center"/>
          </w:tcPr>
          <w:p w14:paraId="71B243A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☑投标人依据招标文件约定自行考虑风险因素，一旦中标，投标报价（合同价）除合同另有约定外将不因市场变化而调整。</w:t>
            </w:r>
          </w:p>
          <w:p w14:paraId="2AA2300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603FF83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☑人工费、材料费、机具费、管理费、利润、措施项目费（不含</w:t>
            </w:r>
            <w:r>
              <w:rPr>
                <w:rFonts w:hint="eastAsia" w:asciiTheme="minorEastAsia" w:hAnsiTheme="minorEastAsia" w:eastAsiaTheme="minorEastAsia" w:cstheme="minorEastAsia"/>
                <w:snapToGrid w:val="0"/>
                <w:color w:val="auto"/>
                <w:kern w:val="0"/>
                <w:sz w:val="21"/>
                <w:szCs w:val="21"/>
                <w:highlight w:val="none"/>
                <w:lang w:val="en-US" w:eastAsia="zh-CN"/>
              </w:rPr>
              <w:t>安全生产措施费</w:t>
            </w:r>
            <w:r>
              <w:rPr>
                <w:rFonts w:hint="eastAsia" w:asciiTheme="minorEastAsia" w:hAnsiTheme="minorEastAsia" w:eastAsiaTheme="minorEastAsia" w:cstheme="minorEastAsia"/>
                <w:snapToGrid w:val="0"/>
                <w:color w:val="auto"/>
                <w:kern w:val="0"/>
                <w:sz w:val="21"/>
                <w:szCs w:val="21"/>
                <w:highlight w:val="none"/>
                <w:lang w:eastAsia="zh-CN"/>
              </w:rPr>
              <w:t>）投标人漏报或不报，招标人视为有关费用已包括在工程量清单项目的其它单价及合价中不予另外增加。</w:t>
            </w:r>
          </w:p>
          <w:p w14:paraId="346A971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eastAsia="zh-CN"/>
              </w:rPr>
              <w:t>措施项目中的安全生产措施应单独列项，费用不可竞争，且应符合《企业安全生产费用提取和使用管理办法》（财资〔2022〕136号）及我省有关文件规定。</w:t>
            </w:r>
          </w:p>
          <w:p w14:paraId="4E5433A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2F622B4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4894F32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5008AF0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7912A53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1F85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669928C5">
            <w:pPr>
              <w:spacing w:before="284"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25</w:t>
            </w:r>
          </w:p>
        </w:tc>
        <w:tc>
          <w:tcPr>
            <w:tcW w:w="1860" w:type="dxa"/>
            <w:vAlign w:val="center"/>
          </w:tcPr>
          <w:p w14:paraId="3957B4E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投标费用</w:t>
            </w:r>
          </w:p>
        </w:tc>
        <w:tc>
          <w:tcPr>
            <w:tcW w:w="7544" w:type="dxa"/>
            <w:vAlign w:val="center"/>
          </w:tcPr>
          <w:p w14:paraId="5143FA7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投标人自行承担编制与递交投标文件的一切费用。</w:t>
            </w:r>
          </w:p>
        </w:tc>
      </w:tr>
      <w:tr w14:paraId="00342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4FF2AF6F">
            <w:pPr>
              <w:spacing w:before="69" w:line="188"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6</w:t>
            </w:r>
          </w:p>
        </w:tc>
        <w:tc>
          <w:tcPr>
            <w:tcW w:w="1860" w:type="dxa"/>
            <w:vAlign w:val="center"/>
          </w:tcPr>
          <w:p w14:paraId="1A89851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投标人资格要求</w:t>
            </w:r>
          </w:p>
        </w:tc>
        <w:tc>
          <w:tcPr>
            <w:tcW w:w="7544" w:type="dxa"/>
            <w:vAlign w:val="center"/>
          </w:tcPr>
          <w:p w14:paraId="5CBDC5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1.本次招标</w:t>
            </w:r>
            <w:r>
              <w:rPr>
                <w:rFonts w:hint="eastAsia" w:asciiTheme="minorEastAsia" w:hAnsiTheme="minorEastAsia" w:eastAsiaTheme="minorEastAsia" w:cstheme="minorEastAsia"/>
                <w:snapToGrid w:val="0"/>
                <w:color w:val="auto"/>
                <w:kern w:val="0"/>
                <w:sz w:val="21"/>
                <w:szCs w:val="21"/>
                <w:highlight w:val="none"/>
                <w:u w:val="single"/>
                <w:lang w:eastAsia="zh-CN"/>
              </w:rPr>
              <w:t>不接受</w:t>
            </w:r>
            <w:r>
              <w:rPr>
                <w:rFonts w:hint="eastAsia" w:asciiTheme="minorEastAsia" w:hAnsiTheme="minorEastAsia" w:eastAsiaTheme="minorEastAsia" w:cstheme="minorEastAsia"/>
                <w:snapToGrid w:val="0"/>
                <w:color w:val="auto"/>
                <w:kern w:val="0"/>
                <w:sz w:val="21"/>
                <w:szCs w:val="21"/>
                <w:highlight w:val="none"/>
                <w:lang w:eastAsia="zh-CN"/>
              </w:rPr>
              <w:t>联合体投标。</w:t>
            </w:r>
          </w:p>
          <w:p w14:paraId="5D46EB2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2．资质要求</w:t>
            </w:r>
          </w:p>
          <w:p w14:paraId="7B2CD40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 投标人须具备独立法人资格，按国家法律经营。</w:t>
            </w:r>
          </w:p>
          <w:p w14:paraId="4225BE7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2.2 投标人须持有建设行政主管部门颁发的企业资质证书及安全生产许可证。</w:t>
            </w:r>
          </w:p>
          <w:p w14:paraId="38DC2CB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u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2.3 投标人须具备以下资质：</w:t>
            </w:r>
            <w:r>
              <w:rPr>
                <w:rFonts w:hint="eastAsia" w:asciiTheme="minorEastAsia" w:hAnsiTheme="minorEastAsia" w:eastAsiaTheme="minorEastAsia" w:cstheme="minorEastAsia"/>
                <w:b/>
                <w:bCs/>
                <w:snapToGrid w:val="0"/>
                <w:color w:val="auto"/>
                <w:kern w:val="0"/>
                <w:sz w:val="21"/>
                <w:szCs w:val="21"/>
                <w:highlight w:val="none"/>
                <w:u w:val="none"/>
                <w:lang w:eastAsia="zh-CN"/>
              </w:rPr>
              <w:t>市政公用工程施工总承包三级以上（含三级）资质。</w:t>
            </w:r>
          </w:p>
          <w:p w14:paraId="63F500ED">
            <w:pPr>
              <w:pageBreakBefore w:val="0"/>
              <w:widowControl w:val="0"/>
              <w:kinsoku/>
              <w:wordWrap w:val="0"/>
              <w:overflowPunct/>
              <w:topLinePunct w:val="0"/>
              <w:autoSpaceDE/>
              <w:autoSpaceDN/>
              <w:bidi w:val="0"/>
              <w:adjustRightInd w:val="0"/>
              <w:snapToGrid w:val="0"/>
              <w:spacing w:line="400" w:lineRule="exact"/>
              <w:ind w:left="0" w:leftChars="0" w:right="5" w:righ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2.4 </w:t>
            </w:r>
            <w:r>
              <w:rPr>
                <w:rFonts w:hint="eastAsia" w:asciiTheme="minorEastAsia" w:hAnsiTheme="minorEastAsia" w:eastAsiaTheme="minorEastAsia" w:cstheme="minorEastAsia"/>
                <w:snapToGrid w:val="0"/>
                <w:color w:val="auto"/>
                <w:kern w:val="0"/>
                <w:sz w:val="21"/>
                <w:szCs w:val="21"/>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20BEE5B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3．相关人员要求</w:t>
            </w:r>
          </w:p>
          <w:p w14:paraId="581B8B7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3.1  </w:t>
            </w:r>
            <w:r>
              <w:rPr>
                <w:rFonts w:hint="eastAsia" w:asciiTheme="minorEastAsia" w:hAnsiTheme="minorEastAsia" w:eastAsiaTheme="minorEastAsia" w:cstheme="minorEastAsia"/>
                <w:snapToGrid w:val="0"/>
                <w:color w:val="auto"/>
                <w:kern w:val="0"/>
                <w:sz w:val="21"/>
                <w:szCs w:val="21"/>
                <w:highlight w:val="none"/>
                <w:lang w:val="en-US" w:eastAsia="zh-CN"/>
              </w:rPr>
              <w:t>拟派项目经理为</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w:t>
            </w:r>
            <w:r>
              <w:rPr>
                <w:rFonts w:hint="eastAsia" w:asciiTheme="minorEastAsia" w:hAnsiTheme="minorEastAsia" w:eastAsiaTheme="minorEastAsia" w:cstheme="minorEastAsia"/>
                <w:b/>
                <w:bCs/>
                <w:snapToGrid w:val="0"/>
                <w:color w:val="auto"/>
                <w:kern w:val="0"/>
                <w:sz w:val="21"/>
                <w:szCs w:val="21"/>
                <w:highlight w:val="none"/>
                <w:u w:val="single"/>
                <w:lang w:val="en-US" w:eastAsia="zh-CN"/>
              </w:rPr>
              <w:t xml:space="preserve">市政公用工程 </w:t>
            </w:r>
            <w:r>
              <w:rPr>
                <w:rFonts w:hint="eastAsia" w:asciiTheme="minorEastAsia" w:hAnsiTheme="minorEastAsia" w:eastAsiaTheme="minorEastAsia" w:cstheme="minorEastAsia"/>
                <w:b w:val="0"/>
                <w:bCs w:val="0"/>
                <w:snapToGrid w:val="0"/>
                <w:color w:val="auto"/>
                <w:kern w:val="0"/>
                <w:sz w:val="21"/>
                <w:szCs w:val="21"/>
                <w:highlight w:val="none"/>
                <w:u w:val="none"/>
                <w:lang w:val="en-US" w:eastAsia="zh-CN"/>
              </w:rPr>
              <w:t>专业</w:t>
            </w:r>
            <w:r>
              <w:rPr>
                <w:rFonts w:hint="eastAsia"/>
                <w:snapToGrid w:val="0"/>
                <w:color w:val="auto"/>
                <w:kern w:val="0"/>
                <w:sz w:val="22"/>
                <w:highlight w:val="none"/>
                <w:lang w:eastAsia="zh-CN"/>
              </w:rPr>
              <w:t>一级或二级注册建造师</w:t>
            </w:r>
            <w:r>
              <w:rPr>
                <w:rFonts w:hint="eastAsia" w:asciiTheme="minorEastAsia" w:hAnsiTheme="minorEastAsia" w:eastAsiaTheme="minorEastAsia" w:cstheme="minorEastAsia"/>
                <w:snapToGrid w:val="0"/>
                <w:color w:val="auto"/>
                <w:kern w:val="0"/>
                <w:sz w:val="21"/>
                <w:szCs w:val="21"/>
                <w:highlight w:val="none"/>
                <w:lang w:val="en-US" w:eastAsia="zh-CN"/>
              </w:rPr>
              <w:t>，应持有住建部门印发的在使用有效期内的有效电子注册证书。同时均须具备有效安全生产考核合格证明（B 证），且未担任其他在施（包括已中标未开工、已开工未竣工）建设工程项目的项目经理</w:t>
            </w:r>
            <w:r>
              <w:rPr>
                <w:rFonts w:hint="eastAsia" w:asciiTheme="minorEastAsia" w:hAnsiTheme="minorEastAsia" w:eastAsiaTheme="minorEastAsia" w:cstheme="minorEastAsia"/>
                <w:snapToGrid w:val="0"/>
                <w:color w:val="auto"/>
                <w:kern w:val="0"/>
                <w:sz w:val="21"/>
                <w:szCs w:val="21"/>
                <w:highlight w:val="none"/>
                <w:lang w:eastAsia="zh-CN"/>
              </w:rPr>
              <w:t>。</w:t>
            </w:r>
          </w:p>
          <w:p w14:paraId="67FBF7E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3.2 拟派项目技术负责人须具备</w:t>
            </w:r>
            <w:r>
              <w:rPr>
                <w:rFonts w:hint="eastAsia" w:asciiTheme="minorEastAsia" w:hAnsiTheme="minorEastAsia" w:eastAsiaTheme="minorEastAsia" w:cstheme="minorEastAsia"/>
                <w:b/>
                <w:bCs/>
                <w:snapToGrid w:val="0"/>
                <w:color w:val="auto"/>
                <w:kern w:val="0"/>
                <w:sz w:val="21"/>
                <w:szCs w:val="21"/>
                <w:highlight w:val="none"/>
                <w:u w:val="single"/>
                <w:lang w:eastAsia="zh-CN"/>
              </w:rPr>
              <w:t>市政工程</w:t>
            </w:r>
            <w:r>
              <w:rPr>
                <w:rFonts w:hint="eastAsia" w:asciiTheme="minorEastAsia" w:hAnsiTheme="minorEastAsia" w:eastAsiaTheme="minorEastAsia" w:cstheme="minorEastAsia"/>
                <w:snapToGrid w:val="0"/>
                <w:color w:val="auto"/>
                <w:kern w:val="0"/>
                <w:sz w:val="21"/>
                <w:szCs w:val="21"/>
                <w:highlight w:val="none"/>
                <w:lang w:eastAsia="zh-CN"/>
              </w:rPr>
              <w:t>相关专业中级或以上技术职称。</w:t>
            </w:r>
          </w:p>
          <w:p w14:paraId="7E69509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3.3 投标人拟派专职安全生产管理人员须具备有效安全生产考核合格证明（C证，安全生产考核合格证书或“广东省建筑施工企业管理人员安全生产考核系统”考核合格信息打印页），且不少于</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1</w:t>
            </w:r>
            <w:r>
              <w:rPr>
                <w:rFonts w:hint="eastAsia" w:asciiTheme="minorEastAsia" w:hAnsiTheme="minorEastAsia" w:eastAsiaTheme="minorEastAsia" w:cstheme="minorEastAsia"/>
                <w:snapToGrid w:val="0"/>
                <w:color w:val="auto"/>
                <w:kern w:val="0"/>
                <w:sz w:val="21"/>
                <w:szCs w:val="21"/>
                <w:highlight w:val="none"/>
                <w:u w:val="single"/>
                <w:lang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人。</w:t>
            </w:r>
          </w:p>
          <w:p w14:paraId="72753C4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3.4 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2C30D11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 ．禁止投标条款：</w:t>
            </w:r>
          </w:p>
          <w:p w14:paraId="368F0E6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4.1  投标人不得存在下列情形之一：</w:t>
            </w:r>
          </w:p>
          <w:p w14:paraId="3C8825A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（1）为招标人不具有独立法人资格的附属机构（单位）；</w:t>
            </w:r>
          </w:p>
          <w:p w14:paraId="274A9A5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（2）为本招标项目前期准备提供设计或咨询服务的；</w:t>
            </w:r>
          </w:p>
          <w:p w14:paraId="68E4AAB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（3）与本招标项目的其他投标人为同一个单位负责人；</w:t>
            </w:r>
          </w:p>
          <w:p w14:paraId="5C1887A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（4）与本招标项目的其他投标人存在控股、管理关系；</w:t>
            </w:r>
          </w:p>
          <w:p w14:paraId="1096457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（5）为本招标项目的监理人；</w:t>
            </w:r>
          </w:p>
          <w:p w14:paraId="60D4CCE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（6）为本招标项目的代建人；</w:t>
            </w:r>
          </w:p>
          <w:p w14:paraId="75D7D7B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（7）为本招标项目的招标代理机构；</w:t>
            </w:r>
          </w:p>
          <w:p w14:paraId="50E804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（8）与本招标项目的监理人或代建人或招标代理机构同为一个法定代表人；</w:t>
            </w:r>
          </w:p>
          <w:p w14:paraId="31BF760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（9）与本招标项目的监理人或代建人或招标代理机构存在控股或参股关系；</w:t>
            </w:r>
          </w:p>
          <w:p w14:paraId="64622BD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（10）与本招标项目的监理人或代建人或招标代理机构存在相互任职或工作关系；</w:t>
            </w:r>
          </w:p>
          <w:p w14:paraId="0F57331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（11）被依法暂停或者取消投标资格；</w:t>
            </w:r>
          </w:p>
          <w:p w14:paraId="0E5D6D2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（12）被责令停产停业、暂扣或者吊销许可证、暂扣或者吊销执照；</w:t>
            </w:r>
          </w:p>
          <w:p w14:paraId="7E53242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（13）进入清算程序，或被宣告破产，或其他丧失履约能力的情形；</w:t>
            </w:r>
          </w:p>
          <w:p w14:paraId="25F7FF0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（14）在最近三年内发生重大工程质量或安全问题（以相关行业 主管部门的行政处罚决定或司法机关出具的有关法律文书为准）；</w:t>
            </w:r>
          </w:p>
          <w:p w14:paraId="790C29E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（15）被“信用中国 ”网站（https://www.creditchina.gov.cn）发布的《法人和非法人组织公共信用信息报告》列为严重失信主体名单的。</w:t>
            </w:r>
          </w:p>
          <w:p w14:paraId="2CE6697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4.2  招标人拒绝以下名单中的单位参加本次投标：</w:t>
            </w:r>
          </w:p>
          <w:tbl>
            <w:tblPr>
              <w:tblStyle w:val="15"/>
              <w:tblW w:w="7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269"/>
              <w:gridCol w:w="3081"/>
            </w:tblGrid>
            <w:tr w14:paraId="3AAF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6" w:hRule="atLeast"/>
                <w:jc w:val="center"/>
              </w:trPr>
              <w:tc>
                <w:tcPr>
                  <w:tcW w:w="669" w:type="dxa"/>
                  <w:vAlign w:val="center"/>
                </w:tcPr>
                <w:p w14:paraId="67EB51C9">
                  <w:pPr>
                    <w:pageBreakBefore w:val="0"/>
                    <w:widowControl w:val="0"/>
                    <w:kinsoku/>
                    <w:wordWrap w:val="0"/>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3269" w:type="dxa"/>
                  <w:vAlign w:val="center"/>
                </w:tcPr>
                <w:p w14:paraId="6F0BFDAE">
                  <w:pPr>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3081" w:type="dxa"/>
                  <w:vAlign w:val="center"/>
                </w:tcPr>
                <w:p w14:paraId="2D127BFF">
                  <w:pPr>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3D5EE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jc w:val="center"/>
              </w:trPr>
              <w:tc>
                <w:tcPr>
                  <w:tcW w:w="669" w:type="dxa"/>
                  <w:vAlign w:val="center"/>
                </w:tcPr>
                <w:p w14:paraId="73002015">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1</w:t>
                  </w:r>
                </w:p>
              </w:tc>
              <w:tc>
                <w:tcPr>
                  <w:tcW w:w="3269" w:type="dxa"/>
                  <w:vAlign w:val="center"/>
                </w:tcPr>
                <w:p w14:paraId="1D594C04">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韶关市武江区城市管理和综合执法局</w:t>
                  </w:r>
                </w:p>
              </w:tc>
              <w:tc>
                <w:tcPr>
                  <w:tcW w:w="3081" w:type="dxa"/>
                  <w:vAlign w:val="center"/>
                </w:tcPr>
                <w:p w14:paraId="77E9D97B">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为本招标项目的招标人</w:t>
                  </w:r>
                </w:p>
              </w:tc>
            </w:tr>
            <w:tr w14:paraId="1832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69" w:type="dxa"/>
                  <w:vAlign w:val="center"/>
                </w:tcPr>
                <w:p w14:paraId="1AF59A03">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2</w:t>
                  </w:r>
                </w:p>
              </w:tc>
              <w:tc>
                <w:tcPr>
                  <w:tcW w:w="3269" w:type="dxa"/>
                  <w:vAlign w:val="center"/>
                </w:tcPr>
                <w:p w14:paraId="7D534040">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广东合正项目管理有限公司</w:t>
                  </w:r>
                </w:p>
              </w:tc>
              <w:tc>
                <w:tcPr>
                  <w:tcW w:w="3081" w:type="dxa"/>
                  <w:vAlign w:val="center"/>
                </w:tcPr>
                <w:p w14:paraId="7C2FD604">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为本招标项目的招标代理机构</w:t>
                  </w:r>
                </w:p>
              </w:tc>
            </w:tr>
            <w:tr w14:paraId="7508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69" w:type="dxa"/>
                  <w:vAlign w:val="center"/>
                </w:tcPr>
                <w:p w14:paraId="4CCE75B5">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3</w:t>
                  </w:r>
                </w:p>
              </w:tc>
              <w:tc>
                <w:tcPr>
                  <w:tcW w:w="3269" w:type="dxa"/>
                  <w:vAlign w:val="center"/>
                </w:tcPr>
                <w:p w14:paraId="07AB9E42">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中誉设计有限公司</w:t>
                  </w:r>
                </w:p>
              </w:tc>
              <w:tc>
                <w:tcPr>
                  <w:tcW w:w="3081" w:type="dxa"/>
                  <w:vAlign w:val="center"/>
                </w:tcPr>
                <w:p w14:paraId="01F59B98">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为本招标项目的</w:t>
                  </w: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r>
            <w:tr w14:paraId="0187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69" w:type="dxa"/>
                  <w:vAlign w:val="center"/>
                </w:tcPr>
                <w:p w14:paraId="7A5F0693">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3269" w:type="dxa"/>
                  <w:shd w:val="clear" w:color="auto" w:fill="auto"/>
                  <w:vAlign w:val="center"/>
                </w:tcPr>
                <w:p w14:paraId="2BDF9BD9">
                  <w:pPr>
                    <w:pStyle w:val="23"/>
                    <w:wordWrap w:val="0"/>
                    <w:adjustRightInd w:val="0"/>
                    <w:snapToGrid w:val="0"/>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snapToGrid w:val="0"/>
                      <w:color w:val="auto"/>
                      <w:kern w:val="0"/>
                      <w:sz w:val="22"/>
                      <w:szCs w:val="22"/>
                      <w:highlight w:val="none"/>
                    </w:rPr>
                    <w:t>智埔国际建设集团有限公司</w:t>
                  </w:r>
                </w:p>
              </w:tc>
              <w:tc>
                <w:tcPr>
                  <w:tcW w:w="3081" w:type="dxa"/>
                  <w:shd w:val="clear" w:color="auto" w:fill="auto"/>
                  <w:vAlign w:val="center"/>
                </w:tcPr>
                <w:p w14:paraId="0228517C">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2"/>
                      <w:szCs w:val="22"/>
                      <w:highlight w:val="none"/>
                    </w:rPr>
                    <w:t>为本招标项目的</w:t>
                  </w:r>
                  <w:r>
                    <w:rPr>
                      <w:rFonts w:hint="eastAsia" w:ascii="宋体" w:hAnsi="宋体" w:eastAsia="宋体" w:cs="宋体"/>
                      <w:snapToGrid w:val="0"/>
                      <w:color w:val="auto"/>
                      <w:kern w:val="0"/>
                      <w:sz w:val="22"/>
                      <w:szCs w:val="22"/>
                      <w:highlight w:val="none"/>
                      <w:lang w:val="en-US" w:eastAsia="zh-CN"/>
                    </w:rPr>
                    <w:t>造价咨询</w:t>
                  </w:r>
                  <w:r>
                    <w:rPr>
                      <w:rFonts w:hint="eastAsia" w:ascii="宋体" w:hAnsi="宋体" w:eastAsia="宋体" w:cs="宋体"/>
                      <w:snapToGrid w:val="0"/>
                      <w:color w:val="auto"/>
                      <w:kern w:val="0"/>
                      <w:sz w:val="22"/>
                      <w:szCs w:val="22"/>
                      <w:highlight w:val="none"/>
                    </w:rPr>
                    <w:t>单位</w:t>
                  </w:r>
                </w:p>
              </w:tc>
            </w:tr>
            <w:tr w14:paraId="3DC0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69" w:type="dxa"/>
                  <w:vAlign w:val="center"/>
                </w:tcPr>
                <w:p w14:paraId="077DF64C">
                  <w:pPr>
                    <w:pStyle w:val="23"/>
                    <w:wordWrap w:val="0"/>
                    <w:adjustRightInd w:val="0"/>
                    <w:snapToGrid w:val="0"/>
                    <w:spacing w:line="24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w:t>
                  </w:r>
                </w:p>
              </w:tc>
              <w:tc>
                <w:tcPr>
                  <w:tcW w:w="3269" w:type="dxa"/>
                  <w:shd w:val="clear" w:color="auto" w:fill="auto"/>
                  <w:vAlign w:val="center"/>
                </w:tcPr>
                <w:p w14:paraId="64B8CC9C">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snapToGrid w:val="0"/>
                      <w:color w:val="auto"/>
                      <w:kern w:val="0"/>
                      <w:sz w:val="22"/>
                      <w:szCs w:val="22"/>
                      <w:highlight w:val="none"/>
                      <w:lang w:val="en-US" w:eastAsia="zh-CN"/>
                    </w:rPr>
                    <w:t>广东省岩土勘测设计研究有限公司</w:t>
                  </w:r>
                </w:p>
              </w:tc>
              <w:tc>
                <w:tcPr>
                  <w:tcW w:w="3081" w:type="dxa"/>
                  <w:shd w:val="clear" w:color="auto" w:fill="auto"/>
                  <w:vAlign w:val="center"/>
                </w:tcPr>
                <w:p w14:paraId="53371FFC">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为本招标项目的</w:t>
                  </w:r>
                  <w:r>
                    <w:rPr>
                      <w:rFonts w:hint="eastAsia" w:ascii="宋体" w:hAnsi="宋体" w:eastAsia="宋体" w:cs="宋体"/>
                      <w:snapToGrid w:val="0"/>
                      <w:color w:val="auto"/>
                      <w:kern w:val="0"/>
                      <w:sz w:val="22"/>
                      <w:szCs w:val="22"/>
                      <w:highlight w:val="none"/>
                      <w:lang w:val="en-US" w:eastAsia="zh-CN"/>
                    </w:rPr>
                    <w:t>勘察</w:t>
                  </w:r>
                  <w:r>
                    <w:rPr>
                      <w:rFonts w:hint="eastAsia" w:ascii="宋体" w:hAnsi="宋体" w:eastAsia="宋体" w:cs="宋体"/>
                      <w:snapToGrid w:val="0"/>
                      <w:color w:val="auto"/>
                      <w:kern w:val="0"/>
                      <w:sz w:val="22"/>
                      <w:szCs w:val="22"/>
                      <w:highlight w:val="none"/>
                    </w:rPr>
                    <w:t>单位</w:t>
                  </w:r>
                </w:p>
              </w:tc>
            </w:tr>
            <w:tr w14:paraId="7C61E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669" w:type="dxa"/>
                  <w:vAlign w:val="center"/>
                </w:tcPr>
                <w:p w14:paraId="298AFB0E">
                  <w:pPr>
                    <w:pStyle w:val="23"/>
                    <w:wordWrap w:val="0"/>
                    <w:adjustRightInd w:val="0"/>
                    <w:snapToGrid w:val="0"/>
                    <w:spacing w:line="24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3269" w:type="dxa"/>
                  <w:shd w:val="clear" w:color="auto" w:fill="auto"/>
                  <w:vAlign w:val="center"/>
                </w:tcPr>
                <w:p w14:paraId="6200B767">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snapToGrid w:val="0"/>
                      <w:color w:val="auto"/>
                      <w:kern w:val="0"/>
                      <w:sz w:val="22"/>
                      <w:szCs w:val="22"/>
                      <w:highlight w:val="none"/>
                      <w:lang w:val="en-US" w:eastAsia="zh-CN"/>
                    </w:rPr>
                    <w:t>广东粤湾施工图审查有限公司</w:t>
                  </w:r>
                </w:p>
              </w:tc>
              <w:tc>
                <w:tcPr>
                  <w:tcW w:w="3081" w:type="dxa"/>
                  <w:shd w:val="clear" w:color="auto" w:fill="auto"/>
                  <w:vAlign w:val="center"/>
                </w:tcPr>
                <w:p w14:paraId="74C818DF">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为本招标项目的</w:t>
                  </w:r>
                  <w:r>
                    <w:rPr>
                      <w:rFonts w:hint="eastAsia" w:ascii="宋体" w:hAnsi="宋体" w:eastAsia="宋体" w:cs="宋体"/>
                      <w:snapToGrid w:val="0"/>
                      <w:color w:val="auto"/>
                      <w:kern w:val="0"/>
                      <w:sz w:val="22"/>
                      <w:szCs w:val="22"/>
                      <w:highlight w:val="none"/>
                      <w:lang w:val="en-US" w:eastAsia="zh-CN"/>
                    </w:rPr>
                    <w:t>审图机构</w:t>
                  </w:r>
                </w:p>
              </w:tc>
            </w:tr>
          </w:tbl>
          <w:p w14:paraId="65F467D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 ．其他要求</w:t>
            </w:r>
          </w:p>
          <w:p w14:paraId="4035EA8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6A79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77319962">
            <w:pPr>
              <w:spacing w:before="19"/>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27</w:t>
            </w:r>
          </w:p>
        </w:tc>
        <w:tc>
          <w:tcPr>
            <w:tcW w:w="1860" w:type="dxa"/>
            <w:vAlign w:val="center"/>
          </w:tcPr>
          <w:p w14:paraId="351117F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投标有效期</w:t>
            </w:r>
          </w:p>
        </w:tc>
        <w:tc>
          <w:tcPr>
            <w:tcW w:w="7544" w:type="dxa"/>
            <w:vAlign w:val="center"/>
          </w:tcPr>
          <w:p w14:paraId="5ADA6D4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kern w:val="0"/>
                <w:sz w:val="21"/>
                <w:szCs w:val="21"/>
                <w:highlight w:val="none"/>
                <w:u w:val="single"/>
                <w:lang w:eastAsia="zh-CN"/>
              </w:rPr>
              <w:t>90</w:t>
            </w:r>
            <w:r>
              <w:rPr>
                <w:rFonts w:hint="eastAsia" w:asciiTheme="minorEastAsia" w:hAnsiTheme="minorEastAsia" w:eastAsiaTheme="minorEastAsia" w:cstheme="minorEastAsia"/>
                <w:snapToGrid w:val="0"/>
                <w:color w:val="auto"/>
                <w:kern w:val="0"/>
                <w:sz w:val="21"/>
                <w:szCs w:val="21"/>
                <w:highlight w:val="none"/>
                <w:lang w:eastAsia="zh-CN"/>
              </w:rPr>
              <w:t xml:space="preserve"> 个日历天。</w:t>
            </w:r>
          </w:p>
        </w:tc>
      </w:tr>
      <w:tr w14:paraId="7429D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39629713">
            <w:pPr>
              <w:spacing w:before="19"/>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8</w:t>
            </w:r>
          </w:p>
        </w:tc>
        <w:tc>
          <w:tcPr>
            <w:tcW w:w="1860" w:type="dxa"/>
            <w:vAlign w:val="center"/>
          </w:tcPr>
          <w:p w14:paraId="5F5545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投标文件组成</w:t>
            </w:r>
          </w:p>
        </w:tc>
        <w:tc>
          <w:tcPr>
            <w:tcW w:w="7544" w:type="dxa"/>
            <w:vAlign w:val="center"/>
          </w:tcPr>
          <w:p w14:paraId="6298FD5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kern w:val="0"/>
                <w:sz w:val="21"/>
                <w:szCs w:val="21"/>
                <w:highlight w:val="none"/>
                <w:lang w:val="en-US" w:eastAsia="zh-CN"/>
              </w:rPr>
              <w:t>和</w:t>
            </w:r>
            <w:r>
              <w:rPr>
                <w:rFonts w:hint="eastAsia" w:asciiTheme="minorEastAsia" w:hAnsiTheme="minorEastAsia" w:eastAsiaTheme="minorEastAsia" w:cstheme="minorEastAsia"/>
                <w:snapToGrid w:val="0"/>
                <w:color w:val="auto"/>
                <w:kern w:val="0"/>
                <w:sz w:val="21"/>
                <w:szCs w:val="21"/>
                <w:highlight w:val="none"/>
                <w:lang w:eastAsia="zh-CN"/>
              </w:rPr>
              <w:t>定标文件四个分册。</w:t>
            </w:r>
          </w:p>
        </w:tc>
      </w:tr>
      <w:tr w14:paraId="0BE6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23F8BF94">
            <w:pPr>
              <w:spacing w:before="69" w:line="188" w:lineRule="auto"/>
              <w:ind w:left="205" w:leftChars="0"/>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29</w:t>
            </w:r>
          </w:p>
        </w:tc>
        <w:tc>
          <w:tcPr>
            <w:tcW w:w="1860" w:type="dxa"/>
            <w:vAlign w:val="center"/>
          </w:tcPr>
          <w:p w14:paraId="49DE2E5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施工组织设计评审方式</w:t>
            </w:r>
          </w:p>
        </w:tc>
        <w:tc>
          <w:tcPr>
            <w:tcW w:w="7544" w:type="dxa"/>
            <w:vAlign w:val="center"/>
          </w:tcPr>
          <w:p w14:paraId="53E89E2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本次招标施工组织设计 不采用 “暗标 ”方式进行评审。</w:t>
            </w:r>
          </w:p>
        </w:tc>
      </w:tr>
      <w:tr w14:paraId="0469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549E241C">
            <w:pPr>
              <w:spacing w:before="69" w:line="188" w:lineRule="auto"/>
              <w:ind w:left="205" w:leftChars="0"/>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lang w:val="en-US" w:eastAsia="zh-CN"/>
              </w:rPr>
              <w:t>30</w:t>
            </w:r>
          </w:p>
        </w:tc>
        <w:tc>
          <w:tcPr>
            <w:tcW w:w="1860" w:type="dxa"/>
            <w:vAlign w:val="center"/>
          </w:tcPr>
          <w:p w14:paraId="147BE24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w:t>
            </w:r>
          </w:p>
        </w:tc>
        <w:tc>
          <w:tcPr>
            <w:tcW w:w="7544" w:type="dxa"/>
            <w:vAlign w:val="top"/>
          </w:tcPr>
          <w:p w14:paraId="7E3153E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评标委员会由 5 人组成，其中招标人代表 0 人，专家 5 人。专家从广东省综合评标评审专家库（韶关区域）中随机抽取，其中技术类专家 3 人，经济类专家 2 人。</w:t>
            </w:r>
          </w:p>
        </w:tc>
      </w:tr>
      <w:tr w14:paraId="248C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35FD8C92">
            <w:pPr>
              <w:spacing w:before="69" w:line="188" w:lineRule="auto"/>
              <w:ind w:left="209" w:leftChars="0"/>
              <w:jc w:val="both"/>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1</w:t>
            </w:r>
          </w:p>
        </w:tc>
        <w:tc>
          <w:tcPr>
            <w:tcW w:w="1860" w:type="dxa"/>
            <w:vAlign w:val="center"/>
          </w:tcPr>
          <w:p w14:paraId="36B2975E">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定</w:t>
            </w:r>
            <w:r>
              <w:rPr>
                <w:rFonts w:hint="eastAsia" w:asciiTheme="minorEastAsia" w:hAnsiTheme="minorEastAsia" w:eastAsiaTheme="minorEastAsia" w:cstheme="minorEastAsia"/>
                <w:color w:val="auto"/>
                <w:sz w:val="21"/>
                <w:szCs w:val="21"/>
                <w:highlight w:val="none"/>
              </w:rPr>
              <w:t>标委员会</w:t>
            </w:r>
          </w:p>
        </w:tc>
        <w:tc>
          <w:tcPr>
            <w:tcW w:w="7544" w:type="dxa"/>
            <w:vAlign w:val="center"/>
          </w:tcPr>
          <w:p w14:paraId="062BDE77">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sz w:val="21"/>
                <w:szCs w:val="21"/>
                <w:highlight w:val="none"/>
                <w:u w:val="none"/>
                <w:lang w:val="en-US" w:eastAsia="zh-CN"/>
              </w:rPr>
              <w:t>本</w:t>
            </w:r>
            <w:r>
              <w:rPr>
                <w:rFonts w:hint="eastAsia" w:asciiTheme="minorEastAsia" w:hAnsiTheme="minorEastAsia" w:eastAsiaTheme="minorEastAsia" w:cstheme="minorEastAsia"/>
                <w:color w:val="auto"/>
                <w:sz w:val="21"/>
                <w:szCs w:val="21"/>
                <w:highlight w:val="none"/>
                <w:u w:val="none"/>
                <w:lang w:eastAsia="zh-CN"/>
              </w:rPr>
              <w:t>项目</w:t>
            </w:r>
            <w:r>
              <w:rPr>
                <w:rFonts w:hint="eastAsia" w:asciiTheme="minorEastAsia" w:hAnsiTheme="minorEastAsia" w:eastAsiaTheme="minorEastAsia" w:cstheme="minorEastAsia"/>
                <w:color w:val="auto"/>
                <w:sz w:val="21"/>
                <w:szCs w:val="21"/>
                <w:highlight w:val="none"/>
                <w:u w:val="none"/>
              </w:rPr>
              <w:t>定标委员会</w:t>
            </w:r>
            <w:r>
              <w:rPr>
                <w:rFonts w:hint="eastAsia" w:asciiTheme="minorEastAsia" w:hAnsiTheme="minorEastAsia" w:eastAsiaTheme="minorEastAsia" w:cstheme="minorEastAsia"/>
                <w:color w:val="auto"/>
                <w:sz w:val="21"/>
                <w:szCs w:val="21"/>
                <w:highlight w:val="none"/>
                <w:u w:val="none"/>
                <w:lang w:eastAsia="zh-CN"/>
              </w:rPr>
              <w:t>组成人</w:t>
            </w:r>
            <w:r>
              <w:rPr>
                <w:rFonts w:hint="eastAsia" w:asciiTheme="minorEastAsia" w:hAnsiTheme="minorEastAsia" w:eastAsiaTheme="minorEastAsia" w:cstheme="minorEastAsia"/>
                <w:color w:val="auto"/>
                <w:sz w:val="21"/>
                <w:szCs w:val="21"/>
                <w:highlight w:val="none"/>
                <w:u w:val="none"/>
              </w:rPr>
              <w:t>员为</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7 </w:t>
            </w:r>
            <w:r>
              <w:rPr>
                <w:rFonts w:hint="eastAsia" w:asciiTheme="minorEastAsia" w:hAnsiTheme="minorEastAsia" w:eastAsiaTheme="minorEastAsia" w:cstheme="minorEastAsia"/>
                <w:color w:val="auto"/>
                <w:sz w:val="21"/>
                <w:szCs w:val="21"/>
                <w:highlight w:val="none"/>
              </w:rPr>
              <w:t>人</w:t>
            </w:r>
            <w:r>
              <w:rPr>
                <w:rFonts w:hint="eastAsia" w:asciiTheme="minorEastAsia" w:hAnsiTheme="minorEastAsia" w:eastAsiaTheme="minorEastAsia" w:cstheme="minorEastAsia"/>
                <w:color w:val="auto"/>
                <w:sz w:val="21"/>
                <w:szCs w:val="21"/>
                <w:highlight w:val="none"/>
                <w:u w:val="none"/>
                <w:lang w:eastAsia="zh-CN"/>
              </w:rPr>
              <w:t>。</w:t>
            </w:r>
          </w:p>
        </w:tc>
      </w:tr>
      <w:tr w14:paraId="4069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1400A1DD">
            <w:pPr>
              <w:spacing w:before="69" w:line="188" w:lineRule="auto"/>
              <w:ind w:left="209" w:leftChars="0"/>
              <w:jc w:val="both"/>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32</w:t>
            </w:r>
          </w:p>
        </w:tc>
        <w:tc>
          <w:tcPr>
            <w:tcW w:w="1860" w:type="dxa"/>
            <w:vAlign w:val="center"/>
          </w:tcPr>
          <w:p w14:paraId="7DEC51F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评标方法</w:t>
            </w:r>
          </w:p>
        </w:tc>
        <w:tc>
          <w:tcPr>
            <w:tcW w:w="7544" w:type="dxa"/>
            <w:vAlign w:val="center"/>
          </w:tcPr>
          <w:p w14:paraId="4A27804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  综合评分法</w:t>
            </w:r>
          </w:p>
        </w:tc>
      </w:tr>
      <w:tr w14:paraId="2574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6CEE2DF4">
            <w:pPr>
              <w:spacing w:before="258" w:line="188" w:lineRule="auto"/>
              <w:ind w:left="209" w:leftChars="0"/>
              <w:jc w:val="both"/>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33</w:t>
            </w:r>
          </w:p>
        </w:tc>
        <w:tc>
          <w:tcPr>
            <w:tcW w:w="1860" w:type="dxa"/>
            <w:vAlign w:val="center"/>
          </w:tcPr>
          <w:p w14:paraId="4F99436B">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投标文件编制</w:t>
            </w:r>
            <w:r>
              <w:rPr>
                <w:rFonts w:hint="eastAsia" w:asciiTheme="minorEastAsia" w:hAnsiTheme="minorEastAsia" w:eastAsiaTheme="minorEastAsia" w:cstheme="minorEastAsia"/>
                <w:snapToGrid w:val="0"/>
                <w:color w:val="auto"/>
                <w:kern w:val="0"/>
                <w:sz w:val="21"/>
                <w:szCs w:val="21"/>
                <w:highlight w:val="none"/>
                <w:lang w:eastAsia="zh-CN"/>
              </w:rPr>
              <w:t>及</w:t>
            </w:r>
            <w:r>
              <w:rPr>
                <w:rFonts w:hint="eastAsia" w:asciiTheme="minorEastAsia" w:hAnsiTheme="minorEastAsia" w:eastAsiaTheme="minorEastAsia" w:cstheme="minorEastAsia"/>
                <w:snapToGrid w:val="0"/>
                <w:color w:val="auto"/>
                <w:kern w:val="0"/>
                <w:sz w:val="21"/>
                <w:szCs w:val="21"/>
                <w:highlight w:val="none"/>
              </w:rPr>
              <w:t>份数要求</w:t>
            </w:r>
          </w:p>
        </w:tc>
        <w:tc>
          <w:tcPr>
            <w:tcW w:w="7544" w:type="dxa"/>
            <w:vAlign w:val="center"/>
          </w:tcPr>
          <w:p w14:paraId="1D5081FB">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投标人须上传（递交）投标文件：</w:t>
            </w:r>
          </w:p>
          <w:p w14:paraId="5DFDF2C6">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1、电子投标文件一套：</w:t>
            </w:r>
          </w:p>
          <w:p w14:paraId="2D814D67">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（1）商务标书1份；</w:t>
            </w:r>
          </w:p>
          <w:p w14:paraId="3F9DD380">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（2）经济标书1份；</w:t>
            </w:r>
          </w:p>
          <w:p w14:paraId="16067C61">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 xml:space="preserve">（3）施工组织设计1份； </w:t>
            </w:r>
          </w:p>
          <w:p w14:paraId="2048C2C9">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（4）定标文件1份；</w:t>
            </w:r>
          </w:p>
          <w:p w14:paraId="661E79A2">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2、对应评审要求的分项响应文件（如有）。</w:t>
            </w:r>
          </w:p>
          <w:p w14:paraId="4ABF173D">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0B72CA08">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firstLine="420" w:firstLineChars="20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1415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515477B8">
            <w:pPr>
              <w:spacing w:before="258" w:line="188" w:lineRule="auto"/>
              <w:ind w:left="209" w:leftChars="0"/>
              <w:jc w:val="both"/>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34</w:t>
            </w:r>
          </w:p>
        </w:tc>
        <w:tc>
          <w:tcPr>
            <w:tcW w:w="1860" w:type="dxa"/>
            <w:vAlign w:val="center"/>
          </w:tcPr>
          <w:p w14:paraId="74DD4215">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定标办法</w:t>
            </w:r>
          </w:p>
        </w:tc>
        <w:tc>
          <w:tcPr>
            <w:tcW w:w="7544" w:type="dxa"/>
            <w:vAlign w:val="center"/>
          </w:tcPr>
          <w:p w14:paraId="434425EF">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采用</w:t>
            </w:r>
            <w:r>
              <w:rPr>
                <w:rFonts w:hint="eastAsia" w:asciiTheme="minorEastAsia" w:hAnsiTheme="minorEastAsia" w:eastAsiaTheme="minorEastAsia" w:cstheme="minorEastAsia"/>
                <w:b/>
                <w:bCs w:val="0"/>
                <w:snapToGrid w:val="0"/>
                <w:color w:val="auto"/>
                <w:kern w:val="0"/>
                <w:sz w:val="21"/>
                <w:szCs w:val="21"/>
                <w:highlight w:val="none"/>
                <w:lang w:val="en-US" w:eastAsia="zh-CN"/>
              </w:rPr>
              <w:t>评定分离</w:t>
            </w:r>
            <w:r>
              <w:rPr>
                <w:rFonts w:hint="eastAsia" w:asciiTheme="minorEastAsia" w:hAnsiTheme="minorEastAsia" w:eastAsiaTheme="minorEastAsia" w:cstheme="minorEastAsia"/>
                <w:bCs/>
                <w:snapToGrid w:val="0"/>
                <w:color w:val="auto"/>
                <w:kern w:val="0"/>
                <w:sz w:val="21"/>
                <w:szCs w:val="21"/>
                <w:highlight w:val="none"/>
                <w:lang w:val="en-US" w:eastAsia="zh-CN"/>
              </w:rPr>
              <w:t>的项目，应选定下列定标办法：</w:t>
            </w:r>
          </w:p>
          <w:p w14:paraId="389B1B01">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☑票决数量法</w:t>
            </w:r>
          </w:p>
          <w:p w14:paraId="344C818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□票决计分法</w:t>
            </w:r>
          </w:p>
          <w:p w14:paraId="60102FE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□集体议事法</w:t>
            </w:r>
          </w:p>
          <w:p w14:paraId="4BE6FD5B">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bCs/>
                <w:snapToGrid w:val="0"/>
                <w:color w:val="auto"/>
                <w:kern w:val="0"/>
                <w:sz w:val="21"/>
                <w:szCs w:val="21"/>
                <w:highlight w:val="none"/>
                <w:lang w:val="en-US" w:eastAsia="zh-CN"/>
              </w:rPr>
            </w:pPr>
            <w:r>
              <w:rPr>
                <w:rFonts w:hint="eastAsia" w:asciiTheme="minorEastAsia" w:hAnsiTheme="minorEastAsia" w:eastAsiaTheme="minorEastAsia" w:cstheme="minorEastAsia"/>
                <w:bCs/>
                <w:snapToGrid w:val="0"/>
                <w:color w:val="auto"/>
                <w:kern w:val="0"/>
                <w:sz w:val="21"/>
                <w:szCs w:val="21"/>
                <w:highlight w:val="none"/>
                <w:lang w:val="en-US" w:eastAsia="zh-CN"/>
              </w:rPr>
              <w:t>□其他方法：</w:t>
            </w:r>
          </w:p>
        </w:tc>
      </w:tr>
      <w:tr w14:paraId="3A7D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46D5AAE1">
            <w:pPr>
              <w:spacing w:before="19"/>
              <w:jc w:val="center"/>
              <w:rPr>
                <w:rFonts w:hint="default" w:asciiTheme="minorEastAsia" w:hAnsiTheme="minorEastAsia" w:eastAsiaTheme="minorEastAsia" w:cstheme="minorEastAsia"/>
                <w:strike w:val="0"/>
                <w:dstrike w:val="0"/>
                <w:color w:val="auto"/>
                <w:spacing w:val="-5"/>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35</w:t>
            </w:r>
          </w:p>
        </w:tc>
        <w:tc>
          <w:tcPr>
            <w:tcW w:w="1860" w:type="dxa"/>
            <w:vAlign w:val="center"/>
          </w:tcPr>
          <w:p w14:paraId="7DF19486">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trike w:val="0"/>
                <w:dstrike w:val="0"/>
                <w:snapToGrid w:val="0"/>
                <w:color w:val="auto"/>
                <w:kern w:val="0"/>
                <w:sz w:val="21"/>
                <w:szCs w:val="21"/>
                <w:highlight w:val="none"/>
                <w:lang w:val="en-US" w:eastAsia="zh-CN"/>
              </w:rPr>
            </w:pPr>
            <w:r>
              <w:rPr>
                <w:rFonts w:hint="eastAsia" w:asciiTheme="minorEastAsia" w:hAnsiTheme="minorEastAsia" w:eastAsiaTheme="minorEastAsia" w:cstheme="minorEastAsia"/>
                <w:strike w:val="0"/>
                <w:dstrike w:val="0"/>
                <w:color w:val="auto"/>
                <w:sz w:val="21"/>
                <w:szCs w:val="21"/>
                <w:highlight w:val="none"/>
              </w:rPr>
              <w:t>纳入百千万工程公益性项目</w:t>
            </w:r>
          </w:p>
        </w:tc>
        <w:tc>
          <w:tcPr>
            <w:tcW w:w="7544" w:type="dxa"/>
            <w:vAlign w:val="center"/>
          </w:tcPr>
          <w:p w14:paraId="3BE075B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Theme="minorEastAsia" w:hAnsiTheme="minorEastAsia" w:eastAsiaTheme="minorEastAsia" w:cstheme="minorEastAsia"/>
                <w:bCs/>
                <w:strike w:val="0"/>
                <w:dstrike w:val="0"/>
                <w:snapToGrid w:val="0"/>
                <w:color w:val="auto"/>
                <w:kern w:val="0"/>
                <w:sz w:val="21"/>
                <w:szCs w:val="21"/>
                <w:highlight w:val="none"/>
                <w:lang w:val="en-US" w:eastAsia="zh-CN"/>
              </w:rPr>
            </w:pPr>
            <w:r>
              <w:rPr>
                <w:rFonts w:hint="eastAsia" w:asciiTheme="minorEastAsia" w:hAnsiTheme="minorEastAsia" w:eastAsiaTheme="minorEastAsia" w:cstheme="minorEastAsia"/>
                <w:bCs/>
                <w:strike w:val="0"/>
                <w:dstrike w:val="0"/>
                <w:snapToGrid w:val="0"/>
                <w:color w:val="auto"/>
                <w:kern w:val="0"/>
                <w:sz w:val="21"/>
                <w:szCs w:val="21"/>
                <w:highlight w:val="none"/>
                <w:lang w:val="en-US" w:eastAsia="zh-CN"/>
              </w:rPr>
              <w:t>本次招标鼓励投标人积极响应政策号召，充分利用其人才、技术、专业、资源、资金、设备或管理优势，通过技术创新和资源优化，以投标人自愿为原则，助力百千万工程公益性项目。</w:t>
            </w:r>
          </w:p>
        </w:tc>
      </w:tr>
      <w:tr w14:paraId="2AAF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0FDB9118">
            <w:pPr>
              <w:spacing w:before="57" w:line="195"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36</w:t>
            </w:r>
          </w:p>
        </w:tc>
        <w:tc>
          <w:tcPr>
            <w:tcW w:w="1860" w:type="dxa"/>
            <w:vAlign w:val="center"/>
          </w:tcPr>
          <w:p w14:paraId="482E59B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招标文件要求提交的用于评审的证书、证件、证明原件</w:t>
            </w:r>
          </w:p>
        </w:tc>
        <w:tc>
          <w:tcPr>
            <w:tcW w:w="7544" w:type="dxa"/>
            <w:vAlign w:val="top"/>
          </w:tcPr>
          <w:p w14:paraId="3BA7D70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3EBD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57" w:hRule="atLeast"/>
        </w:trPr>
        <w:tc>
          <w:tcPr>
            <w:tcW w:w="582" w:type="dxa"/>
            <w:vAlign w:val="center"/>
          </w:tcPr>
          <w:p w14:paraId="1932BDBC">
            <w:pPr>
              <w:spacing w:before="57" w:line="195" w:lineRule="auto"/>
              <w:jc w:val="center"/>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37</w:t>
            </w:r>
          </w:p>
        </w:tc>
        <w:tc>
          <w:tcPr>
            <w:tcW w:w="1860" w:type="dxa"/>
            <w:vAlign w:val="center"/>
          </w:tcPr>
          <w:p w14:paraId="7474D5D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招标代理费和评标专家酬劳</w:t>
            </w:r>
          </w:p>
        </w:tc>
        <w:tc>
          <w:tcPr>
            <w:tcW w:w="7544" w:type="dxa"/>
            <w:vAlign w:val="center"/>
          </w:tcPr>
          <w:p w14:paraId="6109F0E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本项目由中标人支付招标代理费及评标专家酬劳，代理费根据国家计委关于印发《招标代理服务收费管理暂行办法》的通知计价格[2002]1980号，</w:t>
            </w:r>
            <w:r>
              <w:rPr>
                <w:rFonts w:hint="eastAsia" w:asciiTheme="minorEastAsia" w:hAnsiTheme="minorEastAsia" w:eastAsiaTheme="minorEastAsia" w:cstheme="minorEastAsia"/>
                <w:snapToGrid w:val="0"/>
                <w:color w:val="auto"/>
                <w:kern w:val="0"/>
                <w:sz w:val="21"/>
                <w:szCs w:val="21"/>
                <w:highlight w:val="none"/>
                <w:lang w:val="en-US" w:eastAsia="zh-CN"/>
              </w:rPr>
              <w:t>按标准下浮40%，</w:t>
            </w:r>
            <w:r>
              <w:rPr>
                <w:rFonts w:hint="eastAsia" w:asciiTheme="minorEastAsia" w:hAnsiTheme="minorEastAsia" w:eastAsiaTheme="minorEastAsia" w:cstheme="minorEastAsia"/>
                <w:snapToGrid w:val="0"/>
                <w:color w:val="auto"/>
                <w:kern w:val="0"/>
                <w:sz w:val="21"/>
                <w:szCs w:val="21"/>
                <w:highlight w:val="none"/>
                <w:lang w:eastAsia="zh-CN"/>
              </w:rPr>
              <w:t>评标专家酬劳（包括食宿费用、交通费、专家评审 劳务费等） 由招标代理机构先垫付，中标人须在中标公告公示期结束后, 向招标代理机构一次性付清评标专家酬劳（以当天评委签收为准）。</w:t>
            </w:r>
          </w:p>
        </w:tc>
      </w:tr>
      <w:tr w14:paraId="022B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2E1FF47D">
            <w:pPr>
              <w:spacing w:before="69" w:line="188" w:lineRule="auto"/>
              <w:ind w:left="209" w:leftChars="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w:t>
            </w:r>
            <w:r>
              <w:rPr>
                <w:rFonts w:hint="eastAsia" w:asciiTheme="minorEastAsia" w:hAnsiTheme="minorEastAsia" w:eastAsiaTheme="minorEastAsia" w:cstheme="minorEastAsia"/>
                <w:color w:val="auto"/>
                <w:spacing w:val="-5"/>
                <w:sz w:val="21"/>
                <w:szCs w:val="21"/>
                <w:highlight w:val="none"/>
                <w:lang w:val="en-US" w:eastAsia="zh-CN"/>
              </w:rPr>
              <w:t>8</w:t>
            </w:r>
          </w:p>
        </w:tc>
        <w:tc>
          <w:tcPr>
            <w:tcW w:w="1860" w:type="dxa"/>
            <w:vAlign w:val="center"/>
          </w:tcPr>
          <w:p w14:paraId="286FFCC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w:t>
            </w:r>
          </w:p>
          <w:p w14:paraId="55BB209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05D7D285">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单位名称：</w:t>
            </w:r>
            <w:r>
              <w:rPr>
                <w:rFonts w:hint="eastAsia" w:asciiTheme="minorEastAsia" w:hAnsiTheme="minorEastAsia" w:eastAsiaTheme="minorEastAsia" w:cstheme="minorEastAsia"/>
                <w:snapToGrid w:val="0"/>
                <w:color w:val="auto"/>
                <w:kern w:val="0"/>
                <w:sz w:val="21"/>
                <w:szCs w:val="21"/>
                <w:highlight w:val="none"/>
                <w:lang w:eastAsia="zh-CN"/>
              </w:rPr>
              <w:t>韶关市武江区城市管理和综合执法局</w:t>
            </w:r>
          </w:p>
          <w:p w14:paraId="114E3D57">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办公地址：</w:t>
            </w:r>
            <w:r>
              <w:rPr>
                <w:rFonts w:hint="eastAsia" w:asciiTheme="minorEastAsia" w:hAnsiTheme="minorEastAsia" w:eastAsiaTheme="minorEastAsia" w:cstheme="minorEastAsia"/>
                <w:snapToGrid w:val="0"/>
                <w:color w:val="auto"/>
                <w:kern w:val="0"/>
                <w:sz w:val="21"/>
                <w:szCs w:val="21"/>
                <w:highlight w:val="none"/>
                <w:lang w:eastAsia="zh-CN"/>
              </w:rPr>
              <w:t>韶关市武江区沙湖路 18 号</w:t>
            </w:r>
          </w:p>
          <w:p w14:paraId="485A58E9">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联系人（部门）：</w:t>
            </w:r>
            <w:r>
              <w:rPr>
                <w:rFonts w:hint="eastAsia" w:asciiTheme="minorEastAsia" w:hAnsiTheme="minorEastAsia" w:eastAsiaTheme="minorEastAsia" w:cstheme="minorEastAsia"/>
                <w:snapToGrid w:val="0"/>
                <w:color w:val="auto"/>
                <w:kern w:val="0"/>
                <w:sz w:val="21"/>
                <w:szCs w:val="21"/>
                <w:highlight w:val="none"/>
                <w:lang w:val="en-US" w:eastAsia="zh-CN"/>
              </w:rPr>
              <w:t>王工</w:t>
            </w:r>
          </w:p>
          <w:p w14:paraId="1EB1645E">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联系电话：</w:t>
            </w:r>
            <w:r>
              <w:rPr>
                <w:rFonts w:hint="eastAsia" w:asciiTheme="minorEastAsia" w:hAnsiTheme="minorEastAsia" w:eastAsiaTheme="minorEastAsia" w:cstheme="minorEastAsia"/>
                <w:i w:val="0"/>
                <w:iCs w:val="0"/>
                <w:caps w:val="0"/>
                <w:color w:val="auto"/>
                <w:spacing w:val="0"/>
                <w:sz w:val="21"/>
                <w:szCs w:val="21"/>
                <w:highlight w:val="none"/>
                <w:shd w:val="clear" w:fill="FFFFFF"/>
                <w:lang w:eastAsia="zh-CN"/>
              </w:rPr>
              <w:t>0751-8700765</w:t>
            </w:r>
          </w:p>
        </w:tc>
      </w:tr>
      <w:tr w14:paraId="7BAD7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9" w:hRule="atLeast"/>
        </w:trPr>
        <w:tc>
          <w:tcPr>
            <w:tcW w:w="582" w:type="dxa"/>
            <w:vAlign w:val="center"/>
          </w:tcPr>
          <w:p w14:paraId="108C8FDE">
            <w:pPr>
              <w:spacing w:before="69" w:line="188" w:lineRule="auto"/>
              <w:jc w:val="center"/>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9</w:t>
            </w:r>
          </w:p>
        </w:tc>
        <w:tc>
          <w:tcPr>
            <w:tcW w:w="1860" w:type="dxa"/>
            <w:vAlign w:val="center"/>
          </w:tcPr>
          <w:p w14:paraId="4E976BA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招标代理机构</w:t>
            </w:r>
          </w:p>
          <w:p w14:paraId="5B263A67">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6B19B0A9">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单位名称：</w:t>
            </w:r>
            <w:r>
              <w:rPr>
                <w:rFonts w:hint="eastAsia" w:asciiTheme="minorEastAsia" w:hAnsiTheme="minorEastAsia" w:eastAsiaTheme="minorEastAsia" w:cstheme="minorEastAsia"/>
                <w:snapToGrid w:val="0"/>
                <w:color w:val="auto"/>
                <w:kern w:val="0"/>
                <w:sz w:val="21"/>
                <w:szCs w:val="21"/>
                <w:highlight w:val="none"/>
                <w:lang w:eastAsia="zh-CN"/>
              </w:rPr>
              <w:t>广东合正项目管理有限公司</w:t>
            </w:r>
          </w:p>
          <w:p w14:paraId="453D0A92">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办公地址：</w:t>
            </w:r>
            <w:r>
              <w:rPr>
                <w:rFonts w:hint="eastAsia" w:asciiTheme="minorEastAsia" w:hAnsiTheme="minorEastAsia" w:eastAsiaTheme="minorEastAsia" w:cstheme="minorEastAsia"/>
                <w:snapToGrid w:val="0"/>
                <w:color w:val="auto"/>
                <w:kern w:val="0"/>
                <w:sz w:val="21"/>
                <w:szCs w:val="21"/>
                <w:highlight w:val="none"/>
                <w:lang w:val="en-US" w:eastAsia="zh-CN"/>
              </w:rPr>
              <w:t>韶关市武江区百旺大道42号莞韶双创中心研发办公楼五楼03号</w:t>
            </w:r>
          </w:p>
          <w:p w14:paraId="24F24829">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项目负责人：</w:t>
            </w:r>
            <w:r>
              <w:rPr>
                <w:rFonts w:hint="eastAsia" w:asciiTheme="minorEastAsia" w:hAnsiTheme="minorEastAsia" w:eastAsiaTheme="minorEastAsia" w:cstheme="minorEastAsia"/>
                <w:snapToGrid w:val="0"/>
                <w:color w:val="auto"/>
                <w:kern w:val="0"/>
                <w:sz w:val="21"/>
                <w:szCs w:val="21"/>
                <w:highlight w:val="none"/>
                <w:lang w:val="en-US" w:eastAsia="zh-CN"/>
              </w:rPr>
              <w:t>何高练</w:t>
            </w:r>
          </w:p>
          <w:p w14:paraId="6A976851">
            <w:pPr>
              <w:wordWrap w:val="0"/>
              <w:adjustRightInd w:val="0"/>
              <w:snapToGrid w:val="0"/>
              <w:spacing w:line="360" w:lineRule="exact"/>
              <w:ind w:firstLine="210" w:firstLineChars="100"/>
              <w:jc w:val="left"/>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经办人：</w:t>
            </w:r>
            <w:r>
              <w:rPr>
                <w:rFonts w:hint="eastAsia" w:asciiTheme="minorEastAsia" w:hAnsiTheme="minorEastAsia" w:eastAsiaTheme="minorEastAsia" w:cstheme="minorEastAsia"/>
                <w:snapToGrid w:val="0"/>
                <w:color w:val="auto"/>
                <w:kern w:val="0"/>
                <w:sz w:val="21"/>
                <w:szCs w:val="21"/>
                <w:highlight w:val="none"/>
                <w:lang w:val="en-US" w:eastAsia="zh-CN"/>
              </w:rPr>
              <w:t>孔坚莹、张慧新</w:t>
            </w:r>
          </w:p>
          <w:p w14:paraId="46941BE8">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电    话：</w:t>
            </w:r>
            <w:r>
              <w:rPr>
                <w:rFonts w:hint="eastAsia" w:asciiTheme="minorEastAsia" w:hAnsiTheme="minorEastAsia" w:eastAsiaTheme="minorEastAsia" w:cstheme="minorEastAsia"/>
                <w:snapToGrid w:val="0"/>
                <w:color w:val="auto"/>
                <w:kern w:val="0"/>
                <w:sz w:val="21"/>
                <w:szCs w:val="21"/>
                <w:highlight w:val="none"/>
                <w:lang w:val="en-US" w:eastAsia="zh-CN"/>
              </w:rPr>
              <w:t>0751-8219991</w:t>
            </w:r>
          </w:p>
        </w:tc>
      </w:tr>
      <w:tr w14:paraId="53A8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4913773C">
            <w:pPr>
              <w:spacing w:before="69" w:line="188" w:lineRule="auto"/>
              <w:jc w:val="center"/>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40</w:t>
            </w:r>
          </w:p>
        </w:tc>
        <w:tc>
          <w:tcPr>
            <w:tcW w:w="1860" w:type="dxa"/>
            <w:vAlign w:val="center"/>
          </w:tcPr>
          <w:p w14:paraId="02AF1AD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交易场所联系方式</w:t>
            </w:r>
          </w:p>
        </w:tc>
        <w:tc>
          <w:tcPr>
            <w:tcW w:w="7544" w:type="dxa"/>
            <w:vAlign w:val="center"/>
          </w:tcPr>
          <w:p w14:paraId="7FC7A8F3">
            <w:pPr>
              <w:pStyle w:val="23"/>
              <w:wordWrap w:val="0"/>
              <w:adjustRightInd w:val="0"/>
              <w:snapToGrid w:val="0"/>
              <w:spacing w:line="360" w:lineRule="auto"/>
              <w:ind w:firstLine="210" w:firstLineChars="1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单位名称：韶关市公共资源交易中心</w:t>
            </w:r>
          </w:p>
          <w:p w14:paraId="115EFE1A">
            <w:pPr>
              <w:pStyle w:val="23"/>
              <w:wordWrap w:val="0"/>
              <w:adjustRightInd w:val="0"/>
              <w:snapToGrid w:val="0"/>
              <w:spacing w:line="360" w:lineRule="auto"/>
              <w:ind w:firstLine="210" w:firstLineChars="1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 xml:space="preserve">办公地址：广东省韶关市武江区西联镇 </w:t>
            </w:r>
          </w:p>
          <w:p w14:paraId="6A307809">
            <w:pPr>
              <w:pStyle w:val="23"/>
              <w:wordWrap w:val="0"/>
              <w:adjustRightInd w:val="0"/>
              <w:snapToGrid w:val="0"/>
              <w:spacing w:line="360" w:lineRule="auto"/>
              <w:ind w:firstLine="210" w:firstLineChars="1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联系人（部门）：工程交易股</w:t>
            </w:r>
          </w:p>
          <w:p w14:paraId="07CD1897">
            <w:pPr>
              <w:pStyle w:val="23"/>
              <w:wordWrap w:val="0"/>
              <w:adjustRightInd w:val="0"/>
              <w:snapToGrid w:val="0"/>
              <w:spacing w:line="360" w:lineRule="auto"/>
              <w:ind w:firstLine="210" w:firstLineChars="100"/>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lang w:val="en-US" w:eastAsia="zh-CN"/>
              </w:rPr>
              <w:t>联系电话：0751-8633211</w:t>
            </w:r>
          </w:p>
        </w:tc>
      </w:tr>
      <w:tr w14:paraId="55AFC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09465065">
            <w:pPr>
              <w:spacing w:before="69" w:line="188" w:lineRule="auto"/>
              <w:jc w:val="center"/>
              <w:rPr>
                <w:rFonts w:hint="eastAsia"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41</w:t>
            </w:r>
          </w:p>
        </w:tc>
        <w:tc>
          <w:tcPr>
            <w:tcW w:w="1860" w:type="dxa"/>
            <w:vAlign w:val="center"/>
          </w:tcPr>
          <w:p w14:paraId="1196A25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行政监督部</w:t>
            </w:r>
          </w:p>
          <w:p w14:paraId="700C1DB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门联系方式</w:t>
            </w:r>
          </w:p>
        </w:tc>
        <w:tc>
          <w:tcPr>
            <w:tcW w:w="7544" w:type="dxa"/>
            <w:vAlign w:val="center"/>
          </w:tcPr>
          <w:p w14:paraId="749BC2A3">
            <w:pPr>
              <w:pStyle w:val="23"/>
              <w:wordWrap w:val="0"/>
              <w:adjustRightInd w:val="0"/>
              <w:snapToGrid w:val="0"/>
              <w:spacing w:line="360" w:lineRule="auto"/>
              <w:ind w:firstLine="210" w:firstLineChars="1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单位名称：韶关市住房和城乡建设管理局</w:t>
            </w:r>
          </w:p>
          <w:p w14:paraId="0E3014EB">
            <w:pPr>
              <w:pStyle w:val="23"/>
              <w:wordWrap w:val="0"/>
              <w:adjustRightInd w:val="0"/>
              <w:snapToGrid w:val="0"/>
              <w:spacing w:line="360" w:lineRule="auto"/>
              <w:ind w:firstLine="210" w:firstLineChars="1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办公地址：广东省韶关市武江区芙蓉东路5号</w:t>
            </w:r>
          </w:p>
          <w:p w14:paraId="4835FF21">
            <w:pPr>
              <w:pStyle w:val="23"/>
              <w:wordWrap w:val="0"/>
              <w:adjustRightInd w:val="0"/>
              <w:snapToGrid w:val="0"/>
              <w:spacing w:line="360" w:lineRule="auto"/>
              <w:ind w:firstLine="210" w:firstLineChars="10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lang w:val="en-US" w:eastAsia="zh-CN"/>
              </w:rPr>
              <w:t>联系人（部门）：建筑业市场管理科</w:t>
            </w:r>
          </w:p>
          <w:p w14:paraId="6574C9CE">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lang w:val="en-US" w:eastAsia="zh-CN"/>
              </w:rPr>
              <w:t>联系电话：0751-8892601</w:t>
            </w:r>
          </w:p>
        </w:tc>
      </w:tr>
    </w:tbl>
    <w:p w14:paraId="353554BF">
      <w:pPr>
        <w:rPr>
          <w:rFonts w:hint="eastAsia" w:ascii="宋体" w:hAnsi="宋体" w:eastAsia="宋体" w:cs="宋体"/>
          <w:b/>
          <w:bCs/>
          <w:color w:val="auto"/>
          <w:spacing w:val="-3"/>
          <w:sz w:val="24"/>
          <w:szCs w:val="24"/>
          <w:highlight w:val="none"/>
        </w:rPr>
      </w:pPr>
      <w:bookmarkStart w:id="5" w:name="bookmark115"/>
      <w:bookmarkEnd w:id="5"/>
      <w:r>
        <w:rPr>
          <w:rFonts w:hint="eastAsia" w:ascii="宋体" w:hAnsi="宋体" w:eastAsia="宋体" w:cs="宋体"/>
          <w:b/>
          <w:bCs/>
          <w:color w:val="auto"/>
          <w:spacing w:val="-3"/>
          <w:sz w:val="24"/>
          <w:szCs w:val="24"/>
          <w:highlight w:val="none"/>
        </w:rPr>
        <w:br w:type="page"/>
      </w:r>
    </w:p>
    <w:p w14:paraId="137B8A1A">
      <w:pPr>
        <w:spacing w:before="156" w:line="219" w:lineRule="auto"/>
        <w:ind w:left="17"/>
        <w:jc w:val="left"/>
        <w:outlineLvl w:val="1"/>
        <w:rPr>
          <w:rFonts w:hint="eastAsia" w:ascii="宋体" w:hAnsi="宋体" w:eastAsia="宋体" w:cs="宋体"/>
          <w:color w:val="auto"/>
          <w:highlight w:val="none"/>
        </w:rPr>
      </w:pPr>
      <w:bookmarkStart w:id="6" w:name="_Toc14297"/>
      <w:r>
        <w:rPr>
          <w:rFonts w:hint="eastAsia" w:ascii="宋体" w:hAnsi="宋体" w:eastAsia="宋体" w:cs="宋体"/>
          <w:b/>
          <w:bCs/>
          <w:color w:val="auto"/>
          <w:spacing w:val="-3"/>
          <w:sz w:val="24"/>
          <w:szCs w:val="24"/>
          <w:highlight w:val="none"/>
        </w:rPr>
        <w:t>第二节 重要事项时间地点一览表</w:t>
      </w:r>
      <w:bookmarkEnd w:id="6"/>
    </w:p>
    <w:p w14:paraId="1F33EA19">
      <w:pPr>
        <w:pStyle w:val="6"/>
        <w:rPr>
          <w:rFonts w:hint="eastAsia" w:ascii="宋体" w:hAnsi="宋体" w:eastAsia="宋体" w:cs="宋体"/>
          <w:color w:val="auto"/>
          <w:highlight w:val="none"/>
        </w:rPr>
      </w:pPr>
    </w:p>
    <w:tbl>
      <w:tblPr>
        <w:tblStyle w:val="15"/>
        <w:tblW w:w="5008"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49"/>
        <w:gridCol w:w="1406"/>
        <w:gridCol w:w="7917"/>
      </w:tblGrid>
      <w:tr w14:paraId="1E44CD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2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4C38F692">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C5402EE">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招标公告</w:t>
            </w:r>
          </w:p>
          <w:p w14:paraId="725690E8">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发布时间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820CA6E">
            <w:pPr>
              <w:pStyle w:val="23"/>
              <w:widowControl/>
              <w:snapToGrid w:val="0"/>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6</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18</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17</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rPr>
              <w:t xml:space="preserve"> </w:t>
            </w:r>
            <w:r>
              <w:rPr>
                <w:rFonts w:hint="eastAsia" w:asciiTheme="minorEastAsia" w:hAnsiTheme="minorEastAsia" w:eastAsiaTheme="minorEastAsia" w:cstheme="minorEastAsia"/>
                <w:color w:val="auto"/>
                <w:kern w:val="0"/>
                <w:sz w:val="21"/>
                <w:szCs w:val="21"/>
                <w:highlight w:val="none"/>
                <w:u w:val="none"/>
                <w:lang w:val="en-US" w:eastAsia="zh-CN"/>
              </w:rPr>
              <w:t>00</w:t>
            </w:r>
            <w:r>
              <w:rPr>
                <w:rFonts w:hint="eastAsia" w:asciiTheme="minorEastAsia" w:hAnsiTheme="minorEastAsia" w:eastAsiaTheme="minorEastAsia" w:cstheme="minorEastAsia"/>
                <w:color w:val="auto"/>
                <w:kern w:val="0"/>
                <w:sz w:val="21"/>
                <w:szCs w:val="21"/>
                <w:highlight w:val="none"/>
                <w:u w:val="none"/>
              </w:rPr>
              <w:t xml:space="preserve"> </w:t>
            </w:r>
            <w:r>
              <w:rPr>
                <w:rFonts w:hint="eastAsia" w:asciiTheme="minorEastAsia" w:hAnsiTheme="minorEastAsia" w:eastAsiaTheme="minorEastAsia" w:cstheme="minorEastAsia"/>
                <w:color w:val="auto"/>
                <w:kern w:val="0"/>
                <w:sz w:val="21"/>
                <w:szCs w:val="21"/>
                <w:highlight w:val="none"/>
              </w:rPr>
              <w:t>分</w:t>
            </w:r>
            <w:r>
              <w:rPr>
                <w:rFonts w:hint="eastAsia" w:asciiTheme="minorEastAsia" w:hAnsiTheme="minorEastAsia" w:eastAsiaTheme="minorEastAsia" w:cstheme="minorEastAsia"/>
                <w:color w:val="auto"/>
                <w:kern w:val="0"/>
                <w:sz w:val="21"/>
                <w:szCs w:val="21"/>
                <w:highlight w:val="none"/>
                <w:lang w:val="en-US" w:eastAsia="zh-CN"/>
              </w:rPr>
              <w:t xml:space="preserve"> </w:t>
            </w:r>
          </w:p>
        </w:tc>
      </w:tr>
      <w:tr w14:paraId="2F0B00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2"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A1044EE">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0E32C9FE">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获取招标文件</w:t>
            </w:r>
          </w:p>
          <w:p w14:paraId="23D91625">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1C54F190">
            <w:pPr>
              <w:pStyle w:val="23"/>
              <w:widowControl/>
              <w:snapToGrid w:val="0"/>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rPr>
              <w:t xml:space="preserve"> </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rPr>
              <w:t>分</w:t>
            </w:r>
          </w:p>
        </w:tc>
      </w:tr>
      <w:tr w14:paraId="0785663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82"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38ED34C8">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3</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13C70EC">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网上提问</w:t>
            </w:r>
          </w:p>
          <w:p w14:paraId="4AC37F99">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B8D8C14">
            <w:pPr>
              <w:pStyle w:val="23"/>
              <w:wordWrap w:val="0"/>
              <w:adjustRightInd w:val="0"/>
              <w:snapToGrid w:val="0"/>
              <w:spacing w:line="40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u w:val="none"/>
              </w:rPr>
            </w:pP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u w:val="none"/>
              </w:rPr>
              <w:t>年</w:t>
            </w:r>
            <w:r>
              <w:rPr>
                <w:rFonts w:hint="eastAsia" w:asciiTheme="minorEastAsia" w:hAnsiTheme="minorEastAsia" w:eastAsiaTheme="minorEastAsia" w:cstheme="minorEastAsia"/>
                <w:color w:val="auto"/>
                <w:kern w:val="0"/>
                <w:sz w:val="21"/>
                <w:szCs w:val="21"/>
                <w:highlight w:val="none"/>
                <w:u w:val="none"/>
                <w:lang w:val="en-US" w:eastAsia="zh-CN"/>
              </w:rPr>
              <w:t>6</w:t>
            </w:r>
            <w:r>
              <w:rPr>
                <w:rFonts w:hint="eastAsia" w:asciiTheme="minorEastAsia" w:hAnsiTheme="minorEastAsia" w:eastAsiaTheme="minorEastAsia" w:cstheme="minorEastAsia"/>
                <w:color w:val="auto"/>
                <w:kern w:val="0"/>
                <w:sz w:val="21"/>
                <w:szCs w:val="21"/>
                <w:highlight w:val="none"/>
                <w:u w:val="none"/>
              </w:rPr>
              <w:t>月</w:t>
            </w:r>
            <w:r>
              <w:rPr>
                <w:rFonts w:hint="eastAsia" w:asciiTheme="minorEastAsia" w:hAnsiTheme="minorEastAsia" w:eastAsiaTheme="minorEastAsia" w:cstheme="minorEastAsia"/>
                <w:color w:val="auto"/>
                <w:kern w:val="0"/>
                <w:sz w:val="21"/>
                <w:szCs w:val="21"/>
                <w:highlight w:val="none"/>
                <w:u w:val="none"/>
                <w:lang w:val="en-US" w:eastAsia="zh-CN"/>
              </w:rPr>
              <w:t>29</w:t>
            </w:r>
            <w:r>
              <w:rPr>
                <w:rFonts w:hint="eastAsia" w:asciiTheme="minorEastAsia" w:hAnsiTheme="minorEastAsia" w:eastAsiaTheme="minorEastAsia" w:cstheme="minorEastAsia"/>
                <w:color w:val="auto"/>
                <w:kern w:val="0"/>
                <w:sz w:val="21"/>
                <w:szCs w:val="21"/>
                <w:highlight w:val="none"/>
                <w:u w:val="none"/>
              </w:rPr>
              <w:t xml:space="preserve">日 </w:t>
            </w:r>
            <w:r>
              <w:rPr>
                <w:rFonts w:hint="eastAsia" w:asciiTheme="minorEastAsia" w:hAnsiTheme="minorEastAsia" w:eastAsiaTheme="minorEastAsia" w:cstheme="minorEastAsia"/>
                <w:color w:val="auto"/>
                <w:kern w:val="0"/>
                <w:sz w:val="21"/>
                <w:szCs w:val="21"/>
                <w:highlight w:val="none"/>
                <w:u w:val="none"/>
                <w:lang w:val="en-US" w:eastAsia="zh-CN"/>
              </w:rPr>
              <w:t xml:space="preserve">16  </w:t>
            </w:r>
            <w:r>
              <w:rPr>
                <w:rFonts w:hint="eastAsia" w:asciiTheme="minorEastAsia" w:hAnsiTheme="minorEastAsia" w:eastAsiaTheme="minorEastAsia" w:cstheme="minorEastAsia"/>
                <w:color w:val="auto"/>
                <w:kern w:val="0"/>
                <w:sz w:val="21"/>
                <w:szCs w:val="21"/>
                <w:highlight w:val="none"/>
                <w:u w:val="none"/>
              </w:rPr>
              <w:t xml:space="preserve">时 </w:t>
            </w:r>
            <w:r>
              <w:rPr>
                <w:rFonts w:hint="eastAsia" w:asciiTheme="minorEastAsia" w:hAnsiTheme="minorEastAsia" w:eastAsiaTheme="minorEastAsia" w:cstheme="minorEastAsia"/>
                <w:color w:val="auto"/>
                <w:kern w:val="0"/>
                <w:sz w:val="21"/>
                <w:szCs w:val="21"/>
                <w:highlight w:val="none"/>
                <w:u w:val="none"/>
                <w:lang w:val="en-US" w:eastAsia="zh-CN"/>
              </w:rPr>
              <w:t xml:space="preserve">00 </w:t>
            </w:r>
            <w:r>
              <w:rPr>
                <w:rFonts w:hint="eastAsia" w:asciiTheme="minorEastAsia" w:hAnsiTheme="minorEastAsia" w:eastAsiaTheme="minorEastAsia" w:cstheme="minorEastAsia"/>
                <w:color w:val="auto"/>
                <w:kern w:val="0"/>
                <w:sz w:val="21"/>
                <w:szCs w:val="21"/>
                <w:highlight w:val="none"/>
                <w:u w:val="none"/>
              </w:rPr>
              <w:t>分</w:t>
            </w:r>
          </w:p>
        </w:tc>
      </w:tr>
      <w:tr w14:paraId="3D74E2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56170B8">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4</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19025065">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网上答疑</w:t>
            </w:r>
          </w:p>
          <w:p w14:paraId="722BD182">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B8ACE79">
            <w:pPr>
              <w:pStyle w:val="23"/>
              <w:widowControl/>
              <w:snapToGrid w:val="0"/>
              <w:ind w:firstLine="210" w:firstLineChars="100"/>
              <w:jc w:val="left"/>
              <w:rPr>
                <w:rFonts w:hint="eastAsia" w:asciiTheme="minorEastAsia" w:hAnsiTheme="minorEastAsia" w:eastAsiaTheme="minorEastAsia" w:cstheme="minorEastAsia"/>
                <w:snapToGrid w:val="0"/>
                <w:color w:val="auto"/>
                <w:kern w:val="0"/>
                <w:sz w:val="21"/>
                <w:szCs w:val="21"/>
                <w:highlight w:val="none"/>
                <w:u w:val="none"/>
              </w:rPr>
            </w:pP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u w:val="none"/>
              </w:rPr>
              <w:t>年</w:t>
            </w:r>
            <w:r>
              <w:rPr>
                <w:rFonts w:hint="eastAsia" w:asciiTheme="minorEastAsia" w:hAnsiTheme="minorEastAsia" w:eastAsiaTheme="minorEastAsia" w:cstheme="minorEastAsia"/>
                <w:color w:val="auto"/>
                <w:kern w:val="0"/>
                <w:sz w:val="21"/>
                <w:szCs w:val="21"/>
                <w:highlight w:val="none"/>
                <w:u w:val="none"/>
                <w:lang w:val="en-US" w:eastAsia="zh-CN"/>
              </w:rPr>
              <w:t>6</w:t>
            </w:r>
            <w:r>
              <w:rPr>
                <w:rFonts w:hint="eastAsia" w:asciiTheme="minorEastAsia" w:hAnsiTheme="minorEastAsia" w:eastAsiaTheme="minorEastAsia" w:cstheme="minorEastAsia"/>
                <w:color w:val="auto"/>
                <w:kern w:val="0"/>
                <w:sz w:val="21"/>
                <w:szCs w:val="21"/>
                <w:highlight w:val="none"/>
                <w:u w:val="none"/>
              </w:rPr>
              <w:t>月</w:t>
            </w:r>
            <w:r>
              <w:rPr>
                <w:rFonts w:hint="eastAsia" w:asciiTheme="minorEastAsia" w:hAnsiTheme="minorEastAsia" w:eastAsiaTheme="minorEastAsia" w:cstheme="minorEastAsia"/>
                <w:color w:val="auto"/>
                <w:kern w:val="0"/>
                <w:sz w:val="21"/>
                <w:szCs w:val="21"/>
                <w:highlight w:val="none"/>
                <w:u w:val="none"/>
                <w:lang w:val="en-US" w:eastAsia="zh-CN"/>
              </w:rPr>
              <w:t>29</w:t>
            </w:r>
            <w:r>
              <w:rPr>
                <w:rFonts w:hint="eastAsia" w:asciiTheme="minorEastAsia" w:hAnsiTheme="minorEastAsia" w:eastAsiaTheme="minorEastAsia" w:cstheme="minorEastAsia"/>
                <w:color w:val="auto"/>
                <w:kern w:val="0"/>
                <w:sz w:val="21"/>
                <w:szCs w:val="21"/>
                <w:highlight w:val="none"/>
                <w:u w:val="none"/>
              </w:rPr>
              <w:t>日 16 时 30 分至</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u w:val="none"/>
              </w:rPr>
              <w:t>年</w:t>
            </w:r>
            <w:r>
              <w:rPr>
                <w:rFonts w:hint="eastAsia" w:asciiTheme="minorEastAsia" w:hAnsiTheme="minorEastAsia" w:eastAsiaTheme="minorEastAsia" w:cstheme="minorEastAsia"/>
                <w:color w:val="auto"/>
                <w:kern w:val="0"/>
                <w:sz w:val="21"/>
                <w:szCs w:val="21"/>
                <w:highlight w:val="none"/>
                <w:u w:val="none"/>
                <w:lang w:val="en-US" w:eastAsia="zh-CN"/>
              </w:rPr>
              <w:t>7</w:t>
            </w:r>
            <w:r>
              <w:rPr>
                <w:rFonts w:hint="eastAsia" w:asciiTheme="minorEastAsia" w:hAnsiTheme="minorEastAsia" w:eastAsiaTheme="minorEastAsia" w:cstheme="minorEastAsia"/>
                <w:color w:val="auto"/>
                <w:kern w:val="0"/>
                <w:sz w:val="21"/>
                <w:szCs w:val="21"/>
                <w:highlight w:val="none"/>
                <w:u w:val="none"/>
              </w:rPr>
              <w:t>月</w:t>
            </w:r>
            <w:r>
              <w:rPr>
                <w:rFonts w:hint="eastAsia" w:asciiTheme="minorEastAsia" w:hAnsiTheme="minorEastAsia" w:eastAsiaTheme="minorEastAsia" w:cstheme="minorEastAsia"/>
                <w:color w:val="auto"/>
                <w:kern w:val="0"/>
                <w:sz w:val="21"/>
                <w:szCs w:val="21"/>
                <w:highlight w:val="none"/>
                <w:u w:val="none"/>
                <w:lang w:val="en-US" w:eastAsia="zh-CN"/>
              </w:rPr>
              <w:t>2</w:t>
            </w:r>
            <w:r>
              <w:rPr>
                <w:rFonts w:hint="eastAsia" w:asciiTheme="minorEastAsia" w:hAnsiTheme="minorEastAsia" w:eastAsiaTheme="minorEastAsia" w:cstheme="minorEastAsia"/>
                <w:color w:val="auto"/>
                <w:kern w:val="0"/>
                <w:sz w:val="21"/>
                <w:szCs w:val="21"/>
                <w:highlight w:val="none"/>
                <w:u w:val="none"/>
              </w:rPr>
              <w:t>日 16 时 00分</w:t>
            </w:r>
          </w:p>
        </w:tc>
      </w:tr>
      <w:tr w14:paraId="5B4ABE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46"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679F889B">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5</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634DA815">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投标保证缴</w:t>
            </w:r>
          </w:p>
          <w:p w14:paraId="40601E3D">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纳截止时间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555562EC">
            <w:pPr>
              <w:pStyle w:val="23"/>
              <w:widowControl/>
              <w:snapToGrid w:val="0"/>
              <w:ind w:firstLine="210" w:firstLineChars="1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投标保证金到账截止时间：</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8</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rPr>
              <w:t>分；</w:t>
            </w:r>
          </w:p>
          <w:p w14:paraId="4524612A">
            <w:pPr>
              <w:pStyle w:val="23"/>
              <w:widowControl/>
              <w:snapToGrid w:val="0"/>
              <w:ind w:firstLine="210" w:firstLineChars="1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投标保证担保上传截止时间：</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8</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rPr>
              <w:t>分；</w:t>
            </w:r>
          </w:p>
          <w:p w14:paraId="4C25299F">
            <w:pPr>
              <w:pStyle w:val="23"/>
              <w:widowControl/>
              <w:snapToGrid w:val="0"/>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投标保证保险投保截止时间：</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 xml:space="preserve"> 7</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8</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rPr>
              <w:t>分。</w:t>
            </w:r>
          </w:p>
        </w:tc>
      </w:tr>
      <w:tr w14:paraId="05E6F3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2"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32F3F961">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6</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31EE883B">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电子投标</w:t>
            </w:r>
          </w:p>
          <w:p w14:paraId="0226D243">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截止时间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1866DE13">
            <w:pPr>
              <w:pStyle w:val="23"/>
              <w:widowControl/>
              <w:snapToGrid w:val="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 </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lang w:val="en-US" w:eastAsia="zh-CN"/>
              </w:rPr>
              <w:t>30</w:t>
            </w:r>
            <w:r>
              <w:rPr>
                <w:rFonts w:hint="eastAsia" w:asciiTheme="minorEastAsia" w:hAnsiTheme="minorEastAsia" w:eastAsiaTheme="minorEastAsia" w:cstheme="minorEastAsia"/>
                <w:color w:val="auto"/>
                <w:kern w:val="0"/>
                <w:sz w:val="21"/>
                <w:szCs w:val="21"/>
                <w:highlight w:val="none"/>
              </w:rPr>
              <w:t>分</w:t>
            </w:r>
          </w:p>
        </w:tc>
      </w:tr>
      <w:tr w14:paraId="0FA0FA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2F506CC3">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7</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62B5FEEA">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投标评审原件（如有）</w:t>
            </w:r>
          </w:p>
          <w:p w14:paraId="78B85CE4">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递交时间</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D85F498">
            <w:pPr>
              <w:pStyle w:val="23"/>
              <w:widowControl/>
              <w:snapToGrid w:val="0"/>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lang w:val="en-US" w:eastAsia="zh-CN"/>
              </w:rPr>
              <w:t>00</w:t>
            </w:r>
            <w:r>
              <w:rPr>
                <w:rFonts w:hint="eastAsia" w:asciiTheme="minorEastAsia" w:hAnsiTheme="minorEastAsia" w:eastAsiaTheme="minorEastAsia" w:cstheme="minorEastAsia"/>
                <w:color w:val="auto"/>
                <w:kern w:val="0"/>
                <w:sz w:val="21"/>
                <w:szCs w:val="21"/>
                <w:highlight w:val="none"/>
              </w:rPr>
              <w:t>分至</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u w:val="none"/>
              </w:rPr>
              <w:t xml:space="preserve"> </w:t>
            </w:r>
            <w:r>
              <w:rPr>
                <w:rFonts w:hint="eastAsia" w:asciiTheme="minorEastAsia" w:hAnsiTheme="minorEastAsia" w:eastAsiaTheme="minorEastAsia" w:cstheme="minorEastAsia"/>
                <w:color w:val="auto"/>
                <w:kern w:val="0"/>
                <w:sz w:val="21"/>
                <w:szCs w:val="21"/>
                <w:highlight w:val="none"/>
              </w:rPr>
              <w:t>分</w:t>
            </w:r>
          </w:p>
        </w:tc>
      </w:tr>
      <w:tr w14:paraId="519C5C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0490D6B3">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8</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4DE543D2">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投标评审原件（如有）</w:t>
            </w:r>
          </w:p>
          <w:p w14:paraId="65C8FB45">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递交地点</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0342CA2E">
            <w:pPr>
              <w:pStyle w:val="23"/>
              <w:wordWrap w:val="0"/>
              <w:adjustRightInd w:val="0"/>
              <w:snapToGrid w:val="0"/>
              <w:spacing w:line="40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递交场所：韶关市公共资源交易中心</w:t>
            </w:r>
          </w:p>
          <w:p w14:paraId="5CE53E69">
            <w:pPr>
              <w:pStyle w:val="23"/>
              <w:wordWrap w:val="0"/>
              <w:adjustRightInd w:val="0"/>
              <w:snapToGrid w:val="0"/>
              <w:spacing w:line="40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地址：广东省韶关市武江区西联镇，具体房间号以当日现场通知为准</w:t>
            </w:r>
            <w:r>
              <w:rPr>
                <w:rFonts w:hint="eastAsia" w:asciiTheme="minorEastAsia" w:hAnsiTheme="minorEastAsia" w:eastAsiaTheme="minorEastAsia" w:cstheme="minorEastAsia"/>
                <w:snapToGrid w:val="0"/>
                <w:color w:val="auto"/>
                <w:kern w:val="0"/>
                <w:sz w:val="21"/>
                <w:szCs w:val="21"/>
                <w:highlight w:val="none"/>
                <w:lang w:eastAsia="zh-CN"/>
              </w:rPr>
              <w:t>。</w:t>
            </w:r>
          </w:p>
        </w:tc>
      </w:tr>
      <w:tr w14:paraId="1465CF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10"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1993F3F3">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9</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2D3E1F97">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开标时间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710660D4">
            <w:pPr>
              <w:pStyle w:val="23"/>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 </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rPr>
              <w:t>分</w:t>
            </w:r>
            <w:bookmarkStart w:id="273" w:name="_GoBack"/>
            <w:bookmarkEnd w:id="273"/>
          </w:p>
        </w:tc>
      </w:tr>
      <w:tr w14:paraId="1B52AB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87" w:hRule="exact"/>
        </w:trPr>
        <w:tc>
          <w:tcPr>
            <w:tcW w:w="230" w:type="pct"/>
            <w:tcBorders>
              <w:top w:val="single" w:color="080000" w:sz="4" w:space="0"/>
              <w:left w:val="single" w:color="080000" w:sz="4" w:space="0"/>
              <w:bottom w:val="single" w:color="080000" w:sz="4" w:space="0"/>
              <w:right w:val="single" w:color="080000" w:sz="4" w:space="0"/>
            </w:tcBorders>
            <w:noWrap w:val="0"/>
            <w:vAlign w:val="center"/>
          </w:tcPr>
          <w:p w14:paraId="6BC911F2">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10</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2D2963E9">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开标地点 </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2360B3C3">
            <w:pPr>
              <w:pStyle w:val="23"/>
              <w:wordWrap w:val="0"/>
              <w:adjustRightInd w:val="0"/>
              <w:snapToGrid w:val="0"/>
              <w:spacing w:line="40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开标场所：韶关市公共资源交易中心</w:t>
            </w:r>
          </w:p>
          <w:p w14:paraId="0624A7FB">
            <w:pPr>
              <w:pStyle w:val="23"/>
              <w:wordWrap w:val="0"/>
              <w:adjustRightInd w:val="0"/>
              <w:snapToGrid w:val="0"/>
              <w:spacing w:line="40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地址：广东省韶关市武江区西联镇，具体房间号以当日现场通知为准</w:t>
            </w:r>
            <w:r>
              <w:rPr>
                <w:rFonts w:hint="eastAsia" w:asciiTheme="minorEastAsia" w:hAnsiTheme="minorEastAsia" w:eastAsiaTheme="minorEastAsia" w:cstheme="minorEastAsia"/>
                <w:snapToGrid w:val="0"/>
                <w:color w:val="auto"/>
                <w:kern w:val="0"/>
                <w:sz w:val="21"/>
                <w:szCs w:val="21"/>
                <w:highlight w:val="none"/>
                <w:lang w:eastAsia="zh-CN"/>
              </w:rPr>
              <w:t>。</w:t>
            </w:r>
          </w:p>
        </w:tc>
      </w:tr>
      <w:tr w14:paraId="72E2B0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8" w:hRule="exact"/>
        </w:trPr>
        <w:tc>
          <w:tcPr>
            <w:tcW w:w="949" w:type="pct"/>
            <w:gridSpan w:val="2"/>
            <w:tcBorders>
              <w:top w:val="single" w:color="080000" w:sz="4" w:space="0"/>
              <w:left w:val="single" w:color="080000" w:sz="4" w:space="0"/>
              <w:bottom w:val="single" w:color="080000" w:sz="4" w:space="0"/>
              <w:right w:val="single" w:color="080000" w:sz="4" w:space="0"/>
            </w:tcBorders>
            <w:noWrap w:val="0"/>
            <w:vAlign w:val="center"/>
          </w:tcPr>
          <w:p w14:paraId="62E8D9A8">
            <w:pPr>
              <w:pStyle w:val="23"/>
              <w:wordWrap w:val="0"/>
              <w:adjustRightInd w:val="0"/>
              <w:snapToGrid w:val="0"/>
              <w:spacing w:line="36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lang w:val="en-US" w:eastAsia="zh-CN"/>
              </w:rPr>
              <w:t>备注</w:t>
            </w:r>
          </w:p>
        </w:tc>
        <w:tc>
          <w:tcPr>
            <w:tcW w:w="4050" w:type="pct"/>
            <w:tcBorders>
              <w:top w:val="single" w:color="080000" w:sz="4" w:space="0"/>
              <w:left w:val="single" w:color="080000" w:sz="4" w:space="0"/>
              <w:bottom w:val="single" w:color="080000" w:sz="4" w:space="0"/>
              <w:right w:val="single" w:color="080000" w:sz="4" w:space="0"/>
            </w:tcBorders>
            <w:noWrap w:val="0"/>
            <w:vAlign w:val="center"/>
          </w:tcPr>
          <w:p w14:paraId="657076DD">
            <w:pPr>
              <w:pStyle w:val="23"/>
              <w:wordWrap w:val="0"/>
              <w:adjustRightInd w:val="0"/>
              <w:snapToGrid w:val="0"/>
              <w:spacing w:line="40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自行下载招标文件、资料文件及招标答疑书等。若由于投标人自身原因未能及时取得上述资料的，由此发生的任何责任由投标人自负。</w:t>
            </w:r>
          </w:p>
        </w:tc>
      </w:tr>
    </w:tbl>
    <w:p w14:paraId="061A2F3E">
      <w:pPr>
        <w:tabs>
          <w:tab w:val="left" w:pos="8820"/>
        </w:tabs>
        <w:rPr>
          <w:rFonts w:hint="eastAsia" w:ascii="宋体" w:hAnsi="宋体" w:eastAsia="宋体" w:cs="宋体"/>
          <w:b w:val="0"/>
          <w:bCs w:val="0"/>
          <w:color w:val="auto"/>
          <w:sz w:val="24"/>
          <w:szCs w:val="24"/>
          <w:highlight w:val="none"/>
        </w:rPr>
        <w:sectPr>
          <w:headerReference r:id="rId6" w:type="default"/>
          <w:footerReference r:id="rId7"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0956DF53">
      <w:pPr>
        <w:jc w:val="center"/>
        <w:outlineLvl w:val="1"/>
        <w:rPr>
          <w:rFonts w:hint="eastAsia" w:ascii="宋体" w:hAnsi="宋体" w:eastAsia="宋体" w:cs="宋体"/>
          <w:color w:val="auto"/>
          <w:sz w:val="24"/>
          <w:szCs w:val="24"/>
          <w:highlight w:val="none"/>
        </w:rPr>
      </w:pPr>
      <w:bookmarkStart w:id="7" w:name="_Toc9283"/>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02A7B79A">
      <w:pPr>
        <w:pStyle w:val="6"/>
        <w:spacing w:line="256" w:lineRule="auto"/>
        <w:rPr>
          <w:rFonts w:hint="eastAsia" w:ascii="宋体" w:hAnsi="宋体" w:eastAsia="宋体" w:cs="宋体"/>
          <w:color w:val="auto"/>
          <w:highlight w:val="none"/>
        </w:rPr>
      </w:pPr>
    </w:p>
    <w:p w14:paraId="52486261">
      <w:pPr>
        <w:pStyle w:val="6"/>
        <w:spacing w:line="257" w:lineRule="auto"/>
        <w:rPr>
          <w:rFonts w:hint="eastAsia" w:ascii="宋体" w:hAnsi="宋体" w:eastAsia="宋体" w:cs="宋体"/>
          <w:color w:val="auto"/>
          <w:highlight w:val="none"/>
        </w:rPr>
      </w:pPr>
    </w:p>
    <w:p w14:paraId="605C5DF8">
      <w:pPr>
        <w:keepNext w:val="0"/>
        <w:keepLines w:val="0"/>
        <w:widowControl/>
        <w:suppressLineNumbers w:val="0"/>
        <w:spacing w:line="360" w:lineRule="auto"/>
        <w:ind w:right="-258" w:rightChars="-123" w:firstLine="480" w:firstLineChars="200"/>
        <w:jc w:val="left"/>
        <w:rPr>
          <w:rFonts w:hint="eastAsia" w:ascii="宋体" w:hAnsi="宋体" w:eastAsia="宋体" w:cs="宋体"/>
          <w:color w:val="auto"/>
          <w:sz w:val="36"/>
          <w:szCs w:val="36"/>
          <w:highlight w:val="none"/>
        </w:rPr>
      </w:pPr>
      <w:r>
        <w:rPr>
          <w:rFonts w:hint="eastAsia" w:ascii="宋体" w:hAnsi="宋体" w:eastAsia="宋体" w:cs="宋体"/>
          <w:snapToGrid w:val="0"/>
          <w:color w:val="auto"/>
          <w:kern w:val="0"/>
          <w:sz w:val="24"/>
          <w:szCs w:val="32"/>
          <w:highlight w:val="none"/>
          <w:u w:val="single"/>
          <w:lang w:eastAsia="zh-CN"/>
        </w:rPr>
        <w:t>韶关市武江区城区排水防涝系统改造项目</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韶关市武江区发展和改革局以《韶关市武江区发展和改革局关于韶关市武江区城区排水防涝系统改造项目可行性研究报告的批复》（韶武发改投审〔2025〕3 号）、《韶关市武江区发展和改革局关于韶关市武江区城区排水防涝系统改造项目（三期）A标初步设计概算的批复》（韶武发改投审〔2026〕20号）</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eastAsia="zh-CN"/>
        </w:rPr>
        <w:t>2405-440203-17-01-545355</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韶关市武江区城市管理和综合执法局</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eastAsia="zh-CN"/>
        </w:rPr>
        <w:t>区财政统筹解决</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资金已落实</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韶关市武江区城市管理和综合执法局</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广东合正项目管理有限公司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2"/>
          <w:szCs w:val="22"/>
          <w:highlight w:val="none"/>
          <w:u w:val="single"/>
          <w:lang w:eastAsia="zh-CN"/>
        </w:rPr>
        <w:t>韶关市武江区城区排水防涝系统改造项目（</w:t>
      </w:r>
      <w:r>
        <w:rPr>
          <w:rFonts w:hint="eastAsia" w:ascii="宋体" w:hAnsi="宋体" w:eastAsia="宋体" w:cs="宋体"/>
          <w:snapToGrid w:val="0"/>
          <w:color w:val="auto"/>
          <w:kern w:val="0"/>
          <w:sz w:val="22"/>
          <w:szCs w:val="22"/>
          <w:highlight w:val="none"/>
          <w:u w:val="single"/>
          <w:lang w:val="en-US" w:eastAsia="zh-CN"/>
        </w:rPr>
        <w:t>三</w:t>
      </w:r>
      <w:r>
        <w:rPr>
          <w:rFonts w:hint="eastAsia" w:ascii="宋体" w:hAnsi="宋体" w:eastAsia="宋体" w:cs="宋体"/>
          <w:snapToGrid w:val="0"/>
          <w:color w:val="auto"/>
          <w:kern w:val="0"/>
          <w:sz w:val="22"/>
          <w:szCs w:val="22"/>
          <w:highlight w:val="none"/>
          <w:u w:val="single"/>
          <w:lang w:eastAsia="zh-CN"/>
        </w:rPr>
        <w:t>期）A标施工</w:t>
      </w:r>
      <w:r>
        <w:rPr>
          <w:rFonts w:hint="eastAsia" w:ascii="宋体" w:hAnsi="宋体" w:eastAsia="宋体" w:cs="宋体"/>
          <w:snapToGrid w:val="0"/>
          <w:color w:val="auto"/>
          <w:kern w:val="0"/>
          <w:sz w:val="24"/>
          <w:szCs w:val="24"/>
          <w:highlight w:val="none"/>
        </w:rPr>
        <w:t>进行公开招标。</w:t>
      </w:r>
    </w:p>
    <w:p w14:paraId="692F6E02">
      <w:pPr>
        <w:spacing w:before="78" w:line="220" w:lineRule="auto"/>
        <w:ind w:left="496"/>
        <w:outlineLvl w:val="2"/>
        <w:rPr>
          <w:rFonts w:hint="eastAsia" w:ascii="宋体" w:hAnsi="宋体" w:eastAsia="宋体" w:cs="宋体"/>
          <w:color w:val="auto"/>
          <w:sz w:val="24"/>
          <w:szCs w:val="24"/>
          <w:highlight w:val="none"/>
        </w:rPr>
      </w:pPr>
      <w:bookmarkStart w:id="8" w:name="bookmark59"/>
      <w:bookmarkEnd w:id="8"/>
      <w:bookmarkStart w:id="9" w:name="bookmark73"/>
      <w:bookmarkEnd w:id="9"/>
      <w:bookmarkStart w:id="10" w:name="bookmark52"/>
      <w:bookmarkEnd w:id="10"/>
      <w:bookmarkStart w:id="11" w:name="_Toc19017"/>
      <w:bookmarkStart w:id="12" w:name="_Toc15993"/>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49DE2858">
      <w:pPr>
        <w:spacing w:before="15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2FC94A93">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z w:val="24"/>
          <w:szCs w:val="24"/>
          <w:highlight w:val="none"/>
          <w:u w:val="single"/>
          <w:lang w:val="en-US" w:eastAsia="zh-CN"/>
        </w:rPr>
        <w:t>韶关市武江区。</w:t>
      </w:r>
    </w:p>
    <w:p w14:paraId="017DE51C">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z w:val="24"/>
          <w:szCs w:val="24"/>
          <w:highlight w:val="none"/>
          <w:u w:val="single"/>
          <w:lang w:val="en-US" w:eastAsia="zh-CN"/>
        </w:rPr>
        <w:t>在芙蓉北一路、韶关大道、工业路、奥园后山、志福新村、教育路、人民南路等地点，新建管径为 DN300 -DN1200的排水管约2478米，新建规格为1500*500、1000*500、800*800的雨水渠约1148米等。包括排水管渠修建、道路路面修复等工程。（最终以施工图纸及工程量清单为准）</w:t>
      </w:r>
    </w:p>
    <w:p w14:paraId="13C34DBA">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21"/>
          <w:rFonts w:hint="eastAsia" w:ascii="宋体" w:hAnsi="宋体" w:eastAsia="宋体" w:cs="宋体"/>
          <w:color w:val="auto"/>
          <w:kern w:val="0"/>
          <w:sz w:val="24"/>
          <w:szCs w:val="24"/>
          <w:highlight w:val="none"/>
        </w:rPr>
        <w:t>：</w:t>
      </w:r>
      <w:r>
        <w:rPr>
          <w:rStyle w:val="21"/>
          <w:rFonts w:hint="eastAsia" w:ascii="宋体" w:hAnsi="宋体" w:eastAsia="宋体" w:cs="宋体"/>
          <w:color w:val="auto"/>
          <w:kern w:val="0"/>
          <w:sz w:val="24"/>
          <w:szCs w:val="24"/>
          <w:highlight w:val="none"/>
          <w:u w:val="single"/>
          <w:lang w:val="en-US" w:eastAsia="zh-CN"/>
        </w:rPr>
        <w:t>项目概算总投资2068.98万元，其中工程费用1741.24万元，工程建设其他费用267.48万元，预备费用60.26万元。</w:t>
      </w:r>
    </w:p>
    <w:p w14:paraId="758B6CCF">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single"/>
          <w:lang w:val="en-US" w:eastAsia="zh-CN"/>
        </w:rPr>
        <w:t xml:space="preserve"> 招标范围和标段划分</w:t>
      </w:r>
    </w:p>
    <w:p w14:paraId="52F0C381">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rPr>
        <w:t>按审查合格的施工图纸及工程量清单内容施工</w:t>
      </w:r>
      <w:r>
        <w:rPr>
          <w:rFonts w:hint="eastAsia" w:ascii="宋体" w:hAnsi="宋体" w:eastAsia="宋体" w:cs="宋体"/>
          <w:color w:val="auto"/>
          <w:spacing w:val="-1"/>
          <w:sz w:val="24"/>
          <w:szCs w:val="24"/>
          <w:highlight w:val="none"/>
          <w:lang w:eastAsia="zh-CN"/>
        </w:rPr>
        <w:t>。</w:t>
      </w:r>
    </w:p>
    <w:p w14:paraId="4A32985A">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4"/>
          <w:szCs w:val="24"/>
          <w:highlight w:val="none"/>
        </w:rPr>
      </w:pPr>
      <w:bookmarkStart w:id="13" w:name="_Toc14190"/>
      <w:bookmarkStart w:id="14" w:name="_Toc28202"/>
      <w:bookmarkStart w:id="15" w:name="_Toc24593"/>
      <w:bookmarkStart w:id="16" w:name="_Toc20855"/>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14:paraId="71B39489">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9A5251A">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695842AD">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17" w:name="_Toc21208"/>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17"/>
    </w:p>
    <w:p w14:paraId="4A910DA8">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2.1</w:t>
      </w:r>
      <w:r>
        <w:rPr>
          <w:rStyle w:val="21"/>
          <w:rFonts w:hint="eastAsia" w:ascii="宋体" w:hAnsi="宋体" w:eastAsia="宋体" w:cs="宋体"/>
          <w:b w:val="0"/>
          <w:bCs w:val="0"/>
          <w:color w:val="auto"/>
          <w:kern w:val="0"/>
          <w:sz w:val="24"/>
          <w:szCs w:val="24"/>
          <w:highlight w:val="none"/>
          <w:lang w:val="en-US" w:eastAsia="zh-CN"/>
        </w:rPr>
        <w:t xml:space="preserve"> 本次招标不接受联合体投标。</w:t>
      </w:r>
    </w:p>
    <w:p w14:paraId="65A5F158">
      <w:pPr>
        <w:wordWrap w:val="0"/>
        <w:adjustRightInd w:val="0"/>
        <w:snapToGrid w:val="0"/>
        <w:spacing w:line="360" w:lineRule="auto"/>
        <w:ind w:firstLine="482" w:firstLineChars="200"/>
        <w:rPr>
          <w:rStyle w:val="21"/>
          <w:rFonts w:hint="eastAsia" w:ascii="宋体" w:hAnsi="宋体" w:eastAsia="宋体" w:cs="宋体"/>
          <w:b w:val="0"/>
          <w:bCs w:val="0"/>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 </w:t>
      </w:r>
      <w:r>
        <w:rPr>
          <w:rStyle w:val="21"/>
          <w:rFonts w:hint="eastAsia" w:ascii="宋体" w:hAnsi="宋体" w:eastAsia="宋体" w:cs="宋体"/>
          <w:b w:val="0"/>
          <w:bCs w:val="0"/>
          <w:color w:val="auto"/>
          <w:kern w:val="0"/>
          <w:sz w:val="24"/>
          <w:szCs w:val="24"/>
          <w:highlight w:val="none"/>
          <w:lang w:val="en-US" w:eastAsia="zh-CN"/>
        </w:rPr>
        <w:t>资格资质要求</w:t>
      </w:r>
    </w:p>
    <w:p w14:paraId="3EC3E140">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2.2.1 </w:t>
      </w:r>
      <w:r>
        <w:rPr>
          <w:rFonts w:hint="eastAsia" w:ascii="宋体" w:hAnsi="宋体" w:eastAsia="宋体" w:cs="宋体"/>
          <w:b w:val="0"/>
          <w:bCs w:val="0"/>
          <w:color w:val="auto"/>
          <w:sz w:val="24"/>
          <w:szCs w:val="24"/>
          <w:highlight w:val="none"/>
          <w:lang w:val="en-US" w:eastAsia="zh-CN"/>
        </w:rPr>
        <w:t>投标人须具备独立法人资格，按国家法律经营。</w:t>
      </w:r>
    </w:p>
    <w:p w14:paraId="11B0033A">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2.2.2 </w:t>
      </w:r>
      <w:r>
        <w:rPr>
          <w:rFonts w:hint="eastAsia" w:ascii="宋体" w:hAnsi="宋体" w:eastAsia="宋体" w:cs="宋体"/>
          <w:b w:val="0"/>
          <w:bCs w:val="0"/>
          <w:color w:val="auto"/>
          <w:sz w:val="24"/>
          <w:szCs w:val="24"/>
          <w:highlight w:val="none"/>
          <w:lang w:val="en-US" w:eastAsia="zh-CN"/>
        </w:rPr>
        <w:t>投标人须持有建设行政主管部门颁发的企业资质证书及安全生产许可证。</w:t>
      </w:r>
    </w:p>
    <w:p w14:paraId="60B9A4D6">
      <w:pPr>
        <w:keepNext w:val="0"/>
        <w:keepLines w:val="0"/>
        <w:pageBreakBefore w:val="0"/>
        <w:shd w:val="clear" w:color="auto" w:fill="auto"/>
        <w:kinsoku/>
        <w:wordWrap w:val="0"/>
        <w:overflowPunct/>
        <w:topLinePunct w:val="0"/>
        <w:bidi w:val="0"/>
        <w:adjustRightInd w:val="0"/>
        <w:snapToGrid w:val="0"/>
        <w:spacing w:line="312" w:lineRule="auto"/>
        <w:ind w:firstLine="482" w:firstLineChars="200"/>
        <w:jc w:val="left"/>
        <w:textAlignment w:val="auto"/>
        <w:rPr>
          <w:rFonts w:hint="eastAsia" w:ascii="宋体" w:hAnsi="宋体" w:eastAsia="宋体" w:cs="宋体"/>
          <w:b/>
          <w:bCs/>
          <w:snapToGrid w:val="0"/>
          <w:color w:val="auto"/>
          <w:kern w:val="0"/>
          <w:sz w:val="24"/>
          <w:szCs w:val="24"/>
          <w:highlight w:val="none"/>
          <w:lang w:eastAsia="zh-CN"/>
        </w:rPr>
      </w:pPr>
      <w:r>
        <w:rPr>
          <w:rStyle w:val="21"/>
          <w:rFonts w:hint="eastAsia" w:ascii="宋体" w:hAnsi="宋体" w:eastAsia="宋体" w:cs="宋体"/>
          <w:b/>
          <w:bCs/>
          <w:color w:val="auto"/>
          <w:kern w:val="0"/>
          <w:sz w:val="24"/>
          <w:szCs w:val="24"/>
          <w:highlight w:val="none"/>
          <w:lang w:val="en-US" w:eastAsia="zh-CN"/>
        </w:rPr>
        <w:t xml:space="preserve">2.2.3 </w:t>
      </w:r>
      <w:r>
        <w:rPr>
          <w:rFonts w:hint="eastAsia" w:ascii="宋体" w:hAnsi="宋体" w:eastAsia="宋体" w:cs="宋体"/>
          <w:b w:val="0"/>
          <w:bCs w:val="0"/>
          <w:color w:val="auto"/>
          <w:sz w:val="24"/>
          <w:szCs w:val="24"/>
          <w:highlight w:val="none"/>
          <w:lang w:val="en-US" w:eastAsia="zh-CN"/>
        </w:rPr>
        <w:t>投标人须具备以下资质：</w:t>
      </w:r>
      <w:r>
        <w:rPr>
          <w:rFonts w:hint="eastAsia" w:ascii="宋体" w:hAnsi="宋体" w:eastAsia="宋体" w:cs="宋体"/>
          <w:b/>
          <w:bCs/>
          <w:snapToGrid w:val="0"/>
          <w:color w:val="auto"/>
          <w:kern w:val="0"/>
          <w:sz w:val="24"/>
          <w:szCs w:val="24"/>
          <w:highlight w:val="none"/>
          <w:lang w:eastAsia="zh-CN"/>
        </w:rPr>
        <w:t>市政公用工程施工总承包三级以上（含三级）资质。</w:t>
      </w:r>
    </w:p>
    <w:p w14:paraId="7C360684">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p>
    <w:p w14:paraId="207B07C9">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2.2.4 </w:t>
      </w:r>
      <w:r>
        <w:rPr>
          <w:rFonts w:hint="eastAsia" w:ascii="宋体" w:hAnsi="宋体" w:eastAsia="宋体" w:cs="宋体"/>
          <w:b w:val="0"/>
          <w:bCs w:val="0"/>
          <w:color w:val="auto"/>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246A834">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 </w:t>
      </w:r>
      <w:r>
        <w:rPr>
          <w:rFonts w:hint="eastAsia" w:ascii="宋体" w:hAnsi="宋体" w:eastAsia="宋体" w:cs="宋体"/>
          <w:b w:val="0"/>
          <w:bCs w:val="0"/>
          <w:color w:val="auto"/>
          <w:sz w:val="24"/>
          <w:szCs w:val="24"/>
          <w:highlight w:val="none"/>
          <w:lang w:val="en-US" w:eastAsia="zh-CN"/>
        </w:rPr>
        <w:t>相关人员要求</w:t>
      </w:r>
    </w:p>
    <w:p w14:paraId="0684207F">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2.3.1 </w:t>
      </w:r>
      <w:r>
        <w:rPr>
          <w:rFonts w:hint="eastAsia" w:ascii="宋体" w:hAnsi="宋体" w:eastAsia="宋体" w:cs="宋体"/>
          <w:b w:val="0"/>
          <w:bCs w:val="0"/>
          <w:color w:val="auto"/>
          <w:sz w:val="24"/>
          <w:szCs w:val="24"/>
          <w:highlight w:val="none"/>
          <w:lang w:val="en-US" w:eastAsia="zh-CN"/>
        </w:rPr>
        <w:t>拟派项目经理为</w:t>
      </w:r>
      <w:r>
        <w:rPr>
          <w:rFonts w:hint="eastAsia" w:ascii="宋体" w:hAnsi="宋体" w:eastAsia="宋体" w:cs="宋体"/>
          <w:b/>
          <w:bCs/>
          <w:color w:val="auto"/>
          <w:sz w:val="24"/>
          <w:szCs w:val="24"/>
          <w:highlight w:val="none"/>
          <w:u w:val="single"/>
          <w:lang w:val="en-US" w:eastAsia="zh-CN"/>
        </w:rPr>
        <w:t>市政公用工程</w:t>
      </w:r>
      <w:r>
        <w:rPr>
          <w:rFonts w:hint="eastAsia" w:ascii="宋体" w:hAnsi="宋体" w:eastAsia="宋体" w:cs="宋体"/>
          <w:b w:val="0"/>
          <w:bCs w:val="0"/>
          <w:color w:val="auto"/>
          <w:sz w:val="24"/>
          <w:szCs w:val="24"/>
          <w:highlight w:val="none"/>
          <w:lang w:val="en-US" w:eastAsia="zh-CN"/>
        </w:rPr>
        <w:t xml:space="preserve">专业一级或二级注册建造师，应持有住建部门印发的在使用有效期内的有效电子注册证书。同时均须具备有效安全生产考核合格证明（B 证），且未担任其他在施（包括已中标未开工、已开工未竣工）建设工程项目的项目经理。 </w:t>
      </w:r>
    </w:p>
    <w:p w14:paraId="7EC74BD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2.3.2 </w:t>
      </w:r>
      <w:r>
        <w:rPr>
          <w:rFonts w:hint="eastAsia" w:ascii="Times New Roman" w:hAnsi="Times New Roman" w:eastAsia="宋体" w:cs="Times New Roman"/>
          <w:b/>
          <w:bCs/>
          <w:snapToGrid w:val="0"/>
          <w:color w:val="auto"/>
          <w:kern w:val="0"/>
          <w:sz w:val="24"/>
          <w:szCs w:val="24"/>
          <w:highlight w:val="none"/>
          <w:lang w:val="en-US" w:eastAsia="zh-CN" w:bidi="ar-SA"/>
        </w:rPr>
        <w:t xml:space="preserve"> </w:t>
      </w:r>
      <w:r>
        <w:rPr>
          <w:rFonts w:hint="eastAsia" w:ascii="宋体" w:hAnsi="宋体" w:eastAsia="宋体" w:cs="宋体"/>
          <w:b w:val="0"/>
          <w:bCs w:val="0"/>
          <w:snapToGrid w:val="0"/>
          <w:color w:val="auto"/>
          <w:kern w:val="0"/>
          <w:sz w:val="24"/>
          <w:szCs w:val="24"/>
          <w:highlight w:val="none"/>
        </w:rPr>
        <w:t>拟派项目技术负责人须具备</w:t>
      </w:r>
      <w:r>
        <w:rPr>
          <w:rFonts w:hint="eastAsia" w:ascii="宋体" w:hAnsi="宋体" w:eastAsia="宋体" w:cs="宋体"/>
          <w:b/>
          <w:bCs/>
          <w:snapToGrid w:val="0"/>
          <w:color w:val="auto"/>
          <w:kern w:val="0"/>
          <w:sz w:val="24"/>
          <w:szCs w:val="24"/>
          <w:highlight w:val="none"/>
          <w:u w:val="single"/>
          <w:lang w:eastAsia="zh-CN"/>
        </w:rPr>
        <w:t>市政工程</w:t>
      </w:r>
      <w:r>
        <w:rPr>
          <w:rFonts w:hint="eastAsia" w:ascii="宋体" w:hAnsi="宋体" w:eastAsia="宋体" w:cs="宋体"/>
          <w:b w:val="0"/>
          <w:bCs w:val="0"/>
          <w:snapToGrid w:val="0"/>
          <w:color w:val="auto"/>
          <w:kern w:val="0"/>
          <w:sz w:val="24"/>
          <w:szCs w:val="24"/>
          <w:highlight w:val="none"/>
        </w:rPr>
        <w:t>相关专业中级或以上技术职称。</w:t>
      </w:r>
    </w:p>
    <w:p w14:paraId="0C2DFAEE">
      <w:pPr>
        <w:wordWrap w:val="0"/>
        <w:adjustRightInd w:val="0"/>
        <w:snapToGrid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b w:val="0"/>
          <w:bCs w:val="0"/>
          <w:color w:val="auto"/>
          <w:sz w:val="24"/>
          <w:szCs w:val="24"/>
          <w:highlight w:val="none"/>
          <w:lang w:val="en-US" w:eastAsia="zh-CN"/>
        </w:rPr>
        <w:t>拟派专职安全生产管理人员须具备有效安全生产考核合格证明（C证，安全生产考核合格证书或“广东省建筑施工企业管理人员安全生产考核信息系统”考核合格信息打印页），且不少于</w:t>
      </w:r>
      <w:r>
        <w:rPr>
          <w:rFonts w:hint="eastAsia" w:ascii="宋体" w:hAnsi="宋体" w:eastAsia="宋体" w:cs="宋体"/>
          <w:b/>
          <w:bCs/>
          <w:color w:val="auto"/>
          <w:sz w:val="24"/>
          <w:szCs w:val="24"/>
          <w:highlight w:val="none"/>
          <w:u w:val="single"/>
          <w:lang w:val="en-US" w:eastAsia="zh-CN"/>
        </w:rPr>
        <w:t>1</w:t>
      </w:r>
      <w:r>
        <w:rPr>
          <w:rFonts w:hint="eastAsia" w:ascii="宋体" w:hAnsi="宋体" w:eastAsia="宋体" w:cs="宋体"/>
          <w:b w:val="0"/>
          <w:bCs w:val="0"/>
          <w:color w:val="auto"/>
          <w:sz w:val="24"/>
          <w:szCs w:val="24"/>
          <w:highlight w:val="none"/>
          <w:lang w:val="en-US" w:eastAsia="zh-CN"/>
        </w:rPr>
        <w:t xml:space="preserve">人。 </w:t>
      </w:r>
    </w:p>
    <w:p w14:paraId="3EC82F78">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1"/>
          <w:rFonts w:hint="eastAsia" w:ascii="宋体" w:hAnsi="宋体" w:eastAsia="宋体" w:cs="宋体"/>
          <w:b/>
          <w:bCs/>
          <w:color w:val="auto"/>
          <w:kern w:val="0"/>
          <w:sz w:val="24"/>
          <w:szCs w:val="24"/>
          <w:highlight w:val="none"/>
          <w:lang w:val="en-US" w:eastAsia="zh-CN"/>
        </w:rPr>
        <w:t xml:space="preserve">2.3.4 </w:t>
      </w:r>
      <w:r>
        <w:rPr>
          <w:rFonts w:hint="eastAsia" w:ascii="宋体" w:hAnsi="宋体" w:eastAsia="宋体" w:cs="宋体"/>
          <w:b w:val="0"/>
          <w:bCs w:val="0"/>
          <w:color w:val="auto"/>
          <w:sz w:val="24"/>
          <w:szCs w:val="24"/>
          <w:highlight w:val="none"/>
          <w:lang w:val="en-US"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390DDE10">
      <w:pPr>
        <w:spacing w:before="78"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06D1D3EA">
      <w:pPr>
        <w:spacing w:before="153"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3E5CCC45">
      <w:pPr>
        <w:spacing w:before="153"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16678467">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5DFF6242">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17078E26">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2AE295DB">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3F7FFAD1">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0877A5E5">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7D23E0F9">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63FAB54C">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1275DB45">
      <w:pPr>
        <w:spacing w:before="155" w:line="219"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6C0F71C6">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228B28A4">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366BE637">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1EB464C8">
      <w:pPr>
        <w:pStyle w:val="23"/>
        <w:wordWrap w:val="0"/>
        <w:adjustRightInd w:val="0"/>
        <w:snapToGrid w:val="0"/>
        <w:spacing w:line="440" w:lineRule="exact"/>
        <w:ind w:firstLine="480"/>
        <w:jc w:val="left"/>
        <w:rPr>
          <w:rFonts w:hint="eastAsia" w:ascii="宋体" w:hAnsi="宋体" w:eastAsia="宋体" w:cs="宋体"/>
          <w:color w:val="auto"/>
          <w:spacing w:val="2"/>
          <w:sz w:val="24"/>
          <w:szCs w:val="24"/>
          <w:highlight w:val="none"/>
        </w:rPr>
      </w:pPr>
      <w:bookmarkStart w:id="18" w:name="bookmark116"/>
      <w:bookmarkEnd w:id="18"/>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54C119DA">
      <w:pPr>
        <w:pStyle w:val="23"/>
        <w:wordWrap w:val="0"/>
        <w:adjustRightInd w:val="0"/>
        <w:snapToGrid w:val="0"/>
        <w:spacing w:line="44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71DB056F">
      <w:pPr>
        <w:spacing w:before="118" w:line="293" w:lineRule="auto"/>
        <w:ind w:left="232" w:right="99"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421AB695">
      <w:pPr>
        <w:spacing w:before="155" w:line="219" w:lineRule="auto"/>
        <w:ind w:left="706"/>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tbl>
      <w:tblPr>
        <w:tblStyle w:val="15"/>
        <w:tblW w:w="8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3884"/>
        <w:gridCol w:w="3660"/>
      </w:tblGrid>
      <w:tr w14:paraId="3CDEA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94" w:type="dxa"/>
            <w:vAlign w:val="center"/>
          </w:tcPr>
          <w:p w14:paraId="3212D7D9">
            <w:pPr>
              <w:pageBreakBefore w:val="0"/>
              <w:widowControl w:val="0"/>
              <w:kinsoku/>
              <w:wordWrap w:val="0"/>
              <w:overflowPunct/>
              <w:topLinePunct w:val="0"/>
              <w:autoSpaceDE/>
              <w:autoSpaceDN/>
              <w:bidi w:val="0"/>
              <w:adjustRightInd w:val="0"/>
              <w:snapToGrid w:val="0"/>
              <w:spacing w:line="240" w:lineRule="auto"/>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3884" w:type="dxa"/>
            <w:vAlign w:val="center"/>
          </w:tcPr>
          <w:p w14:paraId="492D8BE9">
            <w:pPr>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3660" w:type="dxa"/>
            <w:vAlign w:val="center"/>
          </w:tcPr>
          <w:p w14:paraId="3F117934">
            <w:pPr>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76CC1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94" w:type="dxa"/>
            <w:vAlign w:val="center"/>
          </w:tcPr>
          <w:p w14:paraId="70AFD4D3">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1</w:t>
            </w:r>
          </w:p>
        </w:tc>
        <w:tc>
          <w:tcPr>
            <w:tcW w:w="3884" w:type="dxa"/>
            <w:vAlign w:val="center"/>
          </w:tcPr>
          <w:p w14:paraId="2F6D2629">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韶关市武江区城市管理和综合执法局</w:t>
            </w:r>
          </w:p>
        </w:tc>
        <w:tc>
          <w:tcPr>
            <w:tcW w:w="3660" w:type="dxa"/>
            <w:vAlign w:val="center"/>
          </w:tcPr>
          <w:p w14:paraId="5F400B5F">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为本招标项目的招标人</w:t>
            </w:r>
          </w:p>
        </w:tc>
      </w:tr>
      <w:tr w14:paraId="3D649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94" w:type="dxa"/>
            <w:vAlign w:val="center"/>
          </w:tcPr>
          <w:p w14:paraId="79EE8F3D">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2</w:t>
            </w:r>
          </w:p>
        </w:tc>
        <w:tc>
          <w:tcPr>
            <w:tcW w:w="3884" w:type="dxa"/>
            <w:vAlign w:val="center"/>
          </w:tcPr>
          <w:p w14:paraId="3125057B">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广东合正项目管理有限公司</w:t>
            </w:r>
          </w:p>
        </w:tc>
        <w:tc>
          <w:tcPr>
            <w:tcW w:w="3660" w:type="dxa"/>
            <w:vAlign w:val="center"/>
          </w:tcPr>
          <w:p w14:paraId="4D5C91E4">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为本招标项目的招标代理机构</w:t>
            </w:r>
          </w:p>
        </w:tc>
      </w:tr>
      <w:tr w14:paraId="4E0A3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94" w:type="dxa"/>
            <w:vAlign w:val="center"/>
          </w:tcPr>
          <w:p w14:paraId="609A9B7D">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3</w:t>
            </w:r>
          </w:p>
        </w:tc>
        <w:tc>
          <w:tcPr>
            <w:tcW w:w="3884" w:type="dxa"/>
            <w:vAlign w:val="center"/>
          </w:tcPr>
          <w:p w14:paraId="53F0519C">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中誉设计有限公司</w:t>
            </w:r>
          </w:p>
        </w:tc>
        <w:tc>
          <w:tcPr>
            <w:tcW w:w="3660" w:type="dxa"/>
            <w:vAlign w:val="center"/>
          </w:tcPr>
          <w:p w14:paraId="2D6E0104">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为本招标项目的</w:t>
            </w: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r>
      <w:tr w14:paraId="52DE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94" w:type="dxa"/>
            <w:vAlign w:val="center"/>
          </w:tcPr>
          <w:p w14:paraId="23880317">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3884" w:type="dxa"/>
            <w:shd w:val="clear" w:color="auto" w:fill="auto"/>
            <w:vAlign w:val="center"/>
          </w:tcPr>
          <w:p w14:paraId="2D1AC11D">
            <w:pPr>
              <w:pStyle w:val="23"/>
              <w:wordWrap w:val="0"/>
              <w:adjustRightInd w:val="0"/>
              <w:snapToGrid w:val="0"/>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snapToGrid w:val="0"/>
                <w:color w:val="auto"/>
                <w:kern w:val="0"/>
                <w:sz w:val="22"/>
                <w:szCs w:val="22"/>
                <w:highlight w:val="none"/>
              </w:rPr>
              <w:t>智埔国际建设集团有限公司</w:t>
            </w:r>
          </w:p>
        </w:tc>
        <w:tc>
          <w:tcPr>
            <w:tcW w:w="3660" w:type="dxa"/>
            <w:shd w:val="clear" w:color="auto" w:fill="auto"/>
            <w:vAlign w:val="center"/>
          </w:tcPr>
          <w:p w14:paraId="7ADDA375">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2"/>
                <w:szCs w:val="22"/>
                <w:highlight w:val="none"/>
              </w:rPr>
              <w:t>为本招标项目的</w:t>
            </w:r>
            <w:r>
              <w:rPr>
                <w:rFonts w:hint="eastAsia" w:ascii="宋体" w:hAnsi="宋体" w:eastAsia="宋体" w:cs="宋体"/>
                <w:snapToGrid w:val="0"/>
                <w:color w:val="auto"/>
                <w:kern w:val="0"/>
                <w:sz w:val="22"/>
                <w:szCs w:val="22"/>
                <w:highlight w:val="none"/>
                <w:lang w:val="en-US" w:eastAsia="zh-CN"/>
              </w:rPr>
              <w:t>造价咨询</w:t>
            </w:r>
            <w:r>
              <w:rPr>
                <w:rFonts w:hint="eastAsia" w:ascii="宋体" w:hAnsi="宋体" w:eastAsia="宋体" w:cs="宋体"/>
                <w:snapToGrid w:val="0"/>
                <w:color w:val="auto"/>
                <w:kern w:val="0"/>
                <w:sz w:val="22"/>
                <w:szCs w:val="22"/>
                <w:highlight w:val="none"/>
              </w:rPr>
              <w:t>单位</w:t>
            </w:r>
          </w:p>
        </w:tc>
      </w:tr>
      <w:tr w14:paraId="4B97E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94" w:type="dxa"/>
            <w:vAlign w:val="center"/>
          </w:tcPr>
          <w:p w14:paraId="39F5B40A">
            <w:pPr>
              <w:pStyle w:val="23"/>
              <w:wordWrap w:val="0"/>
              <w:adjustRightInd w:val="0"/>
              <w:snapToGrid w:val="0"/>
              <w:spacing w:line="24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w:t>
            </w:r>
          </w:p>
        </w:tc>
        <w:tc>
          <w:tcPr>
            <w:tcW w:w="3884" w:type="dxa"/>
            <w:shd w:val="clear" w:color="auto" w:fill="auto"/>
            <w:vAlign w:val="center"/>
          </w:tcPr>
          <w:p w14:paraId="1317B6DE">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snapToGrid w:val="0"/>
                <w:color w:val="auto"/>
                <w:kern w:val="0"/>
                <w:sz w:val="22"/>
                <w:szCs w:val="22"/>
                <w:highlight w:val="none"/>
                <w:lang w:val="en-US" w:eastAsia="zh-CN"/>
              </w:rPr>
              <w:t>广东省岩土勘测设计研究有限公司</w:t>
            </w:r>
          </w:p>
        </w:tc>
        <w:tc>
          <w:tcPr>
            <w:tcW w:w="3660" w:type="dxa"/>
            <w:shd w:val="clear" w:color="auto" w:fill="auto"/>
            <w:vAlign w:val="center"/>
          </w:tcPr>
          <w:p w14:paraId="084C849A">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为本招标项目的</w:t>
            </w:r>
            <w:r>
              <w:rPr>
                <w:rFonts w:hint="eastAsia" w:ascii="宋体" w:hAnsi="宋体" w:eastAsia="宋体" w:cs="宋体"/>
                <w:snapToGrid w:val="0"/>
                <w:color w:val="auto"/>
                <w:kern w:val="0"/>
                <w:sz w:val="22"/>
                <w:szCs w:val="22"/>
                <w:highlight w:val="none"/>
                <w:lang w:val="en-US" w:eastAsia="zh-CN"/>
              </w:rPr>
              <w:t>勘察</w:t>
            </w:r>
            <w:r>
              <w:rPr>
                <w:rFonts w:hint="eastAsia" w:ascii="宋体" w:hAnsi="宋体" w:eastAsia="宋体" w:cs="宋体"/>
                <w:snapToGrid w:val="0"/>
                <w:color w:val="auto"/>
                <w:kern w:val="0"/>
                <w:sz w:val="22"/>
                <w:szCs w:val="22"/>
                <w:highlight w:val="none"/>
              </w:rPr>
              <w:t>单位</w:t>
            </w:r>
          </w:p>
        </w:tc>
      </w:tr>
      <w:tr w14:paraId="4BA98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94" w:type="dxa"/>
            <w:vAlign w:val="center"/>
          </w:tcPr>
          <w:p w14:paraId="6127CBBF">
            <w:pPr>
              <w:pStyle w:val="23"/>
              <w:wordWrap w:val="0"/>
              <w:adjustRightInd w:val="0"/>
              <w:snapToGrid w:val="0"/>
              <w:spacing w:line="24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3884" w:type="dxa"/>
            <w:shd w:val="clear" w:color="auto" w:fill="auto"/>
            <w:vAlign w:val="center"/>
          </w:tcPr>
          <w:p w14:paraId="17451127">
            <w:pPr>
              <w:pStyle w:val="2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snapToGrid w:val="0"/>
                <w:color w:val="auto"/>
                <w:kern w:val="0"/>
                <w:sz w:val="22"/>
                <w:szCs w:val="22"/>
                <w:highlight w:val="none"/>
                <w:lang w:val="en-US" w:eastAsia="zh-CN"/>
              </w:rPr>
              <w:t>广东粤湾施工图审查有限公司</w:t>
            </w:r>
          </w:p>
        </w:tc>
        <w:tc>
          <w:tcPr>
            <w:tcW w:w="3660" w:type="dxa"/>
            <w:shd w:val="clear" w:color="auto" w:fill="auto"/>
            <w:vAlign w:val="center"/>
          </w:tcPr>
          <w:p w14:paraId="6E9ABDF9">
            <w:pPr>
              <w:pStyle w:val="2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2"/>
                <w:szCs w:val="22"/>
                <w:highlight w:val="none"/>
              </w:rPr>
              <w:t>为本招标项目的</w:t>
            </w:r>
            <w:r>
              <w:rPr>
                <w:rFonts w:hint="eastAsia" w:ascii="宋体" w:hAnsi="宋体" w:eastAsia="宋体" w:cs="宋体"/>
                <w:snapToGrid w:val="0"/>
                <w:color w:val="auto"/>
                <w:kern w:val="0"/>
                <w:sz w:val="22"/>
                <w:szCs w:val="22"/>
                <w:highlight w:val="none"/>
                <w:lang w:val="en-US" w:eastAsia="zh-CN"/>
              </w:rPr>
              <w:t>审图机构</w:t>
            </w:r>
          </w:p>
        </w:tc>
      </w:tr>
    </w:tbl>
    <w:p w14:paraId="24117CFF">
      <w:pPr>
        <w:spacing w:line="93" w:lineRule="auto"/>
        <w:rPr>
          <w:rFonts w:hint="eastAsia" w:ascii="宋体" w:hAnsi="宋体" w:eastAsia="宋体" w:cs="宋体"/>
          <w:color w:val="auto"/>
          <w:sz w:val="2"/>
          <w:highlight w:val="none"/>
        </w:rPr>
      </w:pPr>
    </w:p>
    <w:p w14:paraId="0E5D39AE">
      <w:pPr>
        <w:spacing w:before="153" w:line="221"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513698FE">
      <w:pPr>
        <w:spacing w:before="150" w:line="334"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52</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4"/>
          <w:sz w:val="24"/>
          <w:szCs w:val="24"/>
          <w:highlight w:val="none"/>
        </w:rPr>
        <w:t>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52958258">
      <w:pPr>
        <w:spacing w:before="79" w:line="220" w:lineRule="auto"/>
        <w:ind w:left="715"/>
        <w:outlineLvl w:val="2"/>
        <w:rPr>
          <w:rFonts w:hint="eastAsia" w:ascii="宋体" w:hAnsi="宋体" w:eastAsia="宋体" w:cs="宋体"/>
          <w:color w:val="auto"/>
          <w:sz w:val="24"/>
          <w:szCs w:val="24"/>
          <w:highlight w:val="none"/>
        </w:rPr>
      </w:pPr>
      <w:bookmarkStart w:id="19" w:name="_Toc23243"/>
      <w:bookmarkStart w:id="20" w:name="_Toc21490"/>
      <w:r>
        <w:rPr>
          <w:rFonts w:hint="eastAsia" w:ascii="宋体" w:hAnsi="宋体" w:eastAsia="宋体" w:cs="宋体"/>
          <w:b/>
          <w:bCs/>
          <w:color w:val="auto"/>
          <w:spacing w:val="-4"/>
          <w:sz w:val="24"/>
          <w:szCs w:val="24"/>
          <w:highlight w:val="none"/>
        </w:rPr>
        <w:t>3．招标文件的获取</w:t>
      </w:r>
      <w:bookmarkEnd w:id="19"/>
      <w:bookmarkEnd w:id="20"/>
    </w:p>
    <w:p w14:paraId="6BA39D71">
      <w:pPr>
        <w:spacing w:before="182" w:line="219"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3ABD5E16">
      <w:pPr>
        <w:spacing w:before="178" w:line="355"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56"/>
          <w:sz w:val="24"/>
          <w:szCs w:val="24"/>
          <w:highlight w:val="none"/>
          <w:lang w:val="en-US" w:eastAsia="zh-CN"/>
        </w:rPr>
        <w:t xml:space="preserve">              </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0"/>
          <w:sz w:val="24"/>
          <w:szCs w:val="24"/>
          <w:highlight w:val="none"/>
          <w:lang w:val="en-US" w:eastAsia="zh-CN"/>
        </w:rPr>
        <w:t xml:space="preserve">   </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5"/>
          <w:sz w:val="24"/>
          <w:szCs w:val="24"/>
          <w:highlight w:val="none"/>
          <w:lang w:val="en-US" w:eastAsia="zh-CN"/>
        </w:rPr>
        <w:t xml:space="preserve">   </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 （附件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w:t>
      </w:r>
    </w:p>
    <w:p w14:paraId="772F64E5">
      <w:pPr>
        <w:spacing w:before="142" w:line="33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76AAA589">
      <w:pPr>
        <w:spacing w:before="32" w:line="332"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7ABA17A1">
      <w:pPr>
        <w:spacing w:before="37" w:line="329"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人自行承担。</w:t>
      </w:r>
    </w:p>
    <w:p w14:paraId="73A40149">
      <w:pPr>
        <w:spacing w:before="33" w:line="335"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1296078A">
      <w:pPr>
        <w:spacing w:before="33" w:line="221"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70FE9E8C">
      <w:pPr>
        <w:spacing w:before="152" w:line="28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20万元</w:t>
      </w:r>
      <w:r>
        <w:rPr>
          <w:rFonts w:hint="eastAsia" w:ascii="宋体" w:hAnsi="宋体" w:eastAsia="宋体" w:cs="宋体"/>
          <w:color w:val="auto"/>
          <w:spacing w:val="-1"/>
          <w:sz w:val="24"/>
          <w:szCs w:val="24"/>
          <w:highlight w:val="none"/>
        </w:rPr>
        <w:t xml:space="preserve">人民币的投标保证。 </w:t>
      </w:r>
    </w:p>
    <w:p w14:paraId="77827FA8">
      <w:pPr>
        <w:spacing w:before="35" w:line="325"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4459D6DD">
      <w:pPr>
        <w:spacing w:before="78" w:line="334" w:lineRule="auto"/>
        <w:ind w:left="12" w:right="2" w:firstLine="490"/>
        <w:jc w:val="both"/>
        <w:rPr>
          <w:rFonts w:hint="eastAsia" w:ascii="宋体" w:hAnsi="宋体" w:eastAsia="宋体" w:cs="宋体"/>
          <w:color w:val="auto"/>
          <w:spacing w:val="-1"/>
          <w:sz w:val="24"/>
          <w:szCs w:val="24"/>
          <w:highlight w:val="none"/>
        </w:rPr>
      </w:pPr>
      <w:bookmarkStart w:id="21" w:name="bookmark117"/>
      <w:bookmarkEnd w:id="21"/>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19B8D669">
      <w:pPr>
        <w:spacing w:before="78" w:line="334" w:lineRule="auto"/>
        <w:ind w:left="12" w:right="2" w:firstLine="49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59A2CBC2">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 ·韶关市） （</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 目中下载《建设工程网上交易系统保险保证金缴纳操作指南》，了解网上投保具体操 作流程。逾期投保的，其投标无效。</w:t>
      </w:r>
    </w:p>
    <w:p w14:paraId="0C95A37A">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39A5AF30">
      <w:pPr>
        <w:spacing w:before="78" w:line="334" w:lineRule="auto"/>
        <w:ind w:left="12" w:right="2" w:firstLine="490"/>
        <w:jc w:val="both"/>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7C7CE3F6">
      <w:pPr>
        <w:spacing w:before="79" w:line="221" w:lineRule="auto"/>
        <w:ind w:left="487"/>
        <w:outlineLvl w:val="2"/>
        <w:rPr>
          <w:rFonts w:hint="eastAsia" w:ascii="宋体" w:hAnsi="宋体" w:eastAsia="宋体" w:cs="宋体"/>
          <w:color w:val="auto"/>
          <w:sz w:val="24"/>
          <w:szCs w:val="24"/>
          <w:highlight w:val="none"/>
        </w:rPr>
      </w:pPr>
      <w:bookmarkStart w:id="22" w:name="bookmark78"/>
      <w:bookmarkEnd w:id="22"/>
      <w:bookmarkStart w:id="23" w:name="bookmark64"/>
      <w:bookmarkEnd w:id="23"/>
      <w:bookmarkStart w:id="24" w:name="_Toc8255"/>
      <w:bookmarkStart w:id="25" w:name="_Toc15498"/>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4"/>
      <w:bookmarkEnd w:id="25"/>
    </w:p>
    <w:p w14:paraId="533C7AA5">
      <w:pPr>
        <w:spacing w:before="153" w:line="324" w:lineRule="auto"/>
        <w:ind w:left="30" w:right="65" w:firstLine="4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本招标项目招标工期为</w:t>
      </w:r>
      <w:r>
        <w:rPr>
          <w:rFonts w:hint="eastAsia" w:ascii="宋体" w:hAnsi="宋体" w:eastAsia="宋体" w:cs="宋体"/>
          <w:color w:val="auto"/>
          <w:spacing w:val="-2"/>
          <w:sz w:val="24"/>
          <w:szCs w:val="24"/>
          <w:highlight w:val="none"/>
          <w:u w:val="single"/>
          <w:lang w:val="en-US" w:eastAsia="zh-CN"/>
        </w:rPr>
        <w:t>240个日历天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20DC87FE">
      <w:pPr>
        <w:spacing w:before="78" w:line="219" w:lineRule="auto"/>
        <w:ind w:left="488"/>
        <w:outlineLvl w:val="2"/>
        <w:rPr>
          <w:rFonts w:hint="eastAsia" w:ascii="宋体" w:hAnsi="宋体" w:eastAsia="宋体" w:cs="宋体"/>
          <w:color w:val="auto"/>
          <w:sz w:val="24"/>
          <w:szCs w:val="24"/>
          <w:highlight w:val="none"/>
        </w:rPr>
      </w:pPr>
      <w:bookmarkStart w:id="26" w:name="_Toc4154"/>
      <w:bookmarkStart w:id="27" w:name="_Toc11449"/>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6"/>
      <w:bookmarkEnd w:id="27"/>
    </w:p>
    <w:p w14:paraId="3BC3191A">
      <w:pPr>
        <w:keepNext w:val="0"/>
        <w:keepLines w:val="0"/>
        <w:widowControl/>
        <w:suppressLineNumbers w:val="0"/>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施工工艺严格按照国家和广东省的有关现行施工技术规范及标准执行，工程</w:t>
      </w:r>
      <w:r>
        <w:rPr>
          <w:rFonts w:hint="eastAsia" w:ascii="宋体" w:hAnsi="宋体" w:eastAsia="宋体" w:cs="宋体"/>
          <w:color w:val="auto"/>
          <w:spacing w:val="-1"/>
          <w:sz w:val="24"/>
          <w:szCs w:val="24"/>
          <w:highlight w:val="none"/>
        </w:rPr>
        <w:t>质量标准须达到</w:t>
      </w:r>
      <w:r>
        <w:rPr>
          <w:rFonts w:hint="eastAsia" w:ascii="宋体" w:hAnsi="宋体" w:eastAsia="宋体" w:cs="宋体"/>
          <w:snapToGrid w:val="0"/>
          <w:color w:val="auto"/>
          <w:kern w:val="0"/>
          <w:sz w:val="24"/>
          <w:szCs w:val="24"/>
          <w:highlight w:val="none"/>
          <w:lang w:val="en-US" w:eastAsia="zh-CN" w:bidi="ar"/>
        </w:rPr>
        <w:t>须符合现行国家有关工程施工质量验收规范和标准的要求。</w:t>
      </w:r>
    </w:p>
    <w:p w14:paraId="5197C550">
      <w:pPr>
        <w:spacing w:before="154" w:line="279" w:lineRule="auto"/>
        <w:ind w:left="10" w:right="99"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1D3255">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
          <w:sz w:val="24"/>
          <w:szCs w:val="24"/>
          <w:highlight w:val="none"/>
        </w:rPr>
        <w:t>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2D8C80FB">
      <w:pPr>
        <w:spacing w:before="152" w:line="309" w:lineRule="auto"/>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rPr>
        <w:t>本招标项目</w:t>
      </w:r>
      <w:r>
        <w:rPr>
          <w:rFonts w:hint="eastAsia" w:ascii="宋体" w:hAnsi="宋体" w:eastAsia="宋体" w:cs="宋体"/>
          <w:color w:val="auto"/>
          <w:spacing w:val="-6"/>
          <w:sz w:val="24"/>
          <w:szCs w:val="24"/>
          <w:highlight w:val="none"/>
          <w:lang w:val="en-US" w:eastAsia="zh-CN"/>
        </w:rPr>
        <w:t>不</w:t>
      </w:r>
      <w:r>
        <w:rPr>
          <w:rFonts w:hint="eastAsia" w:ascii="宋体" w:hAnsi="宋体" w:eastAsia="宋体" w:cs="宋体"/>
          <w:color w:val="auto"/>
          <w:spacing w:val="-6"/>
          <w:sz w:val="24"/>
          <w:szCs w:val="24"/>
          <w:highlight w:val="none"/>
        </w:rPr>
        <w:t>纳入绿色建设实施范围</w:t>
      </w:r>
      <w:r>
        <w:rPr>
          <w:rFonts w:hint="eastAsia" w:ascii="宋体" w:hAnsi="宋体" w:eastAsia="宋体" w:cs="宋体"/>
          <w:color w:val="auto"/>
          <w:spacing w:val="-6"/>
          <w:sz w:val="24"/>
          <w:szCs w:val="24"/>
          <w:highlight w:val="none"/>
          <w:lang w:eastAsia="zh-CN"/>
        </w:rPr>
        <w:t>。</w:t>
      </w:r>
    </w:p>
    <w:p w14:paraId="67F07540">
      <w:pPr>
        <w:spacing w:before="152" w:line="309" w:lineRule="auto"/>
        <w:ind w:left="9"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06C479B1">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65D6044A">
      <w:pPr>
        <w:spacing w:before="152" w:line="309" w:lineRule="auto"/>
        <w:ind w:left="9" w:firstLine="568"/>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370C3495">
      <w:pPr>
        <w:spacing w:before="78" w:line="220" w:lineRule="auto"/>
        <w:ind w:left="489"/>
        <w:outlineLvl w:val="2"/>
        <w:rPr>
          <w:rFonts w:hint="eastAsia" w:ascii="宋体" w:hAnsi="宋体" w:eastAsia="宋体" w:cs="宋体"/>
          <w:color w:val="auto"/>
          <w:sz w:val="24"/>
          <w:szCs w:val="24"/>
          <w:highlight w:val="none"/>
        </w:rPr>
      </w:pPr>
      <w:bookmarkStart w:id="28" w:name="_Toc21146"/>
      <w:bookmarkStart w:id="29" w:name="_Toc7763"/>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8"/>
      <w:bookmarkEnd w:id="29"/>
    </w:p>
    <w:p w14:paraId="65C882D9">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49C1BAAE">
      <w:pPr>
        <w:spacing w:before="155" w:line="324" w:lineRule="auto"/>
        <w:ind w:left="12" w:right="99"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416B05D2">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7DBA3CD">
      <w:pPr>
        <w:spacing w:before="154" w:line="299" w:lineRule="auto"/>
        <w:ind w:left="9" w:right="16" w:firstLine="558"/>
        <w:rPr>
          <w:rFonts w:hint="eastAsia" w:ascii="宋体" w:hAnsi="宋体" w:eastAsia="宋体" w:cs="宋体"/>
          <w:b/>
          <w:bCs/>
          <w:color w:val="auto"/>
          <w:spacing w:val="-2"/>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b w:val="0"/>
          <w:bCs w:val="0"/>
          <w:color w:val="auto"/>
          <w:spacing w:val="-2"/>
          <w:sz w:val="24"/>
          <w:szCs w:val="24"/>
          <w:highlight w:val="none"/>
        </w:rPr>
        <w:t>施工用水、用电各提供一驳接点到现场边缘。要求中标人单独安装水表、电表，其水、电费按项目所在地</w:t>
      </w:r>
      <w:r>
        <w:rPr>
          <w:rFonts w:hint="eastAsia" w:ascii="宋体" w:hAnsi="宋体" w:eastAsia="宋体" w:cs="宋体"/>
          <w:b w:val="0"/>
          <w:bCs w:val="0"/>
          <w:color w:val="auto"/>
          <w:spacing w:val="-2"/>
          <w:sz w:val="24"/>
          <w:szCs w:val="24"/>
          <w:highlight w:val="none"/>
          <w:u w:val="single"/>
          <w:lang w:val="en-US" w:eastAsia="zh-CN"/>
        </w:rPr>
        <w:t>韶关市</w:t>
      </w:r>
      <w:r>
        <w:rPr>
          <w:rFonts w:hint="eastAsia" w:ascii="宋体" w:hAnsi="宋体" w:eastAsia="宋体" w:cs="宋体"/>
          <w:b w:val="0"/>
          <w:bCs w:val="0"/>
          <w:color w:val="auto"/>
          <w:spacing w:val="-2"/>
          <w:sz w:val="24"/>
          <w:szCs w:val="24"/>
          <w:highlight w:val="none"/>
        </w:rPr>
        <w:t>基建工程水、电计费标准计算并由中标人缴纳。</w:t>
      </w:r>
    </w:p>
    <w:p w14:paraId="324254FC">
      <w:pPr>
        <w:spacing w:before="154" w:line="29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val="en-US" w:eastAsia="zh-CN"/>
        </w:rPr>
        <w:t>6.5</w:t>
      </w:r>
      <w:r>
        <w:rPr>
          <w:rFonts w:hint="eastAsia" w:ascii="宋体" w:hAnsi="宋体" w:eastAsia="宋体" w:cs="宋体"/>
          <w:color w:val="auto"/>
          <w:spacing w:val="-2"/>
          <w:sz w:val="24"/>
          <w:szCs w:val="24"/>
          <w:highlight w:val="none"/>
        </w:rPr>
        <w:t>招标人不组织现场踏勘，</w:t>
      </w:r>
      <w:r>
        <w:rPr>
          <w:rFonts w:hint="eastAsia" w:ascii="宋体" w:hAnsi="宋体" w:eastAsia="宋体" w:cs="宋体"/>
          <w:color w:val="auto"/>
          <w:sz w:val="24"/>
          <w:szCs w:val="24"/>
          <w:highlight w:val="none"/>
        </w:rPr>
        <w:t>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1B0B1AFE">
      <w:pPr>
        <w:spacing w:before="153" w:line="280"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5F9F4616">
      <w:pPr>
        <w:spacing w:before="153" w:line="220" w:lineRule="auto"/>
        <w:ind w:left="568"/>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p>
    <w:p w14:paraId="235FFA49">
      <w:pPr>
        <w:spacing w:before="78" w:line="220" w:lineRule="auto"/>
        <w:ind w:left="488"/>
        <w:outlineLvl w:val="2"/>
        <w:rPr>
          <w:rFonts w:hint="eastAsia" w:ascii="宋体" w:hAnsi="宋体" w:eastAsia="宋体" w:cs="宋体"/>
          <w:color w:val="auto"/>
          <w:sz w:val="24"/>
          <w:szCs w:val="24"/>
          <w:highlight w:val="none"/>
        </w:rPr>
      </w:pPr>
      <w:bookmarkStart w:id="31" w:name="bookmark67"/>
      <w:bookmarkEnd w:id="31"/>
      <w:bookmarkStart w:id="32" w:name="bookmark81"/>
      <w:bookmarkEnd w:id="32"/>
      <w:bookmarkStart w:id="33" w:name="bookmark69"/>
      <w:bookmarkEnd w:id="33"/>
      <w:bookmarkStart w:id="34" w:name="_Toc15543"/>
      <w:bookmarkStart w:id="35" w:name="_Toc24768"/>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4"/>
      <w:bookmarkEnd w:id="35"/>
    </w:p>
    <w:p w14:paraId="75CFCE47">
      <w:pPr>
        <w:spacing w:before="153" w:line="299" w:lineRule="auto"/>
        <w:ind w:left="9" w:right="16" w:firstLine="478"/>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1D96D998">
      <w:pPr>
        <w:spacing w:before="154" w:line="30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2E76E133">
      <w:pPr>
        <w:spacing w:before="152" w:line="219" w:lineRule="auto"/>
        <w:ind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27B5D21C">
      <w:pPr>
        <w:spacing w:before="79" w:line="219" w:lineRule="auto"/>
        <w:ind w:left="488"/>
        <w:outlineLvl w:val="2"/>
        <w:rPr>
          <w:rFonts w:hint="eastAsia" w:ascii="宋体" w:hAnsi="宋体" w:eastAsia="宋体" w:cs="宋体"/>
          <w:color w:val="auto"/>
          <w:sz w:val="24"/>
          <w:szCs w:val="24"/>
          <w:highlight w:val="none"/>
          <w:lang w:eastAsia="zh-CN"/>
        </w:rPr>
      </w:pPr>
      <w:bookmarkStart w:id="36" w:name="_Toc20958"/>
      <w:bookmarkStart w:id="37" w:name="_Toc6897"/>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r>
        <w:rPr>
          <w:rFonts w:hint="eastAsia" w:ascii="宋体" w:hAnsi="宋体" w:eastAsia="宋体" w:cs="宋体"/>
          <w:b/>
          <w:bCs/>
          <w:color w:val="auto"/>
          <w:spacing w:val="-1"/>
          <w:sz w:val="24"/>
          <w:szCs w:val="24"/>
          <w:highlight w:val="none"/>
          <w:lang w:eastAsia="zh-CN"/>
        </w:rPr>
        <w:t>最高投标限价</w:t>
      </w:r>
      <w:bookmarkEnd w:id="36"/>
      <w:bookmarkEnd w:id="37"/>
    </w:p>
    <w:p w14:paraId="575A60B6">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3CF70373">
      <w:pPr>
        <w:keepNext w:val="0"/>
        <w:keepLines w:val="0"/>
        <w:pageBreakBefore w:val="0"/>
        <w:widowControl/>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》（GB/T 50500-2024）；</w:t>
      </w:r>
    </w:p>
    <w:p w14:paraId="400B07CC">
      <w:pPr>
        <w:keepNext w:val="0"/>
        <w:keepLines w:val="0"/>
        <w:pageBreakBefore w:val="0"/>
        <w:widowControl/>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1BF8F48A">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2B213E1">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bookmarkStart w:id="38" w:name="bookmark119"/>
      <w:bookmarkEnd w:id="38"/>
      <w:r>
        <w:rPr>
          <w:rFonts w:hint="eastAsia" w:ascii="宋体" w:hAnsi="宋体" w:eastAsia="宋体" w:cs="宋体"/>
          <w:color w:val="auto"/>
          <w:spacing w:val="-2"/>
          <w:sz w:val="24"/>
          <w:szCs w:val="24"/>
          <w:highlight w:val="none"/>
        </w:rPr>
        <w:t>（4）招标文件及招标工程量清单；</w:t>
      </w:r>
    </w:p>
    <w:p w14:paraId="177D9338">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00FB1D3E">
      <w:pPr>
        <w:keepNext w:val="0"/>
        <w:keepLines w:val="0"/>
        <w:pageBreakBefore w:val="0"/>
        <w:widowControl/>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24969273">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5D017348">
      <w:pPr>
        <w:spacing w:before="79" w:line="333" w:lineRule="auto"/>
        <w:ind w:firstLine="482" w:firstLineChars="200"/>
        <w:jc w:val="both"/>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本项目最高投标限价为人民币（大写）：壹仟陆佰柒拾贰万柒仟陆佰叁拾捌元叁角叁分（¥16727638.33元）；其中安全生产措施费不得低于255530.99元，暂列金额(统一报价)为：¥1305519.94元，专业工程暂估价(统一报价)为：¥124055.50元。</w:t>
      </w:r>
    </w:p>
    <w:p w14:paraId="354CD1E5">
      <w:pPr>
        <w:spacing w:before="79" w:line="360"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2D63794A">
      <w:pPr>
        <w:spacing w:before="36" w:line="360" w:lineRule="auto"/>
        <w:ind w:left="10" w:right="200"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0B134047">
      <w:pPr>
        <w:spacing w:before="154" w:line="360" w:lineRule="auto"/>
        <w:ind w:left="12" w:right="200"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497A481B">
      <w:pPr>
        <w:spacing w:before="153" w:line="360" w:lineRule="auto"/>
        <w:ind w:left="-3" w:leftChars="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
          <w:bCs/>
          <w:color w:val="auto"/>
          <w:spacing w:val="21"/>
          <w:sz w:val="24"/>
          <w:szCs w:val="24"/>
          <w:highlight w:val="none"/>
          <w:u w:val="single"/>
        </w:rPr>
        <w:t xml:space="preserve"> </w:t>
      </w:r>
      <w:r>
        <w:rPr>
          <w:rFonts w:hint="eastAsia" w:ascii="宋体" w:hAnsi="宋体" w:eastAsia="宋体" w:cs="宋体"/>
          <w:bCs/>
          <w:color w:val="auto"/>
          <w:spacing w:val="-1"/>
          <w:sz w:val="24"/>
          <w:szCs w:val="24"/>
          <w:highlight w:val="none"/>
          <w:u w:val="single"/>
        </w:rPr>
        <w:t xml:space="preserve">中标人招标，招标人参与管理 </w:t>
      </w:r>
      <w:r>
        <w:rPr>
          <w:rFonts w:hint="eastAsia" w:ascii="宋体" w:hAnsi="宋体" w:eastAsia="宋体" w:cs="宋体"/>
          <w:bCs/>
          <w:color w:val="auto"/>
          <w:spacing w:val="-1"/>
          <w:sz w:val="24"/>
          <w:szCs w:val="24"/>
          <w:highlight w:val="none"/>
        </w:rPr>
        <w:t>，</w:t>
      </w:r>
      <w:r>
        <w:rPr>
          <w:rFonts w:hint="eastAsia" w:ascii="宋体" w:hAnsi="宋体" w:eastAsia="宋体" w:cs="宋体"/>
          <w:color w:val="auto"/>
          <w:spacing w:val="-1"/>
          <w:sz w:val="24"/>
          <w:szCs w:val="24"/>
          <w:highlight w:val="none"/>
        </w:rPr>
        <w:t>确定专业工程承包人（或材料、工程</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设备供应商）和合同价格。</w:t>
      </w:r>
    </w:p>
    <w:p w14:paraId="5EEE8160">
      <w:pPr>
        <w:spacing w:before="30" w:line="360"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14:paraId="414D5F0A">
      <w:pPr>
        <w:spacing w:before="154" w:line="360"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文件相关条款执行。</w:t>
      </w:r>
    </w:p>
    <w:p w14:paraId="411CD8B2">
      <w:pPr>
        <w:spacing w:before="154" w:line="360"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14D894B7">
      <w:pPr>
        <w:spacing w:before="155" w:line="360" w:lineRule="auto"/>
        <w:ind w:left="9" w:right="66"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32E42486">
      <w:pPr>
        <w:spacing w:before="155" w:line="360" w:lineRule="auto"/>
        <w:ind w:left="10" w:right="65"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5743915F">
      <w:pPr>
        <w:spacing w:before="79" w:line="219" w:lineRule="auto"/>
        <w:ind w:left="487"/>
        <w:outlineLvl w:val="2"/>
        <w:rPr>
          <w:rFonts w:hint="eastAsia" w:ascii="宋体" w:hAnsi="宋体" w:eastAsia="宋体" w:cs="宋体"/>
          <w:color w:val="auto"/>
          <w:sz w:val="24"/>
          <w:szCs w:val="24"/>
          <w:highlight w:val="none"/>
        </w:rPr>
      </w:pPr>
      <w:bookmarkStart w:id="39" w:name="_Toc6911"/>
      <w:bookmarkStart w:id="40" w:name="_Toc22978"/>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9"/>
      <w:bookmarkEnd w:id="40"/>
    </w:p>
    <w:p w14:paraId="3DE643F3">
      <w:pPr>
        <w:spacing w:before="157" w:line="219"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23909BF3">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637E8D36">
      <w:pPr>
        <w:spacing w:before="153" w:line="309" w:lineRule="auto"/>
        <w:ind w:left="9" w:right="65"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r>
        <w:rPr>
          <w:rFonts w:hint="eastAsia" w:ascii="宋体" w:hAnsi="宋体" w:eastAsia="宋体" w:cs="宋体"/>
          <w:color w:val="auto"/>
          <w:spacing w:val="-1"/>
          <w:sz w:val="24"/>
          <w:szCs w:val="24"/>
          <w:highlight w:val="none"/>
        </w:rPr>
        <w:t>；</w:t>
      </w:r>
    </w:p>
    <w:p w14:paraId="094744D0">
      <w:pPr>
        <w:spacing w:before="78" w:line="220" w:lineRule="auto"/>
        <w:ind w:left="501"/>
        <w:rPr>
          <w:rFonts w:hint="eastAsia" w:ascii="宋体" w:hAnsi="宋体" w:eastAsia="宋体" w:cs="宋体"/>
          <w:color w:val="auto"/>
          <w:sz w:val="24"/>
          <w:szCs w:val="24"/>
          <w:highlight w:val="none"/>
        </w:rPr>
      </w:pPr>
      <w:bookmarkStart w:id="41" w:name="bookmark120"/>
      <w:bookmarkEnd w:id="41"/>
      <w:r>
        <w:rPr>
          <w:rFonts w:hint="eastAsia" w:ascii="宋体" w:hAnsi="宋体" w:eastAsia="宋体" w:cs="宋体"/>
          <w:color w:val="auto"/>
          <w:spacing w:val="-3"/>
          <w:sz w:val="24"/>
          <w:szCs w:val="24"/>
          <w:highlight w:val="none"/>
        </w:rPr>
        <w:t>（3）企业定额；</w:t>
      </w:r>
    </w:p>
    <w:p w14:paraId="7217D9D3">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20138A69">
      <w:pPr>
        <w:spacing w:before="154"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563DD3EC">
      <w:pPr>
        <w:spacing w:before="15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03088ADA">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177F8FD6">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572B660">
      <w:pPr>
        <w:spacing w:before="153" w:line="309" w:lineRule="auto"/>
        <w:ind w:left="8" w:right="15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2A4D7491">
      <w:pPr>
        <w:spacing w:before="152" w:line="309"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3CC853E1">
      <w:pPr>
        <w:spacing w:before="155" w:line="279"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428C97DB">
      <w:pPr>
        <w:spacing w:before="154" w:line="299"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2BD5CB95">
      <w:pPr>
        <w:spacing w:before="158" w:line="314"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029B3C3E">
      <w:pPr>
        <w:spacing w:before="152" w:line="309" w:lineRule="auto"/>
        <w:ind w:left="7" w:right="120" w:firstLine="48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0A95A81C">
      <w:pPr>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E9F36E8">
      <w:pPr>
        <w:spacing w:before="146" w:line="360" w:lineRule="auto"/>
        <w:ind w:left="29" w:right="153" w:firstLine="458"/>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5C6ABF7B">
      <w:pPr>
        <w:spacing w:before="78" w:line="360" w:lineRule="auto"/>
        <w:ind w:right="99"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7AE3073F">
      <w:pPr>
        <w:pStyle w:val="6"/>
        <w:keepNext w:val="0"/>
        <w:keepLines w:val="0"/>
        <w:pageBreakBefore w:val="0"/>
        <w:widowControl/>
        <w:kinsoku w:val="0"/>
        <w:wordWrap/>
        <w:overflowPunct/>
        <w:topLinePunct w:val="0"/>
        <w:autoSpaceDE w:val="0"/>
        <w:autoSpaceDN w:val="0"/>
        <w:bidi w:val="0"/>
        <w:adjustRightInd w:val="0"/>
        <w:snapToGrid w:val="0"/>
        <w:spacing w:line="300" w:lineRule="auto"/>
        <w:ind w:firstLine="422" w:firstLineChars="200"/>
        <w:textAlignment w:val="baseline"/>
        <w:rPr>
          <w:color w:val="auto"/>
          <w:highlight w:val="none"/>
        </w:rPr>
      </w:pPr>
      <w:r>
        <w:rPr>
          <w:rFonts w:hint="eastAsia" w:ascii="宋体" w:hAnsi="宋体" w:eastAsia="宋体" w:cs="宋体"/>
          <w:b/>
          <w:bCs/>
          <w:color w:val="auto"/>
          <w:highlight w:val="none"/>
        </w:rPr>
        <w:t xml:space="preserve">9.10 </w:t>
      </w:r>
      <w:r>
        <w:rPr>
          <w:rFonts w:hint="eastAsia" w:ascii="宋体" w:hAnsi="宋体" w:eastAsia="宋体" w:cs="宋体"/>
          <w:snapToGrid w:val="0"/>
          <w:color w:val="auto"/>
          <w:sz w:val="24"/>
          <w:szCs w:val="24"/>
          <w:highlight w:val="none"/>
          <w:lang w:val="en-US" w:eastAsia="en-US" w:bidi="ar-SA"/>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投标报价时，应按《广东省建设工程计价依据（2018）》规定的费率报价，若招标工程量清单明确说明不计算预算包干费或另外确定预算包干费费率的，则按招标工程量清单报价。</w:t>
      </w:r>
    </w:p>
    <w:p w14:paraId="4574DACF">
      <w:pPr>
        <w:pStyle w:val="6"/>
        <w:spacing w:line="360" w:lineRule="auto"/>
        <w:rPr>
          <w:rFonts w:hint="eastAsia" w:ascii="宋体" w:hAnsi="宋体" w:eastAsia="宋体" w:cs="宋体"/>
          <w:snapToGrid w:val="0"/>
          <w:color w:val="auto"/>
          <w:sz w:val="24"/>
          <w:szCs w:val="24"/>
          <w:highlight w:val="none"/>
          <w:lang w:val="en-US" w:eastAsia="en-US" w:bidi="ar-SA"/>
        </w:rPr>
      </w:pPr>
    </w:p>
    <w:p w14:paraId="20F7818E">
      <w:pPr>
        <w:spacing w:before="78" w:line="220" w:lineRule="auto"/>
        <w:ind w:left="496"/>
        <w:outlineLvl w:val="2"/>
        <w:rPr>
          <w:rFonts w:hint="eastAsia" w:ascii="宋体" w:hAnsi="宋体" w:eastAsia="宋体" w:cs="宋体"/>
          <w:color w:val="auto"/>
          <w:sz w:val="24"/>
          <w:szCs w:val="24"/>
          <w:highlight w:val="none"/>
        </w:rPr>
      </w:pPr>
      <w:bookmarkStart w:id="42" w:name="_Toc16322"/>
      <w:bookmarkStart w:id="43" w:name="_Toc23711"/>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2"/>
      <w:bookmarkEnd w:id="43"/>
    </w:p>
    <w:p w14:paraId="4C719819">
      <w:pPr>
        <w:spacing w:before="152" w:line="222" w:lineRule="auto"/>
        <w:ind w:left="496"/>
        <w:outlineLvl w:val="3"/>
        <w:rPr>
          <w:rFonts w:hint="eastAsia" w:ascii="宋体" w:hAnsi="宋体" w:eastAsia="宋体" w:cs="宋体"/>
          <w:color w:val="auto"/>
          <w:sz w:val="24"/>
          <w:szCs w:val="24"/>
          <w:highlight w:val="none"/>
        </w:rPr>
      </w:pPr>
      <w:bookmarkStart w:id="44" w:name="_Toc20590"/>
      <w:bookmarkStart w:id="45" w:name="_Toc22937"/>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4"/>
      <w:bookmarkEnd w:id="45"/>
    </w:p>
    <w:p w14:paraId="27321D71">
      <w:pPr>
        <w:spacing w:before="118" w:line="295"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3DD2CA9E">
      <w:pPr>
        <w:spacing w:before="68" w:line="299"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057155C1">
      <w:pPr>
        <w:spacing w:before="123" w:line="29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10.1.2  投标文件包括商务标书、经济标书、施工组织设计和定标文件四个分册，</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·韶关市）</w:t>
      </w:r>
      <w:r>
        <w:rPr>
          <w:rFonts w:hint="eastAsia" w:ascii="宋体" w:hAnsi="宋体" w:eastAsia="宋体" w:cs="宋体"/>
          <w:color w:val="auto"/>
          <w:spacing w:val="-2"/>
          <w:sz w:val="24"/>
          <w:szCs w:val="24"/>
          <w:highlight w:val="none"/>
        </w:rPr>
        <w:t>交易指引。</w:t>
      </w:r>
    </w:p>
    <w:p w14:paraId="13A74F35">
      <w:pPr>
        <w:spacing w:before="1" w:line="219"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2DBC6B6B">
      <w:pPr>
        <w:spacing w:before="111" w:line="279"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w:t>
      </w:r>
      <w:r>
        <w:rPr>
          <w:rFonts w:hint="eastAsia" w:ascii="宋体" w:hAnsi="宋体" w:eastAsia="宋体" w:cs="宋体"/>
          <w:color w:val="auto"/>
          <w:spacing w:val="-2"/>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2324B4CD">
      <w:pPr>
        <w:spacing w:before="112" w:line="264"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w:t>
      </w:r>
    </w:p>
    <w:p w14:paraId="05343DCE">
      <w:pPr>
        <w:spacing w:before="146" w:line="279"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0328EA8C">
      <w:pPr>
        <w:spacing w:before="155" w:line="219" w:lineRule="auto"/>
        <w:ind w:left="0" w:leftChars="0" w:firstLine="474" w:firstLineChars="200"/>
        <w:outlineLvl w:val="3"/>
        <w:rPr>
          <w:rFonts w:hint="eastAsia" w:ascii="宋体" w:hAnsi="宋体" w:eastAsia="宋体" w:cs="宋体"/>
          <w:b w:val="0"/>
          <w:bCs w:val="0"/>
          <w:color w:val="auto"/>
          <w:spacing w:val="-2"/>
          <w:sz w:val="24"/>
          <w:szCs w:val="24"/>
          <w:highlight w:val="none"/>
        </w:rPr>
      </w:pPr>
      <w:bookmarkStart w:id="46" w:name="_Toc21271"/>
      <w:bookmarkStart w:id="47" w:name="_Toc20223"/>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电子印章）即可。</w:t>
      </w:r>
    </w:p>
    <w:p w14:paraId="77217396">
      <w:pPr>
        <w:spacing w:before="155" w:line="219" w:lineRule="auto"/>
        <w:ind w:left="5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10.2  商务标书的编制要求</w:t>
      </w:r>
      <w:bookmarkEnd w:id="46"/>
      <w:bookmarkEnd w:id="47"/>
    </w:p>
    <w:p w14:paraId="3F39F9CA">
      <w:pPr>
        <w:spacing w:before="157" w:line="219" w:lineRule="auto"/>
        <w:ind w:left="58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5C1D7577">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F006AC4">
      <w:pPr>
        <w:spacing w:before="153" w:line="222"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05BF4253">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008F2B70">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4C11F4DE">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3AA824F5">
      <w:pPr>
        <w:spacing w:before="156"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1349ECBD">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21D31AE5">
      <w:pPr>
        <w:spacing w:before="153" w:line="309" w:lineRule="auto"/>
        <w:ind w:left="13" w:right="133"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F2864F5">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4BC752D">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10819BE7">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0891306A">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60800BB4">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48" w:name="OLE_LINK7"/>
      <w:r>
        <w:rPr>
          <w:rFonts w:hint="eastAsia" w:ascii="宋体" w:hAnsi="宋体" w:eastAsia="宋体" w:cs="宋体"/>
          <w:color w:val="auto"/>
          <w:spacing w:val="-1"/>
          <w:sz w:val="24"/>
          <w:szCs w:val="24"/>
          <w:highlight w:val="none"/>
        </w:rPr>
        <w:t>目管理机构组成表》（格式十一）及</w:t>
      </w:r>
      <w:bookmarkEnd w:id="48"/>
      <w:r>
        <w:rPr>
          <w:rFonts w:hint="eastAsia" w:ascii="宋体" w:hAnsi="宋体" w:eastAsia="宋体" w:cs="宋体"/>
          <w:color w:val="auto"/>
          <w:spacing w:val="-1"/>
          <w:sz w:val="24"/>
          <w:szCs w:val="24"/>
          <w:highlight w:val="none"/>
        </w:rPr>
        <w:t>所附资料；</w:t>
      </w:r>
    </w:p>
    <w:p w14:paraId="7B74DB0B">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15.5.1</w:t>
      </w:r>
      <w:r>
        <w:rPr>
          <w:rFonts w:hint="eastAsia" w:ascii="宋体" w:hAnsi="宋体" w:eastAsia="宋体" w:cs="宋体"/>
          <w:color w:val="auto"/>
          <w:spacing w:val="-4"/>
          <w:sz w:val="24"/>
          <w:szCs w:val="24"/>
          <w:highlight w:val="none"/>
        </w:rPr>
        <w:t>目“评标方法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”要求提供的</w:t>
      </w:r>
      <w:r>
        <w:rPr>
          <w:rFonts w:hint="eastAsia" w:ascii="宋体" w:hAnsi="宋体" w:eastAsia="宋体" w:cs="宋体"/>
          <w:color w:val="auto"/>
          <w:spacing w:val="-5"/>
          <w:sz w:val="24"/>
          <w:szCs w:val="24"/>
          <w:highlight w:val="none"/>
        </w:rPr>
        <w:t>评审资料；</w:t>
      </w:r>
    </w:p>
    <w:p w14:paraId="4D717B1B">
      <w:pPr>
        <w:spacing w:before="78" w:line="299" w:lineRule="auto"/>
        <w:ind w:left="8"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（15）投标人认为有必要补充的其他资料。（例如投标人已经工商变更，但其企</w:t>
      </w:r>
      <w:r>
        <w:rPr>
          <w:rFonts w:hint="eastAsia" w:ascii="宋体" w:hAnsi="宋体" w:eastAsia="宋体" w:cs="宋体"/>
          <w:color w:val="auto"/>
          <w:spacing w:val="-1"/>
          <w:sz w:val="24"/>
          <w:szCs w:val="24"/>
          <w:highlight w:val="none"/>
        </w:rPr>
        <w:t>业资质证书、安全生产许可证或其员工执业资格注册证书上的企</w:t>
      </w:r>
      <w:r>
        <w:rPr>
          <w:rFonts w:hint="eastAsia" w:ascii="宋体" w:hAnsi="宋体" w:eastAsia="宋体" w:cs="宋体"/>
          <w:color w:val="auto"/>
          <w:spacing w:val="-2"/>
          <w:sz w:val="24"/>
          <w:szCs w:val="24"/>
          <w:highlight w:val="none"/>
        </w:rPr>
        <w:t>业名称未能在投标期</w:t>
      </w:r>
      <w:r>
        <w:rPr>
          <w:rFonts w:hint="eastAsia" w:ascii="宋体" w:hAnsi="宋体" w:eastAsia="宋体" w:cs="宋体"/>
          <w:color w:val="auto"/>
          <w:spacing w:val="-1"/>
          <w:sz w:val="24"/>
          <w:szCs w:val="24"/>
          <w:highlight w:val="none"/>
        </w:rPr>
        <w:t>间完成变更的书面说明和佐证材料等）</w:t>
      </w:r>
    </w:p>
    <w:p w14:paraId="535D0001">
      <w:pPr>
        <w:spacing w:before="155" w:line="262" w:lineRule="auto"/>
        <w:ind w:left="9" w:right="61" w:firstLine="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10.2.1</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1）至第（13）项</w:t>
      </w:r>
      <w:r>
        <w:rPr>
          <w:rFonts w:hint="eastAsia" w:ascii="宋体" w:hAnsi="宋体" w:eastAsia="宋体" w:cs="宋体"/>
          <w:color w:val="auto"/>
          <w:sz w:val="24"/>
          <w:szCs w:val="24"/>
          <w:highlight w:val="none"/>
        </w:rPr>
        <w:t>所有投标人均应提供，</w:t>
      </w:r>
      <w:r>
        <w:rPr>
          <w:rFonts w:hint="eastAsia" w:ascii="宋体" w:hAnsi="宋体" w:eastAsia="宋体" w:cs="宋体"/>
          <w:b/>
          <w:bCs/>
          <w:color w:val="auto"/>
          <w:sz w:val="24"/>
          <w:szCs w:val="24"/>
          <w:highlight w:val="none"/>
        </w:rPr>
        <w:t>但非联合体投标的，</w:t>
      </w:r>
      <w:r>
        <w:rPr>
          <w:rFonts w:hint="eastAsia" w:ascii="宋体" w:hAnsi="宋体" w:eastAsia="宋体" w:cs="宋体"/>
          <w:b/>
          <w:bCs/>
          <w:color w:val="auto"/>
          <w:spacing w:val="-1"/>
          <w:sz w:val="24"/>
          <w:szCs w:val="24"/>
          <w:highlight w:val="none"/>
        </w:rPr>
        <w:t>无需提供第（7）项内容。</w:t>
      </w:r>
    </w:p>
    <w:p w14:paraId="2E952296">
      <w:pPr>
        <w:spacing w:before="199" w:line="279" w:lineRule="auto"/>
        <w:ind w:right="6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217F5B26">
      <w:pPr>
        <w:pStyle w:val="6"/>
        <w:spacing w:line="257" w:lineRule="auto"/>
        <w:rPr>
          <w:rFonts w:hint="eastAsia" w:ascii="宋体" w:hAnsi="宋体" w:eastAsia="宋体" w:cs="宋体"/>
          <w:color w:val="auto"/>
          <w:highlight w:val="none"/>
        </w:rPr>
      </w:pPr>
    </w:p>
    <w:p w14:paraId="69818CE4">
      <w:pPr>
        <w:spacing w:before="78" w:line="219" w:lineRule="auto"/>
        <w:ind w:left="496"/>
        <w:outlineLvl w:val="3"/>
        <w:rPr>
          <w:rFonts w:hint="eastAsia" w:ascii="宋体" w:hAnsi="宋体" w:eastAsia="宋体" w:cs="宋体"/>
          <w:b/>
          <w:bCs/>
          <w:color w:val="auto"/>
          <w:sz w:val="24"/>
          <w:szCs w:val="24"/>
          <w:highlight w:val="none"/>
        </w:rPr>
      </w:pPr>
      <w:bookmarkStart w:id="49" w:name="_Toc10602"/>
      <w:bookmarkStart w:id="50" w:name="_Toc29370"/>
      <w:r>
        <w:rPr>
          <w:rFonts w:hint="eastAsia" w:ascii="宋体" w:hAnsi="宋体" w:eastAsia="宋体" w:cs="宋体"/>
          <w:b/>
          <w:bCs/>
          <w:color w:val="auto"/>
          <w:spacing w:val="-2"/>
          <w:sz w:val="24"/>
          <w:szCs w:val="24"/>
          <w:highlight w:val="none"/>
        </w:rPr>
        <w:t>10.3  经济标书的编制要求</w:t>
      </w:r>
      <w:bookmarkEnd w:id="49"/>
      <w:bookmarkEnd w:id="50"/>
    </w:p>
    <w:p w14:paraId="60C387BC">
      <w:pPr>
        <w:spacing w:before="154"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268DB103">
      <w:pPr>
        <w:spacing w:before="156"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00F8FF75">
      <w:pPr>
        <w:spacing w:before="153"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4A81E499">
      <w:pPr>
        <w:spacing w:before="150"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w:t>
      </w:r>
    </w:p>
    <w:p w14:paraId="47AF82C9">
      <w:pPr>
        <w:spacing w:before="157" w:line="219" w:lineRule="auto"/>
        <w:ind w:left="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说明：《投标总价》的格式按照《建设工程工程量</w:t>
      </w:r>
      <w:r>
        <w:rPr>
          <w:rFonts w:hint="eastAsia" w:ascii="宋体" w:hAnsi="宋体" w:eastAsia="宋体" w:cs="宋体"/>
          <w:color w:val="auto"/>
          <w:spacing w:val="-1"/>
          <w:sz w:val="24"/>
          <w:szCs w:val="24"/>
          <w:highlight w:val="none"/>
        </w:rPr>
        <w:t>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w:t>
      </w:r>
    </w:p>
    <w:p w14:paraId="00EB23A8">
      <w:pPr>
        <w:spacing w:before="155" w:line="220" w:lineRule="auto"/>
        <w:ind w:left="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）执行，并应满足以下要求：</w:t>
      </w:r>
    </w:p>
    <w:p w14:paraId="77E3949A">
      <w:pPr>
        <w:spacing w:before="150" w:line="309" w:lineRule="auto"/>
        <w:ind w:left="8"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a</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color w:val="auto"/>
          <w:spacing w:val="-2"/>
          <w:sz w:val="24"/>
          <w:szCs w:val="24"/>
          <w:highlight w:val="none"/>
        </w:rPr>
        <w:t>．《投标总价扉页》(即表</w:t>
      </w:r>
      <w:r>
        <w:rPr>
          <w:rFonts w:hint="eastAsia" w:ascii="宋体" w:hAnsi="宋体" w:eastAsia="宋体" w:cs="宋体"/>
          <w:color w:val="auto"/>
          <w:spacing w:val="-2"/>
          <w:sz w:val="24"/>
          <w:szCs w:val="24"/>
          <w:highlight w:val="none"/>
          <w:lang w:val="en-US" w:eastAsia="zh-CN"/>
        </w:rPr>
        <w:t>C</w:t>
      </w:r>
      <w:r>
        <w:rPr>
          <w:rFonts w:hint="eastAsia" w:ascii="宋体" w:hAnsi="宋体" w:eastAsia="宋体" w:cs="宋体"/>
          <w:color w:val="auto"/>
          <w:spacing w:val="-2"/>
          <w:sz w:val="24"/>
          <w:szCs w:val="24"/>
          <w:highlight w:val="none"/>
        </w:rPr>
        <w:t>.3.1)后应附编制人的造价工程师注册证书彩色扫描件（须扫描至变更注册栏，</w:t>
      </w:r>
      <w:r>
        <w:rPr>
          <w:rFonts w:hint="eastAsia" w:ascii="宋体" w:hAnsi="宋体" w:eastAsia="宋体" w:cs="宋体"/>
          <w:b/>
          <w:bCs/>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）；投标人委托造价咨询单位编制《投标总价》的，在该扉页“投标人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并在该扉页后附造价咨询人的营业执照副本彩色扫描件。</w:t>
      </w:r>
    </w:p>
    <w:p w14:paraId="722B1CB1">
      <w:pPr>
        <w:spacing w:before="119" w:line="314" w:lineRule="auto"/>
        <w:ind w:left="10" w:right="61" w:firstLine="474"/>
        <w:rPr>
          <w:rFonts w:hint="eastAsia" w:ascii="宋体" w:hAnsi="宋体" w:eastAsia="宋体" w:cs="宋体"/>
          <w:b/>
          <w:bCs/>
          <w:color w:val="auto"/>
          <w:spacing w:val="2"/>
          <w:sz w:val="24"/>
          <w:szCs w:val="24"/>
          <w:highlight w:val="none"/>
          <w:lang w:val="en-US" w:eastAsia="zh-CN"/>
        </w:rPr>
      </w:pPr>
      <w:r>
        <w:rPr>
          <w:rFonts w:hint="eastAsia" w:ascii="宋体" w:hAnsi="宋体" w:eastAsia="宋体" w:cs="宋体"/>
          <w:b/>
          <w:bCs/>
          <w:color w:val="auto"/>
          <w:spacing w:val="2"/>
          <w:sz w:val="24"/>
          <w:szCs w:val="24"/>
          <w:highlight w:val="none"/>
        </w:rPr>
        <w:t xml:space="preserve">b.  </w:t>
      </w:r>
      <w:r>
        <w:rPr>
          <w:rFonts w:hint="eastAsia" w:ascii="宋体" w:hAnsi="宋体" w:eastAsia="宋体" w:cs="宋体"/>
          <w:b w:val="0"/>
          <w:bCs w:val="0"/>
          <w:color w:val="auto"/>
          <w:spacing w:val="2"/>
          <w:sz w:val="24"/>
          <w:szCs w:val="24"/>
          <w:highlight w:val="none"/>
        </w:rPr>
        <w:t>《投标报价填报说明》(即表D.2.1)中的填写内容除按照《建设工程工程量清单计价标准》(GB/T50500一2024)附录D工程计价说明D.2.1款执行外，尚应就造价软件的名称、版本、加密锁编号作出专项说明。</w:t>
      </w:r>
      <w:r>
        <w:rPr>
          <w:rFonts w:hint="eastAsia" w:ascii="宋体" w:hAnsi="宋体" w:eastAsia="宋体" w:cs="宋体"/>
          <w:b w:val="0"/>
          <w:bCs w:val="0"/>
          <w:color w:val="auto"/>
          <w:spacing w:val="2"/>
          <w:sz w:val="24"/>
          <w:szCs w:val="24"/>
          <w:highlight w:val="none"/>
          <w:lang w:val="en-US" w:eastAsia="zh-CN"/>
        </w:rPr>
        <w:tab/>
      </w:r>
    </w:p>
    <w:p w14:paraId="5A9B40CD">
      <w:pPr>
        <w:spacing w:before="119" w:line="314" w:lineRule="auto"/>
        <w:ind w:left="10" w:right="6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2"/>
          <w:sz w:val="24"/>
          <w:szCs w:val="24"/>
          <w:highlight w:val="none"/>
        </w:rPr>
        <w:t>投标人认为有必要补充的其他资料(例如关于投标报价低于招标项目的成本警示价的书面说明和佐证材料)</w:t>
      </w:r>
      <w:r>
        <w:rPr>
          <w:rFonts w:hint="eastAsia" w:ascii="宋体" w:hAnsi="宋体" w:eastAsia="宋体" w:cs="宋体"/>
          <w:color w:val="auto"/>
          <w:spacing w:val="-2"/>
          <w:sz w:val="24"/>
          <w:szCs w:val="24"/>
          <w:highlight w:val="none"/>
        </w:rPr>
        <w:t>。</w:t>
      </w:r>
    </w:p>
    <w:p w14:paraId="4401C419">
      <w:pPr>
        <w:spacing w:before="99" w:line="280" w:lineRule="auto"/>
        <w:ind w:left="10" w:right="63"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10.3.1</w:t>
      </w:r>
      <w:r>
        <w:rPr>
          <w:rFonts w:hint="eastAsia" w:ascii="宋体" w:hAnsi="宋体" w:eastAsia="宋体" w:cs="宋体"/>
          <w:color w:val="auto"/>
          <w:spacing w:val="-3"/>
          <w:sz w:val="24"/>
          <w:szCs w:val="24"/>
          <w:highlight w:val="none"/>
        </w:rPr>
        <w:t>目中所列出的经济标书组成内容中，第（1）至第（</w:t>
      </w:r>
      <w:r>
        <w:rPr>
          <w:rFonts w:hint="eastAsia" w:ascii="宋体" w:hAnsi="宋体" w:eastAsia="宋体" w:cs="宋体"/>
          <w:color w:val="auto"/>
          <w:spacing w:val="-3"/>
          <w:sz w:val="24"/>
          <w:szCs w:val="24"/>
          <w:highlight w:val="none"/>
          <w:lang w:val="en-US" w:eastAsia="zh-CN"/>
        </w:rPr>
        <w:t>3</w:t>
      </w:r>
      <w:r>
        <w:rPr>
          <w:rFonts w:hint="eastAsia" w:ascii="宋体" w:hAnsi="宋体" w:eastAsia="宋体" w:cs="宋体"/>
          <w:color w:val="auto"/>
          <w:spacing w:val="-3"/>
          <w:sz w:val="24"/>
          <w:szCs w:val="24"/>
          <w:highlight w:val="none"/>
        </w:rPr>
        <w:t>）项所</w:t>
      </w:r>
      <w:r>
        <w:rPr>
          <w:rFonts w:hint="eastAsia" w:ascii="宋体" w:hAnsi="宋体" w:eastAsia="宋体" w:cs="宋体"/>
          <w:color w:val="auto"/>
          <w:spacing w:val="-2"/>
          <w:sz w:val="24"/>
          <w:szCs w:val="24"/>
          <w:highlight w:val="none"/>
        </w:rPr>
        <w:t>有投标人均应提供。</w:t>
      </w:r>
    </w:p>
    <w:p w14:paraId="1CC63C36">
      <w:pPr>
        <w:spacing w:before="155" w:line="279" w:lineRule="auto"/>
        <w:ind w:left="8" w:right="61"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B1B2F50">
      <w:pPr>
        <w:spacing w:before="82" w:line="213" w:lineRule="auto"/>
        <w:ind w:left="496"/>
        <w:outlineLvl w:val="3"/>
        <w:rPr>
          <w:rFonts w:hint="eastAsia" w:ascii="宋体" w:hAnsi="宋体" w:eastAsia="宋体" w:cs="宋体"/>
          <w:b/>
          <w:bCs/>
          <w:color w:val="auto"/>
          <w:sz w:val="25"/>
          <w:szCs w:val="25"/>
          <w:highlight w:val="none"/>
        </w:rPr>
      </w:pPr>
      <w:r>
        <w:rPr>
          <w:rFonts w:hint="eastAsia" w:ascii="宋体" w:hAnsi="宋体" w:eastAsia="宋体" w:cs="宋体"/>
          <w:b/>
          <w:bCs/>
          <w:color w:val="auto"/>
          <w:spacing w:val="-3"/>
          <w:sz w:val="24"/>
          <w:szCs w:val="24"/>
          <w:highlight w:val="none"/>
        </w:rPr>
        <w:t>10.4  施工组织设计的编制要求</w:t>
      </w:r>
    </w:p>
    <w:p w14:paraId="17BD1E03">
      <w:pPr>
        <w:spacing w:before="151"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689C3E79">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2DC47AC1">
      <w:pPr>
        <w:spacing w:before="155"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3D59EE93">
      <w:pPr>
        <w:spacing w:before="152"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1648F126">
      <w:pPr>
        <w:spacing w:before="78"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14:paraId="2A7FD145">
      <w:pPr>
        <w:spacing w:before="153" w:line="299" w:lineRule="auto"/>
        <w:ind w:left="10" w:right="21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0414405A">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04BCFA9F">
      <w:pPr>
        <w:spacing w:before="15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76C10851">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0A01C952">
      <w:pPr>
        <w:spacing w:before="156"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1106CEB1">
      <w:pPr>
        <w:spacing w:before="150"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6F074A0D">
      <w:pPr>
        <w:spacing w:before="154" w:line="299" w:lineRule="auto"/>
        <w:ind w:left="9" w:right="21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E9AB7A">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2F149866">
      <w:pPr>
        <w:spacing w:before="156" w:line="279" w:lineRule="auto"/>
        <w:ind w:left="11" w:right="21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63CBA42D">
      <w:pPr>
        <w:spacing w:before="118" w:line="297" w:lineRule="auto"/>
        <w:ind w:left="11" w:right="31"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rPr>
        <w:t>；</w:t>
      </w:r>
    </w:p>
    <w:p w14:paraId="5A9ADDC5">
      <w:pPr>
        <w:spacing w:before="118" w:line="297" w:lineRule="auto"/>
        <w:ind w:left="11" w:right="3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1"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1"/>
      <w:r>
        <w:rPr>
          <w:rFonts w:hint="eastAsia" w:ascii="宋体" w:hAnsi="宋体" w:eastAsia="宋体" w:cs="宋体"/>
          <w:color w:val="auto"/>
          <w:spacing w:val="9"/>
          <w:sz w:val="24"/>
          <w:szCs w:val="24"/>
          <w:highlight w:val="none"/>
        </w:rPr>
        <w:t>）；</w:t>
      </w:r>
    </w:p>
    <w:p w14:paraId="78B5436D">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00699F00">
      <w:pPr>
        <w:spacing w:before="154" w:line="280" w:lineRule="auto"/>
        <w:ind w:right="211"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62A7E1B8">
      <w:pPr>
        <w:spacing w:before="152" w:line="279" w:lineRule="auto"/>
        <w:ind w:right="196"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w:t>
      </w:r>
      <w:r>
        <w:rPr>
          <w:rFonts w:hint="eastAsia" w:ascii="宋体" w:hAnsi="宋体" w:eastAsia="宋体" w:cs="宋体"/>
          <w:color w:val="auto"/>
          <w:spacing w:val="-3"/>
          <w:sz w:val="24"/>
          <w:szCs w:val="24"/>
          <w:highlight w:val="none"/>
          <w:lang w:val="en-US" w:eastAsia="zh-CN"/>
        </w:rPr>
        <w:t>2</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
          <w:sz w:val="24"/>
          <w:szCs w:val="24"/>
          <w:highlight w:val="none"/>
        </w:rPr>
        <w:t>项所有投标人均应提供。</w:t>
      </w:r>
    </w:p>
    <w:p w14:paraId="75D954DF">
      <w:pPr>
        <w:spacing w:before="157" w:line="279" w:lineRule="auto"/>
        <w:ind w:right="211"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 目规定的顺序整理、编排后，逐</w:t>
      </w:r>
      <w:r>
        <w:rPr>
          <w:rFonts w:hint="eastAsia" w:ascii="宋体" w:hAnsi="宋体" w:eastAsia="宋体" w:cs="宋体"/>
          <w:color w:val="auto"/>
          <w:spacing w:val="-1"/>
          <w:sz w:val="24"/>
          <w:szCs w:val="24"/>
          <w:highlight w:val="none"/>
        </w:rPr>
        <w:t>页（页码起始从封面开始）连续标记页码。</w:t>
      </w:r>
    </w:p>
    <w:p w14:paraId="006B850B">
      <w:pPr>
        <w:ind w:firstLine="472"/>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10.4.5</w:t>
      </w:r>
      <w:bookmarkStart w:id="52"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150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2"/>
      <w:bookmarkStart w:id="53" w:name="bookmark121"/>
      <w:bookmarkEnd w:id="53"/>
    </w:p>
    <w:p w14:paraId="24AF6BAC">
      <w:pPr>
        <w:keepNext w:val="0"/>
        <w:keepLines w:val="0"/>
        <w:pageBreakBefore w:val="0"/>
        <w:widowControl w:val="0"/>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54"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39D86431">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w:t>
      </w:r>
    </w:p>
    <w:p w14:paraId="42A52BE5">
      <w:pPr>
        <w:keepNext w:val="0"/>
        <w:keepLines w:val="0"/>
        <w:pageBreakBefore w:val="0"/>
        <w:widowControl w:val="0"/>
        <w:kinsoku/>
        <w:wordWrap w:val="0"/>
        <w:overflowPunct/>
        <w:topLinePunct w:val="0"/>
        <w:autoSpaceDE/>
        <w:autoSpaceDN/>
        <w:bidi w:val="0"/>
        <w:adjustRightInd/>
        <w:snapToGrid/>
        <w:spacing w:line="400" w:lineRule="exact"/>
        <w:ind w:left="479" w:leftChars="228" w:firstLine="0" w:firstLineChars="0"/>
        <w:textAlignment w:val="baseline"/>
        <w:rPr>
          <w:rFonts w:hint="default" w:ascii="宋体" w:hAnsi="宋体" w:eastAsia="宋体" w:cs="宋体"/>
          <w:snapToGrid w:val="0"/>
          <w:color w:val="auto"/>
          <w:kern w:val="0"/>
          <w:sz w:val="24"/>
          <w:szCs w:val="24"/>
          <w:highlight w:val="none"/>
          <w:lang w:val="en-US"/>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 封面（格式一）</w:t>
      </w:r>
      <w:r>
        <w:rPr>
          <w:rFonts w:hint="eastAsia" w:ascii="宋体" w:hAnsi="宋体" w:eastAsia="宋体" w:cs="宋体"/>
          <w:snapToGrid w:val="0"/>
          <w:color w:val="auto"/>
          <w:kern w:val="0"/>
          <w:sz w:val="24"/>
          <w:szCs w:val="24"/>
          <w:highlight w:val="none"/>
          <w:lang w:val="en-US" w:eastAsia="zh-CN"/>
        </w:rPr>
        <w:br w:type="textWrapping"/>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 目录</w:t>
      </w:r>
    </w:p>
    <w:p w14:paraId="06AC0FE8">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3) 定标因素评审资料（格式十七）</w:t>
      </w:r>
    </w:p>
    <w:p w14:paraId="747B148E">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2</w:t>
      </w:r>
      <w:r>
        <w:rPr>
          <w:rFonts w:hint="eastAsia" w:ascii="宋体" w:hAnsi="宋体" w:eastAsia="宋体" w:cs="宋体"/>
          <w:snapToGrid w:val="0"/>
          <w:color w:val="auto"/>
          <w:kern w:val="0"/>
          <w:sz w:val="24"/>
          <w:szCs w:val="24"/>
          <w:highlight w:val="none"/>
        </w:rPr>
        <w:t xml:space="preserve"> 本节第1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目中所列出的组成内容中，第（1）</w:t>
      </w:r>
      <w:r>
        <w:rPr>
          <w:rFonts w:hint="eastAsia" w:ascii="宋体" w:hAnsi="宋体" w:eastAsia="宋体" w:cs="宋体"/>
          <w:snapToGrid w:val="0"/>
          <w:color w:val="auto"/>
          <w:kern w:val="0"/>
          <w:sz w:val="24"/>
          <w:szCs w:val="24"/>
          <w:highlight w:val="none"/>
          <w:lang w:val="en-US" w:eastAsia="zh-CN"/>
        </w:rPr>
        <w:t>-（3）</w:t>
      </w:r>
      <w:r>
        <w:rPr>
          <w:rFonts w:hint="eastAsia" w:ascii="宋体" w:hAnsi="宋体" w:eastAsia="宋体" w:cs="宋体"/>
          <w:snapToGrid w:val="0"/>
          <w:color w:val="auto"/>
          <w:kern w:val="0"/>
          <w:sz w:val="24"/>
          <w:szCs w:val="24"/>
          <w:highlight w:val="none"/>
        </w:rPr>
        <w:t>项所有投标人均应提供。</w:t>
      </w:r>
    </w:p>
    <w:bookmarkEnd w:id="54"/>
    <w:p w14:paraId="38C8B072">
      <w:pPr>
        <w:spacing w:before="78" w:line="221" w:lineRule="auto"/>
        <w:ind w:left="496"/>
        <w:outlineLvl w:val="2"/>
        <w:rPr>
          <w:rFonts w:hint="eastAsia" w:ascii="宋体" w:hAnsi="宋体" w:eastAsia="宋体" w:cs="宋体"/>
          <w:color w:val="auto"/>
          <w:sz w:val="24"/>
          <w:szCs w:val="24"/>
          <w:highlight w:val="none"/>
        </w:rPr>
      </w:pPr>
      <w:bookmarkStart w:id="55" w:name="_Toc10599"/>
      <w:bookmarkStart w:id="56" w:name="_Toc21936"/>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5"/>
      <w:bookmarkEnd w:id="56"/>
    </w:p>
    <w:p w14:paraId="72CD6A5B">
      <w:pPr>
        <w:spacing w:before="112" w:line="295" w:lineRule="auto"/>
        <w:ind w:left="1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77028D55">
      <w:pPr>
        <w:spacing w:before="115" w:line="286" w:lineRule="auto"/>
        <w:ind w:left="10" w:right="81"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7B99AE63">
      <w:pPr>
        <w:numPr>
          <w:ilvl w:val="0"/>
          <w:numId w:val="0"/>
        </w:numPr>
        <w:spacing w:before="78" w:line="220" w:lineRule="auto"/>
        <w:ind w:firstLine="446" w:firstLineChars="200"/>
        <w:outlineLvl w:val="2"/>
        <w:rPr>
          <w:rFonts w:hint="eastAsia" w:ascii="宋体" w:hAnsi="宋体" w:eastAsia="宋体" w:cs="宋体"/>
          <w:b/>
          <w:bCs/>
          <w:color w:val="auto"/>
          <w:spacing w:val="-4"/>
          <w:sz w:val="24"/>
          <w:szCs w:val="24"/>
          <w:highlight w:val="none"/>
        </w:rPr>
      </w:pPr>
      <w:bookmarkStart w:id="57" w:name="_Toc5126"/>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8" w:name="_Toc29834"/>
      <w:r>
        <w:rPr>
          <w:rFonts w:hint="eastAsia" w:ascii="宋体" w:hAnsi="宋体" w:eastAsia="宋体" w:cs="宋体"/>
          <w:b/>
          <w:bCs/>
          <w:color w:val="auto"/>
          <w:spacing w:val="-4"/>
          <w:sz w:val="24"/>
          <w:szCs w:val="24"/>
          <w:highlight w:val="none"/>
        </w:rPr>
        <w:t>电子投标及投标解密失败及突发情况的补救方案</w:t>
      </w:r>
      <w:bookmarkEnd w:id="57"/>
      <w:bookmarkEnd w:id="58"/>
    </w:p>
    <w:p w14:paraId="31E42F74">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1227283F">
      <w:pPr>
        <w:spacing w:before="11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3DE0A96F">
      <w:pPr>
        <w:spacing w:before="115"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05D31897">
      <w:pPr>
        <w:spacing w:before="115" w:line="298"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9" w:name="bookmark122"/>
      <w:bookmarkEnd w:id="59"/>
      <w:r>
        <w:rPr>
          <w:rFonts w:hint="eastAsia" w:ascii="宋体" w:hAnsi="宋体" w:eastAsia="宋体" w:cs="宋体"/>
          <w:color w:val="auto"/>
          <w:spacing w:val="-1"/>
          <w:sz w:val="24"/>
          <w:szCs w:val="24"/>
          <w:highlight w:val="none"/>
        </w:rPr>
        <w:t>重新提交投标文件继续开标程序。</w:t>
      </w:r>
    </w:p>
    <w:p w14:paraId="688697B7">
      <w:pPr>
        <w:spacing w:before="114"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67C0AA88">
      <w:pPr>
        <w:spacing w:before="114" w:line="303"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4CA581B7">
      <w:pPr>
        <w:spacing w:before="69" w:line="324"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0D4B1117">
      <w:pPr>
        <w:spacing w:before="78" w:line="220" w:lineRule="auto"/>
        <w:ind w:left="496"/>
        <w:outlineLvl w:val="2"/>
        <w:rPr>
          <w:rFonts w:hint="eastAsia" w:ascii="宋体" w:hAnsi="宋体" w:eastAsia="宋体" w:cs="宋体"/>
          <w:color w:val="auto"/>
          <w:sz w:val="24"/>
          <w:szCs w:val="24"/>
          <w:highlight w:val="none"/>
        </w:rPr>
      </w:pPr>
      <w:bookmarkStart w:id="60" w:name="_Toc27195"/>
      <w:bookmarkStart w:id="61" w:name="_Toc3957"/>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60"/>
      <w:bookmarkEnd w:id="61"/>
    </w:p>
    <w:p w14:paraId="6AC9D5AE">
      <w:pPr>
        <w:spacing w:before="123" w:line="278" w:lineRule="auto"/>
        <w:ind w:left="13" w:right="81"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77138C74">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3DA66111">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4E749B93">
      <w:pPr>
        <w:spacing w:before="112" w:line="219" w:lineRule="auto"/>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0953908A">
      <w:pPr>
        <w:spacing w:before="116"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4C1A04F2">
      <w:pPr>
        <w:spacing w:before="115" w:line="219"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36EA809">
      <w:pPr>
        <w:spacing w:before="114"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0AFE6670">
      <w:pPr>
        <w:spacing w:before="115"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664AC496">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1F03B17B">
      <w:pPr>
        <w:spacing w:before="113" w:line="279" w:lineRule="auto"/>
        <w:ind w:left="9" w:right="24"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48545F1">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5EEAEF00">
      <w:pPr>
        <w:spacing w:before="145" w:line="221" w:lineRule="auto"/>
        <w:ind w:left="496"/>
        <w:outlineLvl w:val="2"/>
        <w:rPr>
          <w:rFonts w:hint="eastAsia" w:ascii="宋体" w:hAnsi="宋体" w:eastAsia="宋体" w:cs="宋体"/>
          <w:color w:val="auto"/>
          <w:sz w:val="24"/>
          <w:szCs w:val="24"/>
          <w:highlight w:val="none"/>
        </w:rPr>
      </w:pPr>
      <w:bookmarkStart w:id="62" w:name="_Toc22047"/>
      <w:bookmarkStart w:id="63" w:name="_Toc8365"/>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2"/>
      <w:bookmarkEnd w:id="63"/>
    </w:p>
    <w:p w14:paraId="0B0B4CC1">
      <w:pPr>
        <w:spacing w:before="155" w:line="329" w:lineRule="auto"/>
        <w:ind w:left="10" w:right="81"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4" w:name="bookmark123"/>
      <w:bookmarkEnd w:id="64"/>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406F8BE">
      <w:pPr>
        <w:spacing w:before="156"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350BB8FC">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4F0435AE">
      <w:pPr>
        <w:spacing w:before="159" w:line="319" w:lineRule="auto"/>
        <w:ind w:left="10" w:right="8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01A13E25">
      <w:pPr>
        <w:spacing w:before="152" w:line="221"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3F266000">
      <w:pPr>
        <w:spacing w:before="42" w:line="219" w:lineRule="auto"/>
        <w:ind w:left="501"/>
        <w:outlineLvl w:val="9"/>
        <w:rPr>
          <w:rFonts w:hint="eastAsia" w:ascii="宋体" w:hAnsi="宋体" w:eastAsia="宋体" w:cs="宋体"/>
          <w:color w:val="auto"/>
          <w:sz w:val="24"/>
          <w:szCs w:val="24"/>
          <w:highlight w:val="none"/>
        </w:rPr>
      </w:pPr>
      <w:bookmarkStart w:id="65" w:name="_Toc15587"/>
      <w:bookmarkStart w:id="66" w:name="_Toc8314"/>
      <w:bookmarkStart w:id="67" w:name="_Toc10291"/>
      <w:bookmarkStart w:id="68" w:name="_Toc10685"/>
      <w:r>
        <w:rPr>
          <w:rFonts w:hint="eastAsia" w:ascii="宋体" w:hAnsi="宋体" w:eastAsia="宋体" w:cs="宋体"/>
          <w:color w:val="auto"/>
          <w:spacing w:val="-1"/>
          <w:sz w:val="24"/>
          <w:szCs w:val="24"/>
          <w:highlight w:val="none"/>
        </w:rPr>
        <w:t>（1）主持人（招标人代表或招标人授权的招标代理机构人员）宣读开标纪律。</w:t>
      </w:r>
      <w:bookmarkEnd w:id="65"/>
      <w:bookmarkEnd w:id="66"/>
      <w:bookmarkEnd w:id="67"/>
      <w:bookmarkEnd w:id="68"/>
    </w:p>
    <w:p w14:paraId="3C99B892">
      <w:pPr>
        <w:spacing w:before="181" w:line="219" w:lineRule="auto"/>
        <w:ind w:left="501"/>
        <w:outlineLvl w:val="9"/>
        <w:rPr>
          <w:rFonts w:hint="eastAsia" w:ascii="宋体" w:hAnsi="宋体" w:eastAsia="宋体" w:cs="宋体"/>
          <w:color w:val="auto"/>
          <w:sz w:val="24"/>
          <w:szCs w:val="24"/>
          <w:highlight w:val="none"/>
        </w:rPr>
      </w:pPr>
      <w:bookmarkStart w:id="69" w:name="_Toc30853"/>
      <w:bookmarkStart w:id="70" w:name="_Toc2011"/>
      <w:bookmarkStart w:id="71" w:name="_Toc20238"/>
      <w:bookmarkStart w:id="72" w:name="_Toc16292"/>
      <w:r>
        <w:rPr>
          <w:rFonts w:hint="eastAsia" w:ascii="宋体" w:hAnsi="宋体" w:eastAsia="宋体" w:cs="宋体"/>
          <w:color w:val="auto"/>
          <w:spacing w:val="-1"/>
          <w:sz w:val="24"/>
          <w:szCs w:val="24"/>
          <w:highlight w:val="none"/>
        </w:rPr>
        <w:t>（2）主持人宣布唱标人、记录人、见证人、监督人等有关人员姓名。</w:t>
      </w:r>
      <w:bookmarkEnd w:id="69"/>
      <w:bookmarkEnd w:id="70"/>
      <w:bookmarkEnd w:id="71"/>
      <w:bookmarkEnd w:id="72"/>
    </w:p>
    <w:p w14:paraId="19271947">
      <w:pPr>
        <w:spacing w:before="183" w:line="219" w:lineRule="auto"/>
        <w:ind w:left="501"/>
        <w:outlineLvl w:val="9"/>
        <w:rPr>
          <w:rFonts w:hint="eastAsia" w:ascii="宋体" w:hAnsi="宋体" w:eastAsia="宋体" w:cs="宋体"/>
          <w:color w:val="auto"/>
          <w:sz w:val="24"/>
          <w:szCs w:val="24"/>
          <w:highlight w:val="none"/>
        </w:rPr>
      </w:pPr>
      <w:bookmarkStart w:id="73" w:name="_Toc17462"/>
      <w:bookmarkStart w:id="74" w:name="_Toc26494"/>
      <w:bookmarkStart w:id="75" w:name="_Toc31716"/>
      <w:bookmarkStart w:id="76" w:name="_Toc1974"/>
      <w:r>
        <w:rPr>
          <w:rFonts w:hint="eastAsia" w:ascii="宋体" w:hAnsi="宋体" w:eastAsia="宋体" w:cs="宋体"/>
          <w:color w:val="auto"/>
          <w:spacing w:val="-1"/>
          <w:sz w:val="24"/>
          <w:szCs w:val="24"/>
          <w:highlight w:val="none"/>
        </w:rPr>
        <w:t>（3）唱标人公布在投标截止时间前进行投标文件的投标人数量和名称</w:t>
      </w:r>
      <w:bookmarkEnd w:id="73"/>
      <w:bookmarkEnd w:id="74"/>
      <w:bookmarkEnd w:id="75"/>
      <w:bookmarkEnd w:id="76"/>
    </w:p>
    <w:p w14:paraId="4195A8F3">
      <w:pPr>
        <w:spacing w:before="181" w:line="219" w:lineRule="auto"/>
        <w:ind w:left="501"/>
        <w:outlineLvl w:val="9"/>
        <w:rPr>
          <w:rFonts w:hint="eastAsia" w:ascii="宋体" w:hAnsi="宋体" w:eastAsia="宋体" w:cs="宋体"/>
          <w:color w:val="auto"/>
          <w:sz w:val="24"/>
          <w:szCs w:val="24"/>
          <w:highlight w:val="none"/>
        </w:rPr>
      </w:pPr>
      <w:bookmarkStart w:id="77" w:name="_Toc15860"/>
      <w:bookmarkStart w:id="78" w:name="_Toc20559"/>
      <w:bookmarkStart w:id="79" w:name="_Toc8179"/>
      <w:bookmarkStart w:id="80" w:name="_Toc27967"/>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77"/>
      <w:bookmarkEnd w:id="78"/>
      <w:bookmarkEnd w:id="79"/>
      <w:bookmarkEnd w:id="80"/>
    </w:p>
    <w:p w14:paraId="4C6D83AB">
      <w:pPr>
        <w:spacing w:before="183" w:line="220" w:lineRule="auto"/>
        <w:ind w:left="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建设工程交易系统自动生成《投标保证缴纳情况表》和《开标一览表》。</w:t>
      </w:r>
    </w:p>
    <w:p w14:paraId="0A1A93F2">
      <w:pPr>
        <w:spacing w:before="182" w:line="360" w:lineRule="auto"/>
        <w:ind w:firstLine="466" w:firstLineChars="200"/>
        <w:outlineLvl w:val="9"/>
        <w:rPr>
          <w:rFonts w:hint="eastAsia" w:ascii="宋体" w:hAnsi="宋体" w:eastAsia="宋体" w:cs="宋体"/>
          <w:color w:val="auto"/>
          <w:sz w:val="24"/>
          <w:szCs w:val="24"/>
          <w:highlight w:val="none"/>
        </w:rPr>
      </w:pPr>
      <w:bookmarkStart w:id="81" w:name="_Toc28266"/>
      <w:bookmarkStart w:id="82" w:name="_Toc2199"/>
      <w:bookmarkStart w:id="83" w:name="_Toc28812"/>
      <w:bookmarkStart w:id="84"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1"/>
      <w:bookmarkEnd w:id="82"/>
      <w:bookmarkEnd w:id="83"/>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4"/>
    </w:p>
    <w:p w14:paraId="230C0802">
      <w:pPr>
        <w:spacing w:before="143" w:line="299"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3F93A9EF">
      <w:pPr>
        <w:spacing w:before="155" w:line="360"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59A5BE61">
      <w:pPr>
        <w:spacing w:before="78" w:line="360" w:lineRule="auto"/>
        <w:ind w:left="496"/>
        <w:outlineLvl w:val="2"/>
        <w:rPr>
          <w:rFonts w:hint="eastAsia" w:ascii="宋体" w:hAnsi="宋体" w:eastAsia="宋体" w:cs="宋体"/>
          <w:color w:val="auto"/>
          <w:highlight w:val="none"/>
        </w:rPr>
      </w:pPr>
      <w:bookmarkStart w:id="85" w:name="_Toc961"/>
      <w:bookmarkStart w:id="86" w:name="_Toc554"/>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5"/>
      <w:bookmarkEnd w:id="86"/>
    </w:p>
    <w:p w14:paraId="56C52FCC">
      <w:pPr>
        <w:keepNext w:val="0"/>
        <w:keepLines w:val="0"/>
        <w:pageBreakBefore w:val="0"/>
        <w:widowControl w:val="0"/>
        <w:kinsoku/>
        <w:wordWrap w:val="0"/>
        <w:overflowPunct/>
        <w:topLinePunct w:val="0"/>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auto"/>
          <w:kern w:val="0"/>
          <w:sz w:val="24"/>
          <w:szCs w:val="24"/>
          <w:highlight w:val="none"/>
        </w:rPr>
      </w:pPr>
      <w:bookmarkStart w:id="87" w:name="bookmark124"/>
      <w:bookmarkEnd w:id="87"/>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排序），并向招标人提交由全体评标委员会成员签字的评标报告。</w:t>
      </w:r>
    </w:p>
    <w:p w14:paraId="3F658121">
      <w:pPr>
        <w:spacing w:before="38"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4D20598C">
      <w:pPr>
        <w:wordWrap w:val="0"/>
        <w:adjustRightInd w:val="0"/>
        <w:snapToGrid w:val="0"/>
        <w:spacing w:line="360" w:lineRule="auto"/>
        <w:ind w:firstLine="478"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0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u w:val="single"/>
        </w:rPr>
        <w:t>韶关区域</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中随机抽取，其中技术类专家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7A55258E">
      <w:pPr>
        <w:wordWrap w:val="0"/>
        <w:adjustRightInd w:val="0"/>
        <w:snapToGrid w:val="0"/>
        <w:spacing w:line="360" w:lineRule="auto"/>
        <w:ind w:firstLine="474"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2"/>
          <w:sz w:val="24"/>
          <w:szCs w:val="24"/>
          <w:highlight w:val="none"/>
        </w:rPr>
        <w:t>15.1.2</w:t>
      </w: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kern w:val="0"/>
          <w:sz w:val="24"/>
          <w:highlight w:val="none"/>
          <w:lang w:eastAsia="zh-CN"/>
        </w:rPr>
        <w:t>评标专家</w:t>
      </w:r>
      <w:r>
        <w:rPr>
          <w:rFonts w:hint="eastAsia" w:ascii="宋体" w:hAnsi="宋体" w:eastAsia="宋体" w:cs="宋体"/>
          <w:snapToGrid w:val="0"/>
          <w:color w:val="auto"/>
          <w:kern w:val="0"/>
          <w:sz w:val="24"/>
          <w:highlight w:val="none"/>
        </w:rPr>
        <w:t>应按时参加评标活动，自觉遵守工作纪律和服从现场管理</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采用远程异地评标方式评标的</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主场、副场各自负责本场所</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成员推举产生</w:t>
      </w:r>
      <w:r>
        <w:rPr>
          <w:rFonts w:hint="eastAsia" w:ascii="宋体" w:hAnsi="宋体" w:eastAsia="宋体" w:cs="宋体"/>
          <w:snapToGrid w:val="0"/>
          <w:color w:val="auto"/>
          <w:kern w:val="0"/>
          <w:sz w:val="24"/>
          <w:highlight w:val="none"/>
          <w:lang w:eastAsia="zh-CN"/>
        </w:rPr>
        <w:t>的评标委员会组长</w:t>
      </w:r>
      <w:r>
        <w:rPr>
          <w:rFonts w:hint="eastAsia" w:ascii="宋体" w:hAnsi="宋体" w:eastAsia="宋体" w:cs="宋体"/>
          <w:snapToGrid w:val="0"/>
          <w:color w:val="auto"/>
          <w:kern w:val="0"/>
          <w:sz w:val="24"/>
          <w:highlight w:val="none"/>
        </w:rPr>
        <w:t>组织</w:t>
      </w:r>
      <w:r>
        <w:rPr>
          <w:rFonts w:hint="eastAsia" w:ascii="宋体" w:hAnsi="宋体" w:eastAsia="宋体" w:cs="宋体"/>
          <w:snapToGrid w:val="0"/>
          <w:color w:val="auto"/>
          <w:kern w:val="0"/>
          <w:sz w:val="24"/>
          <w:highlight w:val="none"/>
          <w:lang w:eastAsia="zh-CN"/>
        </w:rPr>
        <w:t>各</w:t>
      </w:r>
      <w:r>
        <w:rPr>
          <w:rFonts w:hint="eastAsia" w:ascii="宋体" w:hAnsi="宋体" w:eastAsia="宋体" w:cs="宋体"/>
          <w:snapToGrid w:val="0"/>
          <w:color w:val="auto"/>
          <w:kern w:val="0"/>
          <w:sz w:val="24"/>
          <w:highlight w:val="none"/>
        </w:rPr>
        <w:t>成员协商讨论。在评标过程中需要进行讨论或者通过实名投票方式表决意见的，应当通过视频会议系统进行，并做好相关记录。</w:t>
      </w:r>
    </w:p>
    <w:p w14:paraId="4E37D436">
      <w:pPr>
        <w:keepNext w:val="0"/>
        <w:keepLines w:val="0"/>
        <w:pageBreakBefore w:val="0"/>
        <w:shd w:val="clear" w:color="auto" w:fill="auto"/>
        <w:kinsoku/>
        <w:wordWrap/>
        <w:overflowPunct/>
        <w:topLinePunct w:val="0"/>
        <w:bidi w:val="0"/>
        <w:adjustRightInd/>
        <w:snapToGrid/>
        <w:spacing w:line="360" w:lineRule="auto"/>
        <w:ind w:left="0" w:leftChars="0" w:firstLine="474"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b/>
          <w:bCs/>
          <w:color w:val="auto"/>
          <w:sz w:val="24"/>
          <w:highlight w:val="none"/>
          <w:lang w:val="en-US" w:eastAsia="zh-CN"/>
        </w:rPr>
        <w:t>15.1.3</w:t>
      </w:r>
      <w:r>
        <w:rPr>
          <w:rFonts w:hint="eastAsia" w:ascii="宋体" w:hAnsi="宋体" w:eastAsia="宋体" w:cs="宋体"/>
          <w:color w:val="auto"/>
          <w:sz w:val="24"/>
          <w:highlight w:val="none"/>
          <w:lang w:eastAsia="zh-CN"/>
        </w:rPr>
        <w:t>评标委员会应</w:t>
      </w:r>
      <w:r>
        <w:rPr>
          <w:rFonts w:hint="eastAsia" w:ascii="宋体" w:hAnsi="宋体" w:eastAsia="宋体" w:cs="宋体"/>
          <w:color w:val="auto"/>
          <w:sz w:val="24"/>
          <w:highlight w:val="none"/>
        </w:rPr>
        <w:t>严格按照招标文件的评标办法规定的评标程序、评标标准和方法进行评标，招标文件没有规定的评标标准和方法不得作为评标的依据。</w:t>
      </w:r>
      <w:r>
        <w:rPr>
          <w:rFonts w:hint="eastAsia" w:ascii="宋体" w:hAnsi="宋体" w:eastAsia="宋体" w:cs="宋体"/>
          <w:color w:val="auto"/>
          <w:sz w:val="24"/>
          <w:highlight w:val="none"/>
          <w:lang w:eastAsia="zh-CN"/>
        </w:rPr>
        <w:t>并且</w:t>
      </w:r>
      <w:r>
        <w:rPr>
          <w:rFonts w:hint="eastAsia" w:ascii="宋体" w:hAnsi="宋体" w:eastAsia="宋体" w:cs="宋体"/>
          <w:color w:val="auto"/>
          <w:sz w:val="24"/>
          <w:highlight w:val="none"/>
        </w:rPr>
        <w:t>自觉接受有关行政部门监督，协助配合有关异议和投诉处理。采用远程异地评标方式评标的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主场、副场评标专家在评标过程中具有同等权利和义务</w:t>
      </w:r>
    </w:p>
    <w:p w14:paraId="4AC55AA3">
      <w:pPr>
        <w:keepNext w:val="0"/>
        <w:keepLines w:val="0"/>
        <w:pageBreakBefore w:val="0"/>
        <w:shd w:val="clear" w:color="auto" w:fill="auto"/>
        <w:kinsoku/>
        <w:wordWrap/>
        <w:overflowPunct/>
        <w:topLinePunct w:val="0"/>
        <w:bidi w:val="0"/>
        <w:adjustRightInd/>
        <w:snapToGrid/>
        <w:spacing w:line="360" w:lineRule="auto"/>
        <w:ind w:left="0" w:lef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15.1.4</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应切实履行评标职责，对同一个问题不一致的，按程序要求记录。</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实行少数服从多数的原则，以记名投票方式表决，评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结果经</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全体成员过半数通过有效。</w:t>
      </w:r>
    </w:p>
    <w:p w14:paraId="3E5FD587">
      <w:pPr>
        <w:wordWrap w:val="0"/>
        <w:adjustRightInd w:val="0"/>
        <w:snapToGrid w:val="0"/>
        <w:spacing w:line="360" w:lineRule="auto"/>
        <w:ind w:firstLine="560"/>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15.1.5</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成员应当独立、客观、公正地对投标文件提出评审意见，对评审结果签字确认，并对所提出的评审意见承担个人责任。禁止</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成员将个人意见强加给他人，影响正常评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秩序和妨碍评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结论的公正性。对评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结果有不同意见的</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成员应当以书面形式说明其不同意见和理由，</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应当注明该不同意见。</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成员拒绝在</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上签字又不书面说明其不同意见和理由的，视为同意评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w:t>
      </w:r>
    </w:p>
    <w:p w14:paraId="735AE7C4">
      <w:pPr>
        <w:wordWrap w:val="0"/>
        <w:adjustRightInd w:val="0"/>
        <w:snapToGrid w:val="0"/>
        <w:spacing w:line="360" w:lineRule="auto"/>
        <w:ind w:firstLine="560"/>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15.2</w:t>
      </w:r>
      <w:r>
        <w:rPr>
          <w:rFonts w:hint="eastAsia" w:ascii="宋体" w:hAnsi="宋体" w:eastAsia="宋体" w:cs="宋体"/>
          <w:b/>
          <w:color w:val="auto"/>
          <w:sz w:val="24"/>
          <w:highlight w:val="none"/>
        </w:rPr>
        <w:t>评标过程的回避</w:t>
      </w:r>
    </w:p>
    <w:p w14:paraId="43C213A6">
      <w:pPr>
        <w:spacing w:before="32" w:line="280" w:lineRule="auto"/>
        <w:ind w:left="13" w:right="7" w:firstLine="5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15.2.1</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2DA95EDB">
      <w:pPr>
        <w:spacing w:before="154"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2649253E">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40156D8D">
      <w:pPr>
        <w:spacing w:before="155" w:line="221"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C5C96B2">
      <w:pPr>
        <w:spacing w:before="153" w:line="279" w:lineRule="auto"/>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39BF5806">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15.2.2</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sz w:val="24"/>
          <w:highlight w:val="none"/>
        </w:rPr>
        <w:t>专家不主动提出回避的，一经发现，应立即终止其评标活动，已完成评标活动的，其评标结果无效。</w:t>
      </w:r>
    </w:p>
    <w:p w14:paraId="56AD1F2C">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cs="宋体"/>
          <w:b/>
          <w:bCs/>
          <w:snapToGrid w:val="0"/>
          <w:color w:val="auto"/>
          <w:kern w:val="0"/>
          <w:sz w:val="24"/>
          <w:highlight w:val="none"/>
          <w:lang w:val="en-US" w:eastAsia="zh-CN"/>
        </w:rPr>
        <w:t>15.3</w:t>
      </w:r>
      <w:r>
        <w:rPr>
          <w:rFonts w:hint="eastAsia" w:ascii="宋体" w:hAnsi="宋体" w:cs="宋体"/>
          <w:snapToGrid w:val="0"/>
          <w:color w:val="auto"/>
          <w:kern w:val="0"/>
          <w:sz w:val="24"/>
          <w:highlight w:val="none"/>
        </w:rPr>
        <w:t xml:space="preserve"> </w:t>
      </w:r>
      <w:r>
        <w:rPr>
          <w:rFonts w:hint="eastAsia" w:ascii="宋体" w:hAnsi="宋体" w:eastAsia="宋体" w:cs="宋体"/>
          <w:b/>
          <w:color w:val="auto"/>
          <w:sz w:val="24"/>
          <w:highlight w:val="none"/>
        </w:rPr>
        <w:t>评标过程的保密</w:t>
      </w:r>
    </w:p>
    <w:p w14:paraId="0DAD6E60">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15.3.1</w:t>
      </w:r>
      <w:r>
        <w:rPr>
          <w:rFonts w:hint="eastAsia" w:ascii="宋体" w:hAnsi="宋体" w:eastAsia="宋体" w:cs="宋体"/>
          <w:color w:val="auto"/>
          <w:kern w:val="0"/>
          <w:sz w:val="24"/>
          <w:highlight w:val="none"/>
        </w:rPr>
        <w:t xml:space="preserve"> 开标后，直至授予中标人合同为止，凡属于对投标人文件的审查、澄清、评价和比较有关的资料及与中标候选人的推荐情况，与评标有关的其他任何情况均应严格保密。</w:t>
      </w:r>
    </w:p>
    <w:p w14:paraId="25CD2F3E">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15.3.2</w:t>
      </w:r>
      <w:r>
        <w:rPr>
          <w:rFonts w:hint="eastAsia" w:ascii="宋体" w:hAnsi="宋体" w:eastAsia="宋体" w:cs="宋体"/>
          <w:color w:val="auto"/>
          <w:kern w:val="0"/>
          <w:sz w:val="24"/>
          <w:highlight w:val="none"/>
        </w:rPr>
        <w:t xml:space="preserve"> 在投标文件的评审和比较、中标候选人推荐以及授予合同的过程中，投标人向招标人和评标委员会施加影响的任何行为，都将会导致其投标被拒绝。</w:t>
      </w:r>
    </w:p>
    <w:p w14:paraId="4CFA9F5F">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15.3.3</w:t>
      </w:r>
      <w:r>
        <w:rPr>
          <w:rFonts w:hint="eastAsia" w:ascii="宋体" w:hAnsi="宋体" w:eastAsia="宋体" w:cs="宋体"/>
          <w:color w:val="auto"/>
          <w:kern w:val="0"/>
          <w:sz w:val="24"/>
          <w:highlight w:val="none"/>
        </w:rPr>
        <w:t>中标人确定后，招标人不对未中标人就评标过程以及未能中标原因作出任何解释。未中标人不得向评标委员会组成人员或其他有关人员索问评标过程的情况和材料。</w:t>
      </w:r>
    </w:p>
    <w:p w14:paraId="1423E687">
      <w:pPr>
        <w:spacing w:before="154" w:line="279" w:lineRule="auto"/>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lang w:val="en-US" w:eastAsia="zh-CN"/>
        </w:rPr>
        <w:t>15.3.4</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3B4CC66">
      <w:pPr>
        <w:spacing w:before="157" w:line="298" w:lineRule="auto"/>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15.</w:t>
      </w:r>
      <w:r>
        <w:rPr>
          <w:rFonts w:hint="eastAsia" w:ascii="宋体" w:hAnsi="宋体" w:eastAsia="宋体" w:cs="宋体"/>
          <w:b/>
          <w:bCs/>
          <w:color w:val="auto"/>
          <w:spacing w:val="-1"/>
          <w:sz w:val="24"/>
          <w:szCs w:val="24"/>
          <w:highlight w:val="none"/>
          <w:lang w:val="en-US" w:eastAsia="zh-CN"/>
        </w:rPr>
        <w:t>3.5</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2B900928">
      <w:pPr>
        <w:spacing w:before="156" w:line="309" w:lineRule="auto"/>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3.6</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628412ED">
      <w:pPr>
        <w:spacing w:before="79" w:line="221"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3</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评标方法</w:t>
      </w:r>
    </w:p>
    <w:p w14:paraId="75DB58B2">
      <w:pPr>
        <w:spacing w:before="78" w:line="326" w:lineRule="auto"/>
        <w:ind w:left="231" w:right="181" w:firstLine="560"/>
        <w:rPr>
          <w:rFonts w:hint="eastAsia" w:ascii="宋体" w:hAnsi="宋体" w:eastAsia="宋体" w:cs="宋体"/>
          <w:color w:val="auto"/>
          <w:highlight w:val="none"/>
        </w:rPr>
      </w:pPr>
      <w:bookmarkStart w:id="88" w:name="bookmark125"/>
      <w:bookmarkEnd w:id="88"/>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lang w:eastAsia="zh-CN"/>
        </w:rPr>
        <w:t xml:space="preserve"> 综合评分法</w:t>
      </w:r>
      <w:r>
        <w:rPr>
          <w:rFonts w:hint="eastAsia" w:ascii="宋体" w:hAnsi="宋体" w:eastAsia="宋体" w:cs="宋体"/>
          <w:b/>
          <w:bCs/>
          <w:color w:val="auto"/>
          <w:spacing w:val="-4"/>
          <w:sz w:val="24"/>
          <w:szCs w:val="24"/>
          <w:highlight w:val="none"/>
          <w:u w:val="single"/>
        </w:rPr>
        <w:t xml:space="preserve"> </w:t>
      </w:r>
      <w:r>
        <w:rPr>
          <w:rFonts w:hint="eastAsia" w:ascii="宋体" w:hAnsi="宋体" w:eastAsia="宋体" w:cs="宋体"/>
          <w:color w:val="auto"/>
          <w:spacing w:val="-1"/>
          <w:sz w:val="24"/>
          <w:szCs w:val="24"/>
          <w:highlight w:val="none"/>
        </w:rPr>
        <w:t>进行评标。</w:t>
      </w:r>
    </w:p>
    <w:p w14:paraId="4278404C">
      <w:pPr>
        <w:spacing w:before="154" w:line="269"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4</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评审范围：评标委员会应对所有投标人的投标文件进行评审。</w:t>
      </w:r>
    </w:p>
    <w:p w14:paraId="46E173E1">
      <w:pPr>
        <w:spacing w:before="153" w:line="22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初步评审阶段</w:t>
      </w:r>
    </w:p>
    <w:p w14:paraId="59A05B8B">
      <w:pPr>
        <w:spacing w:before="153" w:line="22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238061EC">
      <w:pPr>
        <w:spacing w:before="155" w:line="279" w:lineRule="auto"/>
        <w:ind w:left="719" w:right="6303" w:hanging="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资格评审环</w:t>
      </w:r>
      <w:r>
        <w:rPr>
          <w:rFonts w:hint="eastAsia" w:ascii="宋体" w:hAnsi="宋体" w:eastAsia="宋体" w:cs="宋体"/>
          <w:color w:val="auto"/>
          <w:spacing w:val="-3"/>
          <w:sz w:val="24"/>
          <w:szCs w:val="24"/>
          <w:highlight w:val="none"/>
        </w:rPr>
        <w:t>节</w:t>
      </w:r>
      <w:r>
        <w:rPr>
          <w:rFonts w:hint="eastAsia" w:ascii="宋体" w:hAnsi="宋体" w:eastAsia="宋体" w:cs="宋体"/>
          <w:color w:val="auto"/>
          <w:spacing w:val="1"/>
          <w:sz w:val="24"/>
          <w:szCs w:val="24"/>
          <w:highlight w:val="none"/>
        </w:rPr>
        <w:t xml:space="preserve"> </w:t>
      </w:r>
    </w:p>
    <w:p w14:paraId="02C4BFC7">
      <w:pPr>
        <w:spacing w:before="155" w:line="279" w:lineRule="auto"/>
        <w:ind w:left="719" w:right="6303" w:hanging="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资格评审事项包括：</w:t>
      </w:r>
    </w:p>
    <w:p w14:paraId="09F27C25">
      <w:pPr>
        <w:keepNext w:val="0"/>
        <w:keepLines w:val="0"/>
        <w:pageBreakBefore w:val="0"/>
        <w:widowControl/>
        <w:kinsoku w:val="0"/>
        <w:wordWrap/>
        <w:overflowPunct/>
        <w:topLinePunct w:val="0"/>
        <w:autoSpaceDE w:val="0"/>
        <w:autoSpaceDN w:val="0"/>
        <w:bidi w:val="0"/>
        <w:adjustRightInd w:val="0"/>
        <w:snapToGrid w:val="0"/>
        <w:spacing w:line="360" w:lineRule="auto"/>
        <w:ind w:left="232" w:firstLine="488"/>
        <w:textAlignment w:val="baseline"/>
        <w:rPr>
          <w:rFonts w:hint="eastAsia" w:asciiTheme="minorEastAsia" w:hAnsiTheme="minorEastAsia" w:eastAsiaTheme="minorEastAsia" w:cstheme="minorEastAsia"/>
          <w:color w:val="auto"/>
          <w:spacing w:val="-4"/>
          <w:sz w:val="24"/>
          <w:szCs w:val="24"/>
          <w:highlight w:val="none"/>
        </w:rPr>
      </w:pPr>
      <w:bookmarkStart w:id="89" w:name="_Toc22778"/>
      <w:r>
        <w:rPr>
          <w:rFonts w:hint="eastAsia" w:asciiTheme="minorEastAsia" w:hAnsiTheme="minorEastAsia" w:eastAsiaTheme="minorEastAsia" w:cstheme="minorEastAsia"/>
          <w:color w:val="auto"/>
          <w:spacing w:val="-4"/>
          <w:sz w:val="24"/>
          <w:szCs w:val="24"/>
          <w:highlight w:val="none"/>
        </w:rPr>
        <w:t>（1）投标人是否符合本章第三节第2.4条“禁止投标条款”规定。</w:t>
      </w:r>
    </w:p>
    <w:p w14:paraId="6344994B">
      <w:pPr>
        <w:keepNext w:val="0"/>
        <w:keepLines w:val="0"/>
        <w:pageBreakBefore w:val="0"/>
        <w:widowControl/>
        <w:kinsoku w:val="0"/>
        <w:overflowPunct/>
        <w:topLinePunct w:val="0"/>
        <w:autoSpaceDE w:val="0"/>
        <w:autoSpaceDN w:val="0"/>
        <w:bidi w:val="0"/>
        <w:adjustRightInd w:val="0"/>
        <w:snapToGrid w:val="0"/>
        <w:spacing w:line="360" w:lineRule="auto"/>
        <w:ind w:left="72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（2）投标人名称是否与营业执照、资质证书、安全生产许可证一致。</w:t>
      </w:r>
    </w:p>
    <w:p w14:paraId="5C702244">
      <w:pPr>
        <w:keepNext w:val="0"/>
        <w:keepLines w:val="0"/>
        <w:pageBreakBefore w:val="0"/>
        <w:widowControl/>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（3）投标人的资质是否符合招标文件规定；其营业执照、资质证书、安全生产许可证（含实时网页查询页，可参考网址 https://zlaq.mohurd.gov.cn/fwmh/bjxcjgl/fwm</w:t>
      </w:r>
      <w:bookmarkStart w:id="90" w:name="bookmark126"/>
      <w:bookmarkEnd w:id="90"/>
      <w:r>
        <w:rPr>
          <w:rFonts w:hint="eastAsia" w:asciiTheme="minorEastAsia" w:hAnsiTheme="minorEastAsia" w:eastAsiaTheme="minorEastAsia" w:cstheme="minorEastAsia"/>
          <w:color w:val="auto"/>
          <w:spacing w:val="2"/>
          <w:sz w:val="24"/>
          <w:szCs w:val="24"/>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4"/>
          <w:szCs w:val="24"/>
          <w:highlight w:val="none"/>
        </w:rPr>
        <w:t>。</w:t>
      </w:r>
    </w:p>
    <w:p w14:paraId="1552FA5F">
      <w:pPr>
        <w:keepNext w:val="0"/>
        <w:keepLines w:val="0"/>
        <w:pageBreakBefore w:val="0"/>
        <w:widowControl/>
        <w:kinsoku w:val="0"/>
        <w:overflowPunct/>
        <w:topLinePunct w:val="0"/>
        <w:autoSpaceDE w:val="0"/>
        <w:autoSpaceDN w:val="0"/>
        <w:bidi w:val="0"/>
        <w:adjustRightInd w:val="0"/>
        <w:snapToGrid w:val="0"/>
        <w:spacing w:line="360" w:lineRule="auto"/>
        <w:ind w:left="50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（4）《项目经理简历表》中拟派项目经理是否与《开标一览表》一致。</w:t>
      </w:r>
    </w:p>
    <w:p w14:paraId="013A9DD7">
      <w:pPr>
        <w:keepNext w:val="0"/>
        <w:keepLines w:val="0"/>
        <w:pageBreakBefore w:val="0"/>
        <w:widowControl/>
        <w:kinsoku w:val="0"/>
        <w:overflowPunct/>
        <w:topLinePunct w:val="0"/>
        <w:autoSpaceDE w:val="0"/>
        <w:autoSpaceDN w:val="0"/>
        <w:bidi w:val="0"/>
        <w:adjustRightInd w:val="0"/>
        <w:snapToGrid w:val="0"/>
        <w:spacing w:line="360" w:lineRule="auto"/>
        <w:ind w:left="11" w:firstLine="489"/>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2"/>
          <w:sz w:val="24"/>
          <w:szCs w:val="24"/>
          <w:highlight w:val="none"/>
        </w:rPr>
        <w:t>（5）拟派项目经理、项目技术负责人、专职安全员的条件</w:t>
      </w:r>
      <w:r>
        <w:rPr>
          <w:rFonts w:hint="eastAsia" w:asciiTheme="minorEastAsia" w:hAnsiTheme="minorEastAsia" w:eastAsiaTheme="minorEastAsia" w:cstheme="minorEastAsia"/>
          <w:color w:val="auto"/>
          <w:spacing w:val="1"/>
          <w:sz w:val="24"/>
          <w:szCs w:val="24"/>
          <w:highlight w:val="none"/>
        </w:rPr>
        <w:t>是否符合招标文件规</w:t>
      </w:r>
      <w:r>
        <w:rPr>
          <w:rFonts w:hint="eastAsia" w:asciiTheme="minorEastAsia" w:hAnsiTheme="minorEastAsia" w:eastAsiaTheme="minorEastAsia" w:cstheme="minorEastAsia"/>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72979839">
      <w:pPr>
        <w:keepNext w:val="0"/>
        <w:keepLines w:val="0"/>
        <w:pageBreakBefore w:val="0"/>
        <w:widowControl/>
        <w:kinsoku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6</w:t>
      </w:r>
      <w:r>
        <w:rPr>
          <w:rFonts w:hint="eastAsia" w:asciiTheme="minorEastAsia" w:hAnsiTheme="minorEastAsia" w:eastAsiaTheme="minorEastAsia" w:cstheme="minorEastAsia"/>
          <w:color w:val="auto"/>
          <w:spacing w:val="2"/>
          <w:sz w:val="24"/>
          <w:szCs w:val="24"/>
          <w:highlight w:val="none"/>
        </w:rPr>
        <w:t>）投标人为外省建筑企业的，是否按规定在“进粤</w:t>
      </w:r>
      <w:r>
        <w:rPr>
          <w:rFonts w:hint="eastAsia" w:asciiTheme="minorEastAsia" w:hAnsiTheme="minorEastAsia" w:eastAsiaTheme="minorEastAsia" w:cstheme="minorEastAsia"/>
          <w:color w:val="auto"/>
          <w:spacing w:val="1"/>
          <w:sz w:val="24"/>
          <w:szCs w:val="24"/>
          <w:highlight w:val="none"/>
        </w:rPr>
        <w:t>企业和人员诚信信息登记</w:t>
      </w:r>
      <w:r>
        <w:rPr>
          <w:rFonts w:hint="eastAsia" w:asciiTheme="minorEastAsia" w:hAnsiTheme="minorEastAsia" w:eastAsiaTheme="minorEastAsia" w:cstheme="minorEastAsia"/>
          <w:color w:val="auto"/>
          <w:spacing w:val="-2"/>
          <w:sz w:val="24"/>
          <w:szCs w:val="24"/>
          <w:highlight w:val="none"/>
        </w:rPr>
        <w:t>平台</w:t>
      </w:r>
      <w:r>
        <w:rPr>
          <w:rFonts w:hint="eastAsia" w:asciiTheme="minorEastAsia" w:hAnsiTheme="minorEastAsia" w:eastAsiaTheme="minorEastAsia" w:cstheme="minorEastAsia"/>
          <w:color w:val="auto"/>
          <w:spacing w:val="-7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”录入企业及其拟派人员有关信息并通过数据规范检查。</w:t>
      </w:r>
    </w:p>
    <w:p w14:paraId="1BCD9BCC">
      <w:pPr>
        <w:spacing w:before="15" w:line="360" w:lineRule="auto"/>
        <w:ind w:right="2"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.2 </w:t>
      </w:r>
      <w:r>
        <w:rPr>
          <w:rFonts w:hint="eastAsia" w:ascii="宋体" w:hAnsi="宋体" w:eastAsia="宋体" w:cs="宋体"/>
          <w:color w:val="auto"/>
          <w:spacing w:val="1"/>
          <w:sz w:val="24"/>
          <w:szCs w:val="24"/>
          <w:highlight w:val="none"/>
        </w:rPr>
        <w:t xml:space="preserve"> 形式评审环节</w:t>
      </w:r>
    </w:p>
    <w:p w14:paraId="301F2EB2">
      <w:pPr>
        <w:spacing w:before="15" w:line="360" w:lineRule="auto"/>
        <w:ind w:right="2"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9"/>
    </w:p>
    <w:p w14:paraId="007FD8E0">
      <w:pPr>
        <w:spacing w:before="40" w:line="360" w:lineRule="auto"/>
        <w:ind w:left="501"/>
        <w:outlineLvl w:val="9"/>
        <w:rPr>
          <w:rFonts w:hint="eastAsia" w:ascii="宋体" w:hAnsi="宋体" w:eastAsia="宋体" w:cs="宋体"/>
          <w:color w:val="auto"/>
          <w:sz w:val="24"/>
          <w:szCs w:val="24"/>
          <w:highlight w:val="none"/>
        </w:rPr>
      </w:pPr>
      <w:bookmarkStart w:id="91" w:name="_Toc4914"/>
      <w:bookmarkStart w:id="92" w:name="_Toc20481"/>
      <w:bookmarkStart w:id="93" w:name="_Toc23632"/>
      <w:bookmarkStart w:id="94" w:name="_Toc13304"/>
      <w:r>
        <w:rPr>
          <w:rFonts w:hint="eastAsia" w:ascii="宋体" w:hAnsi="宋体" w:eastAsia="宋体" w:cs="宋体"/>
          <w:color w:val="auto"/>
          <w:spacing w:val="-1"/>
          <w:sz w:val="24"/>
          <w:szCs w:val="24"/>
          <w:highlight w:val="none"/>
        </w:rPr>
        <w:t>（1）各分册是否按招标文件规定加盖电子印章。</w:t>
      </w:r>
      <w:bookmarkEnd w:id="91"/>
      <w:bookmarkEnd w:id="92"/>
      <w:bookmarkEnd w:id="93"/>
      <w:bookmarkEnd w:id="94"/>
    </w:p>
    <w:p w14:paraId="4E7DC2D0">
      <w:pPr>
        <w:spacing w:before="15" w:line="360" w:lineRule="auto"/>
        <w:ind w:firstLine="464" w:firstLineChars="200"/>
        <w:outlineLvl w:val="9"/>
        <w:rPr>
          <w:rFonts w:hint="eastAsia" w:ascii="宋体" w:hAnsi="宋体" w:eastAsia="宋体" w:cs="宋体"/>
          <w:color w:val="auto"/>
          <w:spacing w:val="-1"/>
          <w:sz w:val="24"/>
          <w:szCs w:val="24"/>
          <w:highlight w:val="none"/>
        </w:rPr>
      </w:pPr>
      <w:bookmarkStart w:id="95" w:name="_Toc10806"/>
      <w:bookmarkStart w:id="96" w:name="_Toc28409"/>
      <w:bookmarkStart w:id="97" w:name="_Toc27432"/>
      <w:bookmarkStart w:id="98"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 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 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w:t>
      </w:r>
      <w:r>
        <w:rPr>
          <w:rFonts w:hint="eastAsia" w:ascii="宋体" w:hAnsi="宋体" w:eastAsia="宋体" w:cs="宋体"/>
          <w:color w:val="auto"/>
          <w:spacing w:val="-4"/>
          <w:sz w:val="24"/>
          <w:szCs w:val="24"/>
          <w:highlight w:val="none"/>
          <w:lang w:val="en-US" w:eastAsia="zh-CN"/>
        </w:rPr>
        <w:t>3</w:t>
      </w:r>
      <w:r>
        <w:rPr>
          <w:rFonts w:hint="eastAsia" w:ascii="宋体" w:hAnsi="宋体" w:eastAsia="宋体" w:cs="宋体"/>
          <w:color w:val="auto"/>
          <w:spacing w:val="-4"/>
          <w:sz w:val="24"/>
          <w:szCs w:val="24"/>
          <w:highlight w:val="none"/>
        </w:rPr>
        <w:t>目中规定</w:t>
      </w:r>
      <w:r>
        <w:rPr>
          <w:rFonts w:hint="eastAsia" w:ascii="宋体" w:hAnsi="宋体" w:eastAsia="宋体" w:cs="宋体"/>
          <w:color w:val="auto"/>
          <w:spacing w:val="-5"/>
          <w:sz w:val="24"/>
          <w:szCs w:val="24"/>
          <w:highlight w:val="none"/>
        </w:rPr>
        <w:t>的“所有投标人均应提</w:t>
      </w:r>
      <w:bookmarkEnd w:id="95"/>
      <w:bookmarkEnd w:id="96"/>
      <w:bookmarkEnd w:id="97"/>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8"/>
    </w:p>
    <w:p w14:paraId="3D386574">
      <w:pPr>
        <w:spacing w:before="15" w:line="360" w:lineRule="auto"/>
        <w:ind w:right="2" w:firstLine="474" w:firstLineChars="200"/>
        <w:jc w:val="both"/>
        <w:outlineLvl w:val="9"/>
        <w:rPr>
          <w:rFonts w:hint="eastAsia" w:ascii="宋体" w:hAnsi="宋体" w:eastAsia="宋体" w:cs="宋体"/>
          <w:color w:val="auto"/>
          <w:spacing w:val="2"/>
          <w:sz w:val="24"/>
          <w:szCs w:val="24"/>
          <w:highlight w:val="none"/>
        </w:rPr>
      </w:pPr>
      <w:bookmarkStart w:id="99" w:name="_Toc16645"/>
      <w:bookmarkStart w:id="100" w:name="_Toc22562"/>
      <w:bookmarkStart w:id="101" w:name="_Toc22642"/>
      <w:bookmarkStart w:id="102" w:name="_Toc14202"/>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.3  </w:t>
      </w:r>
      <w:r>
        <w:rPr>
          <w:rFonts w:hint="eastAsia" w:ascii="宋体" w:hAnsi="宋体" w:eastAsia="宋体" w:cs="宋体"/>
          <w:color w:val="auto"/>
          <w:spacing w:val="2"/>
          <w:sz w:val="24"/>
          <w:szCs w:val="24"/>
          <w:highlight w:val="none"/>
        </w:rPr>
        <w:t xml:space="preserve">响应性评审环节 </w:t>
      </w:r>
    </w:p>
    <w:p w14:paraId="7757D3BF">
      <w:pPr>
        <w:spacing w:before="15" w:line="360" w:lineRule="auto"/>
        <w:ind w:right="2"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9"/>
      <w:bookmarkEnd w:id="100"/>
      <w:bookmarkEnd w:id="101"/>
      <w:bookmarkEnd w:id="102"/>
    </w:p>
    <w:p w14:paraId="533C330C">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D517F12">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4ACD1433">
      <w:pPr>
        <w:keepNext w:val="0"/>
        <w:keepLines w:val="0"/>
        <w:pageBreakBefore w:val="0"/>
        <w:widowControl/>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（3）投标人委托造价咨询单位编制《投标总价》的，是否在《投标总价扉页》“投标人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p>
    <w:p w14:paraId="028B5C07">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17DB6A5B">
      <w:pPr>
        <w:spacing w:before="38" w:line="360" w:lineRule="auto"/>
        <w:ind w:right="2" w:firstLine="474" w:firstLineChars="200"/>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3" w:name="bookmark127"/>
      <w:bookmarkEnd w:id="103"/>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 应在评标报告中说明判断理由。投标总价下浮率＝（1－投标总价÷</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）×100% 。</w:t>
      </w:r>
    </w:p>
    <w:p w14:paraId="143F3655">
      <w:pPr>
        <w:spacing w:before="157" w:line="360" w:lineRule="auto"/>
        <w:ind w:left="11" w:right="114" w:firstLine="505" w:firstLineChars="20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679B8419">
      <w:pPr>
        <w:spacing w:before="82" w:line="211" w:lineRule="auto"/>
        <w:ind w:left="580"/>
        <w:outlineLvl w:val="9"/>
        <w:rPr>
          <w:rFonts w:hint="eastAsia" w:ascii="宋体" w:hAnsi="宋体" w:eastAsia="宋体" w:cs="宋体"/>
          <w:color w:val="auto"/>
          <w:sz w:val="25"/>
          <w:szCs w:val="25"/>
          <w:highlight w:val="none"/>
        </w:rPr>
      </w:pPr>
      <w:bookmarkStart w:id="104" w:name="_Toc15367"/>
      <w:bookmarkStart w:id="105" w:name="_Toc19814"/>
      <w:bookmarkStart w:id="106" w:name="_Toc32114"/>
      <w:bookmarkStart w:id="107" w:name="_Toc18204"/>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 xml:space="preserve">.4  </w:t>
      </w:r>
      <w:r>
        <w:rPr>
          <w:rFonts w:hint="eastAsia" w:ascii="宋体" w:hAnsi="宋体" w:eastAsia="宋体" w:cs="宋体"/>
          <w:color w:val="auto"/>
          <w:spacing w:val="-3"/>
          <w:sz w:val="24"/>
          <w:szCs w:val="24"/>
          <w:highlight w:val="none"/>
        </w:rPr>
        <w:t>否决投标说明</w:t>
      </w:r>
      <w:bookmarkEnd w:id="104"/>
      <w:bookmarkEnd w:id="105"/>
      <w:bookmarkEnd w:id="106"/>
      <w:bookmarkEnd w:id="107"/>
    </w:p>
    <w:p w14:paraId="7073C8F6">
      <w:pPr>
        <w:spacing w:before="152" w:line="333" w:lineRule="auto"/>
        <w:ind w:left="11" w:right="175"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7FC0CEA6">
      <w:pPr>
        <w:spacing w:before="78" w:line="221" w:lineRule="auto"/>
        <w:ind w:left="577"/>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8"/>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hint="eastAsia" w:ascii="宋体" w:hAnsi="宋体" w:eastAsia="宋体" w:cs="宋体"/>
          <w:b/>
          <w:bCs/>
          <w:color w:val="auto"/>
          <w:spacing w:val="-2"/>
          <w:sz w:val="24"/>
          <w:szCs w:val="24"/>
          <w:highlight w:val="none"/>
        </w:rPr>
        <w:t>1</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详细评审阶段</w:t>
      </w:r>
    </w:p>
    <w:p w14:paraId="6B0132D7">
      <w:pPr>
        <w:spacing w:before="81" w:line="211" w:lineRule="auto"/>
        <w:ind w:left="498"/>
        <w:outlineLvl w:val="9"/>
        <w:rPr>
          <w:rFonts w:hint="eastAsia" w:ascii="宋体" w:hAnsi="宋体" w:eastAsia="宋体" w:cs="宋体"/>
          <w:color w:val="auto"/>
          <w:sz w:val="25"/>
          <w:szCs w:val="25"/>
          <w:highlight w:val="none"/>
        </w:rPr>
      </w:pPr>
      <w:bookmarkStart w:id="109" w:name="_Toc14991"/>
      <w:bookmarkStart w:id="110" w:name="_Toc4119"/>
      <w:bookmarkStart w:id="111" w:name="_Toc10503"/>
      <w:bookmarkStart w:id="112" w:name="_Toc28572"/>
      <w:r>
        <w:rPr>
          <w:rFonts w:hint="eastAsia" w:ascii="宋体" w:hAnsi="宋体" w:eastAsia="宋体" w:cs="宋体"/>
          <w:b/>
          <w:bCs/>
          <w:color w:val="auto"/>
          <w:spacing w:val="-3"/>
          <w:sz w:val="24"/>
          <w:szCs w:val="24"/>
          <w:highlight w:val="none"/>
          <w:lang w:val="en-US" w:eastAsia="zh-CN"/>
        </w:rPr>
        <w:t>15</w:t>
      </w:r>
      <w:r>
        <w:rPr>
          <w:rFonts w:hint="eastAsia" w:ascii="宋体" w:hAnsi="宋体" w:eastAsia="宋体" w:cs="宋体"/>
          <w:b/>
          <w:bCs/>
          <w:color w:val="auto"/>
          <w:spacing w:val="-3"/>
          <w:sz w:val="24"/>
          <w:szCs w:val="24"/>
          <w:highlight w:val="none"/>
        </w:rPr>
        <w:t>.</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9"/>
      <w:bookmarkEnd w:id="110"/>
      <w:bookmarkEnd w:id="111"/>
      <w:bookmarkEnd w:id="112"/>
    </w:p>
    <w:p w14:paraId="52475F7B">
      <w:pPr>
        <w:spacing w:before="152" w:line="329" w:lineRule="auto"/>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3464EFC3">
      <w:pPr>
        <w:spacing w:before="153" w:line="324"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794BA0E0">
      <w:pPr>
        <w:spacing w:before="38" w:line="220" w:lineRule="auto"/>
        <w:ind w:left="503"/>
        <w:outlineLvl w:val="9"/>
        <w:rPr>
          <w:rFonts w:hint="eastAsia" w:ascii="宋体" w:hAnsi="宋体" w:eastAsia="宋体" w:cs="宋体"/>
          <w:color w:val="auto"/>
          <w:sz w:val="24"/>
          <w:szCs w:val="24"/>
          <w:highlight w:val="none"/>
        </w:rPr>
      </w:pPr>
      <w:bookmarkStart w:id="113" w:name="_Toc17510"/>
      <w:bookmarkStart w:id="114" w:name="_Toc10398"/>
      <w:bookmarkStart w:id="115" w:name="_Toc18029"/>
      <w:bookmarkStart w:id="116" w:name="_Toc22949"/>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3"/>
      <w:bookmarkEnd w:id="114"/>
      <w:bookmarkEnd w:id="115"/>
      <w:bookmarkEnd w:id="116"/>
    </w:p>
    <w:p w14:paraId="1E12203A">
      <w:pPr>
        <w:spacing w:before="153" w:line="279"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C906367">
      <w:pPr>
        <w:spacing w:before="154" w:line="299"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520DD2F5">
      <w:pPr>
        <w:spacing w:before="155" w:line="231" w:lineRule="auto"/>
        <w:ind w:left="491"/>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76688D82">
      <w:pPr>
        <w:spacing w:before="139"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2"/>
          <w:w w:val="101"/>
          <w:position w:val="-1"/>
          <w:sz w:val="15"/>
          <w:szCs w:val="15"/>
          <w:highlight w:val="none"/>
        </w:rPr>
        <w:t xml:space="preserve"> </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24BE1853">
      <w:pPr>
        <w:spacing w:before="153" w:line="219" w:lineRule="auto"/>
        <w:ind w:left="503"/>
        <w:outlineLvl w:val="9"/>
        <w:rPr>
          <w:rFonts w:hint="eastAsia" w:ascii="宋体" w:hAnsi="宋体" w:eastAsia="宋体" w:cs="宋体"/>
          <w:color w:val="auto"/>
          <w:sz w:val="24"/>
          <w:szCs w:val="24"/>
          <w:highlight w:val="none"/>
        </w:rPr>
      </w:pPr>
      <w:bookmarkStart w:id="117" w:name="_Toc27609"/>
      <w:bookmarkStart w:id="118" w:name="_Toc16136"/>
      <w:bookmarkStart w:id="119" w:name="_Toc14059"/>
      <w:bookmarkStart w:id="120" w:name="_Toc3958"/>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7"/>
      <w:bookmarkEnd w:id="118"/>
      <w:bookmarkEnd w:id="119"/>
      <w:bookmarkEnd w:id="120"/>
    </w:p>
    <w:p w14:paraId="5F9BE99E">
      <w:pPr>
        <w:spacing w:before="157" w:line="219" w:lineRule="auto"/>
        <w:ind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7C7C653">
      <w:pPr>
        <w:spacing w:before="155" w:line="299"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4FAFC48E">
      <w:pPr>
        <w:spacing w:before="118" w:line="333"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484CC48A">
      <w:pPr>
        <w:spacing w:before="106" w:line="316"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22"/>
          <w:w w:val="101"/>
          <w:sz w:val="24"/>
          <w:szCs w:val="24"/>
          <w:highlight w:val="none"/>
        </w:rPr>
        <w:t xml:space="preserve"> </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E</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＝0.5。</w:t>
      </w:r>
    </w:p>
    <w:p w14:paraId="62416271">
      <w:pPr>
        <w:spacing w:before="95" w:line="220" w:lineRule="auto"/>
        <w:ind w:left="503"/>
        <w:outlineLvl w:val="9"/>
        <w:rPr>
          <w:rFonts w:hint="eastAsia" w:ascii="宋体" w:hAnsi="宋体" w:eastAsia="宋体" w:cs="宋体"/>
          <w:color w:val="auto"/>
          <w:sz w:val="24"/>
          <w:szCs w:val="24"/>
          <w:highlight w:val="none"/>
        </w:rPr>
      </w:pPr>
      <w:bookmarkStart w:id="121" w:name="_Toc7915"/>
      <w:bookmarkStart w:id="122" w:name="_Toc3861"/>
      <w:bookmarkStart w:id="123" w:name="_Toc4990"/>
      <w:bookmarkStart w:id="124" w:name="_Toc576"/>
      <w:r>
        <w:rPr>
          <w:rFonts w:hint="eastAsia" w:ascii="宋体" w:hAnsi="宋体" w:eastAsia="宋体" w:cs="宋体"/>
          <w:color w:val="auto"/>
          <w:spacing w:val="-3"/>
          <w:sz w:val="24"/>
          <w:szCs w:val="24"/>
          <w:highlight w:val="none"/>
        </w:rPr>
        <w:t>（3）综合得分</w:t>
      </w:r>
      <w:bookmarkEnd w:id="121"/>
      <w:bookmarkEnd w:id="122"/>
      <w:bookmarkEnd w:id="123"/>
      <w:bookmarkEnd w:id="124"/>
    </w:p>
    <w:p w14:paraId="16428BA2">
      <w:pPr>
        <w:spacing w:before="153"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147A726B">
      <w:pPr>
        <w:spacing w:before="155" w:line="324" w:lineRule="auto"/>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07AC6F79">
      <w:pPr>
        <w:spacing w:before="155" w:line="324"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 为商务技术得分，N 为投标报价得分。</w:t>
      </w:r>
    </w:p>
    <w:p w14:paraId="00D9077E">
      <w:pPr>
        <w:spacing w:before="78" w:line="329" w:lineRule="auto"/>
        <w:ind w:right="263" w:firstLine="490" w:firstLineChars="200"/>
        <w:jc w:val="both"/>
        <w:rPr>
          <w:rFonts w:hint="eastAsia" w:ascii="宋体" w:hAnsi="宋体" w:eastAsia="宋体" w:cs="宋体"/>
          <w:b/>
          <w:bCs/>
          <w:color w:val="auto"/>
          <w:spacing w:val="2"/>
          <w:sz w:val="24"/>
          <w:szCs w:val="24"/>
          <w:highlight w:val="none"/>
        </w:rPr>
      </w:pPr>
      <w:bookmarkStart w:id="125" w:name="_Toc2885"/>
      <w:bookmarkStart w:id="126" w:name="_Toc30671"/>
      <w:bookmarkStart w:id="127" w:name="_Toc25214"/>
      <w:bookmarkStart w:id="128" w:name="_Toc32384"/>
      <w:r>
        <w:rPr>
          <w:rFonts w:hint="eastAsia" w:ascii="宋体" w:hAnsi="宋体" w:eastAsia="宋体" w:cs="宋体"/>
          <w:b/>
          <w:bCs/>
          <w:color w:val="auto"/>
          <w:spacing w:val="2"/>
          <w:sz w:val="24"/>
          <w:szCs w:val="24"/>
          <w:highlight w:val="none"/>
        </w:rPr>
        <w:t>（4）</w:t>
      </w:r>
      <w:bookmarkEnd w:id="125"/>
      <w:bookmarkEnd w:id="126"/>
      <w:bookmarkEnd w:id="127"/>
      <w:bookmarkEnd w:id="128"/>
      <w:r>
        <w:rPr>
          <w:rFonts w:hint="eastAsia" w:ascii="宋体" w:hAnsi="宋体" w:eastAsia="宋体" w:cs="宋体"/>
          <w:b/>
          <w:bCs/>
          <w:color w:val="auto"/>
          <w:spacing w:val="2"/>
          <w:sz w:val="24"/>
          <w:szCs w:val="24"/>
          <w:highlight w:val="none"/>
        </w:rPr>
        <w:t>评标委员会根据招标文件规定的评分细则，对招标文件中的各评审因素进行评审、比较、打分，将得分前5名不排序（按企业统一社会信用代码后4位</w:t>
      </w:r>
      <w:r>
        <w:rPr>
          <w:rFonts w:hint="eastAsia" w:ascii="宋体" w:hAnsi="宋体" w:eastAsia="宋体" w:cs="宋体"/>
          <w:b/>
          <w:bCs/>
          <w:color w:val="auto"/>
          <w:spacing w:val="2"/>
          <w:sz w:val="24"/>
          <w:szCs w:val="24"/>
          <w:highlight w:val="none"/>
          <w:lang w:val="en-US" w:eastAsia="zh-CN"/>
        </w:rPr>
        <w:t>由</w:t>
      </w:r>
      <w:r>
        <w:rPr>
          <w:rFonts w:hint="eastAsia" w:ascii="宋体" w:hAnsi="宋体" w:eastAsia="宋体" w:cs="宋体"/>
          <w:b/>
          <w:bCs/>
          <w:color w:val="auto"/>
          <w:spacing w:val="2"/>
          <w:sz w:val="24"/>
          <w:szCs w:val="24"/>
          <w:highlight w:val="none"/>
        </w:rPr>
        <w:t>大</w:t>
      </w:r>
      <w:r>
        <w:rPr>
          <w:rFonts w:hint="eastAsia" w:ascii="宋体" w:hAnsi="宋体" w:eastAsia="宋体" w:cs="宋体"/>
          <w:b/>
          <w:bCs/>
          <w:color w:val="auto"/>
          <w:spacing w:val="2"/>
          <w:sz w:val="24"/>
          <w:szCs w:val="24"/>
          <w:highlight w:val="none"/>
          <w:lang w:val="en-US" w:eastAsia="zh-CN"/>
        </w:rPr>
        <w:t>到</w:t>
      </w:r>
      <w:r>
        <w:rPr>
          <w:rFonts w:hint="eastAsia" w:ascii="宋体" w:hAnsi="宋体" w:eastAsia="宋体" w:cs="宋体"/>
          <w:b/>
          <w:bCs/>
          <w:color w:val="auto"/>
          <w:spacing w:val="2"/>
          <w:sz w:val="24"/>
          <w:szCs w:val="24"/>
          <w:highlight w:val="none"/>
        </w:rPr>
        <w:t>小排位）的投标人作为定标候选人推荐给招标人，并对每个定标候选人的优势、风险等评审情况进行说明。</w:t>
      </w:r>
    </w:p>
    <w:p w14:paraId="797C2B9A">
      <w:pPr>
        <w:spacing w:before="78" w:line="329" w:lineRule="auto"/>
        <w:ind w:right="263" w:firstLine="490"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386B6E39">
      <w:pPr>
        <w:pStyle w:val="6"/>
        <w:spacing w:line="304" w:lineRule="auto"/>
        <w:rPr>
          <w:rFonts w:hint="eastAsia" w:ascii="宋体" w:hAnsi="宋体" w:eastAsia="宋体" w:cs="宋体"/>
          <w:color w:val="auto"/>
          <w:highlight w:val="none"/>
        </w:rPr>
      </w:pPr>
    </w:p>
    <w:p w14:paraId="3683E1C2">
      <w:pPr>
        <w:rPr>
          <w:rFonts w:hint="eastAsia"/>
          <w:color w:val="auto"/>
          <w:highlight w:val="none"/>
        </w:rPr>
      </w:pPr>
    </w:p>
    <w:p w14:paraId="6115BA02">
      <w:pPr>
        <w:pStyle w:val="8"/>
        <w:rPr>
          <w:rFonts w:hint="eastAsia"/>
          <w:color w:val="auto"/>
          <w:highlight w:val="none"/>
        </w:rPr>
      </w:pPr>
    </w:p>
    <w:p w14:paraId="5CFDD726">
      <w:pPr>
        <w:rPr>
          <w:rFonts w:hint="eastAsia" w:ascii="宋体" w:hAnsi="宋体" w:eastAsia="宋体" w:cs="宋体"/>
          <w:b/>
          <w:bCs/>
          <w:color w:val="auto"/>
          <w:spacing w:val="-6"/>
          <w:sz w:val="30"/>
          <w:szCs w:val="30"/>
          <w:highlight w:val="none"/>
        </w:rPr>
      </w:pPr>
      <w:bookmarkStart w:id="129" w:name="_Toc3020"/>
      <w:bookmarkStart w:id="130" w:name="_Toc16801"/>
      <w:bookmarkStart w:id="131" w:name="_Toc17375"/>
    </w:p>
    <w:p w14:paraId="76620637">
      <w:pPr>
        <w:spacing w:before="98" w:line="221" w:lineRule="auto"/>
        <w:ind w:left="4248"/>
        <w:outlineLvl w:val="9"/>
        <w:rPr>
          <w:rFonts w:hint="eastAsia" w:ascii="宋体" w:hAnsi="宋体" w:eastAsia="宋体" w:cs="宋体"/>
          <w:b/>
          <w:bCs/>
          <w:color w:val="auto"/>
          <w:spacing w:val="-6"/>
          <w:sz w:val="30"/>
          <w:szCs w:val="30"/>
          <w:highlight w:val="none"/>
        </w:rPr>
      </w:pPr>
      <w:r>
        <w:rPr>
          <w:rFonts w:hint="eastAsia" w:ascii="宋体" w:hAnsi="宋体" w:eastAsia="宋体" w:cs="宋体"/>
          <w:b/>
          <w:bCs/>
          <w:color w:val="auto"/>
          <w:spacing w:val="-6"/>
          <w:sz w:val="30"/>
          <w:szCs w:val="30"/>
          <w:highlight w:val="none"/>
        </w:rPr>
        <w:t>综合评分表</w:t>
      </w:r>
      <w:bookmarkEnd w:id="129"/>
      <w:bookmarkEnd w:id="130"/>
      <w:bookmarkEnd w:id="131"/>
    </w:p>
    <w:tbl>
      <w:tblPr>
        <w:tblStyle w:val="15"/>
        <w:tblW w:w="0" w:type="auto"/>
        <w:jc w:val="center"/>
        <w:tblLayout w:type="autofit"/>
        <w:tblCellMar>
          <w:top w:w="0" w:type="dxa"/>
          <w:left w:w="108" w:type="dxa"/>
          <w:bottom w:w="0" w:type="dxa"/>
          <w:right w:w="108" w:type="dxa"/>
        </w:tblCellMar>
      </w:tblPr>
      <w:tblGrid>
        <w:gridCol w:w="1205"/>
        <w:gridCol w:w="4385"/>
        <w:gridCol w:w="4230"/>
      </w:tblGrid>
      <w:tr w14:paraId="6EE70EDC">
        <w:tblPrEx>
          <w:tblCellMar>
            <w:top w:w="0" w:type="dxa"/>
            <w:left w:w="108" w:type="dxa"/>
            <w:bottom w:w="0" w:type="dxa"/>
            <w:right w:w="108" w:type="dxa"/>
          </w:tblCellMar>
        </w:tblPrEx>
        <w:trPr>
          <w:trHeight w:val="640" w:hRule="atLeast"/>
          <w:jc w:val="center"/>
        </w:trPr>
        <w:tc>
          <w:tcPr>
            <w:tcW w:w="9820" w:type="dxa"/>
            <w:gridSpan w:val="3"/>
            <w:tcBorders>
              <w:top w:val="single" w:color="auto" w:sz="4" w:space="0"/>
              <w:left w:val="single" w:color="auto" w:sz="4" w:space="0"/>
              <w:bottom w:val="single" w:color="auto" w:sz="4" w:space="0"/>
              <w:right w:val="single" w:color="auto" w:sz="4" w:space="0"/>
            </w:tcBorders>
            <w:shd w:val="clear" w:color="auto" w:fill="D7D7D7"/>
            <w:noWrap w:val="0"/>
            <w:vAlign w:val="center"/>
          </w:tcPr>
          <w:p w14:paraId="31FD2955">
            <w:pPr>
              <w:pStyle w:val="6"/>
              <w:wordWrap w:val="0"/>
              <w:spacing w:after="0" w:line="440" w:lineRule="exact"/>
              <w:rPr>
                <w:rFonts w:ascii="黑体" w:hAnsi="黑体" w:eastAsia="黑体"/>
                <w:color w:val="auto"/>
                <w:kern w:val="0"/>
                <w:highlight w:val="none"/>
              </w:rPr>
            </w:pPr>
            <w:bookmarkStart w:id="132" w:name="_Toc9725"/>
            <w:bookmarkStart w:id="133" w:name="_Toc5769"/>
            <w:bookmarkStart w:id="134" w:name="_Toc31744"/>
            <w:bookmarkStart w:id="135" w:name="_Toc17436"/>
            <w:r>
              <w:rPr>
                <w:rFonts w:hint="eastAsia" w:ascii="黑体" w:hAnsi="黑体" w:eastAsia="黑体"/>
                <w:color w:val="auto"/>
                <w:kern w:val="0"/>
                <w:highlight w:val="none"/>
              </w:rPr>
              <w:t>商务部分，满分：</w:t>
            </w:r>
            <w:r>
              <w:rPr>
                <w:rFonts w:hint="eastAsia" w:ascii="黑体" w:hAnsi="黑体" w:eastAsia="黑体"/>
                <w:color w:val="auto"/>
                <w:kern w:val="0"/>
                <w:highlight w:val="none"/>
                <w:u w:val="single"/>
              </w:rPr>
              <w:t>80</w:t>
            </w:r>
            <w:r>
              <w:rPr>
                <w:rFonts w:hint="eastAsia" w:ascii="黑体" w:hAnsi="黑体" w:eastAsia="黑体"/>
                <w:color w:val="auto"/>
                <w:kern w:val="0"/>
                <w:highlight w:val="none"/>
              </w:rPr>
              <w:t>分。</w:t>
            </w:r>
          </w:p>
        </w:tc>
      </w:tr>
      <w:tr w14:paraId="47039CCC">
        <w:tblPrEx>
          <w:tblCellMar>
            <w:top w:w="0" w:type="dxa"/>
            <w:left w:w="108" w:type="dxa"/>
            <w:bottom w:w="0" w:type="dxa"/>
            <w:right w:w="108" w:type="dxa"/>
          </w:tblCellMar>
        </w:tblPrEx>
        <w:trPr>
          <w:trHeight w:val="640"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6A746C5B">
            <w:pPr>
              <w:pStyle w:val="6"/>
              <w:wordWrap w:val="0"/>
              <w:spacing w:after="0" w:line="440" w:lineRule="exact"/>
              <w:jc w:val="center"/>
              <w:rPr>
                <w:rFonts w:ascii="黑体" w:hAnsi="黑体" w:eastAsia="黑体"/>
                <w:color w:val="auto"/>
                <w:kern w:val="0"/>
                <w:highlight w:val="none"/>
              </w:rPr>
            </w:pPr>
            <w:r>
              <w:rPr>
                <w:rFonts w:hint="eastAsia" w:ascii="黑体" w:hAnsi="黑体" w:eastAsia="黑体"/>
                <w:color w:val="auto"/>
                <w:kern w:val="0"/>
                <w:highlight w:val="none"/>
              </w:rPr>
              <w:t>评分因素</w:t>
            </w:r>
          </w:p>
        </w:tc>
        <w:tc>
          <w:tcPr>
            <w:tcW w:w="4385" w:type="dxa"/>
            <w:tcBorders>
              <w:top w:val="single" w:color="auto" w:sz="4" w:space="0"/>
              <w:left w:val="nil"/>
              <w:bottom w:val="single" w:color="auto" w:sz="4" w:space="0"/>
              <w:right w:val="single" w:color="auto" w:sz="4" w:space="0"/>
            </w:tcBorders>
            <w:noWrap w:val="0"/>
            <w:vAlign w:val="center"/>
          </w:tcPr>
          <w:p w14:paraId="589E4B43">
            <w:pPr>
              <w:pStyle w:val="6"/>
              <w:wordWrap w:val="0"/>
              <w:spacing w:after="0" w:line="440" w:lineRule="exact"/>
              <w:jc w:val="center"/>
              <w:rPr>
                <w:rFonts w:ascii="黑体" w:hAnsi="黑体" w:eastAsia="黑体"/>
                <w:color w:val="auto"/>
                <w:kern w:val="0"/>
                <w:highlight w:val="none"/>
              </w:rPr>
            </w:pPr>
            <w:r>
              <w:rPr>
                <w:rFonts w:hint="eastAsia" w:ascii="黑体" w:hAnsi="黑体" w:eastAsia="黑体"/>
                <w:color w:val="auto"/>
                <w:kern w:val="0"/>
                <w:highlight w:val="none"/>
              </w:rPr>
              <w:t>评分标准</w:t>
            </w:r>
          </w:p>
        </w:tc>
        <w:tc>
          <w:tcPr>
            <w:tcW w:w="4230" w:type="dxa"/>
            <w:tcBorders>
              <w:top w:val="single" w:color="auto" w:sz="4" w:space="0"/>
              <w:left w:val="nil"/>
              <w:bottom w:val="single" w:color="auto" w:sz="4" w:space="0"/>
              <w:right w:val="single" w:color="auto" w:sz="4" w:space="0"/>
            </w:tcBorders>
            <w:noWrap w:val="0"/>
            <w:vAlign w:val="center"/>
          </w:tcPr>
          <w:p w14:paraId="0A0C0CBC">
            <w:pPr>
              <w:pStyle w:val="6"/>
              <w:wordWrap w:val="0"/>
              <w:spacing w:after="0" w:line="440" w:lineRule="exact"/>
              <w:jc w:val="center"/>
              <w:rPr>
                <w:rFonts w:ascii="黑体" w:hAnsi="黑体" w:eastAsia="黑体"/>
                <w:color w:val="auto"/>
                <w:kern w:val="0"/>
                <w:highlight w:val="none"/>
              </w:rPr>
            </w:pPr>
            <w:r>
              <w:rPr>
                <w:rFonts w:hint="eastAsia" w:ascii="黑体" w:hAnsi="黑体" w:eastAsia="黑体"/>
                <w:color w:val="auto"/>
                <w:kern w:val="0"/>
                <w:highlight w:val="none"/>
              </w:rPr>
              <w:t>备注</w:t>
            </w:r>
          </w:p>
        </w:tc>
      </w:tr>
      <w:tr w14:paraId="08FC6A90">
        <w:tblPrEx>
          <w:tblCellMar>
            <w:top w:w="0" w:type="dxa"/>
            <w:left w:w="108" w:type="dxa"/>
            <w:bottom w:w="0" w:type="dxa"/>
            <w:right w:w="108" w:type="dxa"/>
          </w:tblCellMar>
        </w:tblPrEx>
        <w:trPr>
          <w:trHeight w:val="10325"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093250A0">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企业奖项</w:t>
            </w:r>
          </w:p>
          <w:p w14:paraId="0EC83CC8">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leftChars="0" w:right="0" w:rightChars="0"/>
              <w:jc w:val="center"/>
              <w:textAlignment w:val="baseline"/>
              <w:rPr>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（15分）</w:t>
            </w:r>
          </w:p>
        </w:tc>
        <w:tc>
          <w:tcPr>
            <w:tcW w:w="4385" w:type="dxa"/>
            <w:tcBorders>
              <w:top w:val="single" w:color="auto" w:sz="4" w:space="0"/>
              <w:left w:val="nil"/>
              <w:bottom w:val="single" w:color="auto" w:sz="4" w:space="0"/>
              <w:right w:val="single" w:color="auto" w:sz="4" w:space="0"/>
            </w:tcBorders>
            <w:noWrap w:val="0"/>
            <w:vAlign w:val="center"/>
          </w:tcPr>
          <w:p w14:paraId="56AF3D4F">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企业近</w:t>
            </w:r>
            <w:r>
              <w:rPr>
                <w:rFonts w:hint="eastAsia" w:ascii="宋体" w:hAnsi="宋体" w:eastAsia="宋体" w:cs="宋体"/>
                <w:snapToGrid/>
                <w:color w:val="auto"/>
                <w:kern w:val="0"/>
                <w:sz w:val="21"/>
                <w:szCs w:val="21"/>
                <w:highlight w:val="none"/>
                <w:u w:val="single"/>
                <w:lang w:val="en-US" w:eastAsia="zh-CN" w:bidi="ar"/>
              </w:rPr>
              <w:t>5</w:t>
            </w:r>
            <w:r>
              <w:rPr>
                <w:rFonts w:hint="eastAsia" w:ascii="宋体" w:hAnsi="宋体" w:eastAsia="宋体" w:cs="宋体"/>
                <w:snapToGrid/>
                <w:color w:val="auto"/>
                <w:kern w:val="0"/>
                <w:sz w:val="21"/>
                <w:szCs w:val="21"/>
                <w:highlight w:val="none"/>
                <w:lang w:val="en-US" w:eastAsia="zh-CN" w:bidi="ar"/>
              </w:rPr>
              <w:t>年来（2021年1月1日至今）获得</w:t>
            </w:r>
            <w:r>
              <w:rPr>
                <w:rFonts w:hint="eastAsia" w:ascii="宋体" w:hAnsi="宋体" w:eastAsia="宋体" w:cs="宋体"/>
                <w:snapToGrid/>
                <w:color w:val="auto"/>
                <w:kern w:val="0"/>
                <w:sz w:val="21"/>
                <w:szCs w:val="21"/>
                <w:highlight w:val="none"/>
                <w:u w:val="single"/>
                <w:lang w:val="en-US" w:eastAsia="zh-CN" w:bidi="ar"/>
              </w:rPr>
              <w:t>市政</w:t>
            </w:r>
            <w:r>
              <w:rPr>
                <w:rFonts w:hint="eastAsia" w:ascii="宋体" w:hAnsi="宋体" w:eastAsia="宋体" w:cs="宋体"/>
                <w:snapToGrid/>
                <w:color w:val="auto"/>
                <w:kern w:val="0"/>
                <w:sz w:val="21"/>
                <w:szCs w:val="21"/>
                <w:highlight w:val="none"/>
                <w:lang w:val="en-US" w:eastAsia="zh-CN" w:bidi="ar"/>
              </w:rPr>
              <w:t>工程类奖项情况：</w:t>
            </w:r>
          </w:p>
          <w:p w14:paraId="64E26282">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1.获得国家级奖项的，每个得</w:t>
            </w:r>
            <w:r>
              <w:rPr>
                <w:rFonts w:hint="eastAsia" w:ascii="宋体" w:hAnsi="宋体" w:eastAsia="宋体" w:cs="宋体"/>
                <w:snapToGrid/>
                <w:color w:val="auto"/>
                <w:kern w:val="0"/>
                <w:sz w:val="21"/>
                <w:szCs w:val="21"/>
                <w:highlight w:val="none"/>
                <w:u w:val="single"/>
                <w:lang w:val="en-US" w:eastAsia="zh-CN" w:bidi="ar"/>
              </w:rPr>
              <w:t>10</w:t>
            </w:r>
            <w:r>
              <w:rPr>
                <w:rFonts w:hint="eastAsia" w:ascii="宋体" w:hAnsi="宋体" w:eastAsia="宋体" w:cs="宋体"/>
                <w:snapToGrid/>
                <w:color w:val="auto"/>
                <w:kern w:val="0"/>
                <w:sz w:val="21"/>
                <w:szCs w:val="21"/>
                <w:highlight w:val="none"/>
                <w:lang w:val="en-US" w:eastAsia="zh-CN" w:bidi="ar"/>
              </w:rPr>
              <w:t>分。</w:t>
            </w:r>
          </w:p>
          <w:p w14:paraId="4DFE6FDC">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2.获得省级奖项的，每个得</w:t>
            </w:r>
            <w:r>
              <w:rPr>
                <w:rFonts w:hint="eastAsia" w:ascii="宋体" w:hAnsi="宋体" w:eastAsia="宋体" w:cs="宋体"/>
                <w:snapToGrid/>
                <w:color w:val="auto"/>
                <w:kern w:val="0"/>
                <w:sz w:val="21"/>
                <w:szCs w:val="21"/>
                <w:highlight w:val="none"/>
                <w:u w:val="single"/>
                <w:lang w:val="en-US" w:eastAsia="zh-CN" w:bidi="ar"/>
              </w:rPr>
              <w:t>6</w:t>
            </w:r>
            <w:r>
              <w:rPr>
                <w:rFonts w:hint="eastAsia" w:ascii="宋体" w:hAnsi="宋体" w:eastAsia="宋体" w:cs="宋体"/>
                <w:snapToGrid/>
                <w:color w:val="auto"/>
                <w:kern w:val="0"/>
                <w:sz w:val="21"/>
                <w:szCs w:val="21"/>
                <w:highlight w:val="none"/>
                <w:lang w:val="en-US" w:eastAsia="zh-CN" w:bidi="ar"/>
              </w:rPr>
              <w:t>分。</w:t>
            </w:r>
          </w:p>
          <w:p w14:paraId="26846CD7">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3.获得地市级奖项的，每个得</w:t>
            </w:r>
            <w:r>
              <w:rPr>
                <w:rFonts w:hint="eastAsia" w:ascii="宋体" w:hAnsi="宋体" w:eastAsia="宋体" w:cs="宋体"/>
                <w:snapToGrid/>
                <w:color w:val="auto"/>
                <w:kern w:val="0"/>
                <w:sz w:val="21"/>
                <w:szCs w:val="21"/>
                <w:highlight w:val="none"/>
                <w:u w:val="single"/>
                <w:lang w:val="en-US" w:eastAsia="zh-CN" w:bidi="ar"/>
              </w:rPr>
              <w:t>3</w:t>
            </w:r>
            <w:r>
              <w:rPr>
                <w:rFonts w:hint="eastAsia" w:ascii="宋体" w:hAnsi="宋体" w:eastAsia="宋体" w:cs="宋体"/>
                <w:snapToGrid/>
                <w:color w:val="auto"/>
                <w:kern w:val="0"/>
                <w:sz w:val="21"/>
                <w:szCs w:val="21"/>
                <w:highlight w:val="none"/>
                <w:lang w:val="en-US" w:eastAsia="zh-CN" w:bidi="ar"/>
              </w:rPr>
              <w:t>分。</w:t>
            </w:r>
          </w:p>
          <w:p w14:paraId="3F57F379">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4．以上奖项均未获得的，不予计分。</w:t>
            </w:r>
          </w:p>
          <w:p w14:paraId="1DE9AC35">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leftChars="0" w:right="0" w:rightChars="0"/>
              <w:jc w:val="both"/>
              <w:textAlignment w:val="baseline"/>
              <w:rPr>
                <w:rFonts w:ascii="Times New Roman"/>
                <w:color w:val="auto"/>
                <w:kern w:val="0"/>
                <w:sz w:val="21"/>
                <w:szCs w:val="21"/>
                <w:highlight w:val="none"/>
              </w:rPr>
            </w:pPr>
            <w:r>
              <w:rPr>
                <w:rFonts w:hint="eastAsia" w:ascii="宋体" w:hAnsi="宋体" w:eastAsia="宋体" w:cs="宋体"/>
                <w:snapToGrid/>
                <w:color w:val="auto"/>
                <w:kern w:val="0"/>
                <w:sz w:val="21"/>
                <w:szCs w:val="21"/>
                <w:highlight w:val="none"/>
                <w:lang w:val="en-US" w:eastAsia="zh-CN" w:bidi="ar"/>
              </w:rPr>
              <w:t>5.本项最高得15分。</w:t>
            </w:r>
          </w:p>
        </w:tc>
        <w:tc>
          <w:tcPr>
            <w:tcW w:w="4230" w:type="dxa"/>
            <w:tcBorders>
              <w:top w:val="single" w:color="auto" w:sz="4" w:space="0"/>
              <w:left w:val="nil"/>
              <w:bottom w:val="single" w:color="auto" w:sz="4" w:space="0"/>
              <w:right w:val="single" w:color="auto" w:sz="4" w:space="0"/>
            </w:tcBorders>
            <w:noWrap w:val="0"/>
            <w:vAlign w:val="center"/>
          </w:tcPr>
          <w:p w14:paraId="14497435">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1.允许投标人提交多个业绩，但同一业绩只按最高级别奖项计分一次。</w:t>
            </w:r>
          </w:p>
          <w:p w14:paraId="7DE87BDC">
            <w:pPr>
              <w:pStyle w:val="5"/>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2.</w:t>
            </w:r>
            <w:r>
              <w:rPr>
                <w:rFonts w:hint="eastAsia" w:ascii="宋体" w:hAnsi="宋体" w:eastAsia="宋体" w:cs="宋体"/>
                <w:snapToGrid w:val="0"/>
                <w:color w:val="auto"/>
                <w:kern w:val="0"/>
                <w:sz w:val="22"/>
                <w:szCs w:val="22"/>
                <w:highlight w:val="none"/>
              </w:rPr>
              <w:t>需附有关奖项证明</w:t>
            </w:r>
            <w:r>
              <w:rPr>
                <w:rFonts w:hint="eastAsia" w:ascii="宋体" w:hAnsi="宋体" w:eastAsia="宋体" w:cs="宋体"/>
                <w:snapToGrid w:val="0"/>
                <w:color w:val="auto"/>
                <w:kern w:val="0"/>
                <w:sz w:val="22"/>
                <w:szCs w:val="22"/>
                <w:highlight w:val="none"/>
                <w:lang w:val="en-US" w:eastAsia="zh-CN"/>
              </w:rPr>
              <w:t>彩色扫描件</w:t>
            </w:r>
            <w:r>
              <w:rPr>
                <w:rFonts w:hint="eastAsia" w:ascii="宋体" w:hAnsi="宋体" w:eastAsia="宋体" w:cs="宋体"/>
                <w:snapToGrid w:val="0"/>
                <w:color w:val="auto"/>
                <w:kern w:val="0"/>
                <w:sz w:val="22"/>
                <w:szCs w:val="22"/>
                <w:highlight w:val="none"/>
                <w:lang w:eastAsia="zh-CN"/>
              </w:rPr>
              <w:t>，</w:t>
            </w:r>
            <w:r>
              <w:rPr>
                <w:rFonts w:hint="eastAsia" w:ascii="宋体" w:hAnsi="宋体" w:eastAsia="宋体" w:cs="宋体"/>
                <w:b/>
                <w:bCs/>
                <w:snapToGrid w:val="0"/>
                <w:color w:val="auto"/>
                <w:kern w:val="0"/>
                <w:sz w:val="22"/>
                <w:szCs w:val="22"/>
                <w:highlight w:val="none"/>
                <w:lang w:val="en-US" w:eastAsia="zh-CN"/>
              </w:rPr>
              <w:t>同时提供原件供核对。（奖项如电子证书的除外）</w:t>
            </w:r>
          </w:p>
          <w:p w14:paraId="7991FB68">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3.颁发机构限定以下范围：</w:t>
            </w:r>
          </w:p>
          <w:p w14:paraId="5F9F3DA1">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①国家级奖项：国务院、住建部、国家级市政行业协会、国家级建筑协会；（相关协会需经民政部门备案）</w:t>
            </w:r>
          </w:p>
          <w:p w14:paraId="78B19A10">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②省级奖项：省级人民政府、省级住建部门、省级市政行业协会、省级建筑协会；（相关协会需经民政部门备案）</w:t>
            </w:r>
          </w:p>
          <w:p w14:paraId="27BC162B">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③地市级奖项：地市级人民政府、地市级住建部门、地市级市政行业协会、地市级建筑协会。（相关协会需经民政部门备案）</w:t>
            </w:r>
          </w:p>
          <w:p w14:paraId="4C093FE3">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4.获奖时间以奖项证明的落款日期为准。</w:t>
            </w:r>
          </w:p>
          <w:p w14:paraId="60AB5A4F">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5.任一奖项有以下情形之一的，该奖项视为无效，不予计分：</w:t>
            </w:r>
          </w:p>
          <w:p w14:paraId="7FF32B59">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①未提供奖项原件的；</w:t>
            </w:r>
          </w:p>
          <w:p w14:paraId="08E91BBA">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②奖项不属于指定类别的；</w:t>
            </w:r>
          </w:p>
          <w:p w14:paraId="5047B3F2">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③颁发机构不符合要求的；</w:t>
            </w:r>
          </w:p>
          <w:p w14:paraId="5B2904BC">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④获奖时间不符合要求的。</w:t>
            </w:r>
          </w:p>
          <w:p w14:paraId="1D7E4170">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leftChars="0" w:right="0" w:rightChars="0"/>
              <w:jc w:val="both"/>
              <w:textAlignment w:val="baseline"/>
              <w:rPr>
                <w:color w:val="auto"/>
                <w:sz w:val="21"/>
                <w:szCs w:val="21"/>
                <w:highlight w:val="none"/>
              </w:rPr>
            </w:pPr>
            <w:r>
              <w:rPr>
                <w:rFonts w:hint="eastAsia" w:ascii="宋体" w:hAnsi="宋体" w:eastAsia="宋体" w:cs="宋体"/>
                <w:b/>
                <w:bCs/>
                <w:snapToGrid/>
                <w:color w:val="auto"/>
                <w:kern w:val="0"/>
                <w:sz w:val="21"/>
                <w:szCs w:val="21"/>
                <w:highlight w:val="none"/>
                <w:lang w:val="en-US" w:eastAsia="zh-CN" w:bidi="ar"/>
              </w:rPr>
              <w:t>说明：以上所称“要求”均指本表评分标准及备注的要求，下同。</w:t>
            </w:r>
          </w:p>
        </w:tc>
      </w:tr>
      <w:tr w14:paraId="25F539A1">
        <w:tblPrEx>
          <w:tblCellMar>
            <w:top w:w="0" w:type="dxa"/>
            <w:left w:w="108" w:type="dxa"/>
            <w:bottom w:w="0" w:type="dxa"/>
            <w:right w:w="108" w:type="dxa"/>
          </w:tblCellMar>
        </w:tblPrEx>
        <w:trPr>
          <w:trHeight w:val="2072"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22ED8E18">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项目经理</w:t>
            </w:r>
          </w:p>
          <w:p w14:paraId="38F20A67">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综合素质</w:t>
            </w:r>
          </w:p>
          <w:p w14:paraId="02956C2C">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leftChars="0" w:right="0" w:rightChars="0"/>
              <w:jc w:val="center"/>
              <w:textAlignment w:val="baseline"/>
              <w:rPr>
                <w:rFonts w:ascii="Times New Roman"/>
                <w:color w:val="auto"/>
                <w:kern w:val="0"/>
                <w:sz w:val="21"/>
                <w:szCs w:val="21"/>
                <w:highlight w:val="none"/>
              </w:rPr>
            </w:pPr>
            <w:r>
              <w:rPr>
                <w:rFonts w:hint="eastAsia" w:ascii="宋体" w:hAnsi="宋体" w:eastAsia="宋体" w:cs="宋体"/>
                <w:snapToGrid/>
                <w:color w:val="auto"/>
                <w:kern w:val="0"/>
                <w:sz w:val="21"/>
                <w:szCs w:val="21"/>
                <w:highlight w:val="none"/>
                <w:lang w:val="en-US" w:eastAsia="zh-CN" w:bidi="ar"/>
              </w:rPr>
              <w:t>（10分）</w:t>
            </w:r>
          </w:p>
        </w:tc>
        <w:tc>
          <w:tcPr>
            <w:tcW w:w="4385" w:type="dxa"/>
            <w:tcBorders>
              <w:top w:val="single" w:color="auto" w:sz="4" w:space="0"/>
              <w:left w:val="nil"/>
              <w:bottom w:val="single" w:color="auto" w:sz="4" w:space="0"/>
              <w:right w:val="single" w:color="auto" w:sz="4" w:space="0"/>
            </w:tcBorders>
            <w:noWrap w:val="0"/>
            <w:vAlign w:val="center"/>
          </w:tcPr>
          <w:p w14:paraId="1D6BB6C6">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项目经理工程类技术职称情况：</w:t>
            </w:r>
          </w:p>
          <w:p w14:paraId="11684120">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1.具备工程师或以上职称的，得</w:t>
            </w:r>
            <w:r>
              <w:rPr>
                <w:rFonts w:hint="eastAsia" w:ascii="宋体" w:hAnsi="宋体" w:eastAsia="宋体" w:cs="宋体"/>
                <w:snapToGrid/>
                <w:color w:val="auto"/>
                <w:kern w:val="0"/>
                <w:sz w:val="21"/>
                <w:szCs w:val="21"/>
                <w:highlight w:val="none"/>
                <w:u w:val="single"/>
                <w:lang w:val="en-US" w:eastAsia="zh-CN" w:bidi="ar"/>
              </w:rPr>
              <w:t>10</w:t>
            </w:r>
            <w:r>
              <w:rPr>
                <w:rFonts w:hint="eastAsia" w:ascii="宋体" w:hAnsi="宋体" w:eastAsia="宋体" w:cs="宋体"/>
                <w:snapToGrid/>
                <w:color w:val="auto"/>
                <w:kern w:val="0"/>
                <w:sz w:val="21"/>
                <w:szCs w:val="21"/>
                <w:highlight w:val="none"/>
                <w:lang w:val="en-US" w:eastAsia="zh-CN" w:bidi="ar"/>
              </w:rPr>
              <w:t>分。</w:t>
            </w:r>
          </w:p>
          <w:p w14:paraId="6D685431">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2.具备助理工程师职称的，得</w:t>
            </w:r>
            <w:r>
              <w:rPr>
                <w:rFonts w:hint="eastAsia" w:ascii="宋体" w:hAnsi="宋体" w:eastAsia="宋体" w:cs="宋体"/>
                <w:snapToGrid/>
                <w:color w:val="auto"/>
                <w:kern w:val="0"/>
                <w:sz w:val="21"/>
                <w:szCs w:val="21"/>
                <w:highlight w:val="none"/>
                <w:u w:val="single"/>
                <w:lang w:val="en-US" w:eastAsia="zh-CN" w:bidi="ar"/>
              </w:rPr>
              <w:t>5</w:t>
            </w:r>
            <w:r>
              <w:rPr>
                <w:rFonts w:hint="eastAsia" w:ascii="宋体" w:hAnsi="宋体" w:eastAsia="宋体" w:cs="宋体"/>
                <w:snapToGrid/>
                <w:color w:val="auto"/>
                <w:kern w:val="0"/>
                <w:sz w:val="21"/>
                <w:szCs w:val="21"/>
                <w:highlight w:val="none"/>
                <w:lang w:val="en-US" w:eastAsia="zh-CN" w:bidi="ar"/>
              </w:rPr>
              <w:t>分。</w:t>
            </w:r>
          </w:p>
          <w:p w14:paraId="577AA4E8">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leftChars="0" w:right="0" w:rightChars="0"/>
              <w:jc w:val="both"/>
              <w:textAlignment w:val="baseline"/>
              <w:rPr>
                <w:rFonts w:ascii="Times New Roman"/>
                <w:color w:val="auto"/>
                <w:kern w:val="0"/>
                <w:sz w:val="21"/>
                <w:szCs w:val="21"/>
                <w:highlight w:val="none"/>
              </w:rPr>
            </w:pPr>
            <w:r>
              <w:rPr>
                <w:rFonts w:hint="eastAsia" w:ascii="宋体" w:hAnsi="宋体" w:eastAsia="宋体" w:cs="宋体"/>
                <w:snapToGrid/>
                <w:color w:val="auto"/>
                <w:kern w:val="0"/>
                <w:sz w:val="21"/>
                <w:szCs w:val="21"/>
                <w:highlight w:val="none"/>
                <w:lang w:val="en-US" w:eastAsia="zh-CN" w:bidi="ar"/>
              </w:rPr>
              <w:t>3.不具备以上职称的，</w:t>
            </w:r>
            <w:r>
              <w:rPr>
                <w:rFonts w:hint="eastAsia"/>
                <w:color w:val="auto"/>
                <w:highlight w:val="none"/>
                <w:lang w:eastAsia="zh-CN"/>
              </w:rPr>
              <w:t>或未提供职称证原件的，</w:t>
            </w:r>
            <w:r>
              <w:rPr>
                <w:rFonts w:hint="eastAsia" w:ascii="宋体" w:hAnsi="宋体" w:eastAsia="宋体" w:cs="宋体"/>
                <w:snapToGrid/>
                <w:color w:val="auto"/>
                <w:kern w:val="0"/>
                <w:sz w:val="21"/>
                <w:szCs w:val="21"/>
                <w:highlight w:val="none"/>
                <w:lang w:val="en-US" w:eastAsia="zh-CN" w:bidi="ar"/>
              </w:rPr>
              <w:t>不予计分。</w:t>
            </w:r>
          </w:p>
        </w:tc>
        <w:tc>
          <w:tcPr>
            <w:tcW w:w="4230" w:type="dxa"/>
            <w:tcBorders>
              <w:top w:val="single" w:color="auto" w:sz="4" w:space="0"/>
              <w:left w:val="nil"/>
              <w:bottom w:val="single" w:color="auto" w:sz="4" w:space="0"/>
              <w:right w:val="single" w:color="auto" w:sz="4" w:space="0"/>
            </w:tcBorders>
            <w:noWrap w:val="0"/>
            <w:vAlign w:val="center"/>
          </w:tcPr>
          <w:p w14:paraId="549BDAF5">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leftChars="0" w:right="0" w:rightChars="0"/>
              <w:jc w:val="both"/>
              <w:textAlignment w:val="baseline"/>
              <w:rPr>
                <w:rFonts w:ascii="Times New Roman"/>
                <w:color w:val="auto"/>
                <w:kern w:val="0"/>
                <w:sz w:val="21"/>
                <w:szCs w:val="21"/>
                <w:highlight w:val="none"/>
              </w:rPr>
            </w:pPr>
            <w:r>
              <w:rPr>
                <w:rFonts w:hint="eastAsia" w:ascii="Times New Roman"/>
                <w:color w:val="auto"/>
                <w:kern w:val="0"/>
                <w:sz w:val="21"/>
                <w:szCs w:val="21"/>
                <w:highlight w:val="none"/>
                <w:lang w:val="en-US" w:eastAsia="zh-CN"/>
              </w:rPr>
              <w:t>需附职称证彩色扫描件，</w:t>
            </w:r>
            <w:r>
              <w:rPr>
                <w:rFonts w:hint="eastAsia" w:ascii="Times New Roman"/>
                <w:b/>
                <w:bCs/>
                <w:color w:val="auto"/>
                <w:kern w:val="0"/>
                <w:sz w:val="21"/>
                <w:szCs w:val="21"/>
                <w:highlight w:val="none"/>
                <w:lang w:val="en-US" w:eastAsia="zh-CN"/>
              </w:rPr>
              <w:t>同时提供原件供核对。（职称证为电子证书打印件的除外）</w:t>
            </w:r>
          </w:p>
        </w:tc>
      </w:tr>
      <w:tr w14:paraId="2F3D4569">
        <w:tblPrEx>
          <w:tblCellMar>
            <w:top w:w="0" w:type="dxa"/>
            <w:left w:w="108" w:type="dxa"/>
            <w:bottom w:w="0" w:type="dxa"/>
            <w:right w:w="108" w:type="dxa"/>
          </w:tblCellMar>
        </w:tblPrEx>
        <w:trPr>
          <w:trHeight w:val="5787"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2BD3841D">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企业业绩</w:t>
            </w:r>
          </w:p>
          <w:p w14:paraId="2B0A153C">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leftChars="0" w:right="0" w:rightChars="0"/>
              <w:jc w:val="center"/>
              <w:textAlignment w:val="baseline"/>
              <w:rPr>
                <w:rFonts w:ascii="Times New Roman"/>
                <w:color w:val="auto"/>
                <w:kern w:val="0"/>
                <w:sz w:val="21"/>
                <w:szCs w:val="21"/>
                <w:highlight w:val="none"/>
              </w:rPr>
            </w:pPr>
            <w:r>
              <w:rPr>
                <w:rFonts w:hint="eastAsia" w:ascii="宋体" w:hAnsi="宋体" w:eastAsia="宋体" w:cs="宋体"/>
                <w:snapToGrid/>
                <w:color w:val="auto"/>
                <w:kern w:val="0"/>
                <w:sz w:val="21"/>
                <w:szCs w:val="21"/>
                <w:highlight w:val="none"/>
                <w:lang w:val="en-US" w:eastAsia="zh-CN" w:bidi="ar"/>
              </w:rPr>
              <w:t>（15分）</w:t>
            </w:r>
          </w:p>
        </w:tc>
        <w:tc>
          <w:tcPr>
            <w:tcW w:w="4385" w:type="dxa"/>
            <w:tcBorders>
              <w:top w:val="single" w:color="auto" w:sz="4" w:space="0"/>
              <w:left w:val="nil"/>
              <w:bottom w:val="single" w:color="auto" w:sz="4" w:space="0"/>
              <w:right w:val="single" w:color="auto" w:sz="4" w:space="0"/>
            </w:tcBorders>
            <w:noWrap w:val="0"/>
            <w:vAlign w:val="center"/>
          </w:tcPr>
          <w:p w14:paraId="083127B8">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企业近</w:t>
            </w:r>
            <w:r>
              <w:rPr>
                <w:rFonts w:hint="eastAsia" w:ascii="宋体" w:hAnsi="宋体" w:eastAsia="宋体" w:cs="宋体"/>
                <w:snapToGrid/>
                <w:color w:val="auto"/>
                <w:kern w:val="0"/>
                <w:sz w:val="21"/>
                <w:szCs w:val="21"/>
                <w:highlight w:val="none"/>
                <w:u w:val="single"/>
                <w:lang w:val="en-US" w:eastAsia="zh-CN" w:bidi="ar"/>
              </w:rPr>
              <w:t>5</w:t>
            </w:r>
            <w:r>
              <w:rPr>
                <w:rFonts w:hint="eastAsia" w:ascii="宋体" w:hAnsi="宋体" w:eastAsia="宋体" w:cs="宋体"/>
                <w:snapToGrid/>
                <w:color w:val="auto"/>
                <w:kern w:val="0"/>
                <w:sz w:val="21"/>
                <w:szCs w:val="21"/>
                <w:highlight w:val="none"/>
                <w:lang w:val="en-US" w:eastAsia="zh-CN" w:bidi="ar"/>
              </w:rPr>
              <w:t>年来（2021年1月1日至今）业绩情况：</w:t>
            </w:r>
          </w:p>
          <w:p w14:paraId="4291DA49">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1.</w:t>
            </w:r>
            <w:r>
              <w:rPr>
                <w:rFonts w:hint="eastAsia" w:ascii="宋体" w:hAnsi="宋体" w:eastAsia="宋体" w:cs="宋体"/>
                <w:snapToGrid/>
                <w:color w:val="auto"/>
                <w:kern w:val="0"/>
                <w:sz w:val="21"/>
                <w:szCs w:val="21"/>
                <w:highlight w:val="none"/>
                <w:u w:val="single"/>
                <w:lang w:val="en-US" w:eastAsia="zh-CN" w:bidi="ar"/>
              </w:rPr>
              <w:t>承接</w:t>
            </w:r>
            <w:r>
              <w:rPr>
                <w:rFonts w:hint="eastAsia" w:ascii="宋体" w:hAnsi="宋体" w:eastAsia="宋体" w:cs="宋体"/>
                <w:snapToGrid/>
                <w:color w:val="auto"/>
                <w:kern w:val="0"/>
                <w:sz w:val="21"/>
                <w:szCs w:val="21"/>
                <w:highlight w:val="none"/>
                <w:lang w:val="en-US" w:eastAsia="zh-CN" w:bidi="ar"/>
              </w:rPr>
              <w:t>过类似工程的，每个得</w:t>
            </w:r>
            <w:r>
              <w:rPr>
                <w:rFonts w:hint="eastAsia" w:ascii="宋体" w:hAnsi="宋体" w:eastAsia="宋体" w:cs="宋体"/>
                <w:snapToGrid/>
                <w:color w:val="auto"/>
                <w:kern w:val="0"/>
                <w:sz w:val="21"/>
                <w:szCs w:val="21"/>
                <w:highlight w:val="none"/>
                <w:u w:val="single"/>
                <w:lang w:val="en-US" w:eastAsia="zh-CN" w:bidi="ar"/>
              </w:rPr>
              <w:t>5</w:t>
            </w:r>
            <w:r>
              <w:rPr>
                <w:rFonts w:hint="eastAsia" w:ascii="宋体" w:hAnsi="宋体" w:eastAsia="宋体" w:cs="宋体"/>
                <w:snapToGrid/>
                <w:color w:val="auto"/>
                <w:kern w:val="0"/>
                <w:sz w:val="21"/>
                <w:szCs w:val="21"/>
                <w:highlight w:val="none"/>
                <w:lang w:val="en-US" w:eastAsia="zh-CN" w:bidi="ar"/>
              </w:rPr>
              <w:t>分。</w:t>
            </w:r>
          </w:p>
          <w:p w14:paraId="323DAAB1">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2.未</w:t>
            </w:r>
            <w:r>
              <w:rPr>
                <w:rFonts w:hint="eastAsia" w:ascii="宋体" w:hAnsi="宋体" w:eastAsia="宋体" w:cs="宋体"/>
                <w:snapToGrid/>
                <w:color w:val="auto"/>
                <w:kern w:val="0"/>
                <w:sz w:val="21"/>
                <w:szCs w:val="21"/>
                <w:highlight w:val="none"/>
                <w:u w:val="single"/>
                <w:lang w:val="en-US" w:eastAsia="zh-CN" w:bidi="ar"/>
              </w:rPr>
              <w:t>承接</w:t>
            </w:r>
            <w:r>
              <w:rPr>
                <w:rFonts w:hint="eastAsia" w:ascii="宋体" w:hAnsi="宋体" w:eastAsia="宋体" w:cs="宋体"/>
                <w:snapToGrid/>
                <w:color w:val="auto"/>
                <w:kern w:val="0"/>
                <w:sz w:val="21"/>
                <w:szCs w:val="21"/>
                <w:highlight w:val="none"/>
                <w:lang w:val="en-US" w:eastAsia="zh-CN" w:bidi="ar"/>
              </w:rPr>
              <w:t>过类似工程的，不予计分。</w:t>
            </w:r>
          </w:p>
          <w:p w14:paraId="12FDED68">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leftChars="0" w:right="0" w:rightChars="0"/>
              <w:jc w:val="both"/>
              <w:textAlignment w:val="baseline"/>
              <w:rPr>
                <w:rFonts w:ascii="Times New Roman"/>
                <w:color w:val="auto"/>
                <w:kern w:val="0"/>
                <w:sz w:val="21"/>
                <w:szCs w:val="21"/>
                <w:highlight w:val="none"/>
              </w:rPr>
            </w:pPr>
            <w:r>
              <w:rPr>
                <w:rFonts w:hint="eastAsia" w:ascii="宋体" w:hAnsi="宋体" w:eastAsia="宋体" w:cs="宋体"/>
                <w:snapToGrid/>
                <w:color w:val="auto"/>
                <w:kern w:val="0"/>
                <w:sz w:val="21"/>
                <w:szCs w:val="21"/>
                <w:highlight w:val="none"/>
                <w:lang w:val="en-US" w:eastAsia="zh-CN" w:bidi="ar"/>
              </w:rPr>
              <w:t>3.本项最高得15分。</w:t>
            </w:r>
          </w:p>
        </w:tc>
        <w:tc>
          <w:tcPr>
            <w:tcW w:w="4230" w:type="dxa"/>
            <w:tcBorders>
              <w:top w:val="single" w:color="auto" w:sz="4" w:space="0"/>
              <w:left w:val="nil"/>
              <w:bottom w:val="single" w:color="auto" w:sz="4" w:space="0"/>
              <w:right w:val="single" w:color="auto" w:sz="4" w:space="0"/>
            </w:tcBorders>
            <w:noWrap w:val="0"/>
            <w:vAlign w:val="center"/>
          </w:tcPr>
          <w:p w14:paraId="0BDD5E1A">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1.类似工程指：类似工程指：</w:t>
            </w:r>
            <w:r>
              <w:rPr>
                <w:rFonts w:hint="eastAsia" w:ascii="宋体" w:hAnsi="宋体" w:eastAsia="宋体" w:cs="宋体"/>
                <w:snapToGrid/>
                <w:color w:val="auto"/>
                <w:kern w:val="0"/>
                <w:sz w:val="21"/>
                <w:szCs w:val="21"/>
                <w:highlight w:val="none"/>
                <w:u w:val="single"/>
                <w:lang w:val="en-US" w:eastAsia="zh-CN" w:bidi="ar"/>
              </w:rPr>
              <w:t>合同金额≥1500万</w:t>
            </w:r>
            <w:r>
              <w:rPr>
                <w:rFonts w:hint="eastAsia" w:ascii="宋体" w:hAnsi="宋体" w:eastAsia="宋体" w:cs="宋体"/>
                <w:snapToGrid/>
                <w:color w:val="auto"/>
                <w:kern w:val="0"/>
                <w:sz w:val="21"/>
                <w:szCs w:val="21"/>
                <w:highlight w:val="none"/>
                <w:lang w:val="en-US" w:eastAsia="zh-CN" w:bidi="ar"/>
              </w:rPr>
              <w:t>元的</w:t>
            </w:r>
            <w:r>
              <w:rPr>
                <w:rFonts w:hint="eastAsia" w:ascii="宋体" w:hAnsi="宋体" w:eastAsia="宋体" w:cs="宋体"/>
                <w:snapToGrid/>
                <w:color w:val="auto"/>
                <w:kern w:val="0"/>
                <w:sz w:val="21"/>
                <w:szCs w:val="21"/>
                <w:highlight w:val="none"/>
                <w:u w:val="single"/>
                <w:lang w:val="en-US" w:eastAsia="zh-CN" w:bidi="ar"/>
              </w:rPr>
              <w:t>市政工程类总承包工程（或设计、施工总承包工程或勘察、设计、施工总承包工程）</w:t>
            </w:r>
            <w:r>
              <w:rPr>
                <w:rFonts w:hint="eastAsia" w:ascii="宋体" w:hAnsi="宋体" w:eastAsia="宋体" w:cs="宋体"/>
                <w:snapToGrid/>
                <w:color w:val="auto"/>
                <w:kern w:val="0"/>
                <w:sz w:val="21"/>
                <w:szCs w:val="21"/>
                <w:highlight w:val="none"/>
                <w:lang w:val="en-US" w:eastAsia="zh-CN" w:bidi="ar"/>
              </w:rPr>
              <w:t>项目。</w:t>
            </w:r>
          </w:p>
          <w:p w14:paraId="7B49D5F9">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2.需附有关业绩（仅限于以施工总承包单位身份参建的项目）合同协议书彩色扫描件。</w:t>
            </w:r>
          </w:p>
          <w:p w14:paraId="2006277C">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3.业绩时间以合同协议书日期为准。</w:t>
            </w:r>
          </w:p>
          <w:p w14:paraId="3E787027">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4.任一业绩有以下情形之一的，该业绩视为无效，不予计分：</w:t>
            </w:r>
          </w:p>
          <w:p w14:paraId="5C2E09A7">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①业绩不属于类似工程的；</w:t>
            </w:r>
          </w:p>
          <w:p w14:paraId="25BD71EC">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②不是以指定身份参建的；</w:t>
            </w:r>
          </w:p>
          <w:p w14:paraId="7B662CA8">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leftChars="0" w:right="0" w:rightChars="0"/>
              <w:jc w:val="both"/>
              <w:textAlignment w:val="baseline"/>
              <w:rPr>
                <w:rFonts w:ascii="Times New Roman"/>
                <w:i/>
                <w:iCs/>
                <w:color w:val="auto"/>
                <w:kern w:val="0"/>
                <w:sz w:val="21"/>
                <w:szCs w:val="21"/>
                <w:highlight w:val="none"/>
              </w:rPr>
            </w:pPr>
            <w:r>
              <w:rPr>
                <w:rFonts w:hint="eastAsia" w:ascii="宋体" w:hAnsi="宋体" w:eastAsia="宋体" w:cs="宋体"/>
                <w:snapToGrid/>
                <w:color w:val="auto"/>
                <w:kern w:val="0"/>
                <w:sz w:val="21"/>
                <w:szCs w:val="21"/>
                <w:highlight w:val="none"/>
                <w:lang w:val="en-US" w:eastAsia="zh-CN" w:bidi="ar"/>
              </w:rPr>
              <w:t>③业绩时间不符合要求的；</w:t>
            </w:r>
          </w:p>
        </w:tc>
      </w:tr>
      <w:tr w14:paraId="24F25ACD">
        <w:tblPrEx>
          <w:tblCellMar>
            <w:top w:w="0" w:type="dxa"/>
            <w:left w:w="108" w:type="dxa"/>
            <w:bottom w:w="0" w:type="dxa"/>
            <w:right w:w="108" w:type="dxa"/>
          </w:tblCellMar>
        </w:tblPrEx>
        <w:trPr>
          <w:trHeight w:val="3311"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6A1EFE3E">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企业银行</w:t>
            </w:r>
          </w:p>
          <w:p w14:paraId="50E478B3">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center"/>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资信评级</w:t>
            </w:r>
          </w:p>
          <w:p w14:paraId="3ACD012F">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leftChars="0" w:right="0" w:rightChars="0"/>
              <w:jc w:val="center"/>
              <w:textAlignment w:val="baseline"/>
              <w:rPr>
                <w:rFonts w:hint="eastAsia" w:ascii="Times New Roman"/>
                <w:color w:val="auto"/>
                <w:kern w:val="0"/>
                <w:sz w:val="21"/>
                <w:szCs w:val="21"/>
                <w:highlight w:val="none"/>
              </w:rPr>
            </w:pPr>
            <w:r>
              <w:rPr>
                <w:rFonts w:hint="eastAsia" w:ascii="宋体" w:hAnsi="宋体" w:eastAsia="宋体" w:cs="宋体"/>
                <w:snapToGrid/>
                <w:color w:val="auto"/>
                <w:kern w:val="0"/>
                <w:sz w:val="21"/>
                <w:szCs w:val="21"/>
                <w:highlight w:val="none"/>
                <w:lang w:val="en-US" w:eastAsia="zh-CN" w:bidi="ar"/>
              </w:rPr>
              <w:t>（5分）</w:t>
            </w:r>
          </w:p>
        </w:tc>
        <w:tc>
          <w:tcPr>
            <w:tcW w:w="4385" w:type="dxa"/>
            <w:tcBorders>
              <w:top w:val="single" w:color="auto" w:sz="4" w:space="0"/>
              <w:left w:val="nil"/>
              <w:bottom w:val="single" w:color="auto" w:sz="4" w:space="0"/>
              <w:right w:val="single" w:color="auto" w:sz="4" w:space="0"/>
            </w:tcBorders>
            <w:noWrap w:val="0"/>
            <w:vAlign w:val="center"/>
          </w:tcPr>
          <w:p w14:paraId="1E5D98CE">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snapToGrid/>
                <w:color w:val="auto"/>
                <w:kern w:val="0"/>
                <w:sz w:val="21"/>
                <w:szCs w:val="21"/>
                <w:highlight w:val="none"/>
                <w:lang w:val="en-US" w:eastAsia="zh-CN" w:bidi="ar"/>
              </w:rPr>
            </w:pPr>
            <w:r>
              <w:rPr>
                <w:rFonts w:hint="eastAsia" w:ascii="宋体" w:hAnsi="宋体" w:eastAsia="宋体" w:cs="宋体"/>
                <w:snapToGrid/>
                <w:color w:val="auto"/>
                <w:kern w:val="0"/>
                <w:sz w:val="21"/>
                <w:szCs w:val="21"/>
                <w:highlight w:val="none"/>
                <w:lang w:val="en-US" w:eastAsia="zh-CN" w:bidi="ar"/>
              </w:rPr>
              <w:t>1.银行资信评级AAA的，得</w:t>
            </w:r>
            <w:r>
              <w:rPr>
                <w:rFonts w:hint="eastAsia" w:ascii="宋体" w:hAnsi="宋体" w:eastAsia="宋体" w:cs="宋体"/>
                <w:snapToGrid/>
                <w:color w:val="auto"/>
                <w:kern w:val="0"/>
                <w:sz w:val="21"/>
                <w:szCs w:val="21"/>
                <w:highlight w:val="none"/>
                <w:u w:val="single"/>
                <w:lang w:val="en-US" w:eastAsia="zh-CN" w:bidi="ar"/>
              </w:rPr>
              <w:t>5</w:t>
            </w:r>
            <w:r>
              <w:rPr>
                <w:rFonts w:hint="eastAsia" w:ascii="宋体" w:hAnsi="宋体" w:eastAsia="宋体" w:cs="宋体"/>
                <w:snapToGrid/>
                <w:color w:val="auto"/>
                <w:kern w:val="0"/>
                <w:sz w:val="21"/>
                <w:szCs w:val="21"/>
                <w:highlight w:val="none"/>
                <w:lang w:val="en-US" w:eastAsia="zh-CN" w:bidi="ar"/>
              </w:rPr>
              <w:t>分；</w:t>
            </w:r>
          </w:p>
          <w:p w14:paraId="4DE8F054">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snapToGrid/>
                <w:color w:val="auto"/>
                <w:kern w:val="0"/>
                <w:sz w:val="21"/>
                <w:szCs w:val="21"/>
                <w:highlight w:val="none"/>
                <w:lang w:val="en-US" w:eastAsia="zh-CN" w:bidi="ar"/>
              </w:rPr>
            </w:pPr>
            <w:r>
              <w:rPr>
                <w:rFonts w:hint="eastAsia" w:ascii="宋体" w:hAnsi="宋体" w:eastAsia="宋体" w:cs="宋体"/>
                <w:snapToGrid/>
                <w:color w:val="auto"/>
                <w:kern w:val="0"/>
                <w:sz w:val="21"/>
                <w:szCs w:val="21"/>
                <w:highlight w:val="none"/>
                <w:lang w:val="en-US" w:eastAsia="zh-CN" w:bidi="ar"/>
              </w:rPr>
              <w:t>2.银行资信评级AA（含AA＋、AA－）的，得</w:t>
            </w:r>
            <w:r>
              <w:rPr>
                <w:rFonts w:hint="eastAsia" w:ascii="宋体" w:hAnsi="宋体" w:eastAsia="宋体" w:cs="宋体"/>
                <w:snapToGrid/>
                <w:color w:val="auto"/>
                <w:kern w:val="0"/>
                <w:sz w:val="21"/>
                <w:szCs w:val="21"/>
                <w:highlight w:val="none"/>
                <w:u w:val="single"/>
                <w:lang w:val="en-US" w:eastAsia="zh-CN" w:bidi="ar"/>
              </w:rPr>
              <w:t>3</w:t>
            </w:r>
            <w:r>
              <w:rPr>
                <w:rFonts w:hint="eastAsia" w:ascii="宋体" w:hAnsi="宋体" w:eastAsia="宋体" w:cs="宋体"/>
                <w:snapToGrid/>
                <w:color w:val="auto"/>
                <w:kern w:val="0"/>
                <w:sz w:val="21"/>
                <w:szCs w:val="21"/>
                <w:highlight w:val="none"/>
                <w:lang w:val="en-US" w:eastAsia="zh-CN" w:bidi="ar"/>
              </w:rPr>
              <w:t>分。</w:t>
            </w:r>
          </w:p>
          <w:p w14:paraId="6D42DEB5">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snapToGrid/>
                <w:color w:val="auto"/>
                <w:kern w:val="0"/>
                <w:sz w:val="21"/>
                <w:szCs w:val="21"/>
                <w:highlight w:val="none"/>
                <w:lang w:val="en-US" w:eastAsia="zh-CN" w:bidi="ar"/>
              </w:rPr>
            </w:pPr>
            <w:r>
              <w:rPr>
                <w:rFonts w:hint="eastAsia" w:ascii="宋体" w:hAnsi="宋体" w:eastAsia="宋体" w:cs="宋体"/>
                <w:snapToGrid/>
                <w:color w:val="auto"/>
                <w:kern w:val="0"/>
                <w:sz w:val="21"/>
                <w:szCs w:val="21"/>
                <w:highlight w:val="none"/>
                <w:lang w:val="en-US" w:eastAsia="zh-CN" w:bidi="ar"/>
              </w:rPr>
              <w:t>3.银行资信评级A（含A＋、A－）的，得</w:t>
            </w:r>
            <w:r>
              <w:rPr>
                <w:rFonts w:hint="eastAsia" w:ascii="宋体" w:hAnsi="宋体" w:eastAsia="宋体" w:cs="宋体"/>
                <w:snapToGrid/>
                <w:color w:val="auto"/>
                <w:kern w:val="0"/>
                <w:sz w:val="21"/>
                <w:szCs w:val="21"/>
                <w:highlight w:val="none"/>
                <w:u w:val="single"/>
                <w:lang w:val="en-US" w:eastAsia="zh-CN" w:bidi="ar"/>
              </w:rPr>
              <w:t>1</w:t>
            </w:r>
            <w:r>
              <w:rPr>
                <w:rFonts w:hint="eastAsia" w:ascii="宋体" w:hAnsi="宋体" w:eastAsia="宋体" w:cs="宋体"/>
                <w:snapToGrid/>
                <w:color w:val="auto"/>
                <w:kern w:val="0"/>
                <w:sz w:val="21"/>
                <w:szCs w:val="21"/>
                <w:highlight w:val="none"/>
                <w:lang w:val="en-US" w:eastAsia="zh-CN" w:bidi="ar"/>
              </w:rPr>
              <w:t>分。</w:t>
            </w:r>
          </w:p>
          <w:p w14:paraId="7F9C77CF">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leftChars="0" w:right="0" w:rightChars="0"/>
              <w:jc w:val="both"/>
              <w:textAlignment w:val="baseline"/>
              <w:rPr>
                <w:rFonts w:ascii="Times New Roman"/>
                <w:color w:val="auto"/>
                <w:kern w:val="0"/>
                <w:sz w:val="21"/>
                <w:szCs w:val="21"/>
                <w:highlight w:val="none"/>
              </w:rPr>
            </w:pPr>
            <w:r>
              <w:rPr>
                <w:rFonts w:hint="eastAsia" w:ascii="宋体" w:hAnsi="宋体" w:eastAsia="宋体" w:cs="宋体"/>
                <w:snapToGrid/>
                <w:color w:val="auto"/>
                <w:kern w:val="0"/>
                <w:sz w:val="21"/>
                <w:szCs w:val="21"/>
                <w:highlight w:val="none"/>
                <w:lang w:val="en-US" w:eastAsia="zh-CN" w:bidi="ar"/>
              </w:rPr>
              <w:t>4.未获得过以上评级的，或评级证书无效的，不予计分。</w:t>
            </w:r>
          </w:p>
        </w:tc>
        <w:tc>
          <w:tcPr>
            <w:tcW w:w="4230" w:type="dxa"/>
            <w:tcBorders>
              <w:top w:val="single" w:color="auto" w:sz="4" w:space="0"/>
              <w:left w:val="nil"/>
              <w:bottom w:val="single" w:color="auto" w:sz="4" w:space="0"/>
              <w:right w:val="single" w:color="auto" w:sz="4" w:space="0"/>
            </w:tcBorders>
            <w:noWrap w:val="0"/>
            <w:vAlign w:val="center"/>
          </w:tcPr>
          <w:p w14:paraId="4F0F3B65">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b/>
                <w:bCs/>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1.需附在有效期内的资信评级证书（证明）彩色扫描件，</w:t>
            </w:r>
            <w:r>
              <w:rPr>
                <w:rFonts w:hint="eastAsia" w:ascii="Times New Roman"/>
                <w:b/>
                <w:bCs/>
                <w:color w:val="auto"/>
                <w:kern w:val="0"/>
                <w:sz w:val="21"/>
                <w:szCs w:val="21"/>
                <w:highlight w:val="none"/>
                <w:lang w:val="en-US" w:eastAsia="zh-CN"/>
              </w:rPr>
              <w:t>同时提供原件供核对。（评级证书（证明）为电子证书打印件的除外）</w:t>
            </w:r>
          </w:p>
          <w:p w14:paraId="7FDAFF8F">
            <w:pPr>
              <w:keepNext w:val="0"/>
              <w:keepLines w:val="0"/>
              <w:widowControl/>
              <w:suppressLineNumbers w:val="0"/>
              <w:jc w:val="left"/>
              <w:rPr>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2.评级证书（证明）须由企业基本账户开户银行/</w:t>
            </w:r>
            <w:r>
              <w:rPr>
                <w:rFonts w:hint="eastAsia" w:ascii="宋体" w:hAnsi="宋体" w:eastAsia="宋体" w:cs="宋体"/>
                <w:snapToGrid w:val="0"/>
                <w:color w:val="auto"/>
                <w:kern w:val="0"/>
                <w:sz w:val="21"/>
                <w:szCs w:val="21"/>
                <w:highlight w:val="none"/>
                <w:lang w:val="en-US" w:eastAsia="zh-CN" w:bidi="ar"/>
              </w:rPr>
              <w:t>市级或以上金融机构</w:t>
            </w:r>
          </w:p>
          <w:p w14:paraId="6E0DC045">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出具。</w:t>
            </w:r>
          </w:p>
          <w:p w14:paraId="2A624081">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3.评级证书（证明）有以下情形之一的，视为无效：</w:t>
            </w:r>
          </w:p>
          <w:p w14:paraId="57A0EF2A">
            <w:pPr>
              <w:pStyle w:val="5"/>
              <w:rPr>
                <w:rFonts w:hint="eastAsia" w:ascii="宋体" w:hAnsi="宋体" w:eastAsia="宋体" w:cs="宋体"/>
                <w:b w:val="0"/>
                <w:bCs w:val="0"/>
                <w:color w:val="auto"/>
                <w:sz w:val="21"/>
                <w:szCs w:val="21"/>
                <w:highlight w:val="none"/>
              </w:rPr>
            </w:pPr>
            <w:r>
              <w:rPr>
                <w:rFonts w:hint="eastAsia" w:ascii="宋体" w:hAnsi="宋体" w:eastAsia="宋体" w:cs="宋体"/>
                <w:b w:val="0"/>
                <w:bCs w:val="0"/>
                <w:snapToGrid/>
                <w:color w:val="auto"/>
                <w:kern w:val="0"/>
                <w:sz w:val="21"/>
                <w:szCs w:val="21"/>
                <w:highlight w:val="none"/>
                <w:lang w:val="en-US" w:eastAsia="zh-CN" w:bidi="ar"/>
              </w:rPr>
              <w:t>①未提供评级证书（证明）原件</w:t>
            </w:r>
            <w:r>
              <w:rPr>
                <w:rFonts w:hint="eastAsia" w:ascii="宋体" w:hAnsi="宋体" w:eastAsia="宋体" w:cs="宋体"/>
                <w:b w:val="0"/>
                <w:bCs w:val="0"/>
                <w:snapToGrid w:val="0"/>
                <w:color w:val="auto"/>
                <w:kern w:val="0"/>
                <w:sz w:val="21"/>
                <w:szCs w:val="21"/>
                <w:highlight w:val="none"/>
                <w:lang w:val="en-US" w:eastAsia="zh-CN"/>
              </w:rPr>
              <w:t>（</w:t>
            </w:r>
            <w:r>
              <w:rPr>
                <w:rFonts w:hint="eastAsia" w:ascii="Times New Roman"/>
                <w:b w:val="0"/>
                <w:bCs w:val="0"/>
                <w:color w:val="auto"/>
                <w:kern w:val="0"/>
                <w:sz w:val="21"/>
                <w:szCs w:val="21"/>
                <w:highlight w:val="none"/>
                <w:lang w:val="en-US" w:eastAsia="zh-CN"/>
              </w:rPr>
              <w:t>评级</w:t>
            </w:r>
            <w:r>
              <w:rPr>
                <w:rFonts w:hint="eastAsia" w:ascii="宋体" w:hAnsi="宋体" w:eastAsia="宋体" w:cs="宋体"/>
                <w:b w:val="0"/>
                <w:bCs w:val="0"/>
                <w:snapToGrid/>
                <w:color w:val="auto"/>
                <w:kern w:val="0"/>
                <w:sz w:val="21"/>
                <w:szCs w:val="21"/>
                <w:highlight w:val="none"/>
                <w:lang w:val="en-US" w:eastAsia="zh-CN" w:bidi="ar"/>
              </w:rPr>
              <w:t>证书（证明）</w:t>
            </w:r>
            <w:r>
              <w:rPr>
                <w:rFonts w:hint="eastAsia" w:ascii="Times New Roman"/>
                <w:b w:val="0"/>
                <w:bCs w:val="0"/>
                <w:color w:val="auto"/>
                <w:kern w:val="0"/>
                <w:sz w:val="21"/>
                <w:szCs w:val="21"/>
                <w:highlight w:val="none"/>
                <w:lang w:val="en-US" w:eastAsia="zh-CN"/>
              </w:rPr>
              <w:t>为电子证书打印件的除外</w:t>
            </w:r>
            <w:r>
              <w:rPr>
                <w:rFonts w:hint="eastAsia" w:ascii="宋体" w:hAnsi="宋体" w:eastAsia="宋体" w:cs="宋体"/>
                <w:b w:val="0"/>
                <w:bCs w:val="0"/>
                <w:snapToGrid w:val="0"/>
                <w:color w:val="auto"/>
                <w:kern w:val="0"/>
                <w:sz w:val="21"/>
                <w:szCs w:val="21"/>
                <w:highlight w:val="none"/>
                <w:lang w:val="en-US" w:eastAsia="zh-CN"/>
              </w:rPr>
              <w:t>）</w:t>
            </w:r>
            <w:r>
              <w:rPr>
                <w:rFonts w:hint="eastAsia" w:ascii="宋体" w:hAnsi="宋体" w:eastAsia="宋体" w:cs="宋体"/>
                <w:b w:val="0"/>
                <w:bCs w:val="0"/>
                <w:snapToGrid/>
                <w:color w:val="auto"/>
                <w:kern w:val="0"/>
                <w:sz w:val="21"/>
                <w:szCs w:val="21"/>
                <w:highlight w:val="none"/>
                <w:lang w:val="en-US" w:eastAsia="zh-CN" w:bidi="ar"/>
              </w:rPr>
              <w:t>；</w:t>
            </w:r>
          </w:p>
          <w:p w14:paraId="5B6788CD">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right="0"/>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color w:val="auto"/>
                <w:kern w:val="0"/>
                <w:sz w:val="21"/>
                <w:szCs w:val="21"/>
                <w:highlight w:val="none"/>
                <w:lang w:val="en-US" w:eastAsia="zh-CN" w:bidi="ar"/>
              </w:rPr>
              <w:t>②评级证书（证明）不在有效期内的；</w:t>
            </w:r>
          </w:p>
          <w:p w14:paraId="51E61AFA">
            <w:pPr>
              <w:keepNext w:val="0"/>
              <w:keepLines w:val="0"/>
              <w:widowControl w:val="0"/>
              <w:suppressLineNumbers w:val="0"/>
              <w:kinsoku w:val="0"/>
              <w:autoSpaceDE w:val="0"/>
              <w:autoSpaceDN w:val="0"/>
              <w:adjustRightInd w:val="0"/>
              <w:snapToGrid w:val="0"/>
              <w:spacing w:before="0" w:beforeAutospacing="0" w:after="0" w:afterAutospacing="0" w:line="360" w:lineRule="auto"/>
              <w:ind w:left="0" w:leftChars="0" w:right="0" w:rightChars="0"/>
              <w:jc w:val="both"/>
              <w:textAlignment w:val="baseline"/>
              <w:rPr>
                <w:rFonts w:ascii="Times New Roman"/>
                <w:color w:val="auto"/>
                <w:kern w:val="0"/>
                <w:sz w:val="21"/>
                <w:szCs w:val="21"/>
                <w:highlight w:val="none"/>
              </w:rPr>
            </w:pPr>
            <w:r>
              <w:rPr>
                <w:rFonts w:hint="eastAsia" w:ascii="宋体" w:hAnsi="宋体" w:eastAsia="宋体" w:cs="宋体"/>
                <w:snapToGrid/>
                <w:color w:val="auto"/>
                <w:kern w:val="0"/>
                <w:sz w:val="21"/>
                <w:szCs w:val="21"/>
                <w:highlight w:val="none"/>
                <w:lang w:val="en-US" w:eastAsia="zh-CN" w:bidi="ar"/>
              </w:rPr>
              <w:t>③出具机构不符合要求的。</w:t>
            </w:r>
          </w:p>
        </w:tc>
      </w:tr>
      <w:tr w14:paraId="69B67653">
        <w:tblPrEx>
          <w:tblCellMar>
            <w:top w:w="0" w:type="dxa"/>
            <w:left w:w="108" w:type="dxa"/>
            <w:bottom w:w="0" w:type="dxa"/>
            <w:right w:w="108" w:type="dxa"/>
          </w:tblCellMar>
        </w:tblPrEx>
        <w:trPr>
          <w:trHeight w:val="2898"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31741E3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企业管理</w:t>
            </w:r>
          </w:p>
          <w:p w14:paraId="1F3F0C8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体系认证</w:t>
            </w:r>
          </w:p>
          <w:p w14:paraId="3ACD61DC">
            <w:pPr>
              <w:keepNext w:val="0"/>
              <w:keepLines w:val="0"/>
              <w:widowControl w:val="0"/>
              <w:suppressLineNumbers w:val="0"/>
              <w:spacing w:before="0" w:beforeAutospacing="0" w:after="0" w:afterAutospacing="0" w:line="360" w:lineRule="auto"/>
              <w:ind w:left="0" w:leftChars="0" w:right="0" w:rightChars="0"/>
              <w:jc w:val="center"/>
              <w:rPr>
                <w:rFonts w:ascii="Times New Roman"/>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（6分）</w:t>
            </w:r>
          </w:p>
        </w:tc>
        <w:tc>
          <w:tcPr>
            <w:tcW w:w="4385" w:type="dxa"/>
            <w:tcBorders>
              <w:top w:val="single" w:color="auto" w:sz="4" w:space="0"/>
              <w:left w:val="nil"/>
              <w:bottom w:val="single" w:color="auto" w:sz="4" w:space="0"/>
              <w:right w:val="single" w:color="auto" w:sz="4" w:space="0"/>
            </w:tcBorders>
            <w:noWrap w:val="0"/>
            <w:vAlign w:val="center"/>
          </w:tcPr>
          <w:p w14:paraId="1A2D285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1.质量管理体系认证、职业健康安全管理体系认证、环境管理体系认证中，每获得1项认证得</w:t>
            </w:r>
            <w:r>
              <w:rPr>
                <w:rFonts w:hint="eastAsia" w:ascii="宋体" w:hAnsi="宋体" w:eastAsia="宋体" w:cs="宋体"/>
                <w:color w:val="auto"/>
                <w:kern w:val="2"/>
                <w:sz w:val="21"/>
                <w:szCs w:val="21"/>
                <w:highlight w:val="none"/>
                <w:u w:val="single"/>
                <w:lang w:val="en-US" w:eastAsia="zh-CN" w:bidi="ar"/>
              </w:rPr>
              <w:t>2</w:t>
            </w:r>
            <w:r>
              <w:rPr>
                <w:rFonts w:hint="eastAsia" w:ascii="宋体" w:hAnsi="宋体" w:eastAsia="宋体" w:cs="宋体"/>
                <w:color w:val="auto"/>
                <w:kern w:val="2"/>
                <w:sz w:val="21"/>
                <w:szCs w:val="21"/>
                <w:highlight w:val="none"/>
                <w:lang w:val="en-US" w:eastAsia="zh-CN" w:bidi="ar"/>
              </w:rPr>
              <w:t>分，最高得6分。</w:t>
            </w:r>
          </w:p>
          <w:p w14:paraId="3A104374">
            <w:pPr>
              <w:keepNext w:val="0"/>
              <w:keepLines w:val="0"/>
              <w:widowControl w:val="0"/>
              <w:suppressLineNumbers w:val="0"/>
              <w:spacing w:before="0" w:beforeAutospacing="0" w:after="0" w:afterAutospacing="0" w:line="360" w:lineRule="auto"/>
              <w:ind w:left="0" w:leftChars="0" w:right="0" w:rightChars="0"/>
              <w:jc w:val="both"/>
              <w:rPr>
                <w:rFonts w:ascii="Times New Roman"/>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2.未获得以上认证的，不予计分。</w:t>
            </w:r>
          </w:p>
        </w:tc>
        <w:tc>
          <w:tcPr>
            <w:tcW w:w="4230" w:type="dxa"/>
            <w:tcBorders>
              <w:top w:val="single" w:color="auto" w:sz="4" w:space="0"/>
              <w:left w:val="nil"/>
              <w:bottom w:val="single" w:color="auto" w:sz="4" w:space="0"/>
              <w:right w:val="single" w:color="auto" w:sz="4" w:space="0"/>
            </w:tcBorders>
            <w:noWrap w:val="0"/>
            <w:vAlign w:val="center"/>
          </w:tcPr>
          <w:p w14:paraId="1896F835">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1．需附在有效期内的认证证书彩色扫描件</w:t>
            </w:r>
            <w:r>
              <w:rPr>
                <w:rFonts w:hint="eastAsia" w:ascii="宋体" w:hAnsi="宋体" w:eastAsia="宋体" w:cs="宋体"/>
                <w:b/>
                <w:bCs/>
                <w:color w:val="auto"/>
                <w:kern w:val="2"/>
                <w:sz w:val="21"/>
                <w:szCs w:val="21"/>
                <w:highlight w:val="none"/>
                <w:lang w:val="en-US" w:eastAsia="zh-CN" w:bidi="ar"/>
              </w:rPr>
              <w:t>。</w:t>
            </w:r>
            <w:r>
              <w:rPr>
                <w:rFonts w:hint="eastAsia" w:ascii="宋体" w:hAnsi="宋体" w:eastAsia="宋体" w:cs="宋体"/>
                <w:color w:val="auto"/>
                <w:kern w:val="2"/>
                <w:sz w:val="21"/>
                <w:szCs w:val="21"/>
                <w:highlight w:val="none"/>
                <w:lang w:val="en-US" w:eastAsia="zh-CN" w:bidi="ar"/>
              </w:rPr>
              <w:t>2.任一认证证书有以下情形之一的，该认证证书视为无效，不予计分：</w:t>
            </w:r>
          </w:p>
          <w:p w14:paraId="40E34962">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①未提供认证证书原件的；</w:t>
            </w:r>
          </w:p>
          <w:p w14:paraId="3DC28E2E">
            <w:pPr>
              <w:keepNext w:val="0"/>
              <w:keepLines w:val="0"/>
              <w:widowControl w:val="0"/>
              <w:suppressLineNumbers w:val="0"/>
              <w:spacing w:before="0" w:beforeAutospacing="0" w:after="0" w:afterAutospacing="0" w:line="360" w:lineRule="auto"/>
              <w:ind w:left="0" w:leftChars="0" w:right="0" w:rightChars="0"/>
              <w:jc w:val="both"/>
              <w:rPr>
                <w:rFonts w:ascii="Times New Roman"/>
                <w:color w:val="auto"/>
                <w:kern w:val="0"/>
                <w:sz w:val="21"/>
                <w:szCs w:val="21"/>
                <w:highlight w:val="none"/>
              </w:rPr>
            </w:pPr>
            <w:r>
              <w:rPr>
                <w:rFonts w:hint="eastAsia" w:ascii="宋体" w:hAnsi="宋体" w:eastAsia="宋体" w:cs="宋体"/>
                <w:color w:val="auto"/>
                <w:kern w:val="2"/>
                <w:sz w:val="21"/>
                <w:szCs w:val="21"/>
                <w:highlight w:val="none"/>
                <w:lang w:val="en-US" w:eastAsia="zh-CN" w:bidi="ar"/>
              </w:rPr>
              <w:t>②认证证书不在有效期内的。</w:t>
            </w:r>
          </w:p>
        </w:tc>
      </w:tr>
      <w:tr w14:paraId="168EEC7C">
        <w:tblPrEx>
          <w:tblCellMar>
            <w:top w:w="0" w:type="dxa"/>
            <w:left w:w="108" w:type="dxa"/>
            <w:bottom w:w="0" w:type="dxa"/>
            <w:right w:w="108" w:type="dxa"/>
          </w:tblCellMar>
        </w:tblPrEx>
        <w:trPr>
          <w:trHeight w:val="1828"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1900C836">
            <w:pPr>
              <w:keepNext w:val="0"/>
              <w:keepLines w:val="0"/>
              <w:pageBreakBefore w:val="0"/>
              <w:widowControl w:val="0"/>
              <w:kinsoku/>
              <w:wordWrap w:val="0"/>
              <w:overflowPunct/>
              <w:topLinePunct w:val="0"/>
              <w:autoSpaceDE/>
              <w:autoSpaceDN/>
              <w:bidi w:val="0"/>
              <w:adjustRightInd w:val="0"/>
              <w:snapToGrid w:val="0"/>
              <w:spacing w:before="0" w:after="0" w:afterLines="0" w:afterAutospacing="0" w:line="360" w:lineRule="exact"/>
              <w:ind w:left="0" w:leftChars="0" w:right="0" w:righ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企业</w:t>
            </w:r>
          </w:p>
          <w:p w14:paraId="1DC43F16">
            <w:pPr>
              <w:keepNext w:val="0"/>
              <w:keepLines w:val="0"/>
              <w:pageBreakBefore w:val="0"/>
              <w:widowControl w:val="0"/>
              <w:kinsoku/>
              <w:wordWrap w:val="0"/>
              <w:overflowPunct/>
              <w:topLinePunct w:val="0"/>
              <w:autoSpaceDE/>
              <w:autoSpaceDN/>
              <w:bidi w:val="0"/>
              <w:adjustRightInd w:val="0"/>
              <w:snapToGrid w:val="0"/>
              <w:spacing w:before="0" w:after="0" w:afterLines="0" w:afterAutospacing="0" w:line="360" w:lineRule="exact"/>
              <w:ind w:left="0" w:leftChars="0" w:right="0" w:righ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财务状况</w:t>
            </w:r>
          </w:p>
          <w:p w14:paraId="4E7375C6">
            <w:pPr>
              <w:keepNext w:val="0"/>
              <w:keepLines w:val="0"/>
              <w:pageBreakBefore w:val="0"/>
              <w:widowControl w:val="0"/>
              <w:kinsoku/>
              <w:wordWrap w:val="0"/>
              <w:overflowPunct/>
              <w:topLinePunct w:val="0"/>
              <w:autoSpaceDE/>
              <w:autoSpaceDN/>
              <w:bidi w:val="0"/>
              <w:adjustRightInd w:val="0"/>
              <w:snapToGrid w:val="0"/>
              <w:spacing w:before="0" w:after="0" w:afterLines="0" w:afterAutospacing="0" w:line="360" w:lineRule="exact"/>
              <w:ind w:left="0" w:leftChars="0" w:right="0" w:righ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（9分）</w:t>
            </w:r>
          </w:p>
          <w:p w14:paraId="02FEA04C">
            <w:pPr>
              <w:keepNext w:val="0"/>
              <w:keepLines w:val="0"/>
              <w:pageBreakBefore w:val="0"/>
              <w:widowControl w:val="0"/>
              <w:kinsoku/>
              <w:wordWrap w:val="0"/>
              <w:overflowPunct/>
              <w:topLinePunct w:val="0"/>
              <w:autoSpaceDE/>
              <w:autoSpaceDN/>
              <w:bidi w:val="0"/>
              <w:adjustRightInd w:val="0"/>
              <w:snapToGrid w:val="0"/>
              <w:spacing w:before="0" w:after="0" w:afterLines="0" w:afterAutospacing="0" w:line="360" w:lineRule="exact"/>
              <w:ind w:left="0" w:leftChars="0" w:right="0" w:righ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
              </w:rPr>
            </w:pPr>
          </w:p>
        </w:tc>
        <w:tc>
          <w:tcPr>
            <w:tcW w:w="4385" w:type="dxa"/>
            <w:tcBorders>
              <w:top w:val="single" w:color="auto" w:sz="4" w:space="0"/>
              <w:left w:val="nil"/>
              <w:bottom w:val="single" w:color="auto" w:sz="4" w:space="0"/>
              <w:right w:val="single" w:color="auto" w:sz="4" w:space="0"/>
            </w:tcBorders>
            <w:noWrap w:val="0"/>
            <w:vAlign w:val="center"/>
          </w:tcPr>
          <w:p w14:paraId="418A1A14">
            <w:pPr>
              <w:keepNext w:val="0"/>
              <w:keepLines w:val="0"/>
              <w:pageBreakBefore w:val="0"/>
              <w:widowControl w:val="0"/>
              <w:numPr>
                <w:ilvl w:val="0"/>
                <w:numId w:val="1"/>
              </w:numPr>
              <w:kinsoku/>
              <w:wordWrap w:val="0"/>
              <w:overflowPunct/>
              <w:topLinePunct w:val="0"/>
              <w:autoSpaceDE/>
              <w:autoSpaceDN/>
              <w:bidi w:val="0"/>
              <w:adjustRightInd w:val="0"/>
              <w:snapToGrid w:val="0"/>
              <w:spacing w:before="0" w:after="0" w:line="360" w:lineRule="exact"/>
              <w:ind w:left="0" w:leftChars="0" w:right="0" w:rightChars="0" w:firstLine="0" w:firstLineChars="0"/>
              <w:jc w:val="left"/>
              <w:textAlignment w:val="auto"/>
              <w:outlineLvl w:val="9"/>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提供不少于</w:t>
            </w:r>
            <w:r>
              <w:rPr>
                <w:rFonts w:hint="eastAsia" w:ascii="宋体" w:hAnsi="宋体" w:eastAsia="宋体" w:cs="宋体"/>
                <w:snapToGrid w:val="0"/>
                <w:color w:val="auto"/>
                <w:kern w:val="2"/>
                <w:sz w:val="21"/>
                <w:szCs w:val="21"/>
                <w:highlight w:val="none"/>
                <w:u w:val="single"/>
                <w:lang w:val="en-US" w:eastAsia="zh-CN" w:bidi="ar-SA"/>
              </w:rPr>
              <w:t>100</w:t>
            </w:r>
            <w:r>
              <w:rPr>
                <w:rFonts w:hint="eastAsia" w:ascii="宋体" w:hAnsi="宋体" w:eastAsia="宋体" w:cs="宋体"/>
                <w:snapToGrid w:val="0"/>
                <w:color w:val="auto"/>
                <w:kern w:val="2"/>
                <w:sz w:val="21"/>
                <w:szCs w:val="21"/>
                <w:highlight w:val="none"/>
                <w:lang w:val="en-US" w:eastAsia="zh-CN" w:bidi="ar-SA"/>
              </w:rPr>
              <w:t>万元银行授信证明的，得4分。</w:t>
            </w:r>
          </w:p>
          <w:p w14:paraId="31C16D02">
            <w:pPr>
              <w:keepNext w:val="0"/>
              <w:keepLines w:val="0"/>
              <w:pageBreakBefore w:val="0"/>
              <w:widowControl w:val="0"/>
              <w:numPr>
                <w:ilvl w:val="0"/>
                <w:numId w:val="1"/>
              </w:numPr>
              <w:kinsoku/>
              <w:wordWrap w:val="0"/>
              <w:overflowPunct/>
              <w:topLinePunct w:val="0"/>
              <w:autoSpaceDE/>
              <w:autoSpaceDN/>
              <w:bidi w:val="0"/>
              <w:adjustRightInd w:val="0"/>
              <w:snapToGrid w:val="0"/>
              <w:spacing w:before="0" w:after="0" w:line="360" w:lineRule="exact"/>
              <w:ind w:left="0" w:leftChars="0" w:right="0" w:rightChars="0" w:firstLine="0" w:firstLineChars="0"/>
              <w:jc w:val="left"/>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snapToGrid w:val="0"/>
                <w:color w:val="auto"/>
                <w:kern w:val="2"/>
                <w:sz w:val="21"/>
                <w:szCs w:val="21"/>
                <w:highlight w:val="none"/>
                <w:lang w:val="en-US" w:eastAsia="zh-CN" w:bidi="ar-SA"/>
              </w:rPr>
              <w:t>提供投标人基本账户在本项目招标公告发布之日起至投标截止时间期间出现过至少连续3日不少于</w:t>
            </w:r>
            <w:r>
              <w:rPr>
                <w:rFonts w:hint="eastAsia" w:ascii="宋体" w:hAnsi="宋体" w:eastAsia="宋体" w:cs="宋体"/>
                <w:snapToGrid w:val="0"/>
                <w:color w:val="auto"/>
                <w:kern w:val="2"/>
                <w:sz w:val="21"/>
                <w:szCs w:val="21"/>
                <w:highlight w:val="none"/>
                <w:u w:val="single"/>
                <w:lang w:val="en-US" w:eastAsia="zh-CN" w:bidi="ar-SA"/>
              </w:rPr>
              <w:t>100</w:t>
            </w:r>
            <w:r>
              <w:rPr>
                <w:rFonts w:hint="eastAsia" w:ascii="宋体" w:hAnsi="宋体" w:eastAsia="宋体" w:cs="宋体"/>
                <w:snapToGrid w:val="0"/>
                <w:color w:val="auto"/>
                <w:kern w:val="2"/>
                <w:sz w:val="21"/>
                <w:szCs w:val="21"/>
                <w:highlight w:val="none"/>
                <w:lang w:val="en-US" w:eastAsia="zh-CN" w:bidi="ar-SA"/>
              </w:rPr>
              <w:t>万元存款余额资金流水证明的，得5分。</w:t>
            </w:r>
          </w:p>
        </w:tc>
        <w:tc>
          <w:tcPr>
            <w:tcW w:w="4230" w:type="dxa"/>
            <w:tcBorders>
              <w:top w:val="single" w:color="auto" w:sz="4" w:space="0"/>
              <w:left w:val="nil"/>
              <w:bottom w:val="single" w:color="auto" w:sz="4" w:space="0"/>
              <w:right w:val="single" w:color="auto" w:sz="4" w:space="0"/>
            </w:tcBorders>
            <w:noWrap w:val="0"/>
            <w:vAlign w:val="center"/>
          </w:tcPr>
          <w:p w14:paraId="39205FE3">
            <w:pPr>
              <w:keepNext w:val="0"/>
              <w:keepLines w:val="0"/>
              <w:pageBreakBefore w:val="0"/>
              <w:widowControl w:val="0"/>
              <w:kinsoku/>
              <w:wordWrap w:val="0"/>
              <w:overflowPunct/>
              <w:topLinePunct w:val="0"/>
              <w:autoSpaceDE/>
              <w:autoSpaceDN/>
              <w:bidi w:val="0"/>
              <w:adjustRightInd w:val="0"/>
              <w:snapToGrid w:val="0"/>
              <w:spacing w:before="0" w:after="0" w:afterLines="0" w:afterAutospacing="0" w:line="36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1．</w:t>
            </w:r>
            <w:r>
              <w:rPr>
                <w:rFonts w:hint="eastAsia" w:ascii="宋体" w:hAnsi="宋体" w:eastAsia="宋体" w:cs="宋体"/>
                <w:snapToGrid w:val="0"/>
                <w:color w:val="auto"/>
                <w:kern w:val="0"/>
                <w:sz w:val="21"/>
                <w:szCs w:val="21"/>
                <w:highlight w:val="none"/>
              </w:rPr>
              <w:t>需附在有效期内的有关证明</w:t>
            </w:r>
            <w:r>
              <w:rPr>
                <w:rFonts w:hint="eastAsia" w:ascii="宋体" w:hAnsi="宋体" w:eastAsia="宋体" w:cs="宋体"/>
                <w:snapToGrid w:val="0"/>
                <w:color w:val="auto"/>
                <w:kern w:val="0"/>
                <w:sz w:val="21"/>
                <w:szCs w:val="21"/>
                <w:highlight w:val="none"/>
                <w:lang w:eastAsia="zh-CN"/>
              </w:rPr>
              <w:t>电子扫描件</w:t>
            </w:r>
            <w:r>
              <w:rPr>
                <w:rFonts w:hint="eastAsia" w:ascii="宋体" w:hAnsi="宋体" w:eastAsia="宋体" w:cs="宋体"/>
                <w:caps w:val="0"/>
                <w:smallCaps w:val="0"/>
                <w:snapToGrid w:val="0"/>
                <w:color w:val="auto"/>
                <w:spacing w:val="0"/>
                <w:kern w:val="0"/>
                <w:sz w:val="21"/>
                <w:szCs w:val="21"/>
                <w:highlight w:val="none"/>
                <w:lang w:val="en-US" w:eastAsia="zh-CN" w:bidi="ar-SA"/>
              </w:rPr>
              <w:t>。</w:t>
            </w:r>
          </w:p>
          <w:p w14:paraId="0503F78D">
            <w:pPr>
              <w:keepNext w:val="0"/>
              <w:keepLines w:val="0"/>
              <w:pageBreakBefore w:val="0"/>
              <w:widowControl w:val="0"/>
              <w:kinsoku/>
              <w:wordWrap w:val="0"/>
              <w:overflowPunct/>
              <w:topLinePunct w:val="0"/>
              <w:autoSpaceDE/>
              <w:autoSpaceDN/>
              <w:bidi w:val="0"/>
              <w:adjustRightInd w:val="0"/>
              <w:snapToGrid w:val="0"/>
              <w:spacing w:before="0" w:after="0" w:afterLines="0" w:afterAutospacing="0" w:line="36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2．银行授信证明有以下情形之一的，视为无效，不予计分：</w:t>
            </w:r>
          </w:p>
          <w:p w14:paraId="6DB66BB0">
            <w:pPr>
              <w:keepNext w:val="0"/>
              <w:keepLines w:val="0"/>
              <w:pageBreakBefore w:val="0"/>
              <w:widowControl w:val="0"/>
              <w:kinsoku/>
              <w:wordWrap w:val="0"/>
              <w:overflowPunct/>
              <w:topLinePunct w:val="0"/>
              <w:autoSpaceDE/>
              <w:autoSpaceDN/>
              <w:bidi w:val="0"/>
              <w:adjustRightInd w:val="0"/>
              <w:snapToGrid w:val="0"/>
              <w:spacing w:before="0" w:after="0" w:afterLines="0" w:afterAutospacing="0" w:line="36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①授信证明不在有效期内的；</w:t>
            </w:r>
          </w:p>
          <w:p w14:paraId="520941C5">
            <w:pPr>
              <w:keepNext w:val="0"/>
              <w:keepLines w:val="0"/>
              <w:pageBreakBefore w:val="0"/>
              <w:widowControl w:val="0"/>
              <w:kinsoku/>
              <w:wordWrap w:val="0"/>
              <w:overflowPunct/>
              <w:topLinePunct w:val="0"/>
              <w:autoSpaceDE/>
              <w:autoSpaceDN/>
              <w:bidi w:val="0"/>
              <w:adjustRightInd w:val="0"/>
              <w:snapToGrid w:val="0"/>
              <w:spacing w:before="0" w:after="0" w:afterLines="0" w:afterAutospacing="0" w:line="36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②授信额度不符合要求的；</w:t>
            </w:r>
          </w:p>
          <w:p w14:paraId="6B915220">
            <w:pPr>
              <w:keepNext w:val="0"/>
              <w:keepLines w:val="0"/>
              <w:pageBreakBefore w:val="0"/>
              <w:widowControl w:val="0"/>
              <w:kinsoku/>
              <w:wordWrap w:val="0"/>
              <w:overflowPunct/>
              <w:topLinePunct w:val="0"/>
              <w:autoSpaceDE/>
              <w:autoSpaceDN/>
              <w:bidi w:val="0"/>
              <w:adjustRightInd w:val="0"/>
              <w:snapToGrid w:val="0"/>
              <w:spacing w:before="0" w:after="0" w:afterLines="0" w:afterAutospacing="0" w:line="36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3．存款余额资金流水证明有以下情形之一的，视为无效，不予计分：</w:t>
            </w:r>
          </w:p>
          <w:p w14:paraId="03FAAAA0">
            <w:pPr>
              <w:keepNext w:val="0"/>
              <w:keepLines w:val="0"/>
              <w:pageBreakBefore w:val="0"/>
              <w:widowControl w:val="0"/>
              <w:kinsoku/>
              <w:wordWrap w:val="0"/>
              <w:overflowPunct/>
              <w:topLinePunct w:val="0"/>
              <w:autoSpaceDE/>
              <w:autoSpaceDN/>
              <w:bidi w:val="0"/>
              <w:adjustRightInd w:val="0"/>
              <w:snapToGrid w:val="0"/>
              <w:spacing w:before="0" w:after="0" w:afterLines="0" w:afterAutospacing="0" w:line="36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①存款账户不是基本账户的；</w:t>
            </w:r>
          </w:p>
          <w:p w14:paraId="0FD111F0">
            <w:pPr>
              <w:keepNext w:val="0"/>
              <w:keepLines w:val="0"/>
              <w:pageBreakBefore w:val="0"/>
              <w:widowControl w:val="0"/>
              <w:kinsoku/>
              <w:wordWrap w:val="0"/>
              <w:overflowPunct/>
              <w:topLinePunct w:val="0"/>
              <w:autoSpaceDE/>
              <w:autoSpaceDN/>
              <w:bidi w:val="0"/>
              <w:adjustRightInd w:val="0"/>
              <w:snapToGrid w:val="0"/>
              <w:spacing w:before="0" w:after="0" w:afterLines="0" w:afterAutospacing="0" w:line="360" w:lineRule="exact"/>
              <w:ind w:left="0" w:leftChars="0" w:right="0" w:rightChars="0" w:firstLine="0" w:firstLineChars="0"/>
              <w:jc w:val="both"/>
              <w:textAlignment w:val="auto"/>
              <w:outlineLvl w:val="9"/>
              <w:rPr>
                <w:rFonts w:hint="eastAsia" w:ascii="宋体" w:hAnsi="宋体" w:eastAsia="宋体" w:cs="宋体"/>
                <w:caps w:val="0"/>
                <w:smallCaps w:val="0"/>
                <w:snapToGrid w:val="0"/>
                <w:color w:val="auto"/>
                <w:spacing w:val="0"/>
                <w:kern w:val="0"/>
                <w:sz w:val="21"/>
                <w:szCs w:val="21"/>
                <w:highlight w:val="none"/>
                <w:lang w:val="en-US" w:eastAsia="zh-CN" w:bidi="ar-SA"/>
              </w:rPr>
            </w:pPr>
            <w:r>
              <w:rPr>
                <w:rFonts w:hint="eastAsia" w:ascii="宋体" w:hAnsi="宋体" w:eastAsia="宋体" w:cs="宋体"/>
                <w:caps w:val="0"/>
                <w:smallCaps w:val="0"/>
                <w:snapToGrid w:val="0"/>
                <w:color w:val="auto"/>
                <w:spacing w:val="0"/>
                <w:kern w:val="0"/>
                <w:sz w:val="21"/>
                <w:szCs w:val="21"/>
                <w:highlight w:val="none"/>
                <w:lang w:val="en-US" w:eastAsia="zh-CN" w:bidi="ar-SA"/>
              </w:rPr>
              <w:t>②存款时间不符合要求的；</w:t>
            </w:r>
          </w:p>
          <w:p w14:paraId="6C63B3DF">
            <w:pPr>
              <w:keepNext w:val="0"/>
              <w:keepLines w:val="0"/>
              <w:pageBreakBefore w:val="0"/>
              <w:widowControl w:val="0"/>
              <w:kinsoku/>
              <w:wordWrap w:val="0"/>
              <w:overflowPunct/>
              <w:topLinePunct w:val="0"/>
              <w:autoSpaceDE/>
              <w:autoSpaceDN/>
              <w:bidi w:val="0"/>
              <w:adjustRightInd w:val="0"/>
              <w:snapToGrid w:val="0"/>
              <w:spacing w:before="0" w:after="0" w:afterLines="0" w:afterAutospacing="0" w:line="360" w:lineRule="exact"/>
              <w:ind w:left="0" w:leftChars="0" w:right="0" w:rightChars="0" w:firstLine="0" w:firstLineChars="0"/>
              <w:jc w:val="both"/>
              <w:textAlignment w:val="auto"/>
              <w:outlineLvl w:val="9"/>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aps w:val="0"/>
                <w:smallCaps w:val="0"/>
                <w:snapToGrid w:val="0"/>
                <w:color w:val="auto"/>
                <w:spacing w:val="0"/>
                <w:kern w:val="0"/>
                <w:sz w:val="21"/>
                <w:szCs w:val="21"/>
                <w:highlight w:val="none"/>
                <w:lang w:val="en-US" w:eastAsia="zh-CN" w:bidi="ar-SA"/>
              </w:rPr>
              <w:t>③存款额度不符合要求的。</w:t>
            </w:r>
          </w:p>
        </w:tc>
      </w:tr>
      <w:tr w14:paraId="10FB204E">
        <w:tblPrEx>
          <w:tblCellMar>
            <w:top w:w="0" w:type="dxa"/>
            <w:left w:w="108" w:type="dxa"/>
            <w:bottom w:w="0" w:type="dxa"/>
            <w:right w:w="108" w:type="dxa"/>
          </w:tblCellMar>
        </w:tblPrEx>
        <w:trPr>
          <w:trHeight w:val="3705" w:hRule="atLeast"/>
          <w:jc w:val="center"/>
        </w:trPr>
        <w:tc>
          <w:tcPr>
            <w:tcW w:w="1205" w:type="dxa"/>
            <w:vMerge w:val="restart"/>
            <w:tcBorders>
              <w:top w:val="single" w:color="auto" w:sz="4" w:space="0"/>
              <w:left w:val="single" w:color="auto" w:sz="4" w:space="0"/>
              <w:right w:val="single" w:color="auto" w:sz="4" w:space="0"/>
            </w:tcBorders>
            <w:noWrap w:val="0"/>
            <w:vAlign w:val="center"/>
          </w:tcPr>
          <w:p w14:paraId="507F429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招标人</w:t>
            </w:r>
          </w:p>
          <w:p w14:paraId="6C6C63D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自选项</w:t>
            </w:r>
          </w:p>
          <w:p w14:paraId="412EAF4E">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
              </w:rPr>
              <w:t>（20分）</w:t>
            </w:r>
          </w:p>
        </w:tc>
        <w:tc>
          <w:tcPr>
            <w:tcW w:w="4385" w:type="dxa"/>
            <w:tcBorders>
              <w:top w:val="single" w:color="auto" w:sz="4" w:space="0"/>
              <w:left w:val="nil"/>
              <w:bottom w:val="single" w:color="auto" w:sz="4" w:space="0"/>
              <w:right w:val="single" w:color="auto" w:sz="4" w:space="0"/>
            </w:tcBorders>
            <w:noWrap w:val="0"/>
            <w:vAlign w:val="center"/>
          </w:tcPr>
          <w:p w14:paraId="3DB1187F">
            <w:pPr>
              <w:pStyle w:val="13"/>
              <w:keepNext w:val="0"/>
              <w:keepLines w:val="0"/>
              <w:widowControl w:val="0"/>
              <w:numPr>
                <w:ilvl w:val="0"/>
                <w:numId w:val="2"/>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企业连续12年以上(含12年)获得纳税信用 A级纳税人的，得5分。(其中必须有2025年度)</w:t>
            </w:r>
          </w:p>
          <w:p w14:paraId="0AFA20E4">
            <w:pPr>
              <w:pStyle w:val="13"/>
              <w:keepNext w:val="0"/>
              <w:keepLines w:val="0"/>
              <w:widowControl w:val="0"/>
              <w:numPr>
                <w:ilvl w:val="0"/>
                <w:numId w:val="2"/>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企业连续获得6-11年纳税信用A级纳税人的，得3分。(其中必须有 2025 年度)</w:t>
            </w:r>
          </w:p>
          <w:p w14:paraId="6C03F225">
            <w:pPr>
              <w:pStyle w:val="13"/>
              <w:keepNext w:val="0"/>
              <w:keepLines w:val="0"/>
              <w:widowControl w:val="0"/>
              <w:numPr>
                <w:ilvl w:val="0"/>
                <w:numId w:val="2"/>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企业获得1-5年纳税信用 A 级纳税人的，得2分。(其中必须有 2025年度)</w:t>
            </w:r>
          </w:p>
          <w:p w14:paraId="5CAB37F5">
            <w:pPr>
              <w:pStyle w:val="13"/>
              <w:keepNext w:val="0"/>
              <w:keepLines w:val="0"/>
              <w:widowControl w:val="0"/>
              <w:numPr>
                <w:ilvl w:val="0"/>
                <w:numId w:val="2"/>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firstLine="0" w:firstLineChars="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其他情形的，不予计分。</w:t>
            </w:r>
          </w:p>
          <w:p w14:paraId="139C49FD">
            <w:pPr>
              <w:pStyle w:val="13"/>
              <w:keepNext w:val="0"/>
              <w:keepLines w:val="0"/>
              <w:widowControl w:val="0"/>
              <w:numPr>
                <w:ilvl w:val="0"/>
                <w:numId w:val="2"/>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leftChars="0"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本项最高得 5 分。</w:t>
            </w:r>
          </w:p>
        </w:tc>
        <w:tc>
          <w:tcPr>
            <w:tcW w:w="4230" w:type="dxa"/>
            <w:tcBorders>
              <w:top w:val="single" w:color="auto" w:sz="4" w:space="0"/>
              <w:left w:val="nil"/>
              <w:bottom w:val="single" w:color="auto" w:sz="4" w:space="0"/>
              <w:right w:val="single" w:color="auto" w:sz="4" w:space="0"/>
            </w:tcBorders>
            <w:noWrap w:val="0"/>
            <w:vAlign w:val="center"/>
          </w:tcPr>
          <w:p w14:paraId="643DEA9F">
            <w:pPr>
              <w:widowControl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1.必须提供企业纳税信用A级纳税人证明材料（或证书）彩色扫描件，否则不得分。</w:t>
            </w:r>
          </w:p>
          <w:p w14:paraId="1342031D">
            <w:pPr>
              <w:widowControl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2.只计算投标人自身（不计算投标人的分公司、子公司及分支机构）</w:t>
            </w:r>
          </w:p>
        </w:tc>
      </w:tr>
      <w:tr w14:paraId="5BBFA90F">
        <w:tblPrEx>
          <w:tblCellMar>
            <w:top w:w="0" w:type="dxa"/>
            <w:left w:w="108" w:type="dxa"/>
            <w:bottom w:w="0" w:type="dxa"/>
            <w:right w:w="108" w:type="dxa"/>
          </w:tblCellMar>
        </w:tblPrEx>
        <w:trPr>
          <w:trHeight w:val="1325" w:hRule="atLeast"/>
          <w:jc w:val="center"/>
        </w:trPr>
        <w:tc>
          <w:tcPr>
            <w:tcW w:w="1205" w:type="dxa"/>
            <w:vMerge w:val="continue"/>
            <w:tcBorders>
              <w:left w:val="single" w:color="auto" w:sz="4" w:space="0"/>
              <w:right w:val="single" w:color="auto" w:sz="4" w:space="0"/>
            </w:tcBorders>
            <w:noWrap w:val="0"/>
            <w:vAlign w:val="center"/>
          </w:tcPr>
          <w:p w14:paraId="32F88EE5">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1"/>
                <w:szCs w:val="21"/>
                <w:highlight w:val="none"/>
              </w:rPr>
            </w:pPr>
          </w:p>
        </w:tc>
        <w:tc>
          <w:tcPr>
            <w:tcW w:w="4385" w:type="dxa"/>
            <w:tcBorders>
              <w:top w:val="single" w:color="auto" w:sz="4" w:space="0"/>
              <w:left w:val="nil"/>
              <w:bottom w:val="single" w:color="auto" w:sz="4" w:space="0"/>
              <w:right w:val="single" w:color="auto" w:sz="4" w:space="0"/>
            </w:tcBorders>
            <w:shd w:val="clear" w:color="auto" w:fill="auto"/>
            <w:noWrap w:val="0"/>
            <w:vAlign w:val="center"/>
          </w:tcPr>
          <w:p w14:paraId="6D329FD6">
            <w:pPr>
              <w:spacing w:line="360" w:lineRule="auto"/>
              <w:rPr>
                <w:rFonts w:hint="eastAsia" w:hAnsi="宋体" w:cs="宋体"/>
                <w:color w:val="auto"/>
                <w:kern w:val="0"/>
                <w:highlight w:val="none"/>
              </w:rPr>
            </w:pPr>
            <w:r>
              <w:rPr>
                <w:rFonts w:hint="eastAsia" w:hAnsi="宋体" w:eastAsia="宋体" w:cs="宋体"/>
                <w:color w:val="auto"/>
                <w:kern w:val="0"/>
                <w:highlight w:val="none"/>
                <w:lang w:val="en-US" w:eastAsia="zh-CN"/>
              </w:rPr>
              <w:t>1.</w:t>
            </w:r>
            <w:r>
              <w:rPr>
                <w:rFonts w:hint="eastAsia" w:hAnsi="宋体" w:cs="宋体"/>
                <w:color w:val="auto"/>
                <w:kern w:val="0"/>
                <w:highlight w:val="none"/>
              </w:rPr>
              <w:t>近5年来（2021年1月1日至今）</w:t>
            </w:r>
            <w:r>
              <w:rPr>
                <w:rFonts w:hint="eastAsia" w:hAnsi="宋体" w:cs="宋体"/>
                <w:color w:val="auto"/>
                <w:kern w:val="0"/>
                <w:highlight w:val="none"/>
                <w:lang w:val="en-US" w:eastAsia="zh-CN"/>
              </w:rPr>
              <w:t xml:space="preserve">投标人未发生事故等级为一般事故及以上的生产安全事故、一般质量事故及以上的工程质量事故 </w:t>
            </w:r>
          </w:p>
          <w:p w14:paraId="1786A4F2">
            <w:pPr>
              <w:spacing w:line="360" w:lineRule="auto"/>
              <w:rPr>
                <w:rFonts w:hint="eastAsia" w:hAnsi="宋体" w:cs="宋体"/>
                <w:color w:val="auto"/>
                <w:kern w:val="0"/>
                <w:highlight w:val="none"/>
                <w:lang w:val="en-US" w:eastAsia="zh-CN"/>
              </w:rPr>
            </w:pPr>
            <w:r>
              <w:rPr>
                <w:rFonts w:hint="eastAsia" w:hAnsi="宋体" w:cs="宋体"/>
                <w:color w:val="auto"/>
                <w:kern w:val="0"/>
                <w:highlight w:val="none"/>
                <w:lang w:val="en-US" w:eastAsia="zh-CN"/>
              </w:rPr>
              <w:t>的，得 5分；</w:t>
            </w:r>
          </w:p>
          <w:p w14:paraId="0FADA288">
            <w:pPr>
              <w:spacing w:line="360" w:lineRule="auto"/>
              <w:rPr>
                <w:rFonts w:hint="eastAsia" w:hAnsi="宋体" w:cs="宋体"/>
                <w:color w:val="auto"/>
                <w:kern w:val="0"/>
                <w:highlight w:val="none"/>
                <w:lang w:val="en-US" w:eastAsia="zh-CN"/>
              </w:rPr>
            </w:pPr>
            <w:r>
              <w:rPr>
                <w:rFonts w:hint="eastAsia" w:hAnsi="宋体" w:cs="宋体"/>
                <w:color w:val="auto"/>
                <w:kern w:val="0"/>
                <w:highlight w:val="none"/>
                <w:lang w:val="en-US" w:eastAsia="zh-CN"/>
              </w:rPr>
              <w:t>2.其他情形的，不予计分。</w:t>
            </w:r>
          </w:p>
          <w:p w14:paraId="6351DFC2">
            <w:pPr>
              <w:spacing w:line="360" w:lineRule="auto"/>
              <w:rPr>
                <w:rFonts w:hint="eastAsia" w:hAnsi="宋体" w:cs="宋体"/>
                <w:color w:val="auto"/>
                <w:kern w:val="0"/>
                <w:highlight w:val="none"/>
                <w:lang w:val="en-US" w:eastAsia="zh-CN"/>
              </w:rPr>
            </w:pPr>
          </w:p>
        </w:tc>
        <w:tc>
          <w:tcPr>
            <w:tcW w:w="4230" w:type="dxa"/>
            <w:tcBorders>
              <w:top w:val="single" w:color="auto" w:sz="4" w:space="0"/>
              <w:left w:val="nil"/>
              <w:bottom w:val="single" w:color="auto" w:sz="4" w:space="0"/>
              <w:right w:val="single" w:color="auto" w:sz="4" w:space="0"/>
            </w:tcBorders>
            <w:shd w:val="clear" w:color="auto" w:fill="auto"/>
            <w:noWrap w:val="0"/>
            <w:vAlign w:val="center"/>
          </w:tcPr>
          <w:p w14:paraId="23B740DD">
            <w:pPr>
              <w:spacing w:line="360" w:lineRule="auto"/>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 xml:space="preserve">1.需提供本单位承诺书（格式自定）并加盖本单位公章。 </w:t>
            </w:r>
          </w:p>
          <w:p w14:paraId="7ABD512D">
            <w:pPr>
              <w:spacing w:line="360" w:lineRule="auto"/>
              <w:rPr>
                <w:rFonts w:hint="eastAsia" w:ascii="宋体" w:hAnsi="宋体" w:eastAsia="宋体" w:cs="宋体"/>
                <w:strike w:val="0"/>
                <w:dstrike w:val="0"/>
                <w:color w:val="auto"/>
                <w:sz w:val="21"/>
                <w:szCs w:val="21"/>
                <w:highlight w:val="none"/>
                <w:lang w:val="en-US" w:eastAsia="zh-CN"/>
              </w:rPr>
            </w:pPr>
            <w:r>
              <w:rPr>
                <w:rFonts w:hint="eastAsia" w:ascii="宋体" w:hAnsi="宋体" w:eastAsia="宋体" w:cs="宋体"/>
                <w:strike w:val="0"/>
                <w:dstrike w:val="0"/>
                <w:color w:val="auto"/>
                <w:sz w:val="21"/>
                <w:szCs w:val="21"/>
                <w:highlight w:val="none"/>
                <w:lang w:val="en-US" w:eastAsia="zh-CN"/>
              </w:rPr>
              <w:t>2.未提供本单位承诺书并加盖本单位公章的，按第 2 项标准处理。</w:t>
            </w:r>
          </w:p>
          <w:p w14:paraId="71279CD9">
            <w:pPr>
              <w:spacing w:line="360" w:lineRule="auto"/>
              <w:rPr>
                <w:rFonts w:hint="eastAsia" w:ascii="宋体" w:hAnsi="宋体" w:eastAsia="宋体" w:cs="宋体"/>
                <w:strike w:val="0"/>
                <w:dstrike w:val="0"/>
                <w:color w:val="auto"/>
                <w:sz w:val="21"/>
                <w:szCs w:val="21"/>
                <w:highlight w:val="none"/>
                <w:lang w:val="en-US" w:eastAsia="zh-CN"/>
              </w:rPr>
            </w:pPr>
          </w:p>
        </w:tc>
      </w:tr>
      <w:tr w14:paraId="6E10E3D3">
        <w:tblPrEx>
          <w:tblCellMar>
            <w:top w:w="0" w:type="dxa"/>
            <w:left w:w="108" w:type="dxa"/>
            <w:bottom w:w="0" w:type="dxa"/>
            <w:right w:w="108" w:type="dxa"/>
          </w:tblCellMar>
        </w:tblPrEx>
        <w:trPr>
          <w:trHeight w:val="1325" w:hRule="atLeast"/>
          <w:jc w:val="center"/>
        </w:trPr>
        <w:tc>
          <w:tcPr>
            <w:tcW w:w="1205" w:type="dxa"/>
            <w:vMerge w:val="continue"/>
            <w:tcBorders>
              <w:left w:val="single" w:color="auto" w:sz="4" w:space="0"/>
              <w:right w:val="single" w:color="auto" w:sz="4" w:space="0"/>
            </w:tcBorders>
            <w:noWrap w:val="0"/>
            <w:vAlign w:val="center"/>
          </w:tcPr>
          <w:p w14:paraId="0052F6E3">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1"/>
                <w:szCs w:val="21"/>
                <w:highlight w:val="none"/>
              </w:rPr>
            </w:pPr>
          </w:p>
        </w:tc>
        <w:tc>
          <w:tcPr>
            <w:tcW w:w="4385" w:type="dxa"/>
            <w:tcBorders>
              <w:top w:val="single" w:color="auto" w:sz="4" w:space="0"/>
              <w:left w:val="nil"/>
              <w:bottom w:val="single" w:color="auto" w:sz="4" w:space="0"/>
              <w:right w:val="single" w:color="auto" w:sz="4" w:space="0"/>
            </w:tcBorders>
            <w:shd w:val="clear" w:color="auto" w:fill="auto"/>
            <w:noWrap w:val="0"/>
            <w:vAlign w:val="center"/>
          </w:tcPr>
          <w:p w14:paraId="19336CBF">
            <w:pPr>
              <w:keepNext w:val="0"/>
              <w:keepLines w:val="0"/>
              <w:widowControl w:val="0"/>
              <w:suppressLineNumbers w:val="0"/>
              <w:spacing w:before="0" w:beforeAutospacing="0" w:after="0" w:afterAutospacing="0" w:line="360" w:lineRule="auto"/>
              <w:ind w:left="0" w:leftChars="0" w:right="0" w:rightChars="0"/>
              <w:jc w:val="both"/>
              <w:rPr>
                <w:rFonts w:hint="eastAsia" w:ascii="宋体" w:hAnsi="宋体" w:eastAsia="宋体" w:cs="宋体"/>
                <w:strike w:val="0"/>
                <w:dstrike w:val="0"/>
                <w:color w:val="auto"/>
                <w:sz w:val="21"/>
                <w:szCs w:val="21"/>
                <w:highlight w:val="none"/>
              </w:rPr>
            </w:pPr>
            <w:r>
              <w:rPr>
                <w:rFonts w:hint="eastAsia" w:ascii="宋体" w:hAnsi="宋体" w:eastAsia="宋体" w:cs="宋体"/>
                <w:strike w:val="0"/>
                <w:dstrike w:val="0"/>
                <w:color w:val="auto"/>
                <w:sz w:val="21"/>
                <w:szCs w:val="21"/>
                <w:highlight w:val="none"/>
                <w:lang w:val="en-US" w:eastAsia="zh-CN"/>
              </w:rPr>
              <w:t xml:space="preserve">1.企业近 5 年度（2021年度至今）获得过省级或以上商业联合会颁发的诚信兴商证书的 得 5 分； </w:t>
            </w:r>
          </w:p>
          <w:p w14:paraId="556D61F9">
            <w:pPr>
              <w:keepNext w:val="0"/>
              <w:keepLines w:val="0"/>
              <w:widowControl w:val="0"/>
              <w:suppressLineNumbers w:val="0"/>
              <w:spacing w:before="0" w:beforeAutospacing="0" w:after="0" w:afterAutospacing="0" w:line="360" w:lineRule="auto"/>
              <w:ind w:left="0" w:leftChars="0" w:right="0" w:rightChars="0"/>
              <w:jc w:val="both"/>
              <w:rPr>
                <w:rFonts w:hint="eastAsia" w:ascii="宋体" w:hAnsi="宋体" w:eastAsia="宋体" w:cs="宋体"/>
                <w:strike w:val="0"/>
                <w:dstrike w:val="0"/>
                <w:snapToGrid w:val="0"/>
                <w:color w:val="auto"/>
                <w:sz w:val="21"/>
                <w:szCs w:val="21"/>
                <w:highlight w:val="none"/>
                <w:lang w:val="en-US" w:eastAsia="en-US" w:bidi="ar-SA"/>
              </w:rPr>
            </w:pPr>
            <w:r>
              <w:rPr>
                <w:rFonts w:hint="eastAsia" w:ascii="宋体" w:hAnsi="宋体" w:eastAsia="宋体" w:cs="宋体"/>
                <w:strike w:val="0"/>
                <w:dstrike w:val="0"/>
                <w:color w:val="auto"/>
                <w:sz w:val="21"/>
                <w:szCs w:val="21"/>
                <w:highlight w:val="none"/>
                <w:lang w:val="en-US" w:eastAsia="zh-CN"/>
              </w:rPr>
              <w:t>2.其他情形的，不予计分。</w:t>
            </w:r>
          </w:p>
        </w:tc>
        <w:tc>
          <w:tcPr>
            <w:tcW w:w="4230" w:type="dxa"/>
            <w:tcBorders>
              <w:top w:val="single" w:color="auto" w:sz="4" w:space="0"/>
              <w:left w:val="nil"/>
              <w:bottom w:val="single" w:color="auto" w:sz="4" w:space="0"/>
              <w:right w:val="single" w:color="auto" w:sz="4" w:space="0"/>
            </w:tcBorders>
            <w:shd w:val="clear" w:color="auto" w:fill="auto"/>
            <w:noWrap w:val="0"/>
            <w:vAlign w:val="center"/>
          </w:tcPr>
          <w:p w14:paraId="70AA9706">
            <w:pPr>
              <w:keepNext w:val="0"/>
              <w:keepLines w:val="0"/>
              <w:widowControl w:val="0"/>
              <w:suppressLineNumbers w:val="0"/>
              <w:spacing w:before="0" w:beforeAutospacing="0" w:after="0" w:afterAutospacing="0" w:line="360" w:lineRule="auto"/>
              <w:ind w:left="0" w:leftChars="0" w:right="0" w:rightChars="0"/>
              <w:jc w:val="both"/>
              <w:rPr>
                <w:rFonts w:hint="eastAsia" w:ascii="宋体" w:hAnsi="宋体" w:eastAsia="宋体" w:cs="宋体"/>
                <w:strike w:val="0"/>
                <w:dstrike w:val="0"/>
                <w:color w:val="auto"/>
                <w:sz w:val="21"/>
                <w:szCs w:val="21"/>
                <w:highlight w:val="none"/>
                <w:lang w:eastAsia="zh-CN"/>
              </w:rPr>
            </w:pPr>
            <w:r>
              <w:rPr>
                <w:rFonts w:hint="eastAsia" w:ascii="宋体" w:hAnsi="宋体" w:eastAsia="宋体" w:cs="宋体"/>
                <w:strike w:val="0"/>
                <w:dstrike w:val="0"/>
                <w:color w:val="auto"/>
                <w:sz w:val="21"/>
                <w:szCs w:val="21"/>
                <w:highlight w:val="none"/>
                <w:lang w:val="en-US" w:eastAsia="zh-CN"/>
              </w:rPr>
              <w:t xml:space="preserve">１．证书由省级或以上商业联合会颁发，须提供有关证书彩色扫描件，同时提供原件核对。 </w:t>
            </w:r>
          </w:p>
          <w:p w14:paraId="672971FD">
            <w:pPr>
              <w:keepNext w:val="0"/>
              <w:keepLines w:val="0"/>
              <w:widowControl w:val="0"/>
              <w:suppressLineNumbers w:val="0"/>
              <w:spacing w:before="0" w:beforeAutospacing="0" w:after="0" w:afterAutospacing="0" w:line="360" w:lineRule="auto"/>
              <w:ind w:left="0" w:leftChars="0" w:right="0" w:rightChars="0"/>
              <w:jc w:val="both"/>
              <w:rPr>
                <w:rFonts w:hint="eastAsia" w:ascii="宋体" w:hAnsi="宋体" w:eastAsia="宋体" w:cs="宋体"/>
                <w:strike w:val="0"/>
                <w:dstrike w:val="0"/>
                <w:snapToGrid w:val="0"/>
                <w:color w:val="auto"/>
                <w:sz w:val="21"/>
                <w:szCs w:val="21"/>
                <w:highlight w:val="none"/>
                <w:lang w:val="en-US" w:eastAsia="zh-CN" w:bidi="ar-SA"/>
              </w:rPr>
            </w:pPr>
            <w:r>
              <w:rPr>
                <w:rFonts w:hint="eastAsia" w:ascii="宋体" w:hAnsi="宋体" w:eastAsia="宋体" w:cs="宋体"/>
                <w:strike w:val="0"/>
                <w:dstrike w:val="0"/>
                <w:color w:val="auto"/>
                <w:sz w:val="21"/>
                <w:szCs w:val="21"/>
                <w:highlight w:val="none"/>
                <w:lang w:val="en-US" w:eastAsia="zh-CN"/>
              </w:rPr>
              <w:t>2．未提供原件的，颁发机构不符合要求的，按第 2 项标准处理。</w:t>
            </w:r>
          </w:p>
        </w:tc>
      </w:tr>
      <w:tr w14:paraId="59778437">
        <w:tblPrEx>
          <w:tblCellMar>
            <w:top w:w="0" w:type="dxa"/>
            <w:left w:w="108" w:type="dxa"/>
            <w:bottom w:w="0" w:type="dxa"/>
            <w:right w:w="108" w:type="dxa"/>
          </w:tblCellMar>
        </w:tblPrEx>
        <w:trPr>
          <w:trHeight w:val="2611" w:hRule="atLeast"/>
          <w:jc w:val="center"/>
        </w:trPr>
        <w:tc>
          <w:tcPr>
            <w:tcW w:w="1205" w:type="dxa"/>
            <w:vMerge w:val="continue"/>
            <w:tcBorders>
              <w:left w:val="single" w:color="auto" w:sz="4" w:space="0"/>
              <w:right w:val="single" w:color="auto" w:sz="4" w:space="0"/>
            </w:tcBorders>
            <w:noWrap w:val="0"/>
            <w:vAlign w:val="center"/>
          </w:tcPr>
          <w:p w14:paraId="03F68FD4">
            <w:pPr>
              <w:keepNext w:val="0"/>
              <w:keepLines w:val="0"/>
              <w:widowControl w:val="0"/>
              <w:suppressLineNumbers w:val="0"/>
              <w:spacing w:before="0" w:beforeAutospacing="0" w:after="0" w:afterAutospacing="0" w:line="360" w:lineRule="auto"/>
              <w:ind w:left="0" w:leftChars="0" w:right="0" w:rightChars="0"/>
              <w:jc w:val="center"/>
              <w:rPr>
                <w:rFonts w:hint="eastAsia" w:ascii="宋体" w:hAnsi="宋体" w:eastAsia="宋体" w:cs="宋体"/>
                <w:color w:val="auto"/>
                <w:sz w:val="21"/>
                <w:szCs w:val="21"/>
                <w:highlight w:val="none"/>
              </w:rPr>
            </w:pPr>
          </w:p>
        </w:tc>
        <w:tc>
          <w:tcPr>
            <w:tcW w:w="4385" w:type="dxa"/>
            <w:tcBorders>
              <w:top w:val="single" w:color="auto" w:sz="4" w:space="0"/>
              <w:left w:val="nil"/>
              <w:bottom w:val="single" w:color="auto" w:sz="4" w:space="0"/>
              <w:right w:val="single" w:color="auto" w:sz="4" w:space="0"/>
            </w:tcBorders>
            <w:noWrap w:val="0"/>
            <w:vAlign w:val="center"/>
          </w:tcPr>
          <w:p w14:paraId="0B35903C">
            <w:pPr>
              <w:keepNext w:val="0"/>
              <w:keepLines w:val="0"/>
              <w:widowControl/>
              <w:suppressLineNumbers w:val="0"/>
              <w:spacing w:line="360" w:lineRule="auto"/>
              <w:jc w:val="left"/>
              <w:rPr>
                <w:color w:val="auto"/>
                <w:highlight w:val="none"/>
              </w:rPr>
            </w:pPr>
            <w:r>
              <w:rPr>
                <w:rFonts w:hint="eastAsia" w:ascii="宋体" w:hAnsi="宋体" w:eastAsia="宋体" w:cs="宋体"/>
                <w:snapToGrid w:val="0"/>
                <w:color w:val="auto"/>
                <w:kern w:val="0"/>
                <w:sz w:val="20"/>
                <w:szCs w:val="20"/>
                <w:highlight w:val="none"/>
                <w:lang w:val="en-US" w:eastAsia="zh-CN" w:bidi="ar"/>
              </w:rPr>
              <w:t xml:space="preserve">1.企业近 </w:t>
            </w:r>
            <w:r>
              <w:rPr>
                <w:rFonts w:hint="eastAsia" w:ascii="Times New Roman" w:hAnsi="Times New Roman" w:eastAsia="宋体" w:cs="Times New Roman"/>
                <w:snapToGrid w:val="0"/>
                <w:color w:val="auto"/>
                <w:kern w:val="0"/>
                <w:sz w:val="20"/>
                <w:szCs w:val="20"/>
                <w:highlight w:val="none"/>
                <w:lang w:val="en-US" w:eastAsia="zh-CN" w:bidi="ar"/>
              </w:rPr>
              <w:t>5</w:t>
            </w:r>
            <w:r>
              <w:rPr>
                <w:rFonts w:hint="default" w:ascii="Times New Roman" w:hAnsi="Times New Roman" w:eastAsia="宋体" w:cs="Times New Roman"/>
                <w:snapToGrid w:val="0"/>
                <w:color w:val="auto"/>
                <w:kern w:val="0"/>
                <w:sz w:val="20"/>
                <w:szCs w:val="20"/>
                <w:highlight w:val="none"/>
                <w:lang w:val="en-US" w:eastAsia="zh-CN" w:bidi="ar"/>
              </w:rPr>
              <w:t xml:space="preserve"> </w:t>
            </w:r>
            <w:r>
              <w:rPr>
                <w:rFonts w:hint="eastAsia" w:ascii="宋体" w:hAnsi="宋体" w:eastAsia="宋体" w:cs="宋体"/>
                <w:snapToGrid w:val="0"/>
                <w:color w:val="auto"/>
                <w:kern w:val="0"/>
                <w:sz w:val="20"/>
                <w:szCs w:val="20"/>
                <w:highlight w:val="none"/>
                <w:lang w:val="en-US" w:eastAsia="zh-CN" w:bidi="ar"/>
              </w:rPr>
              <w:t>年度（</w:t>
            </w:r>
            <w:r>
              <w:rPr>
                <w:rFonts w:hint="eastAsia" w:ascii="Times New Roman" w:hAnsi="Times New Roman" w:eastAsia="宋体" w:cs="Times New Roman"/>
                <w:snapToGrid w:val="0"/>
                <w:color w:val="auto"/>
                <w:kern w:val="0"/>
                <w:sz w:val="20"/>
                <w:szCs w:val="20"/>
                <w:highlight w:val="none"/>
                <w:lang w:val="en-US" w:eastAsia="zh-CN" w:bidi="ar"/>
              </w:rPr>
              <w:t>2021</w:t>
            </w:r>
            <w:r>
              <w:rPr>
                <w:rFonts w:hint="eastAsia" w:ascii="宋体" w:hAnsi="宋体" w:eastAsia="宋体" w:cs="宋体"/>
                <w:snapToGrid w:val="0"/>
                <w:color w:val="auto"/>
                <w:kern w:val="0"/>
                <w:sz w:val="20"/>
                <w:szCs w:val="20"/>
                <w:highlight w:val="none"/>
                <w:lang w:val="en-US" w:eastAsia="zh-CN" w:bidi="ar"/>
              </w:rPr>
              <w:t>年度至今）获得过</w:t>
            </w:r>
            <w:r>
              <w:rPr>
                <w:rFonts w:hint="eastAsia" w:ascii="宋体" w:hAnsi="宋体" w:eastAsia="宋体" w:cs="宋体"/>
                <w:b/>
                <w:bCs/>
                <w:snapToGrid w:val="0"/>
                <w:color w:val="auto"/>
                <w:kern w:val="0"/>
                <w:sz w:val="20"/>
                <w:szCs w:val="20"/>
                <w:highlight w:val="none"/>
                <w:lang w:val="en-US" w:eastAsia="zh-CN" w:bidi="ar"/>
              </w:rPr>
              <w:t>“中国建筑业协会”</w:t>
            </w:r>
            <w:r>
              <w:rPr>
                <w:rFonts w:hint="eastAsia" w:ascii="宋体" w:hAnsi="宋体" w:eastAsia="宋体" w:cs="宋体"/>
                <w:snapToGrid w:val="0"/>
                <w:color w:val="auto"/>
                <w:kern w:val="0"/>
                <w:sz w:val="20"/>
                <w:szCs w:val="20"/>
                <w:highlight w:val="none"/>
                <w:lang w:val="en-US" w:eastAsia="zh-CN" w:bidi="ar"/>
              </w:rPr>
              <w:t xml:space="preserve">颁发的企业信用等级 </w:t>
            </w:r>
            <w:r>
              <w:rPr>
                <w:rFonts w:hint="default" w:ascii="Times New Roman" w:hAnsi="Times New Roman" w:eastAsia="宋体" w:cs="Times New Roman"/>
                <w:snapToGrid w:val="0"/>
                <w:color w:val="auto"/>
                <w:kern w:val="0"/>
                <w:sz w:val="20"/>
                <w:szCs w:val="20"/>
                <w:highlight w:val="none"/>
                <w:lang w:val="en-US" w:eastAsia="zh-CN" w:bidi="ar"/>
              </w:rPr>
              <w:t xml:space="preserve">AAA </w:t>
            </w:r>
          </w:p>
          <w:p w14:paraId="2E3652FC">
            <w:pPr>
              <w:keepNext w:val="0"/>
              <w:keepLines w:val="0"/>
              <w:widowControl/>
              <w:suppressLineNumbers w:val="0"/>
              <w:spacing w:line="360" w:lineRule="auto"/>
              <w:jc w:val="left"/>
              <w:rPr>
                <w:color w:val="auto"/>
                <w:highlight w:val="none"/>
              </w:rPr>
            </w:pPr>
            <w:r>
              <w:rPr>
                <w:rFonts w:hint="eastAsia" w:ascii="宋体" w:hAnsi="宋体" w:eastAsia="宋体" w:cs="宋体"/>
                <w:snapToGrid w:val="0"/>
                <w:color w:val="auto"/>
                <w:kern w:val="0"/>
                <w:sz w:val="20"/>
                <w:szCs w:val="20"/>
                <w:highlight w:val="none"/>
                <w:lang w:val="en-US" w:eastAsia="zh-CN" w:bidi="ar"/>
              </w:rPr>
              <w:t xml:space="preserve">级证书的得5分； </w:t>
            </w:r>
          </w:p>
          <w:p w14:paraId="07944445">
            <w:pPr>
              <w:keepNext w:val="0"/>
              <w:keepLines w:val="0"/>
              <w:widowControl/>
              <w:suppressLineNumbers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0"/>
                <w:szCs w:val="20"/>
                <w:highlight w:val="none"/>
                <w:lang w:val="en-US" w:eastAsia="zh-CN" w:bidi="ar"/>
              </w:rPr>
              <w:t>2.其他情形的，不予计分。</w:t>
            </w:r>
          </w:p>
        </w:tc>
        <w:tc>
          <w:tcPr>
            <w:tcW w:w="4230" w:type="dxa"/>
            <w:tcBorders>
              <w:top w:val="single" w:color="auto" w:sz="4" w:space="0"/>
              <w:left w:val="nil"/>
              <w:bottom w:val="single" w:color="auto" w:sz="4" w:space="0"/>
              <w:right w:val="single" w:color="auto" w:sz="4" w:space="0"/>
            </w:tcBorders>
            <w:noWrap w:val="0"/>
            <w:vAlign w:val="center"/>
          </w:tcPr>
          <w:p w14:paraId="7A2B0BC0">
            <w:pPr>
              <w:widowControl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1．证书由“中国建筑业协会”颁发，须提供有关证书彩色扫描件，</w:t>
            </w:r>
            <w:r>
              <w:rPr>
                <w:rFonts w:hint="eastAsia" w:ascii="宋体" w:hAnsi="宋体" w:eastAsia="宋体" w:cs="宋体"/>
                <w:b/>
                <w:bCs/>
                <w:color w:val="auto"/>
                <w:sz w:val="21"/>
                <w:szCs w:val="21"/>
                <w:highlight w:val="none"/>
                <w:lang w:val="en-US" w:eastAsia="zh-CN"/>
              </w:rPr>
              <w:t>同时提供原件核对。</w:t>
            </w:r>
            <w:r>
              <w:rPr>
                <w:rFonts w:hint="eastAsia" w:ascii="宋体" w:hAnsi="宋体" w:eastAsia="宋体" w:cs="宋体"/>
                <w:color w:val="auto"/>
                <w:sz w:val="21"/>
                <w:szCs w:val="21"/>
                <w:highlight w:val="none"/>
                <w:lang w:val="en-US" w:eastAsia="zh-CN"/>
              </w:rPr>
              <w:t xml:space="preserve"> </w:t>
            </w:r>
          </w:p>
          <w:p w14:paraId="75070919">
            <w:pPr>
              <w:widowControl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2．未提供原件的，颁发机构不符合要求的，按第 2 项标准处理。</w:t>
            </w:r>
          </w:p>
          <w:p w14:paraId="776188FA">
            <w:pPr>
              <w:widowControl w:val="0"/>
              <w:spacing w:line="360" w:lineRule="auto"/>
              <w:rPr>
                <w:rFonts w:hint="eastAsia" w:ascii="宋体" w:hAnsi="宋体" w:eastAsia="宋体" w:cs="宋体"/>
                <w:color w:val="auto"/>
                <w:sz w:val="21"/>
                <w:szCs w:val="21"/>
                <w:highlight w:val="none"/>
              </w:rPr>
            </w:pPr>
          </w:p>
        </w:tc>
      </w:tr>
      <w:tr w14:paraId="07200D79">
        <w:tblPrEx>
          <w:tblCellMar>
            <w:top w:w="0" w:type="dxa"/>
            <w:left w:w="108" w:type="dxa"/>
            <w:bottom w:w="0" w:type="dxa"/>
            <w:right w:w="108" w:type="dxa"/>
          </w:tblCellMar>
        </w:tblPrEx>
        <w:trPr>
          <w:trHeight w:val="797" w:hRule="atLeast"/>
          <w:jc w:val="center"/>
        </w:trPr>
        <w:tc>
          <w:tcPr>
            <w:tcW w:w="9820"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7EBD6D68">
            <w:pPr>
              <w:pStyle w:val="6"/>
              <w:wordWrap w:val="0"/>
              <w:spacing w:after="0" w:line="440" w:lineRule="exact"/>
              <w:jc w:val="left"/>
              <w:rPr>
                <w:rFonts w:ascii="黑体" w:hAnsi="黑体" w:eastAsia="黑体"/>
                <w:color w:val="auto"/>
                <w:kern w:val="0"/>
                <w:sz w:val="21"/>
                <w:szCs w:val="21"/>
                <w:highlight w:val="none"/>
              </w:rPr>
            </w:pPr>
            <w:r>
              <w:rPr>
                <w:rFonts w:hint="eastAsia" w:ascii="黑体" w:hAnsi="黑体" w:eastAsia="黑体"/>
                <w:color w:val="auto"/>
                <w:kern w:val="0"/>
                <w:sz w:val="21"/>
                <w:szCs w:val="21"/>
                <w:highlight w:val="none"/>
              </w:rPr>
              <w:t>技术部分（施工组织设计），满分：</w:t>
            </w:r>
            <w:r>
              <w:rPr>
                <w:rFonts w:hint="eastAsia" w:ascii="黑体" w:hAnsi="黑体" w:eastAsia="黑体"/>
                <w:color w:val="auto"/>
                <w:kern w:val="0"/>
                <w:sz w:val="21"/>
                <w:szCs w:val="21"/>
                <w:highlight w:val="none"/>
                <w:u w:val="single"/>
              </w:rPr>
              <w:t xml:space="preserve"> 20</w:t>
            </w:r>
            <w:r>
              <w:rPr>
                <w:rFonts w:hint="eastAsia" w:ascii="黑体" w:hAnsi="黑体" w:eastAsia="黑体"/>
                <w:color w:val="auto"/>
                <w:kern w:val="0"/>
                <w:sz w:val="21"/>
                <w:szCs w:val="21"/>
                <w:highlight w:val="none"/>
              </w:rPr>
              <w:t>分。</w:t>
            </w:r>
          </w:p>
        </w:tc>
      </w:tr>
      <w:tr w14:paraId="0EC83378">
        <w:tblPrEx>
          <w:tblCellMar>
            <w:top w:w="0" w:type="dxa"/>
            <w:left w:w="108" w:type="dxa"/>
            <w:bottom w:w="0" w:type="dxa"/>
            <w:right w:w="108" w:type="dxa"/>
          </w:tblCellMar>
        </w:tblPrEx>
        <w:trPr>
          <w:trHeight w:val="721"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18338518">
            <w:pPr>
              <w:pStyle w:val="6"/>
              <w:wordWrap w:val="0"/>
              <w:spacing w:after="0" w:line="440" w:lineRule="exact"/>
              <w:jc w:val="center"/>
              <w:rPr>
                <w:rFonts w:ascii="黑体" w:hAnsi="黑体" w:eastAsia="黑体"/>
                <w:color w:val="auto"/>
                <w:kern w:val="0"/>
                <w:sz w:val="21"/>
                <w:szCs w:val="21"/>
                <w:highlight w:val="none"/>
              </w:rPr>
            </w:pPr>
            <w:r>
              <w:rPr>
                <w:rFonts w:hint="eastAsia" w:ascii="黑体" w:hAnsi="黑体" w:eastAsia="黑体"/>
                <w:color w:val="auto"/>
                <w:kern w:val="0"/>
                <w:sz w:val="21"/>
                <w:szCs w:val="21"/>
                <w:highlight w:val="none"/>
              </w:rPr>
              <w:t>评分因素</w:t>
            </w:r>
          </w:p>
        </w:tc>
        <w:tc>
          <w:tcPr>
            <w:tcW w:w="4385" w:type="dxa"/>
            <w:tcBorders>
              <w:top w:val="single" w:color="auto" w:sz="4" w:space="0"/>
              <w:left w:val="nil"/>
              <w:bottom w:val="single" w:color="auto" w:sz="4" w:space="0"/>
              <w:right w:val="single" w:color="auto" w:sz="4" w:space="0"/>
            </w:tcBorders>
            <w:noWrap w:val="0"/>
            <w:vAlign w:val="center"/>
          </w:tcPr>
          <w:p w14:paraId="2BB16922">
            <w:pPr>
              <w:pStyle w:val="6"/>
              <w:wordWrap w:val="0"/>
              <w:spacing w:after="0" w:line="440" w:lineRule="exact"/>
              <w:jc w:val="center"/>
              <w:rPr>
                <w:rFonts w:ascii="黑体" w:hAnsi="黑体" w:eastAsia="黑体"/>
                <w:color w:val="auto"/>
                <w:kern w:val="0"/>
                <w:sz w:val="21"/>
                <w:szCs w:val="21"/>
                <w:highlight w:val="none"/>
              </w:rPr>
            </w:pPr>
            <w:r>
              <w:rPr>
                <w:rFonts w:hint="eastAsia" w:ascii="黑体" w:hAnsi="黑体" w:eastAsia="黑体"/>
                <w:color w:val="auto"/>
                <w:kern w:val="0"/>
                <w:sz w:val="21"/>
                <w:szCs w:val="21"/>
                <w:highlight w:val="none"/>
              </w:rPr>
              <w:t>评分标准</w:t>
            </w:r>
          </w:p>
        </w:tc>
        <w:tc>
          <w:tcPr>
            <w:tcW w:w="4230" w:type="dxa"/>
            <w:tcBorders>
              <w:top w:val="single" w:color="auto" w:sz="4" w:space="0"/>
              <w:left w:val="nil"/>
              <w:bottom w:val="single" w:color="auto" w:sz="4" w:space="0"/>
              <w:right w:val="single" w:color="auto" w:sz="4" w:space="0"/>
            </w:tcBorders>
            <w:noWrap w:val="0"/>
            <w:vAlign w:val="center"/>
          </w:tcPr>
          <w:p w14:paraId="01F40290">
            <w:pPr>
              <w:pStyle w:val="6"/>
              <w:wordWrap w:val="0"/>
              <w:spacing w:after="0" w:line="440" w:lineRule="exact"/>
              <w:jc w:val="center"/>
              <w:rPr>
                <w:rFonts w:ascii="黑体" w:hAnsi="黑体" w:eastAsia="黑体"/>
                <w:color w:val="auto"/>
                <w:kern w:val="0"/>
                <w:sz w:val="21"/>
                <w:szCs w:val="21"/>
                <w:highlight w:val="none"/>
              </w:rPr>
            </w:pPr>
            <w:r>
              <w:rPr>
                <w:rFonts w:hint="eastAsia" w:ascii="黑体" w:hAnsi="黑体" w:eastAsia="黑体"/>
                <w:color w:val="auto"/>
                <w:kern w:val="0"/>
                <w:sz w:val="21"/>
                <w:szCs w:val="21"/>
                <w:highlight w:val="none"/>
              </w:rPr>
              <w:t>备注</w:t>
            </w:r>
          </w:p>
        </w:tc>
      </w:tr>
      <w:tr w14:paraId="74AFD332">
        <w:tblPrEx>
          <w:tblCellMar>
            <w:top w:w="0" w:type="dxa"/>
            <w:left w:w="108" w:type="dxa"/>
            <w:bottom w:w="0" w:type="dxa"/>
            <w:right w:w="108" w:type="dxa"/>
          </w:tblCellMar>
        </w:tblPrEx>
        <w:trPr>
          <w:trHeight w:val="1626"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2E0A3E9D">
            <w:pPr>
              <w:pStyle w:val="26"/>
              <w:wordWrap w:val="0"/>
              <w:spacing w:line="400" w:lineRule="exact"/>
              <w:jc w:val="center"/>
              <w:rPr>
                <w:rFonts w:eastAsia="宋体"/>
                <w:color w:val="auto"/>
                <w:kern w:val="0"/>
                <w:sz w:val="21"/>
                <w:szCs w:val="21"/>
                <w:highlight w:val="none"/>
              </w:rPr>
            </w:pPr>
            <w:r>
              <w:rPr>
                <w:rFonts w:eastAsia="宋体"/>
                <w:color w:val="auto"/>
                <w:kern w:val="0"/>
                <w:sz w:val="21"/>
                <w:szCs w:val="21"/>
                <w:highlight w:val="none"/>
              </w:rPr>
              <w:t xml:space="preserve"> </w:t>
            </w:r>
            <w:r>
              <w:rPr>
                <w:rFonts w:hint="eastAsia" w:ascii="宋体" w:hAnsi="宋体" w:eastAsia="宋体"/>
                <w:color w:val="auto"/>
                <w:kern w:val="0"/>
                <w:sz w:val="21"/>
                <w:szCs w:val="21"/>
                <w:highlight w:val="none"/>
              </w:rPr>
              <w:t>总体概述</w:t>
            </w:r>
          </w:p>
          <w:p w14:paraId="62E1A75C">
            <w:pPr>
              <w:pStyle w:val="6"/>
              <w:wordWrap w:val="0"/>
              <w:spacing w:after="0" w:line="400" w:lineRule="exact"/>
              <w:jc w:val="center"/>
              <w:rPr>
                <w:rFonts w:ascii="Times New Roman"/>
                <w:color w:val="auto"/>
                <w:kern w:val="0"/>
                <w:sz w:val="21"/>
                <w:szCs w:val="21"/>
                <w:highlight w:val="none"/>
              </w:rPr>
            </w:pPr>
            <w:r>
              <w:rPr>
                <w:rFonts w:hint="eastAsia" w:hAnsi="宋体"/>
                <w:color w:val="auto"/>
                <w:kern w:val="0"/>
                <w:sz w:val="21"/>
                <w:szCs w:val="21"/>
                <w:highlight w:val="none"/>
              </w:rPr>
              <w:t>（</w:t>
            </w:r>
            <w:r>
              <w:rPr>
                <w:rFonts w:ascii="Times New Roman"/>
                <w:color w:val="auto"/>
                <w:kern w:val="0"/>
                <w:sz w:val="21"/>
                <w:szCs w:val="21"/>
                <w:highlight w:val="none"/>
                <w:u w:val="single"/>
              </w:rPr>
              <w:t xml:space="preserve"> </w:t>
            </w:r>
            <w:r>
              <w:rPr>
                <w:rFonts w:hint="eastAsia" w:ascii="Times New Roman"/>
                <w:color w:val="auto"/>
                <w:kern w:val="0"/>
                <w:sz w:val="21"/>
                <w:szCs w:val="21"/>
                <w:highlight w:val="none"/>
                <w:u w:val="single"/>
              </w:rPr>
              <w:t xml:space="preserve">3 </w:t>
            </w:r>
            <w:r>
              <w:rPr>
                <w:rFonts w:hint="eastAsia" w:hAnsi="宋体"/>
                <w:color w:val="auto"/>
                <w:kern w:val="0"/>
                <w:sz w:val="21"/>
                <w:szCs w:val="21"/>
                <w:highlight w:val="none"/>
              </w:rPr>
              <w:t>分）</w:t>
            </w:r>
          </w:p>
        </w:tc>
        <w:tc>
          <w:tcPr>
            <w:tcW w:w="4385" w:type="dxa"/>
            <w:tcBorders>
              <w:top w:val="single" w:color="auto" w:sz="4" w:space="0"/>
              <w:left w:val="nil"/>
              <w:bottom w:val="single" w:color="auto" w:sz="4" w:space="0"/>
              <w:right w:val="single" w:color="auto" w:sz="4" w:space="0"/>
            </w:tcBorders>
            <w:noWrap w:val="0"/>
            <w:vAlign w:val="center"/>
          </w:tcPr>
          <w:p w14:paraId="0DE59260">
            <w:pPr>
              <w:pStyle w:val="27"/>
              <w:wordWrap w:val="0"/>
              <w:spacing w:line="400" w:lineRule="exact"/>
              <w:rPr>
                <w:rFonts w:eastAsia="宋体"/>
                <w:color w:val="auto"/>
                <w:kern w:val="0"/>
                <w:sz w:val="21"/>
                <w:szCs w:val="21"/>
                <w:highlight w:val="none"/>
              </w:rPr>
            </w:pPr>
            <w:r>
              <w:rPr>
                <w:rFonts w:hint="eastAsia" w:ascii="宋体" w:hAnsi="宋体" w:eastAsia="宋体"/>
                <w:color w:val="auto"/>
                <w:kern w:val="0"/>
                <w:sz w:val="21"/>
                <w:szCs w:val="21"/>
                <w:highlight w:val="none"/>
              </w:rPr>
              <w:t>【优】得该项评分因素分值的</w:t>
            </w:r>
            <w:r>
              <w:rPr>
                <w:rFonts w:hint="eastAsia" w:eastAsia="宋体"/>
                <w:color w:val="auto"/>
                <w:kern w:val="0"/>
                <w:sz w:val="21"/>
                <w:szCs w:val="21"/>
                <w:highlight w:val="none"/>
              </w:rPr>
              <w:t>90%</w:t>
            </w:r>
            <w:r>
              <w:rPr>
                <w:rFonts w:hint="eastAsia" w:ascii="宋体" w:hAnsi="宋体" w:eastAsia="宋体"/>
                <w:color w:val="auto"/>
                <w:kern w:val="0"/>
                <w:sz w:val="21"/>
                <w:szCs w:val="21"/>
                <w:highlight w:val="none"/>
              </w:rPr>
              <w:t>～</w:t>
            </w:r>
            <w:r>
              <w:rPr>
                <w:rFonts w:hint="eastAsia" w:eastAsia="宋体"/>
                <w:color w:val="auto"/>
                <w:kern w:val="0"/>
                <w:sz w:val="21"/>
                <w:szCs w:val="21"/>
                <w:highlight w:val="none"/>
              </w:rPr>
              <w:t>100%</w:t>
            </w:r>
            <w:r>
              <w:rPr>
                <w:rFonts w:hint="eastAsia" w:ascii="宋体" w:hAnsi="宋体" w:eastAsia="宋体"/>
                <w:color w:val="auto"/>
                <w:kern w:val="0"/>
                <w:sz w:val="21"/>
                <w:szCs w:val="21"/>
                <w:highlight w:val="none"/>
              </w:rPr>
              <w:t>（含</w:t>
            </w:r>
            <w:r>
              <w:rPr>
                <w:rFonts w:hint="eastAsia" w:eastAsia="宋体"/>
                <w:color w:val="auto"/>
                <w:kern w:val="0"/>
                <w:sz w:val="21"/>
                <w:szCs w:val="21"/>
                <w:highlight w:val="none"/>
              </w:rPr>
              <w:t>90%</w:t>
            </w:r>
            <w:r>
              <w:rPr>
                <w:rFonts w:hint="eastAsia" w:ascii="宋体" w:hAnsi="宋体" w:eastAsia="宋体"/>
                <w:color w:val="auto"/>
                <w:kern w:val="0"/>
                <w:sz w:val="21"/>
                <w:szCs w:val="21"/>
                <w:highlight w:val="none"/>
              </w:rPr>
              <w:t>）。</w:t>
            </w:r>
          </w:p>
          <w:p w14:paraId="1C5965D5">
            <w:pPr>
              <w:pStyle w:val="27"/>
              <w:wordWrap w:val="0"/>
              <w:spacing w:line="400" w:lineRule="exact"/>
              <w:rPr>
                <w:rFonts w:eastAsia="宋体"/>
                <w:color w:val="auto"/>
                <w:kern w:val="0"/>
                <w:sz w:val="21"/>
                <w:szCs w:val="21"/>
                <w:highlight w:val="none"/>
              </w:rPr>
            </w:pPr>
            <w:r>
              <w:rPr>
                <w:rFonts w:hint="eastAsia" w:ascii="宋体" w:hAnsi="宋体" w:eastAsia="宋体"/>
                <w:color w:val="auto"/>
                <w:kern w:val="0"/>
                <w:sz w:val="21"/>
                <w:szCs w:val="21"/>
                <w:highlight w:val="none"/>
              </w:rPr>
              <w:t>【良】得该项评分因素分值的</w:t>
            </w:r>
            <w:r>
              <w:rPr>
                <w:rFonts w:hint="eastAsia" w:eastAsia="宋体"/>
                <w:color w:val="auto"/>
                <w:kern w:val="0"/>
                <w:sz w:val="21"/>
                <w:szCs w:val="21"/>
                <w:highlight w:val="none"/>
              </w:rPr>
              <w:t>80%</w:t>
            </w:r>
            <w:r>
              <w:rPr>
                <w:rFonts w:hint="eastAsia" w:ascii="宋体" w:hAnsi="宋体" w:eastAsia="宋体"/>
                <w:color w:val="auto"/>
                <w:kern w:val="0"/>
                <w:sz w:val="21"/>
                <w:szCs w:val="21"/>
                <w:highlight w:val="none"/>
              </w:rPr>
              <w:t>～</w:t>
            </w:r>
            <w:r>
              <w:rPr>
                <w:rFonts w:hint="eastAsia" w:eastAsia="宋体"/>
                <w:color w:val="auto"/>
                <w:kern w:val="0"/>
                <w:sz w:val="21"/>
                <w:szCs w:val="21"/>
                <w:highlight w:val="none"/>
              </w:rPr>
              <w:t>90%</w:t>
            </w:r>
            <w:r>
              <w:rPr>
                <w:rFonts w:hint="eastAsia" w:ascii="宋体" w:hAnsi="宋体" w:eastAsia="宋体"/>
                <w:color w:val="auto"/>
                <w:kern w:val="0"/>
                <w:sz w:val="21"/>
                <w:szCs w:val="21"/>
                <w:highlight w:val="none"/>
              </w:rPr>
              <w:t>（含</w:t>
            </w:r>
            <w:r>
              <w:rPr>
                <w:rFonts w:hint="eastAsia" w:eastAsia="宋体"/>
                <w:color w:val="auto"/>
                <w:kern w:val="0"/>
                <w:sz w:val="21"/>
                <w:szCs w:val="21"/>
                <w:highlight w:val="none"/>
              </w:rPr>
              <w:t>80%</w:t>
            </w:r>
            <w:r>
              <w:rPr>
                <w:rFonts w:hint="eastAsia" w:ascii="宋体" w:hAnsi="宋体" w:eastAsia="宋体"/>
                <w:color w:val="auto"/>
                <w:kern w:val="0"/>
                <w:sz w:val="21"/>
                <w:szCs w:val="21"/>
                <w:highlight w:val="none"/>
              </w:rPr>
              <w:t>）。</w:t>
            </w:r>
          </w:p>
          <w:p w14:paraId="2D599861">
            <w:pPr>
              <w:pStyle w:val="27"/>
              <w:wordWrap w:val="0"/>
              <w:spacing w:line="400" w:lineRule="exact"/>
              <w:rPr>
                <w:rFonts w:eastAsia="宋体"/>
                <w:color w:val="auto"/>
                <w:kern w:val="0"/>
                <w:sz w:val="21"/>
                <w:szCs w:val="21"/>
                <w:highlight w:val="none"/>
              </w:rPr>
            </w:pPr>
            <w:r>
              <w:rPr>
                <w:rFonts w:hint="eastAsia" w:ascii="宋体" w:hAnsi="宋体" w:eastAsia="宋体"/>
                <w:color w:val="auto"/>
                <w:kern w:val="0"/>
                <w:sz w:val="21"/>
                <w:szCs w:val="21"/>
                <w:highlight w:val="none"/>
              </w:rPr>
              <w:t>【中】得该项评分因素分值的</w:t>
            </w:r>
            <w:r>
              <w:rPr>
                <w:rFonts w:hint="eastAsia" w:eastAsia="宋体"/>
                <w:color w:val="auto"/>
                <w:kern w:val="0"/>
                <w:sz w:val="21"/>
                <w:szCs w:val="21"/>
                <w:highlight w:val="none"/>
              </w:rPr>
              <w:t>70%</w:t>
            </w:r>
            <w:r>
              <w:rPr>
                <w:rFonts w:hint="eastAsia" w:ascii="宋体" w:hAnsi="宋体" w:eastAsia="宋体"/>
                <w:color w:val="auto"/>
                <w:kern w:val="0"/>
                <w:sz w:val="21"/>
                <w:szCs w:val="21"/>
                <w:highlight w:val="none"/>
              </w:rPr>
              <w:t>～</w:t>
            </w:r>
            <w:r>
              <w:rPr>
                <w:rFonts w:hint="eastAsia" w:eastAsia="宋体"/>
                <w:color w:val="auto"/>
                <w:kern w:val="0"/>
                <w:sz w:val="21"/>
                <w:szCs w:val="21"/>
                <w:highlight w:val="none"/>
              </w:rPr>
              <w:t>80%</w:t>
            </w:r>
            <w:r>
              <w:rPr>
                <w:rFonts w:hint="eastAsia" w:ascii="宋体" w:hAnsi="宋体" w:eastAsia="宋体"/>
                <w:color w:val="auto"/>
                <w:kern w:val="0"/>
                <w:sz w:val="21"/>
                <w:szCs w:val="21"/>
                <w:highlight w:val="none"/>
              </w:rPr>
              <w:t>（含</w:t>
            </w:r>
            <w:r>
              <w:rPr>
                <w:rFonts w:hint="eastAsia" w:eastAsia="宋体"/>
                <w:color w:val="auto"/>
                <w:kern w:val="0"/>
                <w:sz w:val="21"/>
                <w:szCs w:val="21"/>
                <w:highlight w:val="none"/>
              </w:rPr>
              <w:t>70%</w:t>
            </w:r>
            <w:r>
              <w:rPr>
                <w:rFonts w:hint="eastAsia" w:ascii="宋体" w:hAnsi="宋体" w:eastAsia="宋体"/>
                <w:color w:val="auto"/>
                <w:kern w:val="0"/>
                <w:sz w:val="21"/>
                <w:szCs w:val="21"/>
                <w:highlight w:val="none"/>
              </w:rPr>
              <w:t>）。</w:t>
            </w:r>
          </w:p>
          <w:p w14:paraId="3A5EA117">
            <w:pPr>
              <w:pStyle w:val="6"/>
              <w:wordWrap w:val="0"/>
              <w:spacing w:after="0" w:line="400" w:lineRule="exact"/>
              <w:jc w:val="left"/>
              <w:rPr>
                <w:rFonts w:ascii="Times New Roman"/>
                <w:color w:val="auto"/>
                <w:kern w:val="0"/>
                <w:sz w:val="21"/>
                <w:szCs w:val="21"/>
                <w:highlight w:val="none"/>
              </w:rPr>
            </w:pPr>
            <w:r>
              <w:rPr>
                <w:rFonts w:hint="eastAsia" w:hAnsi="宋体"/>
                <w:color w:val="auto"/>
                <w:kern w:val="0"/>
                <w:sz w:val="21"/>
                <w:szCs w:val="21"/>
                <w:highlight w:val="none"/>
              </w:rPr>
              <w:t>【差】得该项评分因素分值的</w:t>
            </w:r>
            <w:r>
              <w:rPr>
                <w:rFonts w:hint="eastAsia" w:ascii="Times New Roman"/>
                <w:color w:val="auto"/>
                <w:kern w:val="0"/>
                <w:sz w:val="21"/>
                <w:szCs w:val="21"/>
                <w:highlight w:val="none"/>
              </w:rPr>
              <w:t>60</w:t>
            </w:r>
            <w:r>
              <w:rPr>
                <w:rFonts w:hint="eastAsia" w:hAnsi="宋体"/>
                <w:color w:val="auto"/>
                <w:kern w:val="0"/>
                <w:sz w:val="21"/>
                <w:szCs w:val="21"/>
                <w:highlight w:val="none"/>
              </w:rPr>
              <w:t>～</w:t>
            </w:r>
            <w:r>
              <w:rPr>
                <w:rFonts w:hint="eastAsia" w:ascii="Times New Roman"/>
                <w:color w:val="auto"/>
                <w:kern w:val="0"/>
                <w:sz w:val="21"/>
                <w:szCs w:val="21"/>
                <w:highlight w:val="none"/>
              </w:rPr>
              <w:t>70%</w:t>
            </w:r>
            <w:r>
              <w:rPr>
                <w:rFonts w:hint="eastAsia" w:hAnsi="宋体"/>
                <w:color w:val="auto"/>
                <w:kern w:val="0"/>
                <w:sz w:val="21"/>
                <w:szCs w:val="21"/>
                <w:highlight w:val="none"/>
              </w:rPr>
              <w:t>（含</w:t>
            </w:r>
            <w:r>
              <w:rPr>
                <w:rFonts w:hint="eastAsia" w:ascii="Times New Roman"/>
                <w:color w:val="auto"/>
                <w:kern w:val="0"/>
                <w:sz w:val="21"/>
                <w:szCs w:val="21"/>
                <w:highlight w:val="none"/>
              </w:rPr>
              <w:t>60%</w:t>
            </w:r>
            <w:r>
              <w:rPr>
                <w:rFonts w:hint="eastAsia" w:hAnsi="宋体"/>
                <w:color w:val="auto"/>
                <w:kern w:val="0"/>
                <w:sz w:val="21"/>
                <w:szCs w:val="21"/>
                <w:highlight w:val="none"/>
              </w:rPr>
              <w:t>）。</w:t>
            </w:r>
          </w:p>
        </w:tc>
        <w:tc>
          <w:tcPr>
            <w:tcW w:w="4230" w:type="dxa"/>
            <w:tcBorders>
              <w:top w:val="single" w:color="auto" w:sz="4" w:space="0"/>
              <w:left w:val="nil"/>
              <w:bottom w:val="single" w:color="auto" w:sz="4" w:space="0"/>
              <w:right w:val="single" w:color="auto" w:sz="4" w:space="0"/>
            </w:tcBorders>
            <w:noWrap w:val="0"/>
            <w:vAlign w:val="center"/>
          </w:tcPr>
          <w:p w14:paraId="32D5D3E9">
            <w:pPr>
              <w:pStyle w:val="6"/>
              <w:wordWrap w:val="0"/>
              <w:spacing w:after="0" w:line="400" w:lineRule="exact"/>
              <w:jc w:val="left"/>
              <w:rPr>
                <w:rFonts w:ascii="Times New Roman"/>
                <w:color w:val="auto"/>
                <w:kern w:val="0"/>
                <w:sz w:val="21"/>
                <w:szCs w:val="21"/>
                <w:highlight w:val="none"/>
              </w:rPr>
            </w:pPr>
            <w:r>
              <w:rPr>
                <w:rFonts w:hint="eastAsia" w:hAnsi="宋体"/>
                <w:color w:val="auto"/>
                <w:kern w:val="0"/>
                <w:sz w:val="21"/>
                <w:szCs w:val="21"/>
                <w:highlight w:val="none"/>
              </w:rPr>
              <w:t>【优】对项目总体有深刻认识，表述清晰、完整、严谨、合理，措施先进、具体、有效、成熟，采用了新技术、新工艺、新材料、新设备；施工段划分呼应总体表述，划分清晰、合理，符合规范要求。</w:t>
            </w:r>
          </w:p>
          <w:p w14:paraId="7795B8D5">
            <w:pPr>
              <w:pStyle w:val="6"/>
              <w:wordWrap w:val="0"/>
              <w:spacing w:after="0" w:line="400" w:lineRule="exact"/>
              <w:jc w:val="left"/>
              <w:rPr>
                <w:rFonts w:ascii="Times New Roman"/>
                <w:color w:val="auto"/>
                <w:kern w:val="0"/>
                <w:sz w:val="21"/>
                <w:szCs w:val="21"/>
                <w:highlight w:val="none"/>
              </w:rPr>
            </w:pPr>
            <w:r>
              <w:rPr>
                <w:rFonts w:hint="eastAsia" w:hAnsi="宋体"/>
                <w:color w:val="auto"/>
                <w:kern w:val="0"/>
                <w:sz w:val="21"/>
                <w:szCs w:val="21"/>
                <w:highlight w:val="none"/>
              </w:rPr>
              <w:t>【良】对项目总体有一定认识，表述清晰、完整，措施具体有效；施工段划分呼应总体表述，划分清晰，符合规范要求。</w:t>
            </w:r>
          </w:p>
          <w:p w14:paraId="42FC33E0">
            <w:pPr>
              <w:pStyle w:val="6"/>
              <w:wordWrap w:val="0"/>
              <w:spacing w:after="0" w:line="400" w:lineRule="exact"/>
              <w:jc w:val="left"/>
              <w:rPr>
                <w:rFonts w:ascii="Times New Roman"/>
                <w:color w:val="auto"/>
                <w:kern w:val="0"/>
                <w:sz w:val="21"/>
                <w:szCs w:val="21"/>
                <w:highlight w:val="none"/>
              </w:rPr>
            </w:pPr>
            <w:r>
              <w:rPr>
                <w:rFonts w:hint="eastAsia" w:hAnsi="宋体"/>
                <w:color w:val="auto"/>
                <w:kern w:val="0"/>
                <w:sz w:val="21"/>
                <w:szCs w:val="21"/>
                <w:highlight w:val="none"/>
              </w:rPr>
              <w:t>【中】对项目总体有认识，有一定的措施但部分不具体；施工段划分较合理，符合规范要求。</w:t>
            </w:r>
          </w:p>
          <w:p w14:paraId="416397A5">
            <w:pPr>
              <w:pStyle w:val="6"/>
              <w:wordWrap w:val="0"/>
              <w:spacing w:after="0" w:line="400" w:lineRule="exact"/>
              <w:jc w:val="left"/>
              <w:rPr>
                <w:rFonts w:ascii="Times New Roman"/>
                <w:color w:val="auto"/>
                <w:kern w:val="0"/>
                <w:sz w:val="21"/>
                <w:szCs w:val="21"/>
                <w:highlight w:val="none"/>
              </w:rPr>
            </w:pPr>
            <w:r>
              <w:rPr>
                <w:rFonts w:hint="eastAsia" w:hAnsi="宋体"/>
                <w:color w:val="auto"/>
                <w:kern w:val="0"/>
                <w:sz w:val="21"/>
                <w:szCs w:val="21"/>
                <w:highlight w:val="none"/>
              </w:rPr>
              <w:t>【差】对项目认识不足，表述不清晰，措施不具体；施工段划分不合理。</w:t>
            </w:r>
          </w:p>
        </w:tc>
      </w:tr>
      <w:tr w14:paraId="0781AC33">
        <w:tblPrEx>
          <w:tblCellMar>
            <w:top w:w="0" w:type="dxa"/>
            <w:left w:w="108" w:type="dxa"/>
            <w:bottom w:w="0" w:type="dxa"/>
            <w:right w:w="108" w:type="dxa"/>
          </w:tblCellMar>
        </w:tblPrEx>
        <w:trPr>
          <w:trHeight w:val="8495"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41FF53DF">
            <w:pPr>
              <w:pStyle w:val="28"/>
              <w:wordWrap w:val="0"/>
              <w:spacing w:line="400" w:lineRule="exact"/>
              <w:jc w:val="center"/>
              <w:rPr>
                <w:rFonts w:eastAsia="宋体"/>
                <w:color w:val="auto"/>
                <w:kern w:val="0"/>
                <w:sz w:val="21"/>
                <w:szCs w:val="21"/>
                <w:highlight w:val="none"/>
              </w:rPr>
            </w:pPr>
            <w:r>
              <w:rPr>
                <w:rFonts w:hint="eastAsia" w:ascii="宋体" w:hAnsi="宋体" w:eastAsia="宋体"/>
                <w:color w:val="auto"/>
                <w:kern w:val="0"/>
                <w:sz w:val="21"/>
                <w:szCs w:val="21"/>
                <w:highlight w:val="none"/>
              </w:rPr>
              <w:t>施工总进</w:t>
            </w:r>
          </w:p>
          <w:p w14:paraId="4B9F693F">
            <w:pPr>
              <w:pStyle w:val="28"/>
              <w:wordWrap w:val="0"/>
              <w:spacing w:line="400" w:lineRule="exact"/>
              <w:jc w:val="center"/>
              <w:rPr>
                <w:rFonts w:eastAsia="宋体"/>
                <w:color w:val="auto"/>
                <w:kern w:val="0"/>
                <w:sz w:val="21"/>
                <w:szCs w:val="21"/>
                <w:highlight w:val="none"/>
              </w:rPr>
            </w:pPr>
            <w:r>
              <w:rPr>
                <w:rFonts w:hint="eastAsia" w:ascii="宋体" w:hAnsi="宋体" w:eastAsia="宋体"/>
                <w:color w:val="auto"/>
                <w:kern w:val="0"/>
                <w:sz w:val="21"/>
                <w:szCs w:val="21"/>
                <w:highlight w:val="none"/>
              </w:rPr>
              <w:t>度计划及</w:t>
            </w:r>
          </w:p>
          <w:p w14:paraId="72B683FF">
            <w:pPr>
              <w:pStyle w:val="28"/>
              <w:wordWrap w:val="0"/>
              <w:spacing w:line="400" w:lineRule="exact"/>
              <w:jc w:val="center"/>
              <w:rPr>
                <w:rFonts w:eastAsia="宋体"/>
                <w:color w:val="auto"/>
                <w:kern w:val="0"/>
                <w:sz w:val="21"/>
                <w:szCs w:val="21"/>
                <w:highlight w:val="none"/>
              </w:rPr>
            </w:pPr>
            <w:r>
              <w:rPr>
                <w:rFonts w:hint="eastAsia" w:ascii="宋体" w:hAnsi="宋体" w:eastAsia="宋体"/>
                <w:color w:val="auto"/>
                <w:kern w:val="0"/>
                <w:sz w:val="21"/>
                <w:szCs w:val="21"/>
                <w:highlight w:val="none"/>
              </w:rPr>
              <w:t>保证措施</w:t>
            </w:r>
          </w:p>
          <w:p w14:paraId="00B82798">
            <w:pPr>
              <w:pStyle w:val="28"/>
              <w:wordWrap w:val="0"/>
              <w:spacing w:line="400" w:lineRule="exact"/>
              <w:jc w:val="center"/>
              <w:rPr>
                <w:rFonts w:eastAsia="宋体"/>
                <w:color w:val="auto"/>
                <w:kern w:val="0"/>
                <w:sz w:val="21"/>
                <w:szCs w:val="21"/>
                <w:highlight w:val="none"/>
              </w:rPr>
            </w:pPr>
            <w:r>
              <w:rPr>
                <w:rFonts w:hint="eastAsia" w:ascii="宋体" w:hAnsi="宋体" w:eastAsia="宋体"/>
                <w:color w:val="auto"/>
                <w:kern w:val="0"/>
                <w:sz w:val="21"/>
                <w:szCs w:val="21"/>
                <w:highlight w:val="none"/>
              </w:rPr>
              <w:t>（</w:t>
            </w:r>
            <w:r>
              <w:rPr>
                <w:rFonts w:hint="eastAsia" w:eastAsia="宋体"/>
                <w:color w:val="auto"/>
                <w:kern w:val="0"/>
                <w:sz w:val="21"/>
                <w:szCs w:val="21"/>
                <w:highlight w:val="none"/>
                <w:u w:val="single"/>
              </w:rPr>
              <w:t>3</w:t>
            </w:r>
            <w:r>
              <w:rPr>
                <w:rFonts w:hint="eastAsia" w:ascii="宋体" w:hAnsi="宋体" w:eastAsia="宋体"/>
                <w:color w:val="auto"/>
                <w:kern w:val="0"/>
                <w:sz w:val="21"/>
                <w:szCs w:val="21"/>
                <w:highlight w:val="none"/>
              </w:rPr>
              <w:t>分）</w:t>
            </w:r>
          </w:p>
        </w:tc>
        <w:tc>
          <w:tcPr>
            <w:tcW w:w="4385" w:type="dxa"/>
            <w:tcBorders>
              <w:top w:val="single" w:color="auto" w:sz="4" w:space="0"/>
              <w:left w:val="nil"/>
              <w:bottom w:val="single" w:color="auto" w:sz="4" w:space="0"/>
              <w:right w:val="single" w:color="auto" w:sz="4" w:space="0"/>
            </w:tcBorders>
            <w:noWrap w:val="0"/>
            <w:vAlign w:val="center"/>
          </w:tcPr>
          <w:p w14:paraId="4762C702">
            <w:pPr>
              <w:pStyle w:val="27"/>
              <w:wordWrap w:val="0"/>
              <w:spacing w:line="400" w:lineRule="exact"/>
              <w:rPr>
                <w:rFonts w:eastAsia="宋体"/>
                <w:color w:val="auto"/>
                <w:kern w:val="0"/>
                <w:sz w:val="21"/>
                <w:szCs w:val="21"/>
                <w:highlight w:val="none"/>
              </w:rPr>
            </w:pPr>
            <w:r>
              <w:rPr>
                <w:rFonts w:hint="eastAsia" w:ascii="宋体" w:hAnsi="宋体" w:eastAsia="宋体"/>
                <w:color w:val="auto"/>
                <w:kern w:val="0"/>
                <w:sz w:val="21"/>
                <w:szCs w:val="21"/>
                <w:highlight w:val="none"/>
              </w:rPr>
              <w:t>【优】得该项评分因素分值的</w:t>
            </w:r>
            <w:r>
              <w:rPr>
                <w:rFonts w:hint="eastAsia" w:eastAsia="宋体"/>
                <w:color w:val="auto"/>
                <w:kern w:val="0"/>
                <w:sz w:val="21"/>
                <w:szCs w:val="21"/>
                <w:highlight w:val="none"/>
              </w:rPr>
              <w:t>90%</w:t>
            </w:r>
            <w:r>
              <w:rPr>
                <w:rFonts w:hint="eastAsia" w:ascii="宋体" w:hAnsi="宋体" w:eastAsia="宋体"/>
                <w:color w:val="auto"/>
                <w:kern w:val="0"/>
                <w:sz w:val="21"/>
                <w:szCs w:val="21"/>
                <w:highlight w:val="none"/>
              </w:rPr>
              <w:t>～</w:t>
            </w:r>
            <w:r>
              <w:rPr>
                <w:rFonts w:hint="eastAsia" w:eastAsia="宋体"/>
                <w:color w:val="auto"/>
                <w:kern w:val="0"/>
                <w:sz w:val="21"/>
                <w:szCs w:val="21"/>
                <w:highlight w:val="none"/>
              </w:rPr>
              <w:t>100%</w:t>
            </w:r>
            <w:r>
              <w:rPr>
                <w:rFonts w:hint="eastAsia" w:ascii="宋体" w:hAnsi="宋体" w:eastAsia="宋体"/>
                <w:color w:val="auto"/>
                <w:kern w:val="0"/>
                <w:sz w:val="21"/>
                <w:szCs w:val="21"/>
                <w:highlight w:val="none"/>
              </w:rPr>
              <w:t>（含</w:t>
            </w:r>
            <w:r>
              <w:rPr>
                <w:rFonts w:hint="eastAsia" w:eastAsia="宋体"/>
                <w:color w:val="auto"/>
                <w:kern w:val="0"/>
                <w:sz w:val="21"/>
                <w:szCs w:val="21"/>
                <w:highlight w:val="none"/>
              </w:rPr>
              <w:t>90%</w:t>
            </w:r>
            <w:r>
              <w:rPr>
                <w:rFonts w:hint="eastAsia" w:ascii="宋体" w:hAnsi="宋体" w:eastAsia="宋体"/>
                <w:color w:val="auto"/>
                <w:kern w:val="0"/>
                <w:sz w:val="21"/>
                <w:szCs w:val="21"/>
                <w:highlight w:val="none"/>
              </w:rPr>
              <w:t>）。</w:t>
            </w:r>
          </w:p>
          <w:p w14:paraId="38C9AAEE">
            <w:pPr>
              <w:pStyle w:val="27"/>
              <w:wordWrap w:val="0"/>
              <w:spacing w:line="400" w:lineRule="exact"/>
              <w:rPr>
                <w:rFonts w:eastAsia="宋体"/>
                <w:color w:val="auto"/>
                <w:kern w:val="0"/>
                <w:sz w:val="21"/>
                <w:szCs w:val="21"/>
                <w:highlight w:val="none"/>
              </w:rPr>
            </w:pPr>
            <w:r>
              <w:rPr>
                <w:rFonts w:hint="eastAsia" w:ascii="宋体" w:hAnsi="宋体" w:eastAsia="宋体"/>
                <w:color w:val="auto"/>
                <w:kern w:val="0"/>
                <w:sz w:val="21"/>
                <w:szCs w:val="21"/>
                <w:highlight w:val="none"/>
              </w:rPr>
              <w:t>【良】得该项评分因素分值的</w:t>
            </w:r>
            <w:r>
              <w:rPr>
                <w:rFonts w:hint="eastAsia" w:eastAsia="宋体"/>
                <w:color w:val="auto"/>
                <w:kern w:val="0"/>
                <w:sz w:val="21"/>
                <w:szCs w:val="21"/>
                <w:highlight w:val="none"/>
              </w:rPr>
              <w:t>80%</w:t>
            </w:r>
            <w:r>
              <w:rPr>
                <w:rFonts w:hint="eastAsia" w:ascii="宋体" w:hAnsi="宋体" w:eastAsia="宋体"/>
                <w:color w:val="auto"/>
                <w:kern w:val="0"/>
                <w:sz w:val="21"/>
                <w:szCs w:val="21"/>
                <w:highlight w:val="none"/>
              </w:rPr>
              <w:t>～</w:t>
            </w:r>
            <w:r>
              <w:rPr>
                <w:rFonts w:hint="eastAsia" w:eastAsia="宋体"/>
                <w:color w:val="auto"/>
                <w:kern w:val="0"/>
                <w:sz w:val="21"/>
                <w:szCs w:val="21"/>
                <w:highlight w:val="none"/>
              </w:rPr>
              <w:t>90%</w:t>
            </w:r>
            <w:r>
              <w:rPr>
                <w:rFonts w:hint="eastAsia" w:ascii="宋体" w:hAnsi="宋体" w:eastAsia="宋体"/>
                <w:color w:val="auto"/>
                <w:kern w:val="0"/>
                <w:sz w:val="21"/>
                <w:szCs w:val="21"/>
                <w:highlight w:val="none"/>
              </w:rPr>
              <w:t>（含</w:t>
            </w:r>
            <w:r>
              <w:rPr>
                <w:rFonts w:hint="eastAsia" w:eastAsia="宋体"/>
                <w:color w:val="auto"/>
                <w:kern w:val="0"/>
                <w:sz w:val="21"/>
                <w:szCs w:val="21"/>
                <w:highlight w:val="none"/>
              </w:rPr>
              <w:t>80%</w:t>
            </w:r>
            <w:r>
              <w:rPr>
                <w:rFonts w:hint="eastAsia" w:ascii="宋体" w:hAnsi="宋体" w:eastAsia="宋体"/>
                <w:color w:val="auto"/>
                <w:kern w:val="0"/>
                <w:sz w:val="21"/>
                <w:szCs w:val="21"/>
                <w:highlight w:val="none"/>
              </w:rPr>
              <w:t>）。</w:t>
            </w:r>
          </w:p>
          <w:p w14:paraId="29D07000">
            <w:pPr>
              <w:pStyle w:val="27"/>
              <w:wordWrap w:val="0"/>
              <w:spacing w:line="400" w:lineRule="exact"/>
              <w:rPr>
                <w:rFonts w:eastAsia="宋体"/>
                <w:color w:val="auto"/>
                <w:kern w:val="0"/>
                <w:sz w:val="21"/>
                <w:szCs w:val="21"/>
                <w:highlight w:val="none"/>
              </w:rPr>
            </w:pPr>
            <w:r>
              <w:rPr>
                <w:rFonts w:hint="eastAsia" w:ascii="宋体" w:hAnsi="宋体" w:eastAsia="宋体"/>
                <w:color w:val="auto"/>
                <w:kern w:val="0"/>
                <w:sz w:val="21"/>
                <w:szCs w:val="21"/>
                <w:highlight w:val="none"/>
              </w:rPr>
              <w:t>【中】得该项评分因素分值的</w:t>
            </w:r>
            <w:r>
              <w:rPr>
                <w:rFonts w:hint="eastAsia" w:eastAsia="宋体"/>
                <w:color w:val="auto"/>
                <w:kern w:val="0"/>
                <w:sz w:val="21"/>
                <w:szCs w:val="21"/>
                <w:highlight w:val="none"/>
              </w:rPr>
              <w:t>70%</w:t>
            </w:r>
            <w:r>
              <w:rPr>
                <w:rFonts w:hint="eastAsia" w:ascii="宋体" w:hAnsi="宋体" w:eastAsia="宋体"/>
                <w:color w:val="auto"/>
                <w:kern w:val="0"/>
                <w:sz w:val="21"/>
                <w:szCs w:val="21"/>
                <w:highlight w:val="none"/>
              </w:rPr>
              <w:t>～</w:t>
            </w:r>
            <w:r>
              <w:rPr>
                <w:rFonts w:hint="eastAsia" w:eastAsia="宋体"/>
                <w:color w:val="auto"/>
                <w:kern w:val="0"/>
                <w:sz w:val="21"/>
                <w:szCs w:val="21"/>
                <w:highlight w:val="none"/>
              </w:rPr>
              <w:t>80%</w:t>
            </w:r>
            <w:r>
              <w:rPr>
                <w:rFonts w:hint="eastAsia" w:ascii="宋体" w:hAnsi="宋体" w:eastAsia="宋体"/>
                <w:color w:val="auto"/>
                <w:kern w:val="0"/>
                <w:sz w:val="21"/>
                <w:szCs w:val="21"/>
                <w:highlight w:val="none"/>
              </w:rPr>
              <w:t>（含</w:t>
            </w:r>
            <w:r>
              <w:rPr>
                <w:rFonts w:hint="eastAsia" w:eastAsia="宋体"/>
                <w:color w:val="auto"/>
                <w:kern w:val="0"/>
                <w:sz w:val="21"/>
                <w:szCs w:val="21"/>
                <w:highlight w:val="none"/>
              </w:rPr>
              <w:t>70%</w:t>
            </w:r>
            <w:r>
              <w:rPr>
                <w:rFonts w:hint="eastAsia" w:ascii="宋体" w:hAnsi="宋体" w:eastAsia="宋体"/>
                <w:color w:val="auto"/>
                <w:kern w:val="0"/>
                <w:sz w:val="21"/>
                <w:szCs w:val="21"/>
                <w:highlight w:val="none"/>
              </w:rPr>
              <w:t>）。</w:t>
            </w:r>
          </w:p>
          <w:p w14:paraId="2232DBDC">
            <w:pPr>
              <w:pStyle w:val="29"/>
              <w:wordWrap w:val="0"/>
              <w:spacing w:line="400" w:lineRule="exact"/>
              <w:rPr>
                <w:rFonts w:eastAsia="宋体"/>
                <w:color w:val="auto"/>
                <w:kern w:val="0"/>
                <w:sz w:val="21"/>
                <w:szCs w:val="21"/>
                <w:highlight w:val="none"/>
              </w:rPr>
            </w:pPr>
            <w:r>
              <w:rPr>
                <w:rFonts w:hint="eastAsia" w:ascii="宋体" w:hAnsi="宋体" w:eastAsia="宋体"/>
                <w:color w:val="auto"/>
                <w:kern w:val="0"/>
                <w:sz w:val="21"/>
                <w:szCs w:val="21"/>
                <w:highlight w:val="none"/>
              </w:rPr>
              <w:t>【差】得该项评分因素分值的</w:t>
            </w:r>
            <w:r>
              <w:rPr>
                <w:rFonts w:hint="eastAsia" w:eastAsia="宋体"/>
                <w:color w:val="auto"/>
                <w:kern w:val="0"/>
                <w:sz w:val="21"/>
                <w:szCs w:val="21"/>
                <w:highlight w:val="none"/>
              </w:rPr>
              <w:t>60</w:t>
            </w:r>
            <w:r>
              <w:rPr>
                <w:rFonts w:hint="eastAsia" w:ascii="宋体" w:hAnsi="宋体" w:eastAsia="宋体"/>
                <w:color w:val="auto"/>
                <w:kern w:val="0"/>
                <w:sz w:val="21"/>
                <w:szCs w:val="21"/>
                <w:highlight w:val="none"/>
              </w:rPr>
              <w:t>～</w:t>
            </w:r>
            <w:r>
              <w:rPr>
                <w:rFonts w:hint="eastAsia" w:eastAsia="宋体"/>
                <w:color w:val="auto"/>
                <w:kern w:val="0"/>
                <w:sz w:val="21"/>
                <w:szCs w:val="21"/>
                <w:highlight w:val="none"/>
              </w:rPr>
              <w:t>70%</w:t>
            </w:r>
            <w:r>
              <w:rPr>
                <w:rFonts w:hint="eastAsia" w:ascii="宋体" w:hAnsi="宋体" w:eastAsia="宋体"/>
                <w:color w:val="auto"/>
                <w:kern w:val="0"/>
                <w:sz w:val="21"/>
                <w:szCs w:val="21"/>
                <w:highlight w:val="none"/>
              </w:rPr>
              <w:t>（含</w:t>
            </w:r>
            <w:r>
              <w:rPr>
                <w:rFonts w:hint="eastAsia" w:eastAsia="宋体"/>
                <w:color w:val="auto"/>
                <w:kern w:val="0"/>
                <w:sz w:val="21"/>
                <w:szCs w:val="21"/>
                <w:highlight w:val="none"/>
              </w:rPr>
              <w:t>60%</w:t>
            </w:r>
            <w:r>
              <w:rPr>
                <w:rFonts w:hint="eastAsia" w:ascii="宋体" w:hAnsi="宋体" w:eastAsia="宋体"/>
                <w:color w:val="auto"/>
                <w:kern w:val="0"/>
                <w:sz w:val="21"/>
                <w:szCs w:val="21"/>
                <w:highlight w:val="none"/>
              </w:rPr>
              <w:t>）。</w:t>
            </w:r>
          </w:p>
        </w:tc>
        <w:tc>
          <w:tcPr>
            <w:tcW w:w="4230" w:type="dxa"/>
            <w:tcBorders>
              <w:top w:val="single" w:color="auto" w:sz="4" w:space="0"/>
              <w:left w:val="nil"/>
              <w:bottom w:val="single" w:color="auto" w:sz="4" w:space="0"/>
              <w:right w:val="single" w:color="auto" w:sz="4" w:space="0"/>
            </w:tcBorders>
            <w:noWrap w:val="0"/>
            <w:vAlign w:val="center"/>
          </w:tcPr>
          <w:p w14:paraId="7C71B203">
            <w:pPr>
              <w:pStyle w:val="29"/>
              <w:wordWrap w:val="0"/>
              <w:spacing w:line="400" w:lineRule="exact"/>
              <w:rPr>
                <w:rFonts w:eastAsia="宋体"/>
                <w:b/>
                <w:bCs/>
                <w:color w:val="auto"/>
                <w:kern w:val="0"/>
                <w:sz w:val="21"/>
                <w:szCs w:val="21"/>
                <w:highlight w:val="none"/>
              </w:rPr>
            </w:pPr>
            <w:r>
              <w:rPr>
                <w:rFonts w:hint="eastAsia" w:ascii="宋体" w:hAnsi="宋体" w:eastAsia="宋体"/>
                <w:color w:val="auto"/>
                <w:kern w:val="0"/>
                <w:sz w:val="21"/>
                <w:szCs w:val="21"/>
                <w:highlight w:val="none"/>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b/>
                <w:bCs/>
                <w:color w:val="auto"/>
                <w:kern w:val="0"/>
                <w:sz w:val="21"/>
                <w:szCs w:val="21"/>
                <w:highlight w:val="none"/>
              </w:rPr>
              <w:t>经济赔偿合理。</w:t>
            </w:r>
          </w:p>
          <w:p w14:paraId="12435ADD">
            <w:pPr>
              <w:pStyle w:val="29"/>
              <w:wordWrap w:val="0"/>
              <w:spacing w:line="400" w:lineRule="exact"/>
              <w:rPr>
                <w:rFonts w:eastAsia="宋体"/>
                <w:b/>
                <w:bCs/>
                <w:color w:val="auto"/>
                <w:kern w:val="0"/>
                <w:sz w:val="21"/>
                <w:szCs w:val="21"/>
                <w:highlight w:val="none"/>
              </w:rPr>
            </w:pPr>
            <w:r>
              <w:rPr>
                <w:rFonts w:hint="eastAsia" w:ascii="宋体" w:hAnsi="宋体" w:eastAsia="宋体"/>
                <w:color w:val="auto"/>
                <w:kern w:val="0"/>
                <w:sz w:val="21"/>
                <w:szCs w:val="21"/>
                <w:highlight w:val="none"/>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b/>
                <w:bCs/>
                <w:color w:val="auto"/>
                <w:kern w:val="0"/>
                <w:sz w:val="21"/>
                <w:szCs w:val="21"/>
                <w:highlight w:val="none"/>
              </w:rPr>
              <w:t>经济赔偿较合理。</w:t>
            </w:r>
          </w:p>
          <w:p w14:paraId="69D34978">
            <w:pPr>
              <w:pStyle w:val="29"/>
              <w:wordWrap w:val="0"/>
              <w:spacing w:line="400" w:lineRule="exact"/>
              <w:rPr>
                <w:rFonts w:eastAsia="宋体"/>
                <w:color w:val="auto"/>
                <w:kern w:val="0"/>
                <w:sz w:val="21"/>
                <w:szCs w:val="21"/>
                <w:highlight w:val="none"/>
              </w:rPr>
            </w:pPr>
            <w:r>
              <w:rPr>
                <w:rFonts w:hint="eastAsia" w:ascii="宋体" w:hAnsi="宋体" w:eastAsia="宋体"/>
                <w:color w:val="auto"/>
                <w:kern w:val="0"/>
                <w:sz w:val="21"/>
                <w:szCs w:val="21"/>
                <w:highlight w:val="none"/>
              </w:rPr>
              <w:t>【中】关键线路基本准确，计划编制基本合理。关键节点的控制措施基本可行。人、材、机需求和进场计划与进度计划相呼应，基本满足施工需要，调配投入计划基本合理。进度违约责任承诺具体。</w:t>
            </w:r>
          </w:p>
          <w:p w14:paraId="5C029EFA">
            <w:pPr>
              <w:pStyle w:val="29"/>
              <w:wordWrap w:val="0"/>
              <w:spacing w:line="400" w:lineRule="exact"/>
              <w:rPr>
                <w:rFonts w:eastAsia="宋体"/>
                <w:color w:val="auto"/>
                <w:kern w:val="0"/>
                <w:sz w:val="21"/>
                <w:szCs w:val="21"/>
                <w:highlight w:val="none"/>
              </w:rPr>
            </w:pPr>
            <w:r>
              <w:rPr>
                <w:rFonts w:hint="eastAsia" w:ascii="宋体" w:hAnsi="宋体" w:eastAsia="宋体"/>
                <w:color w:val="auto"/>
                <w:kern w:val="0"/>
                <w:sz w:val="21"/>
                <w:szCs w:val="21"/>
                <w:highlight w:val="none"/>
              </w:rPr>
              <w:t>【差】关键线路不准确，计划编制不合理。关键节点的控制不可行。人、材、机需求和进场计划与进度计划不相呼应，不能满足施工需要。没有违约责任承诺。</w:t>
            </w:r>
          </w:p>
        </w:tc>
      </w:tr>
      <w:tr w14:paraId="3F9D194F">
        <w:tblPrEx>
          <w:tblCellMar>
            <w:top w:w="0" w:type="dxa"/>
            <w:left w:w="108" w:type="dxa"/>
            <w:bottom w:w="0" w:type="dxa"/>
            <w:right w:w="108" w:type="dxa"/>
          </w:tblCellMar>
        </w:tblPrEx>
        <w:trPr>
          <w:trHeight w:val="1626"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3CD6C260">
            <w:pPr>
              <w:pStyle w:val="28"/>
              <w:wordWrap w:val="0"/>
              <w:spacing w:line="400" w:lineRule="exact"/>
              <w:jc w:val="center"/>
              <w:rPr>
                <w:rFonts w:eastAsia="宋体"/>
                <w:color w:val="auto"/>
                <w:kern w:val="0"/>
                <w:sz w:val="21"/>
                <w:szCs w:val="21"/>
                <w:highlight w:val="none"/>
              </w:rPr>
            </w:pPr>
            <w:r>
              <w:rPr>
                <w:rFonts w:hint="eastAsia" w:ascii="宋体" w:hAnsi="宋体" w:eastAsia="宋体"/>
                <w:color w:val="auto"/>
                <w:kern w:val="0"/>
                <w:sz w:val="21"/>
                <w:szCs w:val="21"/>
                <w:highlight w:val="none"/>
              </w:rPr>
              <w:t>质量</w:t>
            </w:r>
          </w:p>
          <w:p w14:paraId="2E11527F">
            <w:pPr>
              <w:pStyle w:val="28"/>
              <w:wordWrap w:val="0"/>
              <w:spacing w:line="400" w:lineRule="exact"/>
              <w:jc w:val="center"/>
              <w:rPr>
                <w:rFonts w:eastAsia="宋体"/>
                <w:color w:val="auto"/>
                <w:kern w:val="0"/>
                <w:sz w:val="21"/>
                <w:szCs w:val="21"/>
                <w:highlight w:val="none"/>
              </w:rPr>
            </w:pPr>
            <w:r>
              <w:rPr>
                <w:rFonts w:hint="eastAsia" w:ascii="宋体" w:hAnsi="宋体" w:eastAsia="宋体"/>
                <w:color w:val="auto"/>
                <w:kern w:val="0"/>
                <w:sz w:val="21"/>
                <w:szCs w:val="21"/>
                <w:highlight w:val="none"/>
              </w:rPr>
              <w:t>保证措施</w:t>
            </w:r>
          </w:p>
          <w:p w14:paraId="664FEC7C">
            <w:pPr>
              <w:pStyle w:val="28"/>
              <w:wordWrap w:val="0"/>
              <w:spacing w:line="400" w:lineRule="exact"/>
              <w:jc w:val="center"/>
              <w:rPr>
                <w:rFonts w:eastAsia="宋体"/>
                <w:color w:val="auto"/>
                <w:kern w:val="0"/>
                <w:sz w:val="21"/>
                <w:szCs w:val="21"/>
                <w:highlight w:val="none"/>
              </w:rPr>
            </w:pPr>
            <w:r>
              <w:rPr>
                <w:rFonts w:hint="eastAsia" w:ascii="宋体" w:hAnsi="宋体" w:eastAsia="宋体"/>
                <w:color w:val="auto"/>
                <w:kern w:val="0"/>
                <w:sz w:val="21"/>
                <w:szCs w:val="21"/>
                <w:highlight w:val="none"/>
              </w:rPr>
              <w:t>（</w:t>
            </w:r>
            <w:r>
              <w:rPr>
                <w:rFonts w:hint="eastAsia" w:eastAsia="宋体"/>
                <w:color w:val="auto"/>
                <w:kern w:val="0"/>
                <w:sz w:val="21"/>
                <w:szCs w:val="21"/>
                <w:highlight w:val="none"/>
              </w:rPr>
              <w:t>4</w:t>
            </w:r>
            <w:r>
              <w:rPr>
                <w:rFonts w:hint="eastAsia" w:ascii="宋体" w:hAnsi="宋体" w:eastAsia="宋体"/>
                <w:color w:val="auto"/>
                <w:kern w:val="0"/>
                <w:sz w:val="21"/>
                <w:szCs w:val="21"/>
                <w:highlight w:val="none"/>
              </w:rPr>
              <w:t>分）</w:t>
            </w:r>
          </w:p>
        </w:tc>
        <w:tc>
          <w:tcPr>
            <w:tcW w:w="4385" w:type="dxa"/>
            <w:tcBorders>
              <w:top w:val="single" w:color="auto" w:sz="4" w:space="0"/>
              <w:left w:val="nil"/>
              <w:bottom w:val="single" w:color="auto" w:sz="4" w:space="0"/>
              <w:right w:val="single" w:color="auto" w:sz="4" w:space="0"/>
            </w:tcBorders>
            <w:noWrap w:val="0"/>
            <w:vAlign w:val="center"/>
          </w:tcPr>
          <w:p w14:paraId="684408E3">
            <w:pPr>
              <w:pStyle w:val="27"/>
              <w:wordWrap w:val="0"/>
              <w:spacing w:line="400" w:lineRule="exact"/>
              <w:rPr>
                <w:rFonts w:eastAsia="宋体"/>
                <w:color w:val="auto"/>
                <w:kern w:val="0"/>
                <w:sz w:val="21"/>
                <w:szCs w:val="21"/>
                <w:highlight w:val="none"/>
              </w:rPr>
            </w:pPr>
            <w:r>
              <w:rPr>
                <w:rFonts w:hint="eastAsia" w:ascii="宋体" w:hAnsi="宋体" w:eastAsia="宋体"/>
                <w:color w:val="auto"/>
                <w:kern w:val="0"/>
                <w:sz w:val="21"/>
                <w:szCs w:val="21"/>
                <w:highlight w:val="none"/>
              </w:rPr>
              <w:t>【优】得该项评分因素分值的</w:t>
            </w:r>
            <w:r>
              <w:rPr>
                <w:rFonts w:hint="eastAsia" w:eastAsia="宋体"/>
                <w:color w:val="auto"/>
                <w:kern w:val="0"/>
                <w:sz w:val="21"/>
                <w:szCs w:val="21"/>
                <w:highlight w:val="none"/>
              </w:rPr>
              <w:t>90%</w:t>
            </w:r>
            <w:r>
              <w:rPr>
                <w:rFonts w:hint="eastAsia" w:ascii="宋体" w:hAnsi="宋体" w:eastAsia="宋体"/>
                <w:color w:val="auto"/>
                <w:kern w:val="0"/>
                <w:sz w:val="21"/>
                <w:szCs w:val="21"/>
                <w:highlight w:val="none"/>
              </w:rPr>
              <w:t>～</w:t>
            </w:r>
            <w:r>
              <w:rPr>
                <w:rFonts w:hint="eastAsia" w:eastAsia="宋体"/>
                <w:color w:val="auto"/>
                <w:kern w:val="0"/>
                <w:sz w:val="21"/>
                <w:szCs w:val="21"/>
                <w:highlight w:val="none"/>
              </w:rPr>
              <w:t>100%</w:t>
            </w:r>
            <w:r>
              <w:rPr>
                <w:rFonts w:hint="eastAsia" w:ascii="宋体" w:hAnsi="宋体" w:eastAsia="宋体"/>
                <w:color w:val="auto"/>
                <w:kern w:val="0"/>
                <w:sz w:val="21"/>
                <w:szCs w:val="21"/>
                <w:highlight w:val="none"/>
              </w:rPr>
              <w:t>（含</w:t>
            </w:r>
            <w:r>
              <w:rPr>
                <w:rFonts w:hint="eastAsia" w:eastAsia="宋体"/>
                <w:color w:val="auto"/>
                <w:kern w:val="0"/>
                <w:sz w:val="21"/>
                <w:szCs w:val="21"/>
                <w:highlight w:val="none"/>
              </w:rPr>
              <w:t>90%</w:t>
            </w:r>
            <w:r>
              <w:rPr>
                <w:rFonts w:hint="eastAsia" w:ascii="宋体" w:hAnsi="宋体" w:eastAsia="宋体"/>
                <w:color w:val="auto"/>
                <w:kern w:val="0"/>
                <w:sz w:val="21"/>
                <w:szCs w:val="21"/>
                <w:highlight w:val="none"/>
              </w:rPr>
              <w:t>）。</w:t>
            </w:r>
          </w:p>
          <w:p w14:paraId="27B59E28">
            <w:pPr>
              <w:pStyle w:val="27"/>
              <w:wordWrap w:val="0"/>
              <w:spacing w:line="400" w:lineRule="exact"/>
              <w:rPr>
                <w:rFonts w:eastAsia="宋体"/>
                <w:color w:val="auto"/>
                <w:kern w:val="0"/>
                <w:sz w:val="21"/>
                <w:szCs w:val="21"/>
                <w:highlight w:val="none"/>
              </w:rPr>
            </w:pPr>
            <w:r>
              <w:rPr>
                <w:rFonts w:hint="eastAsia" w:ascii="宋体" w:hAnsi="宋体" w:eastAsia="宋体"/>
                <w:color w:val="auto"/>
                <w:kern w:val="0"/>
                <w:sz w:val="21"/>
                <w:szCs w:val="21"/>
                <w:highlight w:val="none"/>
              </w:rPr>
              <w:t>【良】得该项评分因素分值的</w:t>
            </w:r>
            <w:r>
              <w:rPr>
                <w:rFonts w:hint="eastAsia" w:eastAsia="宋体"/>
                <w:color w:val="auto"/>
                <w:kern w:val="0"/>
                <w:sz w:val="21"/>
                <w:szCs w:val="21"/>
                <w:highlight w:val="none"/>
              </w:rPr>
              <w:t>80%</w:t>
            </w:r>
            <w:r>
              <w:rPr>
                <w:rFonts w:hint="eastAsia" w:ascii="宋体" w:hAnsi="宋体" w:eastAsia="宋体"/>
                <w:color w:val="auto"/>
                <w:kern w:val="0"/>
                <w:sz w:val="21"/>
                <w:szCs w:val="21"/>
                <w:highlight w:val="none"/>
              </w:rPr>
              <w:t>～</w:t>
            </w:r>
            <w:r>
              <w:rPr>
                <w:rFonts w:hint="eastAsia" w:eastAsia="宋体"/>
                <w:color w:val="auto"/>
                <w:kern w:val="0"/>
                <w:sz w:val="21"/>
                <w:szCs w:val="21"/>
                <w:highlight w:val="none"/>
              </w:rPr>
              <w:t>90%</w:t>
            </w:r>
            <w:r>
              <w:rPr>
                <w:rFonts w:hint="eastAsia" w:ascii="宋体" w:hAnsi="宋体" w:eastAsia="宋体"/>
                <w:color w:val="auto"/>
                <w:kern w:val="0"/>
                <w:sz w:val="21"/>
                <w:szCs w:val="21"/>
                <w:highlight w:val="none"/>
              </w:rPr>
              <w:t>（含</w:t>
            </w:r>
            <w:r>
              <w:rPr>
                <w:rFonts w:hint="eastAsia" w:eastAsia="宋体"/>
                <w:color w:val="auto"/>
                <w:kern w:val="0"/>
                <w:sz w:val="21"/>
                <w:szCs w:val="21"/>
                <w:highlight w:val="none"/>
              </w:rPr>
              <w:t>80%</w:t>
            </w:r>
            <w:r>
              <w:rPr>
                <w:rFonts w:hint="eastAsia" w:ascii="宋体" w:hAnsi="宋体" w:eastAsia="宋体"/>
                <w:color w:val="auto"/>
                <w:kern w:val="0"/>
                <w:sz w:val="21"/>
                <w:szCs w:val="21"/>
                <w:highlight w:val="none"/>
              </w:rPr>
              <w:t>）。</w:t>
            </w:r>
          </w:p>
          <w:p w14:paraId="2B6881CB">
            <w:pPr>
              <w:pStyle w:val="27"/>
              <w:wordWrap w:val="0"/>
              <w:spacing w:line="400" w:lineRule="exact"/>
              <w:rPr>
                <w:rFonts w:eastAsia="宋体"/>
                <w:color w:val="auto"/>
                <w:kern w:val="0"/>
                <w:sz w:val="21"/>
                <w:szCs w:val="21"/>
                <w:highlight w:val="none"/>
              </w:rPr>
            </w:pPr>
            <w:r>
              <w:rPr>
                <w:rFonts w:hint="eastAsia" w:ascii="宋体" w:hAnsi="宋体" w:eastAsia="宋体"/>
                <w:color w:val="auto"/>
                <w:kern w:val="0"/>
                <w:sz w:val="21"/>
                <w:szCs w:val="21"/>
                <w:highlight w:val="none"/>
              </w:rPr>
              <w:t>【中】得该项评分因素分值的</w:t>
            </w:r>
            <w:r>
              <w:rPr>
                <w:rFonts w:hint="eastAsia" w:eastAsia="宋体"/>
                <w:color w:val="auto"/>
                <w:kern w:val="0"/>
                <w:sz w:val="21"/>
                <w:szCs w:val="21"/>
                <w:highlight w:val="none"/>
              </w:rPr>
              <w:t>70%</w:t>
            </w:r>
            <w:r>
              <w:rPr>
                <w:rFonts w:hint="eastAsia" w:ascii="宋体" w:hAnsi="宋体" w:eastAsia="宋体"/>
                <w:color w:val="auto"/>
                <w:kern w:val="0"/>
                <w:sz w:val="21"/>
                <w:szCs w:val="21"/>
                <w:highlight w:val="none"/>
              </w:rPr>
              <w:t>～</w:t>
            </w:r>
            <w:r>
              <w:rPr>
                <w:rFonts w:hint="eastAsia" w:eastAsia="宋体"/>
                <w:color w:val="auto"/>
                <w:kern w:val="0"/>
                <w:sz w:val="21"/>
                <w:szCs w:val="21"/>
                <w:highlight w:val="none"/>
              </w:rPr>
              <w:t>80%</w:t>
            </w:r>
            <w:r>
              <w:rPr>
                <w:rFonts w:hint="eastAsia" w:ascii="宋体" w:hAnsi="宋体" w:eastAsia="宋体"/>
                <w:color w:val="auto"/>
                <w:kern w:val="0"/>
                <w:sz w:val="21"/>
                <w:szCs w:val="21"/>
                <w:highlight w:val="none"/>
              </w:rPr>
              <w:t>（含</w:t>
            </w:r>
            <w:r>
              <w:rPr>
                <w:rFonts w:hint="eastAsia" w:eastAsia="宋体"/>
                <w:color w:val="auto"/>
                <w:kern w:val="0"/>
                <w:sz w:val="21"/>
                <w:szCs w:val="21"/>
                <w:highlight w:val="none"/>
              </w:rPr>
              <w:t>70%</w:t>
            </w:r>
            <w:r>
              <w:rPr>
                <w:rFonts w:hint="eastAsia" w:ascii="宋体" w:hAnsi="宋体" w:eastAsia="宋体"/>
                <w:color w:val="auto"/>
                <w:kern w:val="0"/>
                <w:sz w:val="21"/>
                <w:szCs w:val="21"/>
                <w:highlight w:val="none"/>
              </w:rPr>
              <w:t>）。</w:t>
            </w:r>
          </w:p>
          <w:p w14:paraId="049F78CD">
            <w:pPr>
              <w:pStyle w:val="29"/>
              <w:wordWrap w:val="0"/>
              <w:spacing w:line="400" w:lineRule="exact"/>
              <w:rPr>
                <w:rFonts w:eastAsia="宋体"/>
                <w:color w:val="auto"/>
                <w:kern w:val="0"/>
                <w:sz w:val="21"/>
                <w:szCs w:val="21"/>
                <w:highlight w:val="none"/>
              </w:rPr>
            </w:pPr>
            <w:r>
              <w:rPr>
                <w:rFonts w:hint="eastAsia" w:ascii="宋体" w:hAnsi="宋体" w:eastAsia="宋体"/>
                <w:color w:val="auto"/>
                <w:kern w:val="0"/>
                <w:sz w:val="21"/>
                <w:szCs w:val="21"/>
                <w:highlight w:val="none"/>
              </w:rPr>
              <w:t>【差】得该项评分因素分值的</w:t>
            </w:r>
            <w:r>
              <w:rPr>
                <w:rFonts w:hint="eastAsia" w:eastAsia="宋体"/>
                <w:color w:val="auto"/>
                <w:kern w:val="0"/>
                <w:sz w:val="21"/>
                <w:szCs w:val="21"/>
                <w:highlight w:val="none"/>
              </w:rPr>
              <w:t>60</w:t>
            </w:r>
            <w:r>
              <w:rPr>
                <w:rFonts w:hint="eastAsia" w:ascii="宋体" w:hAnsi="宋体" w:eastAsia="宋体"/>
                <w:color w:val="auto"/>
                <w:kern w:val="0"/>
                <w:sz w:val="21"/>
                <w:szCs w:val="21"/>
                <w:highlight w:val="none"/>
              </w:rPr>
              <w:t>～</w:t>
            </w:r>
            <w:r>
              <w:rPr>
                <w:rFonts w:hint="eastAsia" w:eastAsia="宋体"/>
                <w:color w:val="auto"/>
                <w:kern w:val="0"/>
                <w:sz w:val="21"/>
                <w:szCs w:val="21"/>
                <w:highlight w:val="none"/>
              </w:rPr>
              <w:t>70%</w:t>
            </w:r>
            <w:r>
              <w:rPr>
                <w:rFonts w:hint="eastAsia" w:ascii="宋体" w:hAnsi="宋体" w:eastAsia="宋体"/>
                <w:color w:val="auto"/>
                <w:kern w:val="0"/>
                <w:sz w:val="21"/>
                <w:szCs w:val="21"/>
                <w:highlight w:val="none"/>
              </w:rPr>
              <w:t>（含</w:t>
            </w:r>
            <w:r>
              <w:rPr>
                <w:rFonts w:hint="eastAsia" w:eastAsia="宋体"/>
                <w:color w:val="auto"/>
                <w:kern w:val="0"/>
                <w:sz w:val="21"/>
                <w:szCs w:val="21"/>
                <w:highlight w:val="none"/>
              </w:rPr>
              <w:t>60%</w:t>
            </w:r>
            <w:r>
              <w:rPr>
                <w:rFonts w:hint="eastAsia" w:ascii="宋体" w:hAnsi="宋体" w:eastAsia="宋体"/>
                <w:color w:val="auto"/>
                <w:kern w:val="0"/>
                <w:sz w:val="21"/>
                <w:szCs w:val="21"/>
                <w:highlight w:val="none"/>
              </w:rPr>
              <w:t>）。</w:t>
            </w:r>
          </w:p>
        </w:tc>
        <w:tc>
          <w:tcPr>
            <w:tcW w:w="4230" w:type="dxa"/>
            <w:tcBorders>
              <w:top w:val="single" w:color="auto" w:sz="4" w:space="0"/>
              <w:left w:val="nil"/>
              <w:bottom w:val="single" w:color="auto" w:sz="4" w:space="0"/>
              <w:right w:val="single" w:color="auto" w:sz="4" w:space="0"/>
            </w:tcBorders>
            <w:noWrap w:val="0"/>
            <w:vAlign w:val="center"/>
          </w:tcPr>
          <w:p w14:paraId="0D12E627">
            <w:pPr>
              <w:pStyle w:val="6"/>
              <w:wordWrap w:val="0"/>
              <w:spacing w:after="0" w:line="400" w:lineRule="exact"/>
              <w:rPr>
                <w:rFonts w:ascii="Times New Roman"/>
                <w:color w:val="auto"/>
                <w:kern w:val="0"/>
                <w:sz w:val="21"/>
                <w:szCs w:val="21"/>
                <w:highlight w:val="none"/>
              </w:rPr>
            </w:pPr>
            <w:r>
              <w:rPr>
                <w:rFonts w:hint="eastAsia" w:hAnsi="宋体"/>
                <w:color w:val="auto"/>
                <w:kern w:val="0"/>
                <w:sz w:val="21"/>
                <w:szCs w:val="21"/>
                <w:highlight w:val="none"/>
              </w:rPr>
              <w:t>【优】应用新技术、新工艺、新材料、新设备，针对项目实际提出先进、可行、具体的保证措施。超过招标文件的质量要求。</w:t>
            </w:r>
          </w:p>
          <w:p w14:paraId="4864BDB2">
            <w:pPr>
              <w:pStyle w:val="6"/>
              <w:wordWrap w:val="0"/>
              <w:spacing w:after="0" w:line="400" w:lineRule="exact"/>
              <w:rPr>
                <w:rFonts w:ascii="Times New Roman"/>
                <w:b/>
                <w:bCs/>
                <w:color w:val="auto"/>
                <w:kern w:val="0"/>
                <w:sz w:val="21"/>
                <w:szCs w:val="21"/>
                <w:highlight w:val="none"/>
              </w:rPr>
            </w:pPr>
            <w:r>
              <w:rPr>
                <w:rFonts w:hint="eastAsia" w:hAnsi="宋体"/>
                <w:color w:val="auto"/>
                <w:kern w:val="0"/>
                <w:sz w:val="21"/>
                <w:szCs w:val="21"/>
                <w:highlight w:val="none"/>
              </w:rPr>
              <w:t>【良】针对项目实际提出先进、可行、具体的保证措施。满足招标文件的质量要求。</w:t>
            </w:r>
          </w:p>
          <w:p w14:paraId="38C60A6B">
            <w:pPr>
              <w:pStyle w:val="6"/>
              <w:wordWrap w:val="0"/>
              <w:spacing w:after="0" w:line="400" w:lineRule="exact"/>
              <w:rPr>
                <w:rFonts w:ascii="Times New Roman"/>
                <w:color w:val="auto"/>
                <w:kern w:val="0"/>
                <w:sz w:val="21"/>
                <w:szCs w:val="21"/>
                <w:highlight w:val="none"/>
              </w:rPr>
            </w:pPr>
            <w:r>
              <w:rPr>
                <w:rFonts w:hint="eastAsia" w:hAnsi="宋体"/>
                <w:color w:val="auto"/>
                <w:kern w:val="0"/>
                <w:sz w:val="21"/>
                <w:szCs w:val="21"/>
                <w:highlight w:val="none"/>
              </w:rPr>
              <w:t>【中】具体措施可行。满足招标文件的质量要求。</w:t>
            </w:r>
          </w:p>
          <w:p w14:paraId="7E32C577">
            <w:pPr>
              <w:pStyle w:val="29"/>
              <w:wordWrap w:val="0"/>
              <w:spacing w:line="400" w:lineRule="exact"/>
              <w:rPr>
                <w:rFonts w:eastAsia="宋体"/>
                <w:color w:val="auto"/>
                <w:kern w:val="0"/>
                <w:sz w:val="21"/>
                <w:szCs w:val="21"/>
                <w:highlight w:val="none"/>
              </w:rPr>
            </w:pPr>
            <w:r>
              <w:rPr>
                <w:rFonts w:hint="eastAsia" w:ascii="宋体" w:hAnsi="宋体" w:eastAsia="宋体"/>
                <w:color w:val="auto"/>
                <w:kern w:val="0"/>
                <w:sz w:val="21"/>
                <w:szCs w:val="21"/>
                <w:highlight w:val="none"/>
              </w:rPr>
              <w:t>【差】措施不可行，没有质量违约责任承诺。</w:t>
            </w:r>
          </w:p>
        </w:tc>
      </w:tr>
      <w:tr w14:paraId="4267D66B">
        <w:tblPrEx>
          <w:tblCellMar>
            <w:top w:w="0" w:type="dxa"/>
            <w:left w:w="108" w:type="dxa"/>
            <w:bottom w:w="0" w:type="dxa"/>
            <w:right w:w="108" w:type="dxa"/>
          </w:tblCellMar>
        </w:tblPrEx>
        <w:trPr>
          <w:trHeight w:val="7687"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427009F1">
            <w:pPr>
              <w:pStyle w:val="28"/>
              <w:wordWrap w:val="0"/>
              <w:spacing w:line="400" w:lineRule="exact"/>
              <w:jc w:val="center"/>
              <w:rPr>
                <w:rFonts w:eastAsia="宋体"/>
                <w:color w:val="auto"/>
                <w:kern w:val="0"/>
                <w:highlight w:val="none"/>
              </w:rPr>
            </w:pPr>
            <w:r>
              <w:rPr>
                <w:rFonts w:hint="eastAsia" w:ascii="宋体" w:hAnsi="宋体" w:eastAsia="宋体"/>
                <w:color w:val="auto"/>
                <w:kern w:val="0"/>
                <w:highlight w:val="none"/>
              </w:rPr>
              <w:t>施工</w:t>
            </w:r>
          </w:p>
          <w:p w14:paraId="671D6CA3">
            <w:pPr>
              <w:pStyle w:val="28"/>
              <w:wordWrap w:val="0"/>
              <w:spacing w:line="400" w:lineRule="exact"/>
              <w:jc w:val="center"/>
              <w:rPr>
                <w:rFonts w:eastAsia="宋体"/>
                <w:color w:val="auto"/>
                <w:kern w:val="0"/>
                <w:highlight w:val="none"/>
              </w:rPr>
            </w:pPr>
            <w:r>
              <w:rPr>
                <w:rFonts w:hint="eastAsia" w:ascii="宋体" w:hAnsi="宋体" w:eastAsia="宋体"/>
                <w:color w:val="auto"/>
                <w:kern w:val="0"/>
                <w:highlight w:val="none"/>
              </w:rPr>
              <w:t>技术措施</w:t>
            </w:r>
          </w:p>
          <w:p w14:paraId="504F5F92">
            <w:pPr>
              <w:pStyle w:val="28"/>
              <w:wordWrap w:val="0"/>
              <w:spacing w:line="400" w:lineRule="exact"/>
              <w:jc w:val="center"/>
              <w:rPr>
                <w:rFonts w:eastAsia="宋体"/>
                <w:color w:val="auto"/>
                <w:kern w:val="0"/>
                <w:highlight w:val="none"/>
              </w:rPr>
            </w:pPr>
            <w:r>
              <w:rPr>
                <w:rFonts w:hint="eastAsia" w:ascii="宋体" w:hAnsi="宋体" w:eastAsia="宋体"/>
                <w:color w:val="auto"/>
                <w:kern w:val="0"/>
                <w:highlight w:val="none"/>
              </w:rPr>
              <w:t>（</w:t>
            </w:r>
            <w:r>
              <w:rPr>
                <w:rFonts w:eastAsia="宋体"/>
                <w:color w:val="auto"/>
                <w:kern w:val="0"/>
                <w:highlight w:val="none"/>
                <w:u w:val="single"/>
              </w:rPr>
              <w:t xml:space="preserve"> </w:t>
            </w:r>
            <w:r>
              <w:rPr>
                <w:rFonts w:hint="eastAsia" w:eastAsia="宋体"/>
                <w:color w:val="auto"/>
                <w:kern w:val="0"/>
                <w:highlight w:val="none"/>
                <w:u w:val="single"/>
              </w:rPr>
              <w:t xml:space="preserve">2 </w:t>
            </w:r>
            <w:r>
              <w:rPr>
                <w:rFonts w:hint="eastAsia" w:ascii="宋体" w:hAnsi="宋体" w:eastAsia="宋体"/>
                <w:color w:val="auto"/>
                <w:kern w:val="0"/>
                <w:highlight w:val="none"/>
              </w:rPr>
              <w:t>分）</w:t>
            </w:r>
          </w:p>
        </w:tc>
        <w:tc>
          <w:tcPr>
            <w:tcW w:w="4385" w:type="dxa"/>
            <w:tcBorders>
              <w:top w:val="single" w:color="auto" w:sz="4" w:space="0"/>
              <w:left w:val="nil"/>
              <w:bottom w:val="single" w:color="auto" w:sz="4" w:space="0"/>
              <w:right w:val="single" w:color="auto" w:sz="4" w:space="0"/>
            </w:tcBorders>
            <w:noWrap w:val="0"/>
            <w:vAlign w:val="center"/>
          </w:tcPr>
          <w:p w14:paraId="087CCE41">
            <w:pPr>
              <w:pStyle w:val="27"/>
              <w:wordWrap w:val="0"/>
              <w:spacing w:line="400" w:lineRule="exact"/>
              <w:rPr>
                <w:rFonts w:eastAsia="宋体"/>
                <w:color w:val="auto"/>
                <w:kern w:val="0"/>
                <w:highlight w:val="none"/>
              </w:rPr>
            </w:pPr>
            <w:r>
              <w:rPr>
                <w:rFonts w:hint="eastAsia" w:ascii="宋体" w:hAnsi="宋体" w:eastAsia="宋体"/>
                <w:color w:val="auto"/>
                <w:kern w:val="0"/>
                <w:highlight w:val="none"/>
              </w:rPr>
              <w:t>【优】得该项评分因素分值的</w:t>
            </w:r>
            <w:r>
              <w:rPr>
                <w:rFonts w:hint="eastAsia" w:eastAsia="宋体"/>
                <w:color w:val="auto"/>
                <w:kern w:val="0"/>
                <w:highlight w:val="none"/>
              </w:rPr>
              <w:t>90%</w:t>
            </w:r>
            <w:r>
              <w:rPr>
                <w:rFonts w:hint="eastAsia" w:ascii="宋体" w:hAnsi="宋体" w:eastAsia="宋体"/>
                <w:color w:val="auto"/>
                <w:kern w:val="0"/>
                <w:highlight w:val="none"/>
              </w:rPr>
              <w:t>～</w:t>
            </w:r>
            <w:r>
              <w:rPr>
                <w:rFonts w:hint="eastAsia" w:eastAsia="宋体"/>
                <w:color w:val="auto"/>
                <w:kern w:val="0"/>
                <w:highlight w:val="none"/>
              </w:rPr>
              <w:t>100%</w:t>
            </w:r>
            <w:r>
              <w:rPr>
                <w:rFonts w:hint="eastAsia" w:ascii="宋体" w:hAnsi="宋体" w:eastAsia="宋体"/>
                <w:color w:val="auto"/>
                <w:kern w:val="0"/>
                <w:highlight w:val="none"/>
              </w:rPr>
              <w:t>（含</w:t>
            </w:r>
            <w:r>
              <w:rPr>
                <w:rFonts w:hint="eastAsia" w:eastAsia="宋体"/>
                <w:color w:val="auto"/>
                <w:kern w:val="0"/>
                <w:highlight w:val="none"/>
              </w:rPr>
              <w:t>90%</w:t>
            </w:r>
            <w:r>
              <w:rPr>
                <w:rFonts w:hint="eastAsia" w:ascii="宋体" w:hAnsi="宋体" w:eastAsia="宋体"/>
                <w:color w:val="auto"/>
                <w:kern w:val="0"/>
                <w:highlight w:val="none"/>
              </w:rPr>
              <w:t>）。</w:t>
            </w:r>
          </w:p>
          <w:p w14:paraId="735D41FB">
            <w:pPr>
              <w:pStyle w:val="27"/>
              <w:wordWrap w:val="0"/>
              <w:spacing w:line="400" w:lineRule="exact"/>
              <w:rPr>
                <w:rFonts w:eastAsia="宋体"/>
                <w:color w:val="auto"/>
                <w:kern w:val="0"/>
                <w:highlight w:val="none"/>
              </w:rPr>
            </w:pPr>
            <w:r>
              <w:rPr>
                <w:rFonts w:hint="eastAsia" w:ascii="宋体" w:hAnsi="宋体" w:eastAsia="宋体"/>
                <w:color w:val="auto"/>
                <w:kern w:val="0"/>
                <w:highlight w:val="none"/>
              </w:rPr>
              <w:t>【良】得该项评分因素分值的</w:t>
            </w:r>
            <w:r>
              <w:rPr>
                <w:rFonts w:hint="eastAsia" w:eastAsia="宋体"/>
                <w:color w:val="auto"/>
                <w:kern w:val="0"/>
                <w:highlight w:val="none"/>
              </w:rPr>
              <w:t>80%</w:t>
            </w:r>
            <w:r>
              <w:rPr>
                <w:rFonts w:hint="eastAsia" w:ascii="宋体" w:hAnsi="宋体" w:eastAsia="宋体"/>
                <w:color w:val="auto"/>
                <w:kern w:val="0"/>
                <w:highlight w:val="none"/>
              </w:rPr>
              <w:t>～</w:t>
            </w:r>
            <w:r>
              <w:rPr>
                <w:rFonts w:hint="eastAsia" w:eastAsia="宋体"/>
                <w:color w:val="auto"/>
                <w:kern w:val="0"/>
                <w:highlight w:val="none"/>
              </w:rPr>
              <w:t>90%</w:t>
            </w:r>
            <w:r>
              <w:rPr>
                <w:rFonts w:hint="eastAsia" w:ascii="宋体" w:hAnsi="宋体" w:eastAsia="宋体"/>
                <w:color w:val="auto"/>
                <w:kern w:val="0"/>
                <w:highlight w:val="none"/>
              </w:rPr>
              <w:t>（含</w:t>
            </w:r>
            <w:r>
              <w:rPr>
                <w:rFonts w:hint="eastAsia" w:eastAsia="宋体"/>
                <w:color w:val="auto"/>
                <w:kern w:val="0"/>
                <w:highlight w:val="none"/>
              </w:rPr>
              <w:t>80%</w:t>
            </w:r>
            <w:r>
              <w:rPr>
                <w:rFonts w:hint="eastAsia" w:ascii="宋体" w:hAnsi="宋体" w:eastAsia="宋体"/>
                <w:color w:val="auto"/>
                <w:kern w:val="0"/>
                <w:highlight w:val="none"/>
              </w:rPr>
              <w:t>）。</w:t>
            </w:r>
          </w:p>
          <w:p w14:paraId="5A91C6C8">
            <w:pPr>
              <w:pStyle w:val="27"/>
              <w:wordWrap w:val="0"/>
              <w:spacing w:line="400" w:lineRule="exact"/>
              <w:rPr>
                <w:rFonts w:eastAsia="宋体"/>
                <w:color w:val="auto"/>
                <w:kern w:val="0"/>
                <w:highlight w:val="none"/>
              </w:rPr>
            </w:pPr>
            <w:r>
              <w:rPr>
                <w:rFonts w:hint="eastAsia" w:ascii="宋体" w:hAnsi="宋体" w:eastAsia="宋体"/>
                <w:color w:val="auto"/>
                <w:kern w:val="0"/>
                <w:highlight w:val="none"/>
              </w:rPr>
              <w:t>【中】得该项评分因素分值的</w:t>
            </w:r>
            <w:r>
              <w:rPr>
                <w:rFonts w:hint="eastAsia" w:eastAsia="宋体"/>
                <w:color w:val="auto"/>
                <w:kern w:val="0"/>
                <w:highlight w:val="none"/>
              </w:rPr>
              <w:t>70%</w:t>
            </w:r>
            <w:r>
              <w:rPr>
                <w:rFonts w:hint="eastAsia" w:ascii="宋体" w:hAnsi="宋体" w:eastAsia="宋体"/>
                <w:color w:val="auto"/>
                <w:kern w:val="0"/>
                <w:highlight w:val="none"/>
              </w:rPr>
              <w:t>～</w:t>
            </w:r>
            <w:r>
              <w:rPr>
                <w:rFonts w:hint="eastAsia" w:eastAsia="宋体"/>
                <w:color w:val="auto"/>
                <w:kern w:val="0"/>
                <w:highlight w:val="none"/>
              </w:rPr>
              <w:t>80%</w:t>
            </w:r>
            <w:r>
              <w:rPr>
                <w:rFonts w:hint="eastAsia" w:ascii="宋体" w:hAnsi="宋体" w:eastAsia="宋体"/>
                <w:color w:val="auto"/>
                <w:kern w:val="0"/>
                <w:highlight w:val="none"/>
              </w:rPr>
              <w:t>（含</w:t>
            </w:r>
            <w:r>
              <w:rPr>
                <w:rFonts w:hint="eastAsia" w:eastAsia="宋体"/>
                <w:color w:val="auto"/>
                <w:kern w:val="0"/>
                <w:highlight w:val="none"/>
              </w:rPr>
              <w:t>70%</w:t>
            </w:r>
            <w:r>
              <w:rPr>
                <w:rFonts w:hint="eastAsia" w:ascii="宋体" w:hAnsi="宋体" w:eastAsia="宋体"/>
                <w:color w:val="auto"/>
                <w:kern w:val="0"/>
                <w:highlight w:val="none"/>
              </w:rPr>
              <w:t>）。</w:t>
            </w:r>
          </w:p>
          <w:p w14:paraId="63E4C58A">
            <w:pPr>
              <w:pStyle w:val="29"/>
              <w:wordWrap w:val="0"/>
              <w:spacing w:line="400" w:lineRule="exact"/>
              <w:rPr>
                <w:rFonts w:eastAsia="宋体"/>
                <w:color w:val="auto"/>
                <w:kern w:val="0"/>
                <w:highlight w:val="none"/>
              </w:rPr>
            </w:pPr>
            <w:r>
              <w:rPr>
                <w:rFonts w:hint="eastAsia" w:ascii="宋体" w:hAnsi="宋体" w:eastAsia="宋体"/>
                <w:color w:val="auto"/>
                <w:kern w:val="0"/>
                <w:highlight w:val="none"/>
              </w:rPr>
              <w:t>【差】得该项评分因素分值的</w:t>
            </w:r>
            <w:r>
              <w:rPr>
                <w:rFonts w:hint="eastAsia" w:eastAsia="宋体"/>
                <w:color w:val="auto"/>
                <w:kern w:val="0"/>
                <w:highlight w:val="none"/>
              </w:rPr>
              <w:t>60</w:t>
            </w:r>
            <w:r>
              <w:rPr>
                <w:rFonts w:hint="eastAsia" w:ascii="宋体" w:hAnsi="宋体" w:eastAsia="宋体"/>
                <w:color w:val="auto"/>
                <w:kern w:val="0"/>
                <w:highlight w:val="none"/>
              </w:rPr>
              <w:t>～</w:t>
            </w:r>
            <w:r>
              <w:rPr>
                <w:rFonts w:hint="eastAsia" w:eastAsia="宋体"/>
                <w:color w:val="auto"/>
                <w:kern w:val="0"/>
                <w:highlight w:val="none"/>
              </w:rPr>
              <w:t>70%</w:t>
            </w:r>
            <w:r>
              <w:rPr>
                <w:rFonts w:hint="eastAsia" w:ascii="宋体" w:hAnsi="宋体" w:eastAsia="宋体"/>
                <w:color w:val="auto"/>
                <w:kern w:val="0"/>
                <w:highlight w:val="none"/>
              </w:rPr>
              <w:t>（含</w:t>
            </w:r>
            <w:r>
              <w:rPr>
                <w:rFonts w:hint="eastAsia" w:eastAsia="宋体"/>
                <w:color w:val="auto"/>
                <w:kern w:val="0"/>
                <w:highlight w:val="none"/>
              </w:rPr>
              <w:t>60%</w:t>
            </w:r>
            <w:r>
              <w:rPr>
                <w:rFonts w:hint="eastAsia" w:ascii="宋体" w:hAnsi="宋体" w:eastAsia="宋体"/>
                <w:color w:val="auto"/>
                <w:kern w:val="0"/>
                <w:highlight w:val="none"/>
              </w:rPr>
              <w:t>）。</w:t>
            </w:r>
          </w:p>
        </w:tc>
        <w:tc>
          <w:tcPr>
            <w:tcW w:w="4230" w:type="dxa"/>
            <w:tcBorders>
              <w:top w:val="single" w:color="auto" w:sz="4" w:space="0"/>
              <w:left w:val="nil"/>
              <w:bottom w:val="single" w:color="auto" w:sz="4" w:space="0"/>
              <w:right w:val="single" w:color="auto" w:sz="4" w:space="0"/>
            </w:tcBorders>
            <w:noWrap w:val="0"/>
            <w:vAlign w:val="center"/>
          </w:tcPr>
          <w:p w14:paraId="2E75EE5D">
            <w:pPr>
              <w:pStyle w:val="29"/>
              <w:wordWrap w:val="0"/>
              <w:spacing w:line="400" w:lineRule="exact"/>
              <w:rPr>
                <w:rFonts w:eastAsia="宋体"/>
                <w:color w:val="auto"/>
                <w:kern w:val="0"/>
                <w:highlight w:val="none"/>
              </w:rPr>
            </w:pPr>
            <w:r>
              <w:rPr>
                <w:rFonts w:hint="eastAsia" w:ascii="宋体" w:hAnsi="宋体" w:eastAsia="宋体"/>
                <w:color w:val="auto"/>
                <w:kern w:val="0"/>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b/>
                <w:bCs/>
                <w:color w:val="auto"/>
                <w:kern w:val="0"/>
                <w:highlight w:val="none"/>
              </w:rPr>
              <w:t>经济赔偿合理。</w:t>
            </w:r>
          </w:p>
          <w:p w14:paraId="55335101">
            <w:pPr>
              <w:pStyle w:val="29"/>
              <w:wordWrap w:val="0"/>
              <w:spacing w:line="400" w:lineRule="exact"/>
              <w:rPr>
                <w:rFonts w:eastAsia="宋体"/>
                <w:b/>
                <w:bCs/>
                <w:color w:val="auto"/>
                <w:kern w:val="0"/>
                <w:highlight w:val="none"/>
              </w:rPr>
            </w:pPr>
            <w:r>
              <w:rPr>
                <w:rFonts w:hint="eastAsia" w:ascii="宋体" w:hAnsi="宋体" w:eastAsia="宋体"/>
                <w:color w:val="auto"/>
                <w:kern w:val="0"/>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b/>
                <w:bCs/>
                <w:color w:val="auto"/>
                <w:kern w:val="0"/>
                <w:highlight w:val="none"/>
              </w:rPr>
              <w:t>经济赔偿较合理。</w:t>
            </w:r>
          </w:p>
          <w:p w14:paraId="7BB6ECF6">
            <w:pPr>
              <w:pStyle w:val="29"/>
              <w:wordWrap w:val="0"/>
              <w:spacing w:line="400" w:lineRule="exact"/>
              <w:rPr>
                <w:rFonts w:eastAsia="宋体"/>
                <w:color w:val="auto"/>
                <w:kern w:val="0"/>
                <w:highlight w:val="none"/>
              </w:rPr>
            </w:pPr>
            <w:r>
              <w:rPr>
                <w:rFonts w:hint="eastAsia" w:ascii="宋体" w:hAnsi="宋体" w:eastAsia="宋体"/>
                <w:color w:val="auto"/>
                <w:kern w:val="0"/>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4EA58D88">
            <w:pPr>
              <w:pStyle w:val="29"/>
              <w:wordWrap w:val="0"/>
              <w:spacing w:line="400" w:lineRule="exact"/>
              <w:rPr>
                <w:rFonts w:eastAsia="宋体"/>
                <w:color w:val="auto"/>
                <w:kern w:val="0"/>
                <w:highlight w:val="none"/>
              </w:rPr>
            </w:pPr>
            <w:r>
              <w:rPr>
                <w:rFonts w:hint="eastAsia" w:ascii="宋体" w:hAnsi="宋体" w:eastAsia="宋体"/>
                <w:color w:val="auto"/>
                <w:kern w:val="0"/>
                <w:highlight w:val="none"/>
              </w:rPr>
              <w:t>【差】对项目关键技术有表述，对重点、难点有建议，解决方案不可行。采用的新技术针对性不强或验证材料不可靠，对节约投资、工期没有具体收益。无违约责任承诺。</w:t>
            </w:r>
          </w:p>
        </w:tc>
      </w:tr>
      <w:tr w14:paraId="43F825F4">
        <w:tblPrEx>
          <w:tblCellMar>
            <w:top w:w="0" w:type="dxa"/>
            <w:left w:w="108" w:type="dxa"/>
            <w:bottom w:w="0" w:type="dxa"/>
            <w:right w:w="108" w:type="dxa"/>
          </w:tblCellMar>
        </w:tblPrEx>
        <w:trPr>
          <w:trHeight w:val="3242"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1CFACD0F">
            <w:pPr>
              <w:pStyle w:val="28"/>
              <w:wordWrap w:val="0"/>
              <w:spacing w:line="400" w:lineRule="exact"/>
              <w:jc w:val="center"/>
              <w:rPr>
                <w:rFonts w:eastAsia="宋体"/>
                <w:color w:val="auto"/>
                <w:kern w:val="0"/>
                <w:highlight w:val="none"/>
              </w:rPr>
            </w:pPr>
            <w:r>
              <w:rPr>
                <w:rFonts w:hint="eastAsia" w:ascii="宋体" w:hAnsi="宋体" w:eastAsia="宋体"/>
                <w:color w:val="auto"/>
                <w:kern w:val="0"/>
                <w:highlight w:val="none"/>
              </w:rPr>
              <w:t>绿色施工、</w:t>
            </w:r>
          </w:p>
          <w:p w14:paraId="6270E013">
            <w:pPr>
              <w:pStyle w:val="28"/>
              <w:wordWrap w:val="0"/>
              <w:spacing w:line="400" w:lineRule="exact"/>
              <w:jc w:val="center"/>
              <w:rPr>
                <w:rFonts w:eastAsia="宋体"/>
                <w:color w:val="auto"/>
                <w:kern w:val="0"/>
                <w:highlight w:val="none"/>
              </w:rPr>
            </w:pPr>
            <w:r>
              <w:rPr>
                <w:rFonts w:hint="eastAsia" w:ascii="宋体" w:hAnsi="宋体" w:eastAsia="宋体"/>
                <w:color w:val="auto"/>
                <w:kern w:val="0"/>
                <w:highlight w:val="none"/>
              </w:rPr>
              <w:t>安全防护、</w:t>
            </w:r>
          </w:p>
          <w:p w14:paraId="2DC5007E">
            <w:pPr>
              <w:pStyle w:val="28"/>
              <w:wordWrap w:val="0"/>
              <w:spacing w:line="400" w:lineRule="exact"/>
              <w:jc w:val="center"/>
              <w:rPr>
                <w:rFonts w:eastAsia="宋体"/>
                <w:color w:val="auto"/>
                <w:kern w:val="0"/>
                <w:highlight w:val="none"/>
              </w:rPr>
            </w:pPr>
            <w:r>
              <w:rPr>
                <w:rFonts w:hint="eastAsia" w:ascii="宋体" w:hAnsi="宋体" w:eastAsia="宋体"/>
                <w:color w:val="auto"/>
                <w:kern w:val="0"/>
                <w:highlight w:val="none"/>
              </w:rPr>
              <w:t>文明施工</w:t>
            </w:r>
          </w:p>
          <w:p w14:paraId="55F3108E">
            <w:pPr>
              <w:pStyle w:val="28"/>
              <w:wordWrap w:val="0"/>
              <w:spacing w:line="400" w:lineRule="exact"/>
              <w:jc w:val="center"/>
              <w:rPr>
                <w:rFonts w:eastAsia="宋体"/>
                <w:color w:val="auto"/>
                <w:kern w:val="0"/>
                <w:highlight w:val="none"/>
              </w:rPr>
            </w:pPr>
            <w:r>
              <w:rPr>
                <w:rFonts w:hint="eastAsia" w:ascii="宋体" w:hAnsi="宋体" w:eastAsia="宋体"/>
                <w:color w:val="auto"/>
                <w:kern w:val="0"/>
                <w:highlight w:val="none"/>
              </w:rPr>
              <w:t>措施计划</w:t>
            </w:r>
          </w:p>
          <w:p w14:paraId="6B423276">
            <w:pPr>
              <w:pStyle w:val="28"/>
              <w:wordWrap w:val="0"/>
              <w:spacing w:line="400" w:lineRule="exact"/>
              <w:jc w:val="center"/>
              <w:rPr>
                <w:rFonts w:eastAsia="宋体"/>
                <w:color w:val="auto"/>
                <w:kern w:val="0"/>
                <w:highlight w:val="none"/>
              </w:rPr>
            </w:pPr>
            <w:r>
              <w:rPr>
                <w:rFonts w:hint="eastAsia" w:ascii="宋体" w:hAnsi="宋体" w:eastAsia="宋体"/>
                <w:color w:val="auto"/>
                <w:kern w:val="0"/>
                <w:highlight w:val="none"/>
              </w:rPr>
              <w:t>（</w:t>
            </w:r>
            <w:r>
              <w:rPr>
                <w:rFonts w:hint="eastAsia" w:eastAsia="宋体"/>
                <w:color w:val="auto"/>
                <w:kern w:val="0"/>
                <w:highlight w:val="none"/>
                <w:u w:val="single"/>
              </w:rPr>
              <w:t xml:space="preserve">3 </w:t>
            </w:r>
            <w:r>
              <w:rPr>
                <w:rFonts w:hint="eastAsia" w:ascii="宋体" w:hAnsi="宋体" w:eastAsia="宋体"/>
                <w:color w:val="auto"/>
                <w:kern w:val="0"/>
                <w:highlight w:val="none"/>
              </w:rPr>
              <w:t>分）</w:t>
            </w:r>
          </w:p>
        </w:tc>
        <w:tc>
          <w:tcPr>
            <w:tcW w:w="4385" w:type="dxa"/>
            <w:tcBorders>
              <w:top w:val="single" w:color="auto" w:sz="4" w:space="0"/>
              <w:left w:val="nil"/>
              <w:bottom w:val="single" w:color="auto" w:sz="4" w:space="0"/>
              <w:right w:val="single" w:color="auto" w:sz="4" w:space="0"/>
            </w:tcBorders>
            <w:noWrap w:val="0"/>
            <w:vAlign w:val="center"/>
          </w:tcPr>
          <w:p w14:paraId="2B7E0F90">
            <w:pPr>
              <w:pStyle w:val="27"/>
              <w:wordWrap w:val="0"/>
              <w:spacing w:line="400" w:lineRule="exact"/>
              <w:rPr>
                <w:rFonts w:eastAsia="宋体"/>
                <w:color w:val="auto"/>
                <w:kern w:val="0"/>
                <w:highlight w:val="none"/>
              </w:rPr>
            </w:pPr>
            <w:r>
              <w:rPr>
                <w:rFonts w:hint="eastAsia" w:ascii="宋体" w:hAnsi="宋体" w:eastAsia="宋体"/>
                <w:color w:val="auto"/>
                <w:kern w:val="0"/>
                <w:highlight w:val="none"/>
              </w:rPr>
              <w:t>【优】得该项评分因素分值的</w:t>
            </w:r>
            <w:r>
              <w:rPr>
                <w:rFonts w:hint="eastAsia" w:eastAsia="宋体"/>
                <w:color w:val="auto"/>
                <w:kern w:val="0"/>
                <w:highlight w:val="none"/>
              </w:rPr>
              <w:t>90%</w:t>
            </w:r>
            <w:r>
              <w:rPr>
                <w:rFonts w:hint="eastAsia" w:ascii="宋体" w:hAnsi="宋体" w:eastAsia="宋体"/>
                <w:color w:val="auto"/>
                <w:kern w:val="0"/>
                <w:highlight w:val="none"/>
              </w:rPr>
              <w:t>～</w:t>
            </w:r>
            <w:r>
              <w:rPr>
                <w:rFonts w:hint="eastAsia" w:eastAsia="宋体"/>
                <w:color w:val="auto"/>
                <w:kern w:val="0"/>
                <w:highlight w:val="none"/>
              </w:rPr>
              <w:t>100%</w:t>
            </w:r>
            <w:r>
              <w:rPr>
                <w:rFonts w:hint="eastAsia" w:ascii="宋体" w:hAnsi="宋体" w:eastAsia="宋体"/>
                <w:color w:val="auto"/>
                <w:kern w:val="0"/>
                <w:highlight w:val="none"/>
              </w:rPr>
              <w:t>（含</w:t>
            </w:r>
            <w:r>
              <w:rPr>
                <w:rFonts w:hint="eastAsia" w:eastAsia="宋体"/>
                <w:color w:val="auto"/>
                <w:kern w:val="0"/>
                <w:highlight w:val="none"/>
              </w:rPr>
              <w:t>90%</w:t>
            </w:r>
            <w:r>
              <w:rPr>
                <w:rFonts w:hint="eastAsia" w:ascii="宋体" w:hAnsi="宋体" w:eastAsia="宋体"/>
                <w:color w:val="auto"/>
                <w:kern w:val="0"/>
                <w:highlight w:val="none"/>
              </w:rPr>
              <w:t>）。</w:t>
            </w:r>
          </w:p>
          <w:p w14:paraId="6549DC28">
            <w:pPr>
              <w:pStyle w:val="27"/>
              <w:wordWrap w:val="0"/>
              <w:spacing w:line="400" w:lineRule="exact"/>
              <w:rPr>
                <w:rFonts w:eastAsia="宋体"/>
                <w:color w:val="auto"/>
                <w:kern w:val="0"/>
                <w:highlight w:val="none"/>
              </w:rPr>
            </w:pPr>
            <w:r>
              <w:rPr>
                <w:rFonts w:hint="eastAsia" w:ascii="宋体" w:hAnsi="宋体" w:eastAsia="宋体"/>
                <w:color w:val="auto"/>
                <w:kern w:val="0"/>
                <w:highlight w:val="none"/>
              </w:rPr>
              <w:t>【良】得该项评分因素分值的</w:t>
            </w:r>
            <w:r>
              <w:rPr>
                <w:rFonts w:hint="eastAsia" w:eastAsia="宋体"/>
                <w:color w:val="auto"/>
                <w:kern w:val="0"/>
                <w:highlight w:val="none"/>
              </w:rPr>
              <w:t>80%</w:t>
            </w:r>
            <w:r>
              <w:rPr>
                <w:rFonts w:hint="eastAsia" w:ascii="宋体" w:hAnsi="宋体" w:eastAsia="宋体"/>
                <w:color w:val="auto"/>
                <w:kern w:val="0"/>
                <w:highlight w:val="none"/>
              </w:rPr>
              <w:t>～</w:t>
            </w:r>
            <w:r>
              <w:rPr>
                <w:rFonts w:hint="eastAsia" w:eastAsia="宋体"/>
                <w:color w:val="auto"/>
                <w:kern w:val="0"/>
                <w:highlight w:val="none"/>
              </w:rPr>
              <w:t>90%</w:t>
            </w:r>
            <w:r>
              <w:rPr>
                <w:rFonts w:hint="eastAsia" w:ascii="宋体" w:hAnsi="宋体" w:eastAsia="宋体"/>
                <w:color w:val="auto"/>
                <w:kern w:val="0"/>
                <w:highlight w:val="none"/>
              </w:rPr>
              <w:t>（含</w:t>
            </w:r>
            <w:r>
              <w:rPr>
                <w:rFonts w:hint="eastAsia" w:eastAsia="宋体"/>
                <w:color w:val="auto"/>
                <w:kern w:val="0"/>
                <w:highlight w:val="none"/>
              </w:rPr>
              <w:t>80%</w:t>
            </w:r>
            <w:r>
              <w:rPr>
                <w:rFonts w:hint="eastAsia" w:ascii="宋体" w:hAnsi="宋体" w:eastAsia="宋体"/>
                <w:color w:val="auto"/>
                <w:kern w:val="0"/>
                <w:highlight w:val="none"/>
              </w:rPr>
              <w:t>）。</w:t>
            </w:r>
          </w:p>
          <w:p w14:paraId="5E3E01FC">
            <w:pPr>
              <w:pStyle w:val="27"/>
              <w:wordWrap w:val="0"/>
              <w:spacing w:line="400" w:lineRule="exact"/>
              <w:rPr>
                <w:rFonts w:eastAsia="宋体"/>
                <w:color w:val="auto"/>
                <w:kern w:val="0"/>
                <w:highlight w:val="none"/>
              </w:rPr>
            </w:pPr>
            <w:r>
              <w:rPr>
                <w:rFonts w:hint="eastAsia" w:ascii="宋体" w:hAnsi="宋体" w:eastAsia="宋体"/>
                <w:color w:val="auto"/>
                <w:kern w:val="0"/>
                <w:highlight w:val="none"/>
              </w:rPr>
              <w:t>【中】得该项评分因素分值的</w:t>
            </w:r>
            <w:r>
              <w:rPr>
                <w:rFonts w:hint="eastAsia" w:eastAsia="宋体"/>
                <w:color w:val="auto"/>
                <w:kern w:val="0"/>
                <w:highlight w:val="none"/>
              </w:rPr>
              <w:t>70%</w:t>
            </w:r>
            <w:r>
              <w:rPr>
                <w:rFonts w:hint="eastAsia" w:ascii="宋体" w:hAnsi="宋体" w:eastAsia="宋体"/>
                <w:color w:val="auto"/>
                <w:kern w:val="0"/>
                <w:highlight w:val="none"/>
              </w:rPr>
              <w:t>～</w:t>
            </w:r>
            <w:r>
              <w:rPr>
                <w:rFonts w:hint="eastAsia" w:eastAsia="宋体"/>
                <w:color w:val="auto"/>
                <w:kern w:val="0"/>
                <w:highlight w:val="none"/>
              </w:rPr>
              <w:t>80%</w:t>
            </w:r>
            <w:r>
              <w:rPr>
                <w:rFonts w:hint="eastAsia" w:ascii="宋体" w:hAnsi="宋体" w:eastAsia="宋体"/>
                <w:color w:val="auto"/>
                <w:kern w:val="0"/>
                <w:highlight w:val="none"/>
              </w:rPr>
              <w:t>（含</w:t>
            </w:r>
            <w:r>
              <w:rPr>
                <w:rFonts w:hint="eastAsia" w:eastAsia="宋体"/>
                <w:color w:val="auto"/>
                <w:kern w:val="0"/>
                <w:highlight w:val="none"/>
              </w:rPr>
              <w:t>70%</w:t>
            </w:r>
            <w:r>
              <w:rPr>
                <w:rFonts w:hint="eastAsia" w:ascii="宋体" w:hAnsi="宋体" w:eastAsia="宋体"/>
                <w:color w:val="auto"/>
                <w:kern w:val="0"/>
                <w:highlight w:val="none"/>
              </w:rPr>
              <w:t>）。</w:t>
            </w:r>
          </w:p>
          <w:p w14:paraId="14BE6292">
            <w:pPr>
              <w:pStyle w:val="29"/>
              <w:wordWrap w:val="0"/>
              <w:spacing w:line="400" w:lineRule="exact"/>
              <w:rPr>
                <w:rFonts w:eastAsia="宋体"/>
                <w:color w:val="auto"/>
                <w:kern w:val="0"/>
                <w:highlight w:val="none"/>
              </w:rPr>
            </w:pPr>
            <w:r>
              <w:rPr>
                <w:rFonts w:hint="eastAsia" w:ascii="宋体" w:hAnsi="宋体" w:eastAsia="宋体"/>
                <w:color w:val="auto"/>
                <w:kern w:val="0"/>
                <w:highlight w:val="none"/>
              </w:rPr>
              <w:t>【差】得该项评分因素分值的</w:t>
            </w:r>
            <w:r>
              <w:rPr>
                <w:rFonts w:hint="eastAsia" w:eastAsia="宋体"/>
                <w:color w:val="auto"/>
                <w:kern w:val="0"/>
                <w:highlight w:val="none"/>
              </w:rPr>
              <w:t>60</w:t>
            </w:r>
            <w:r>
              <w:rPr>
                <w:rFonts w:hint="eastAsia" w:ascii="宋体" w:hAnsi="宋体" w:eastAsia="宋体"/>
                <w:color w:val="auto"/>
                <w:kern w:val="0"/>
                <w:highlight w:val="none"/>
              </w:rPr>
              <w:t>～</w:t>
            </w:r>
            <w:r>
              <w:rPr>
                <w:rFonts w:hint="eastAsia" w:eastAsia="宋体"/>
                <w:color w:val="auto"/>
                <w:kern w:val="0"/>
                <w:highlight w:val="none"/>
              </w:rPr>
              <w:t>70%</w:t>
            </w:r>
            <w:r>
              <w:rPr>
                <w:rFonts w:hint="eastAsia" w:ascii="宋体" w:hAnsi="宋体" w:eastAsia="宋体"/>
                <w:color w:val="auto"/>
                <w:kern w:val="0"/>
                <w:highlight w:val="none"/>
              </w:rPr>
              <w:t>（含</w:t>
            </w:r>
            <w:r>
              <w:rPr>
                <w:rFonts w:hint="eastAsia" w:eastAsia="宋体"/>
                <w:color w:val="auto"/>
                <w:kern w:val="0"/>
                <w:highlight w:val="none"/>
              </w:rPr>
              <w:t>60%</w:t>
            </w:r>
            <w:r>
              <w:rPr>
                <w:rFonts w:hint="eastAsia" w:ascii="宋体" w:hAnsi="宋体" w:eastAsia="宋体"/>
                <w:color w:val="auto"/>
                <w:kern w:val="0"/>
                <w:highlight w:val="none"/>
              </w:rPr>
              <w:t>）。</w:t>
            </w:r>
          </w:p>
        </w:tc>
        <w:tc>
          <w:tcPr>
            <w:tcW w:w="4230" w:type="dxa"/>
            <w:tcBorders>
              <w:top w:val="single" w:color="auto" w:sz="4" w:space="0"/>
              <w:left w:val="nil"/>
              <w:bottom w:val="single" w:color="auto" w:sz="4" w:space="0"/>
              <w:right w:val="single" w:color="auto" w:sz="4" w:space="0"/>
            </w:tcBorders>
            <w:noWrap w:val="0"/>
            <w:vAlign w:val="center"/>
          </w:tcPr>
          <w:p w14:paraId="58798741">
            <w:pPr>
              <w:pStyle w:val="29"/>
              <w:wordWrap w:val="0"/>
              <w:spacing w:line="400" w:lineRule="exact"/>
              <w:rPr>
                <w:rFonts w:eastAsia="宋体"/>
                <w:color w:val="auto"/>
                <w:kern w:val="0"/>
                <w:highlight w:val="none"/>
              </w:rPr>
            </w:pPr>
            <w:r>
              <w:rPr>
                <w:rFonts w:hint="eastAsia" w:ascii="宋体" w:hAnsi="宋体" w:eastAsia="宋体"/>
                <w:color w:val="auto"/>
                <w:kern w:val="0"/>
                <w:highlight w:val="none"/>
              </w:rPr>
              <w:t>【优】针对项目实际情况，有先进、具体、完整、可行的措施，采用规范准确、清晰。</w:t>
            </w:r>
          </w:p>
          <w:p w14:paraId="659C8853">
            <w:pPr>
              <w:pStyle w:val="29"/>
              <w:wordWrap w:val="0"/>
              <w:spacing w:line="400" w:lineRule="exact"/>
              <w:rPr>
                <w:rFonts w:eastAsia="宋体"/>
                <w:color w:val="auto"/>
                <w:kern w:val="0"/>
                <w:highlight w:val="none"/>
              </w:rPr>
            </w:pPr>
            <w:r>
              <w:rPr>
                <w:rFonts w:hint="eastAsia" w:ascii="宋体" w:hAnsi="宋体" w:eastAsia="宋体"/>
                <w:color w:val="auto"/>
                <w:kern w:val="0"/>
                <w:highlight w:val="none"/>
              </w:rPr>
              <w:t>【良】针对项目实际情况，有合理的措施且具体、完整，采用规范准确。</w:t>
            </w:r>
          </w:p>
          <w:p w14:paraId="0413BC55">
            <w:pPr>
              <w:pStyle w:val="29"/>
              <w:wordWrap w:val="0"/>
              <w:spacing w:line="400" w:lineRule="exact"/>
              <w:rPr>
                <w:rFonts w:eastAsia="宋体"/>
                <w:color w:val="auto"/>
                <w:kern w:val="0"/>
                <w:highlight w:val="none"/>
              </w:rPr>
            </w:pPr>
            <w:r>
              <w:rPr>
                <w:rFonts w:hint="eastAsia" w:ascii="宋体" w:hAnsi="宋体" w:eastAsia="宋体"/>
                <w:color w:val="auto"/>
                <w:kern w:val="0"/>
                <w:highlight w:val="none"/>
              </w:rPr>
              <w:t>【中】有基本合理的措施，采用规范准确。</w:t>
            </w:r>
          </w:p>
          <w:p w14:paraId="11B645FE">
            <w:pPr>
              <w:pStyle w:val="29"/>
              <w:wordWrap w:val="0"/>
              <w:spacing w:line="400" w:lineRule="exact"/>
              <w:rPr>
                <w:rFonts w:eastAsia="宋体"/>
                <w:color w:val="auto"/>
                <w:kern w:val="0"/>
                <w:highlight w:val="none"/>
              </w:rPr>
            </w:pPr>
            <w:r>
              <w:rPr>
                <w:rFonts w:hint="eastAsia" w:ascii="宋体" w:hAnsi="宋体" w:eastAsia="宋体"/>
                <w:color w:val="auto"/>
                <w:kern w:val="0"/>
                <w:highlight w:val="none"/>
              </w:rPr>
              <w:t>【差】措施不力，采用规范不正确。</w:t>
            </w:r>
          </w:p>
        </w:tc>
      </w:tr>
      <w:tr w14:paraId="412F1A03">
        <w:tblPrEx>
          <w:tblCellMar>
            <w:top w:w="0" w:type="dxa"/>
            <w:left w:w="108" w:type="dxa"/>
            <w:bottom w:w="0" w:type="dxa"/>
            <w:right w:w="108" w:type="dxa"/>
          </w:tblCellMar>
        </w:tblPrEx>
        <w:trPr>
          <w:trHeight w:val="3646"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2521A0DD">
            <w:pPr>
              <w:pStyle w:val="28"/>
              <w:wordWrap w:val="0"/>
              <w:spacing w:line="400" w:lineRule="exact"/>
              <w:jc w:val="center"/>
              <w:rPr>
                <w:rFonts w:eastAsia="宋体"/>
                <w:color w:val="auto"/>
                <w:kern w:val="0"/>
                <w:highlight w:val="none"/>
              </w:rPr>
            </w:pPr>
            <w:r>
              <w:rPr>
                <w:rFonts w:hint="eastAsia" w:ascii="宋体" w:hAnsi="宋体" w:eastAsia="宋体"/>
                <w:color w:val="auto"/>
                <w:kern w:val="0"/>
                <w:highlight w:val="none"/>
              </w:rPr>
              <w:t>施工平面</w:t>
            </w:r>
          </w:p>
          <w:p w14:paraId="5CD972B8">
            <w:pPr>
              <w:pStyle w:val="28"/>
              <w:wordWrap w:val="0"/>
              <w:spacing w:line="400" w:lineRule="exact"/>
              <w:jc w:val="center"/>
              <w:rPr>
                <w:rFonts w:eastAsia="宋体"/>
                <w:color w:val="auto"/>
                <w:kern w:val="0"/>
                <w:highlight w:val="none"/>
              </w:rPr>
            </w:pPr>
            <w:r>
              <w:rPr>
                <w:rFonts w:hint="eastAsia" w:ascii="宋体" w:hAnsi="宋体" w:eastAsia="宋体"/>
                <w:color w:val="auto"/>
                <w:kern w:val="0"/>
                <w:highlight w:val="none"/>
              </w:rPr>
              <w:t>布置和临时设施布置</w:t>
            </w:r>
          </w:p>
          <w:p w14:paraId="669AE15B">
            <w:pPr>
              <w:pStyle w:val="28"/>
              <w:wordWrap w:val="0"/>
              <w:spacing w:line="400" w:lineRule="exact"/>
              <w:jc w:val="center"/>
              <w:rPr>
                <w:rFonts w:eastAsia="宋体"/>
                <w:color w:val="auto"/>
                <w:kern w:val="0"/>
                <w:highlight w:val="none"/>
              </w:rPr>
            </w:pPr>
            <w:r>
              <w:rPr>
                <w:rFonts w:hint="eastAsia" w:ascii="宋体" w:hAnsi="宋体" w:eastAsia="宋体"/>
                <w:color w:val="auto"/>
                <w:kern w:val="0"/>
                <w:highlight w:val="none"/>
              </w:rPr>
              <w:t>（</w:t>
            </w:r>
            <w:r>
              <w:rPr>
                <w:rFonts w:eastAsia="宋体"/>
                <w:color w:val="auto"/>
                <w:kern w:val="0"/>
                <w:highlight w:val="none"/>
                <w:u w:val="single"/>
              </w:rPr>
              <w:t xml:space="preserve"> </w:t>
            </w:r>
            <w:r>
              <w:rPr>
                <w:rFonts w:hint="eastAsia" w:eastAsia="宋体"/>
                <w:color w:val="auto"/>
                <w:kern w:val="0"/>
                <w:highlight w:val="none"/>
                <w:u w:val="single"/>
              </w:rPr>
              <w:t xml:space="preserve">2 </w:t>
            </w:r>
            <w:r>
              <w:rPr>
                <w:rFonts w:hint="eastAsia" w:ascii="宋体" w:hAnsi="宋体" w:eastAsia="宋体"/>
                <w:color w:val="auto"/>
                <w:kern w:val="0"/>
                <w:highlight w:val="none"/>
              </w:rPr>
              <w:t>分）</w:t>
            </w:r>
          </w:p>
        </w:tc>
        <w:tc>
          <w:tcPr>
            <w:tcW w:w="4385" w:type="dxa"/>
            <w:tcBorders>
              <w:top w:val="single" w:color="auto" w:sz="4" w:space="0"/>
              <w:left w:val="nil"/>
              <w:bottom w:val="single" w:color="auto" w:sz="4" w:space="0"/>
              <w:right w:val="single" w:color="auto" w:sz="4" w:space="0"/>
            </w:tcBorders>
            <w:noWrap w:val="0"/>
            <w:vAlign w:val="center"/>
          </w:tcPr>
          <w:p w14:paraId="68E22340">
            <w:pPr>
              <w:pStyle w:val="27"/>
              <w:wordWrap w:val="0"/>
              <w:spacing w:line="400" w:lineRule="exact"/>
              <w:rPr>
                <w:rFonts w:eastAsia="宋体"/>
                <w:color w:val="auto"/>
                <w:kern w:val="0"/>
                <w:highlight w:val="none"/>
              </w:rPr>
            </w:pPr>
            <w:r>
              <w:rPr>
                <w:rFonts w:hint="eastAsia" w:ascii="宋体" w:hAnsi="宋体" w:eastAsia="宋体"/>
                <w:color w:val="auto"/>
                <w:kern w:val="0"/>
                <w:highlight w:val="none"/>
              </w:rPr>
              <w:t>【优】得该项评分因素分值的</w:t>
            </w:r>
            <w:r>
              <w:rPr>
                <w:rFonts w:hint="eastAsia" w:eastAsia="宋体"/>
                <w:color w:val="auto"/>
                <w:kern w:val="0"/>
                <w:highlight w:val="none"/>
              </w:rPr>
              <w:t>90%</w:t>
            </w:r>
            <w:r>
              <w:rPr>
                <w:rFonts w:hint="eastAsia" w:ascii="宋体" w:hAnsi="宋体" w:eastAsia="宋体"/>
                <w:color w:val="auto"/>
                <w:kern w:val="0"/>
                <w:highlight w:val="none"/>
              </w:rPr>
              <w:t>～</w:t>
            </w:r>
            <w:r>
              <w:rPr>
                <w:rFonts w:hint="eastAsia" w:eastAsia="宋体"/>
                <w:color w:val="auto"/>
                <w:kern w:val="0"/>
                <w:highlight w:val="none"/>
              </w:rPr>
              <w:t>100%</w:t>
            </w:r>
            <w:r>
              <w:rPr>
                <w:rFonts w:hint="eastAsia" w:ascii="宋体" w:hAnsi="宋体" w:eastAsia="宋体"/>
                <w:color w:val="auto"/>
                <w:kern w:val="0"/>
                <w:highlight w:val="none"/>
              </w:rPr>
              <w:t>（含</w:t>
            </w:r>
            <w:r>
              <w:rPr>
                <w:rFonts w:hint="eastAsia" w:eastAsia="宋体"/>
                <w:color w:val="auto"/>
                <w:kern w:val="0"/>
                <w:highlight w:val="none"/>
              </w:rPr>
              <w:t>90%</w:t>
            </w:r>
            <w:r>
              <w:rPr>
                <w:rFonts w:hint="eastAsia" w:ascii="宋体" w:hAnsi="宋体" w:eastAsia="宋体"/>
                <w:color w:val="auto"/>
                <w:kern w:val="0"/>
                <w:highlight w:val="none"/>
              </w:rPr>
              <w:t>）。</w:t>
            </w:r>
          </w:p>
          <w:p w14:paraId="02F5F845">
            <w:pPr>
              <w:pStyle w:val="27"/>
              <w:wordWrap w:val="0"/>
              <w:spacing w:line="400" w:lineRule="exact"/>
              <w:rPr>
                <w:rFonts w:eastAsia="宋体"/>
                <w:color w:val="auto"/>
                <w:kern w:val="0"/>
                <w:highlight w:val="none"/>
              </w:rPr>
            </w:pPr>
            <w:r>
              <w:rPr>
                <w:rFonts w:hint="eastAsia" w:ascii="宋体" w:hAnsi="宋体" w:eastAsia="宋体"/>
                <w:color w:val="auto"/>
                <w:kern w:val="0"/>
                <w:highlight w:val="none"/>
              </w:rPr>
              <w:t>【良】得该项评分因素分值的</w:t>
            </w:r>
            <w:r>
              <w:rPr>
                <w:rFonts w:hint="eastAsia" w:eastAsia="宋体"/>
                <w:color w:val="auto"/>
                <w:kern w:val="0"/>
                <w:highlight w:val="none"/>
              </w:rPr>
              <w:t>80%</w:t>
            </w:r>
            <w:r>
              <w:rPr>
                <w:rFonts w:hint="eastAsia" w:ascii="宋体" w:hAnsi="宋体" w:eastAsia="宋体"/>
                <w:color w:val="auto"/>
                <w:kern w:val="0"/>
                <w:highlight w:val="none"/>
              </w:rPr>
              <w:t>～</w:t>
            </w:r>
            <w:r>
              <w:rPr>
                <w:rFonts w:hint="eastAsia" w:eastAsia="宋体"/>
                <w:color w:val="auto"/>
                <w:kern w:val="0"/>
                <w:highlight w:val="none"/>
              </w:rPr>
              <w:t>90%</w:t>
            </w:r>
            <w:r>
              <w:rPr>
                <w:rFonts w:hint="eastAsia" w:ascii="宋体" w:hAnsi="宋体" w:eastAsia="宋体"/>
                <w:color w:val="auto"/>
                <w:kern w:val="0"/>
                <w:highlight w:val="none"/>
              </w:rPr>
              <w:t>（含</w:t>
            </w:r>
            <w:r>
              <w:rPr>
                <w:rFonts w:hint="eastAsia" w:eastAsia="宋体"/>
                <w:color w:val="auto"/>
                <w:kern w:val="0"/>
                <w:highlight w:val="none"/>
              </w:rPr>
              <w:t>80%</w:t>
            </w:r>
            <w:r>
              <w:rPr>
                <w:rFonts w:hint="eastAsia" w:ascii="宋体" w:hAnsi="宋体" w:eastAsia="宋体"/>
                <w:color w:val="auto"/>
                <w:kern w:val="0"/>
                <w:highlight w:val="none"/>
              </w:rPr>
              <w:t>）。</w:t>
            </w:r>
          </w:p>
          <w:p w14:paraId="6174BD4C">
            <w:pPr>
              <w:pStyle w:val="27"/>
              <w:wordWrap w:val="0"/>
              <w:spacing w:line="400" w:lineRule="exact"/>
              <w:rPr>
                <w:rFonts w:eastAsia="宋体"/>
                <w:color w:val="auto"/>
                <w:kern w:val="0"/>
                <w:highlight w:val="none"/>
              </w:rPr>
            </w:pPr>
            <w:r>
              <w:rPr>
                <w:rFonts w:hint="eastAsia" w:ascii="宋体" w:hAnsi="宋体" w:eastAsia="宋体"/>
                <w:color w:val="auto"/>
                <w:kern w:val="0"/>
                <w:highlight w:val="none"/>
              </w:rPr>
              <w:t>【中】得该项评分因素分值的</w:t>
            </w:r>
            <w:r>
              <w:rPr>
                <w:rFonts w:hint="eastAsia" w:eastAsia="宋体"/>
                <w:color w:val="auto"/>
                <w:kern w:val="0"/>
                <w:highlight w:val="none"/>
              </w:rPr>
              <w:t>70%</w:t>
            </w:r>
            <w:r>
              <w:rPr>
                <w:rFonts w:hint="eastAsia" w:ascii="宋体" w:hAnsi="宋体" w:eastAsia="宋体"/>
                <w:color w:val="auto"/>
                <w:kern w:val="0"/>
                <w:highlight w:val="none"/>
              </w:rPr>
              <w:t>～</w:t>
            </w:r>
            <w:r>
              <w:rPr>
                <w:rFonts w:hint="eastAsia" w:eastAsia="宋体"/>
                <w:color w:val="auto"/>
                <w:kern w:val="0"/>
                <w:highlight w:val="none"/>
              </w:rPr>
              <w:t>80%</w:t>
            </w:r>
            <w:r>
              <w:rPr>
                <w:rFonts w:hint="eastAsia" w:ascii="宋体" w:hAnsi="宋体" w:eastAsia="宋体"/>
                <w:color w:val="auto"/>
                <w:kern w:val="0"/>
                <w:highlight w:val="none"/>
              </w:rPr>
              <w:t>（含</w:t>
            </w:r>
            <w:r>
              <w:rPr>
                <w:rFonts w:hint="eastAsia" w:eastAsia="宋体"/>
                <w:color w:val="auto"/>
                <w:kern w:val="0"/>
                <w:highlight w:val="none"/>
              </w:rPr>
              <w:t>70%</w:t>
            </w:r>
            <w:r>
              <w:rPr>
                <w:rFonts w:hint="eastAsia" w:ascii="宋体" w:hAnsi="宋体" w:eastAsia="宋体"/>
                <w:color w:val="auto"/>
                <w:kern w:val="0"/>
                <w:highlight w:val="none"/>
              </w:rPr>
              <w:t>）。</w:t>
            </w:r>
          </w:p>
          <w:p w14:paraId="0A4104F9">
            <w:pPr>
              <w:pStyle w:val="29"/>
              <w:wordWrap w:val="0"/>
              <w:spacing w:line="400" w:lineRule="exact"/>
              <w:rPr>
                <w:rFonts w:eastAsia="宋体"/>
                <w:color w:val="auto"/>
                <w:kern w:val="0"/>
                <w:highlight w:val="none"/>
              </w:rPr>
            </w:pPr>
            <w:r>
              <w:rPr>
                <w:rFonts w:hint="eastAsia" w:ascii="宋体" w:hAnsi="宋体" w:eastAsia="宋体"/>
                <w:color w:val="auto"/>
                <w:kern w:val="0"/>
                <w:highlight w:val="none"/>
              </w:rPr>
              <w:t>【差】得该项评分因素分值的</w:t>
            </w:r>
            <w:r>
              <w:rPr>
                <w:rFonts w:hint="eastAsia" w:eastAsia="宋体"/>
                <w:color w:val="auto"/>
                <w:kern w:val="0"/>
                <w:highlight w:val="none"/>
              </w:rPr>
              <w:t>60</w:t>
            </w:r>
            <w:r>
              <w:rPr>
                <w:rFonts w:hint="eastAsia" w:ascii="宋体" w:hAnsi="宋体" w:eastAsia="宋体"/>
                <w:color w:val="auto"/>
                <w:kern w:val="0"/>
                <w:highlight w:val="none"/>
              </w:rPr>
              <w:t>～</w:t>
            </w:r>
            <w:r>
              <w:rPr>
                <w:rFonts w:hint="eastAsia" w:eastAsia="宋体"/>
                <w:color w:val="auto"/>
                <w:kern w:val="0"/>
                <w:highlight w:val="none"/>
              </w:rPr>
              <w:t>70%</w:t>
            </w:r>
            <w:r>
              <w:rPr>
                <w:rFonts w:hint="eastAsia" w:ascii="宋体" w:hAnsi="宋体" w:eastAsia="宋体"/>
                <w:color w:val="auto"/>
                <w:kern w:val="0"/>
                <w:highlight w:val="none"/>
              </w:rPr>
              <w:t>（含</w:t>
            </w:r>
            <w:r>
              <w:rPr>
                <w:rFonts w:hint="eastAsia" w:eastAsia="宋体"/>
                <w:color w:val="auto"/>
                <w:kern w:val="0"/>
                <w:highlight w:val="none"/>
              </w:rPr>
              <w:t>60%</w:t>
            </w:r>
            <w:r>
              <w:rPr>
                <w:rFonts w:hint="eastAsia" w:ascii="宋体" w:hAnsi="宋体" w:eastAsia="宋体"/>
                <w:color w:val="auto"/>
                <w:kern w:val="0"/>
                <w:highlight w:val="none"/>
              </w:rPr>
              <w:t>）。</w:t>
            </w:r>
          </w:p>
        </w:tc>
        <w:tc>
          <w:tcPr>
            <w:tcW w:w="4230" w:type="dxa"/>
            <w:tcBorders>
              <w:top w:val="single" w:color="auto" w:sz="4" w:space="0"/>
              <w:left w:val="nil"/>
              <w:bottom w:val="single" w:color="auto" w:sz="4" w:space="0"/>
              <w:right w:val="single" w:color="auto" w:sz="4" w:space="0"/>
            </w:tcBorders>
            <w:noWrap w:val="0"/>
            <w:vAlign w:val="center"/>
          </w:tcPr>
          <w:p w14:paraId="0E5C9660">
            <w:pPr>
              <w:pStyle w:val="29"/>
              <w:wordWrap w:val="0"/>
              <w:spacing w:line="400" w:lineRule="exact"/>
              <w:rPr>
                <w:rFonts w:eastAsia="宋体"/>
                <w:color w:val="auto"/>
                <w:kern w:val="0"/>
                <w:highlight w:val="none"/>
              </w:rPr>
            </w:pPr>
            <w:r>
              <w:rPr>
                <w:rFonts w:hint="eastAsia" w:ascii="宋体" w:hAnsi="宋体" w:eastAsia="宋体"/>
                <w:color w:val="auto"/>
                <w:kern w:val="0"/>
                <w:highlight w:val="none"/>
              </w:rPr>
              <w:t>【优】总体布置有针对性、合理，较好满足施工需要，符合绿色施工、安全防护、文明施工要求。</w:t>
            </w:r>
          </w:p>
          <w:p w14:paraId="21419769">
            <w:pPr>
              <w:pStyle w:val="29"/>
              <w:wordWrap w:val="0"/>
              <w:spacing w:line="400" w:lineRule="exact"/>
              <w:rPr>
                <w:rFonts w:eastAsia="宋体"/>
                <w:color w:val="auto"/>
                <w:kern w:val="0"/>
                <w:highlight w:val="none"/>
              </w:rPr>
            </w:pPr>
            <w:r>
              <w:rPr>
                <w:rFonts w:hint="eastAsia" w:ascii="宋体" w:hAnsi="宋体" w:eastAsia="宋体"/>
                <w:color w:val="auto"/>
                <w:kern w:val="0"/>
                <w:highlight w:val="none"/>
              </w:rPr>
              <w:t>【良】总体布置合理，能满足施工需要，基本符合绿色施工、安全防护、文明施工要求。</w:t>
            </w:r>
          </w:p>
          <w:p w14:paraId="23514421">
            <w:pPr>
              <w:pStyle w:val="29"/>
              <w:wordWrap w:val="0"/>
              <w:spacing w:line="400" w:lineRule="exact"/>
              <w:rPr>
                <w:rFonts w:eastAsia="宋体"/>
                <w:color w:val="auto"/>
                <w:kern w:val="0"/>
                <w:highlight w:val="none"/>
              </w:rPr>
            </w:pPr>
            <w:r>
              <w:rPr>
                <w:rFonts w:hint="eastAsia" w:ascii="宋体" w:hAnsi="宋体" w:eastAsia="宋体"/>
                <w:color w:val="auto"/>
                <w:kern w:val="0"/>
                <w:highlight w:val="none"/>
              </w:rPr>
              <w:t>【中】总体布置基本合理，基本满足施工需要。</w:t>
            </w:r>
          </w:p>
          <w:p w14:paraId="1A3F1F6A">
            <w:pPr>
              <w:pStyle w:val="29"/>
              <w:wordWrap w:val="0"/>
              <w:spacing w:line="400" w:lineRule="exact"/>
              <w:rPr>
                <w:rFonts w:eastAsia="宋体"/>
                <w:color w:val="auto"/>
                <w:kern w:val="0"/>
                <w:highlight w:val="none"/>
              </w:rPr>
            </w:pPr>
            <w:r>
              <w:rPr>
                <w:rFonts w:hint="eastAsia" w:ascii="宋体" w:hAnsi="宋体" w:eastAsia="宋体"/>
                <w:color w:val="auto"/>
                <w:kern w:val="0"/>
                <w:highlight w:val="none"/>
              </w:rPr>
              <w:t>【差】总体布置不合理，不符合绿色施工、安全防护、文明施工要求。</w:t>
            </w:r>
          </w:p>
        </w:tc>
      </w:tr>
      <w:tr w14:paraId="0E3A6FD8">
        <w:tblPrEx>
          <w:tblCellMar>
            <w:top w:w="0" w:type="dxa"/>
            <w:left w:w="108" w:type="dxa"/>
            <w:bottom w:w="0" w:type="dxa"/>
            <w:right w:w="108" w:type="dxa"/>
          </w:tblCellMar>
        </w:tblPrEx>
        <w:trPr>
          <w:trHeight w:val="2634"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760E4F78">
            <w:pPr>
              <w:pStyle w:val="28"/>
              <w:wordWrap w:val="0"/>
              <w:spacing w:line="400" w:lineRule="exact"/>
              <w:jc w:val="center"/>
              <w:rPr>
                <w:rFonts w:eastAsia="宋体"/>
                <w:color w:val="auto"/>
                <w:kern w:val="0"/>
                <w:highlight w:val="none"/>
              </w:rPr>
            </w:pPr>
            <w:r>
              <w:rPr>
                <w:rFonts w:hint="eastAsia" w:ascii="宋体" w:hAnsi="宋体" w:eastAsia="宋体"/>
                <w:color w:val="auto"/>
                <w:kern w:val="0"/>
                <w:highlight w:val="none"/>
              </w:rPr>
              <w:t>项目</w:t>
            </w:r>
          </w:p>
          <w:p w14:paraId="114A8CFE">
            <w:pPr>
              <w:pStyle w:val="28"/>
              <w:wordWrap w:val="0"/>
              <w:spacing w:line="400" w:lineRule="exact"/>
              <w:jc w:val="center"/>
              <w:rPr>
                <w:rFonts w:eastAsia="宋体"/>
                <w:color w:val="auto"/>
                <w:kern w:val="0"/>
                <w:highlight w:val="none"/>
              </w:rPr>
            </w:pPr>
            <w:r>
              <w:rPr>
                <w:rFonts w:hint="eastAsia" w:ascii="宋体" w:hAnsi="宋体" w:eastAsia="宋体"/>
                <w:color w:val="auto"/>
                <w:kern w:val="0"/>
                <w:highlight w:val="none"/>
              </w:rPr>
              <w:t>管理机构</w:t>
            </w:r>
          </w:p>
          <w:p w14:paraId="10B6E595">
            <w:pPr>
              <w:pStyle w:val="28"/>
              <w:wordWrap w:val="0"/>
              <w:spacing w:line="400" w:lineRule="exact"/>
              <w:jc w:val="center"/>
              <w:rPr>
                <w:rFonts w:eastAsia="宋体"/>
                <w:color w:val="auto"/>
                <w:kern w:val="0"/>
                <w:highlight w:val="none"/>
              </w:rPr>
            </w:pPr>
            <w:r>
              <w:rPr>
                <w:rFonts w:hint="eastAsia" w:ascii="宋体" w:hAnsi="宋体" w:eastAsia="宋体"/>
                <w:color w:val="auto"/>
                <w:kern w:val="0"/>
                <w:highlight w:val="none"/>
              </w:rPr>
              <w:t>（</w:t>
            </w:r>
            <w:r>
              <w:rPr>
                <w:rFonts w:eastAsia="宋体"/>
                <w:color w:val="auto"/>
                <w:kern w:val="0"/>
                <w:highlight w:val="none"/>
                <w:u w:val="single"/>
              </w:rPr>
              <w:t xml:space="preserve"> </w:t>
            </w:r>
            <w:r>
              <w:rPr>
                <w:rFonts w:hint="eastAsia" w:eastAsia="宋体"/>
                <w:color w:val="auto"/>
                <w:kern w:val="0"/>
                <w:highlight w:val="none"/>
                <w:u w:val="single"/>
              </w:rPr>
              <w:t xml:space="preserve">3 </w:t>
            </w:r>
            <w:r>
              <w:rPr>
                <w:rFonts w:hint="eastAsia" w:ascii="宋体" w:hAnsi="宋体" w:eastAsia="宋体"/>
                <w:color w:val="auto"/>
                <w:kern w:val="0"/>
                <w:highlight w:val="none"/>
              </w:rPr>
              <w:t>分）</w:t>
            </w:r>
          </w:p>
        </w:tc>
        <w:tc>
          <w:tcPr>
            <w:tcW w:w="4385" w:type="dxa"/>
            <w:tcBorders>
              <w:top w:val="single" w:color="auto" w:sz="4" w:space="0"/>
              <w:left w:val="nil"/>
              <w:bottom w:val="single" w:color="auto" w:sz="4" w:space="0"/>
              <w:right w:val="single" w:color="auto" w:sz="4" w:space="0"/>
            </w:tcBorders>
            <w:noWrap w:val="0"/>
            <w:vAlign w:val="center"/>
          </w:tcPr>
          <w:p w14:paraId="5362DB46">
            <w:pPr>
              <w:pStyle w:val="27"/>
              <w:wordWrap w:val="0"/>
              <w:spacing w:line="400" w:lineRule="exact"/>
              <w:rPr>
                <w:rFonts w:eastAsia="宋体"/>
                <w:color w:val="auto"/>
                <w:kern w:val="0"/>
                <w:highlight w:val="none"/>
              </w:rPr>
            </w:pPr>
            <w:r>
              <w:rPr>
                <w:rFonts w:hint="eastAsia" w:ascii="宋体" w:hAnsi="宋体" w:eastAsia="宋体"/>
                <w:color w:val="auto"/>
                <w:kern w:val="0"/>
                <w:highlight w:val="none"/>
              </w:rPr>
              <w:t>【优】得该项评分因素分值的</w:t>
            </w:r>
            <w:r>
              <w:rPr>
                <w:rFonts w:hint="eastAsia" w:eastAsia="宋体"/>
                <w:color w:val="auto"/>
                <w:kern w:val="0"/>
                <w:highlight w:val="none"/>
              </w:rPr>
              <w:t>90%</w:t>
            </w:r>
            <w:r>
              <w:rPr>
                <w:rFonts w:hint="eastAsia" w:ascii="宋体" w:hAnsi="宋体" w:eastAsia="宋体"/>
                <w:color w:val="auto"/>
                <w:kern w:val="0"/>
                <w:highlight w:val="none"/>
              </w:rPr>
              <w:t>～</w:t>
            </w:r>
            <w:r>
              <w:rPr>
                <w:rFonts w:hint="eastAsia" w:eastAsia="宋体"/>
                <w:color w:val="auto"/>
                <w:kern w:val="0"/>
                <w:highlight w:val="none"/>
              </w:rPr>
              <w:t>100%</w:t>
            </w:r>
            <w:r>
              <w:rPr>
                <w:rFonts w:hint="eastAsia" w:ascii="宋体" w:hAnsi="宋体" w:eastAsia="宋体"/>
                <w:color w:val="auto"/>
                <w:kern w:val="0"/>
                <w:highlight w:val="none"/>
              </w:rPr>
              <w:t>（含</w:t>
            </w:r>
            <w:r>
              <w:rPr>
                <w:rFonts w:hint="eastAsia" w:eastAsia="宋体"/>
                <w:color w:val="auto"/>
                <w:kern w:val="0"/>
                <w:highlight w:val="none"/>
              </w:rPr>
              <w:t>90%</w:t>
            </w:r>
            <w:r>
              <w:rPr>
                <w:rFonts w:hint="eastAsia" w:ascii="宋体" w:hAnsi="宋体" w:eastAsia="宋体"/>
                <w:color w:val="auto"/>
                <w:kern w:val="0"/>
                <w:highlight w:val="none"/>
              </w:rPr>
              <w:t>）。</w:t>
            </w:r>
          </w:p>
          <w:p w14:paraId="4B8D1D86">
            <w:pPr>
              <w:pStyle w:val="27"/>
              <w:wordWrap w:val="0"/>
              <w:spacing w:line="400" w:lineRule="exact"/>
              <w:rPr>
                <w:rFonts w:eastAsia="宋体"/>
                <w:color w:val="auto"/>
                <w:kern w:val="0"/>
                <w:highlight w:val="none"/>
              </w:rPr>
            </w:pPr>
            <w:r>
              <w:rPr>
                <w:rFonts w:hint="eastAsia" w:ascii="宋体" w:hAnsi="宋体" w:eastAsia="宋体"/>
                <w:color w:val="auto"/>
                <w:kern w:val="0"/>
                <w:highlight w:val="none"/>
              </w:rPr>
              <w:t>【良】得该项评分因素分值的</w:t>
            </w:r>
            <w:r>
              <w:rPr>
                <w:rFonts w:hint="eastAsia" w:eastAsia="宋体"/>
                <w:color w:val="auto"/>
                <w:kern w:val="0"/>
                <w:highlight w:val="none"/>
              </w:rPr>
              <w:t>80%</w:t>
            </w:r>
            <w:r>
              <w:rPr>
                <w:rFonts w:hint="eastAsia" w:ascii="宋体" w:hAnsi="宋体" w:eastAsia="宋体"/>
                <w:color w:val="auto"/>
                <w:kern w:val="0"/>
                <w:highlight w:val="none"/>
              </w:rPr>
              <w:t>～</w:t>
            </w:r>
            <w:r>
              <w:rPr>
                <w:rFonts w:hint="eastAsia" w:eastAsia="宋体"/>
                <w:color w:val="auto"/>
                <w:kern w:val="0"/>
                <w:highlight w:val="none"/>
              </w:rPr>
              <w:t>90%</w:t>
            </w:r>
            <w:r>
              <w:rPr>
                <w:rFonts w:hint="eastAsia" w:ascii="宋体" w:hAnsi="宋体" w:eastAsia="宋体"/>
                <w:color w:val="auto"/>
                <w:kern w:val="0"/>
                <w:highlight w:val="none"/>
              </w:rPr>
              <w:t>（含</w:t>
            </w:r>
            <w:r>
              <w:rPr>
                <w:rFonts w:hint="eastAsia" w:eastAsia="宋体"/>
                <w:color w:val="auto"/>
                <w:kern w:val="0"/>
                <w:highlight w:val="none"/>
              </w:rPr>
              <w:t>80%</w:t>
            </w:r>
            <w:r>
              <w:rPr>
                <w:rFonts w:hint="eastAsia" w:ascii="宋体" w:hAnsi="宋体" w:eastAsia="宋体"/>
                <w:color w:val="auto"/>
                <w:kern w:val="0"/>
                <w:highlight w:val="none"/>
              </w:rPr>
              <w:t>）。</w:t>
            </w:r>
          </w:p>
          <w:p w14:paraId="5889E828">
            <w:pPr>
              <w:pStyle w:val="27"/>
              <w:wordWrap w:val="0"/>
              <w:spacing w:line="400" w:lineRule="exact"/>
              <w:rPr>
                <w:rFonts w:eastAsia="宋体"/>
                <w:color w:val="auto"/>
                <w:kern w:val="0"/>
                <w:highlight w:val="none"/>
              </w:rPr>
            </w:pPr>
            <w:r>
              <w:rPr>
                <w:rFonts w:hint="eastAsia" w:ascii="宋体" w:hAnsi="宋体" w:eastAsia="宋体"/>
                <w:color w:val="auto"/>
                <w:kern w:val="0"/>
                <w:highlight w:val="none"/>
              </w:rPr>
              <w:t>【中】得该项评分因素分值的</w:t>
            </w:r>
            <w:r>
              <w:rPr>
                <w:rFonts w:hint="eastAsia" w:eastAsia="宋体"/>
                <w:color w:val="auto"/>
                <w:kern w:val="0"/>
                <w:highlight w:val="none"/>
              </w:rPr>
              <w:t>70%</w:t>
            </w:r>
            <w:r>
              <w:rPr>
                <w:rFonts w:hint="eastAsia" w:ascii="宋体" w:hAnsi="宋体" w:eastAsia="宋体"/>
                <w:color w:val="auto"/>
                <w:kern w:val="0"/>
                <w:highlight w:val="none"/>
              </w:rPr>
              <w:t>～</w:t>
            </w:r>
            <w:r>
              <w:rPr>
                <w:rFonts w:hint="eastAsia" w:eastAsia="宋体"/>
                <w:color w:val="auto"/>
                <w:kern w:val="0"/>
                <w:highlight w:val="none"/>
              </w:rPr>
              <w:t>80%</w:t>
            </w:r>
            <w:r>
              <w:rPr>
                <w:rFonts w:hint="eastAsia" w:ascii="宋体" w:hAnsi="宋体" w:eastAsia="宋体"/>
                <w:color w:val="auto"/>
                <w:kern w:val="0"/>
                <w:highlight w:val="none"/>
              </w:rPr>
              <w:t>（含</w:t>
            </w:r>
            <w:r>
              <w:rPr>
                <w:rFonts w:hint="eastAsia" w:eastAsia="宋体"/>
                <w:color w:val="auto"/>
                <w:kern w:val="0"/>
                <w:highlight w:val="none"/>
              </w:rPr>
              <w:t>70%</w:t>
            </w:r>
            <w:r>
              <w:rPr>
                <w:rFonts w:hint="eastAsia" w:ascii="宋体" w:hAnsi="宋体" w:eastAsia="宋体"/>
                <w:color w:val="auto"/>
                <w:kern w:val="0"/>
                <w:highlight w:val="none"/>
              </w:rPr>
              <w:t>）。</w:t>
            </w:r>
          </w:p>
          <w:p w14:paraId="1D97D210">
            <w:pPr>
              <w:pStyle w:val="29"/>
              <w:wordWrap w:val="0"/>
              <w:spacing w:line="400" w:lineRule="exact"/>
              <w:rPr>
                <w:rFonts w:eastAsia="宋体"/>
                <w:color w:val="auto"/>
                <w:kern w:val="0"/>
                <w:highlight w:val="none"/>
              </w:rPr>
            </w:pPr>
            <w:r>
              <w:rPr>
                <w:rFonts w:hint="eastAsia" w:ascii="宋体" w:hAnsi="宋体" w:eastAsia="宋体"/>
                <w:color w:val="auto"/>
                <w:kern w:val="0"/>
                <w:highlight w:val="none"/>
              </w:rPr>
              <w:t>【差】得该项评分因素分值的</w:t>
            </w:r>
            <w:r>
              <w:rPr>
                <w:rFonts w:hint="eastAsia" w:eastAsia="宋体"/>
                <w:color w:val="auto"/>
                <w:kern w:val="0"/>
                <w:highlight w:val="none"/>
              </w:rPr>
              <w:t>60</w:t>
            </w:r>
            <w:r>
              <w:rPr>
                <w:rFonts w:hint="eastAsia" w:ascii="宋体" w:hAnsi="宋体" w:eastAsia="宋体"/>
                <w:color w:val="auto"/>
                <w:kern w:val="0"/>
                <w:highlight w:val="none"/>
              </w:rPr>
              <w:t>～</w:t>
            </w:r>
            <w:r>
              <w:rPr>
                <w:rFonts w:hint="eastAsia" w:eastAsia="宋体"/>
                <w:color w:val="auto"/>
                <w:kern w:val="0"/>
                <w:highlight w:val="none"/>
              </w:rPr>
              <w:t>70%</w:t>
            </w:r>
            <w:r>
              <w:rPr>
                <w:rFonts w:hint="eastAsia" w:ascii="宋体" w:hAnsi="宋体" w:eastAsia="宋体"/>
                <w:color w:val="auto"/>
                <w:kern w:val="0"/>
                <w:highlight w:val="none"/>
              </w:rPr>
              <w:t>（含</w:t>
            </w:r>
            <w:r>
              <w:rPr>
                <w:rFonts w:hint="eastAsia" w:eastAsia="宋体"/>
                <w:color w:val="auto"/>
                <w:kern w:val="0"/>
                <w:highlight w:val="none"/>
              </w:rPr>
              <w:t>60%</w:t>
            </w:r>
            <w:r>
              <w:rPr>
                <w:rFonts w:hint="eastAsia" w:ascii="宋体" w:hAnsi="宋体" w:eastAsia="宋体"/>
                <w:color w:val="auto"/>
                <w:kern w:val="0"/>
                <w:highlight w:val="none"/>
              </w:rPr>
              <w:t>）。</w:t>
            </w:r>
          </w:p>
        </w:tc>
        <w:tc>
          <w:tcPr>
            <w:tcW w:w="4230" w:type="dxa"/>
            <w:tcBorders>
              <w:top w:val="single" w:color="auto" w:sz="4" w:space="0"/>
              <w:left w:val="nil"/>
              <w:bottom w:val="single" w:color="auto" w:sz="4" w:space="0"/>
              <w:right w:val="single" w:color="auto" w:sz="4" w:space="0"/>
            </w:tcBorders>
            <w:noWrap w:val="0"/>
            <w:vAlign w:val="center"/>
          </w:tcPr>
          <w:p w14:paraId="30E5154D">
            <w:pPr>
              <w:pStyle w:val="29"/>
              <w:wordWrap w:val="0"/>
              <w:spacing w:line="400" w:lineRule="exact"/>
              <w:rPr>
                <w:rFonts w:eastAsia="宋体"/>
                <w:color w:val="auto"/>
                <w:kern w:val="0"/>
                <w:highlight w:val="none"/>
              </w:rPr>
            </w:pPr>
            <w:r>
              <w:rPr>
                <w:rFonts w:hint="eastAsia" w:ascii="宋体" w:hAnsi="宋体" w:eastAsia="宋体"/>
                <w:color w:val="auto"/>
                <w:kern w:val="0"/>
                <w:highlight w:val="none"/>
              </w:rPr>
              <w:t>【优】组织机构形式合理，有完善的指挥系统，生产及质量、绿色施工、安全、文明施工、创优达标监控系统、联络协调系统，项目管理人员内高级职称人员</w:t>
            </w:r>
            <w:r>
              <w:rPr>
                <w:rFonts w:hint="eastAsia" w:eastAsia="宋体"/>
                <w:color w:val="auto"/>
                <w:kern w:val="0"/>
                <w:highlight w:val="none"/>
              </w:rPr>
              <w:t>20%</w:t>
            </w:r>
            <w:r>
              <w:rPr>
                <w:rFonts w:hint="eastAsia" w:ascii="宋体" w:hAnsi="宋体" w:eastAsia="宋体"/>
                <w:color w:val="auto"/>
                <w:kern w:val="0"/>
                <w:highlight w:val="none"/>
              </w:rPr>
              <w:t>（含</w:t>
            </w:r>
            <w:r>
              <w:rPr>
                <w:rFonts w:hint="eastAsia" w:eastAsia="宋体"/>
                <w:color w:val="auto"/>
                <w:kern w:val="0"/>
                <w:highlight w:val="none"/>
              </w:rPr>
              <w:t>20%</w:t>
            </w:r>
            <w:r>
              <w:rPr>
                <w:rFonts w:hint="eastAsia" w:ascii="宋体" w:hAnsi="宋体" w:eastAsia="宋体"/>
                <w:color w:val="auto"/>
                <w:kern w:val="0"/>
                <w:highlight w:val="none"/>
              </w:rPr>
              <w:t>）以上、中级职称人员</w:t>
            </w:r>
            <w:r>
              <w:rPr>
                <w:rFonts w:hint="eastAsia" w:ascii="宋体" w:hAnsi="宋体" w:eastAsia="宋体"/>
                <w:b/>
                <w:bCs/>
                <w:color w:val="auto"/>
                <w:kern w:val="0"/>
                <w:highlight w:val="none"/>
              </w:rPr>
              <w:t>及以上职称</w:t>
            </w:r>
            <w:r>
              <w:rPr>
                <w:rFonts w:hint="eastAsia" w:eastAsia="宋体"/>
                <w:color w:val="auto"/>
                <w:kern w:val="0"/>
                <w:highlight w:val="none"/>
              </w:rPr>
              <w:t>60%</w:t>
            </w:r>
            <w:r>
              <w:rPr>
                <w:rFonts w:hint="eastAsia" w:ascii="宋体" w:hAnsi="宋体" w:eastAsia="宋体"/>
                <w:color w:val="auto"/>
                <w:kern w:val="0"/>
                <w:highlight w:val="none"/>
              </w:rPr>
              <w:t>（含</w:t>
            </w:r>
            <w:r>
              <w:rPr>
                <w:rFonts w:hint="eastAsia" w:eastAsia="宋体"/>
                <w:color w:val="auto"/>
                <w:kern w:val="0"/>
                <w:highlight w:val="none"/>
              </w:rPr>
              <w:t>60%</w:t>
            </w:r>
            <w:r>
              <w:rPr>
                <w:rFonts w:hint="eastAsia" w:ascii="宋体" w:hAnsi="宋体" w:eastAsia="宋体"/>
                <w:color w:val="auto"/>
                <w:kern w:val="0"/>
                <w:highlight w:val="none"/>
              </w:rPr>
              <w:t>）以上。</w:t>
            </w:r>
          </w:p>
          <w:p w14:paraId="4885AE25">
            <w:pPr>
              <w:pStyle w:val="29"/>
              <w:wordWrap w:val="0"/>
              <w:spacing w:line="400" w:lineRule="exact"/>
              <w:rPr>
                <w:rFonts w:eastAsia="宋体"/>
                <w:color w:val="auto"/>
                <w:kern w:val="0"/>
                <w:highlight w:val="none"/>
              </w:rPr>
            </w:pPr>
            <w:r>
              <w:rPr>
                <w:rFonts w:hint="eastAsia" w:ascii="宋体" w:hAnsi="宋体" w:eastAsia="宋体"/>
                <w:color w:val="auto"/>
                <w:kern w:val="0"/>
                <w:highlight w:val="none"/>
              </w:rPr>
              <w:t>【良】组织机构形式合理，指挥系统，生产及质量、绿色施工、安全、文明施工、创优达标监控系统、联络协调系统齐全，项目管理人员内高级职称人员</w:t>
            </w:r>
            <w:r>
              <w:rPr>
                <w:rFonts w:hint="eastAsia" w:eastAsia="宋体"/>
                <w:color w:val="auto"/>
                <w:kern w:val="0"/>
                <w:highlight w:val="none"/>
              </w:rPr>
              <w:t>15%</w:t>
            </w:r>
            <w:r>
              <w:rPr>
                <w:rFonts w:hint="eastAsia" w:ascii="宋体" w:hAnsi="宋体" w:eastAsia="宋体"/>
                <w:color w:val="auto"/>
                <w:kern w:val="0"/>
                <w:highlight w:val="none"/>
              </w:rPr>
              <w:t>～</w:t>
            </w:r>
            <w:r>
              <w:rPr>
                <w:rFonts w:hint="eastAsia" w:eastAsia="宋体"/>
                <w:color w:val="auto"/>
                <w:kern w:val="0"/>
                <w:highlight w:val="none"/>
              </w:rPr>
              <w:t>20%</w:t>
            </w:r>
            <w:r>
              <w:rPr>
                <w:rFonts w:hint="eastAsia" w:ascii="宋体" w:hAnsi="宋体" w:eastAsia="宋体"/>
                <w:color w:val="auto"/>
                <w:kern w:val="0"/>
                <w:highlight w:val="none"/>
              </w:rPr>
              <w:t>（含</w:t>
            </w:r>
            <w:r>
              <w:rPr>
                <w:rFonts w:hint="eastAsia" w:eastAsia="宋体"/>
                <w:color w:val="auto"/>
                <w:kern w:val="0"/>
                <w:highlight w:val="none"/>
              </w:rPr>
              <w:t>15%</w:t>
            </w:r>
            <w:r>
              <w:rPr>
                <w:rFonts w:hint="eastAsia" w:ascii="宋体" w:hAnsi="宋体" w:eastAsia="宋体"/>
                <w:color w:val="auto"/>
                <w:kern w:val="0"/>
                <w:highlight w:val="none"/>
              </w:rPr>
              <w:t>）、中级职称</w:t>
            </w:r>
            <w:r>
              <w:rPr>
                <w:rFonts w:hint="eastAsia" w:ascii="宋体" w:hAnsi="宋体" w:eastAsia="宋体"/>
                <w:b/>
                <w:bCs/>
                <w:color w:val="auto"/>
                <w:kern w:val="0"/>
                <w:highlight w:val="none"/>
              </w:rPr>
              <w:t>及以上职称</w:t>
            </w:r>
            <w:r>
              <w:rPr>
                <w:rFonts w:hint="eastAsia" w:ascii="宋体" w:hAnsi="宋体" w:eastAsia="宋体"/>
                <w:color w:val="auto"/>
                <w:kern w:val="0"/>
                <w:highlight w:val="none"/>
              </w:rPr>
              <w:t>人员</w:t>
            </w:r>
            <w:r>
              <w:rPr>
                <w:rFonts w:hint="eastAsia" w:eastAsia="宋体"/>
                <w:color w:val="auto"/>
                <w:kern w:val="0"/>
                <w:highlight w:val="none"/>
              </w:rPr>
              <w:t>50%</w:t>
            </w:r>
            <w:r>
              <w:rPr>
                <w:rFonts w:hint="eastAsia" w:ascii="宋体" w:hAnsi="宋体" w:eastAsia="宋体"/>
                <w:color w:val="auto"/>
                <w:kern w:val="0"/>
                <w:highlight w:val="none"/>
              </w:rPr>
              <w:t>～</w:t>
            </w:r>
            <w:r>
              <w:rPr>
                <w:rFonts w:hint="eastAsia" w:eastAsia="宋体"/>
                <w:color w:val="auto"/>
                <w:kern w:val="0"/>
                <w:highlight w:val="none"/>
              </w:rPr>
              <w:t>60%</w:t>
            </w:r>
            <w:r>
              <w:rPr>
                <w:rFonts w:hint="eastAsia" w:ascii="宋体" w:hAnsi="宋体" w:eastAsia="宋体"/>
                <w:color w:val="auto"/>
                <w:kern w:val="0"/>
                <w:highlight w:val="none"/>
              </w:rPr>
              <w:t>（含</w:t>
            </w:r>
            <w:r>
              <w:rPr>
                <w:rFonts w:hint="eastAsia" w:eastAsia="宋体"/>
                <w:color w:val="auto"/>
                <w:kern w:val="0"/>
                <w:highlight w:val="none"/>
              </w:rPr>
              <w:t>50%</w:t>
            </w:r>
            <w:r>
              <w:rPr>
                <w:rFonts w:hint="eastAsia" w:ascii="宋体" w:hAnsi="宋体" w:eastAsia="宋体"/>
                <w:color w:val="auto"/>
                <w:kern w:val="0"/>
                <w:highlight w:val="none"/>
              </w:rPr>
              <w:t>）。</w:t>
            </w:r>
          </w:p>
          <w:p w14:paraId="38718BB8">
            <w:pPr>
              <w:pStyle w:val="29"/>
              <w:wordWrap w:val="0"/>
              <w:spacing w:line="400" w:lineRule="exact"/>
              <w:rPr>
                <w:rFonts w:eastAsia="宋体"/>
                <w:color w:val="auto"/>
                <w:kern w:val="0"/>
                <w:highlight w:val="none"/>
              </w:rPr>
            </w:pPr>
            <w:r>
              <w:rPr>
                <w:rFonts w:hint="eastAsia" w:ascii="宋体" w:hAnsi="宋体" w:eastAsia="宋体"/>
                <w:color w:val="auto"/>
                <w:kern w:val="0"/>
                <w:highlight w:val="none"/>
              </w:rPr>
              <w:t>【中】组织机构形式基本合理，有指挥系统，生产及质量、绿色施工、安全、文明施工、创优达标监控系统、联络协调系统，项目管理人员内高级职称人员</w:t>
            </w:r>
            <w:r>
              <w:rPr>
                <w:rFonts w:hint="eastAsia" w:eastAsia="宋体"/>
                <w:color w:val="auto"/>
                <w:kern w:val="0"/>
                <w:highlight w:val="none"/>
              </w:rPr>
              <w:t>10%</w:t>
            </w:r>
            <w:r>
              <w:rPr>
                <w:rFonts w:hint="eastAsia" w:ascii="宋体" w:hAnsi="宋体" w:eastAsia="宋体"/>
                <w:color w:val="auto"/>
                <w:kern w:val="0"/>
                <w:highlight w:val="none"/>
              </w:rPr>
              <w:t>～</w:t>
            </w:r>
            <w:r>
              <w:rPr>
                <w:rFonts w:hint="eastAsia" w:eastAsia="宋体"/>
                <w:color w:val="auto"/>
                <w:kern w:val="0"/>
                <w:highlight w:val="none"/>
              </w:rPr>
              <w:t>15%</w:t>
            </w:r>
            <w:r>
              <w:rPr>
                <w:rFonts w:hint="eastAsia" w:ascii="宋体" w:hAnsi="宋体" w:eastAsia="宋体"/>
                <w:color w:val="auto"/>
                <w:kern w:val="0"/>
                <w:highlight w:val="none"/>
              </w:rPr>
              <w:t>（含</w:t>
            </w:r>
            <w:r>
              <w:rPr>
                <w:rFonts w:hint="eastAsia" w:eastAsia="宋体"/>
                <w:color w:val="auto"/>
                <w:kern w:val="0"/>
                <w:highlight w:val="none"/>
              </w:rPr>
              <w:t>10%</w:t>
            </w:r>
            <w:r>
              <w:rPr>
                <w:rFonts w:hint="eastAsia" w:ascii="宋体" w:hAnsi="宋体" w:eastAsia="宋体"/>
                <w:color w:val="auto"/>
                <w:kern w:val="0"/>
                <w:highlight w:val="none"/>
              </w:rPr>
              <w:t>）、中级职称人员</w:t>
            </w:r>
            <w:r>
              <w:rPr>
                <w:rFonts w:hint="eastAsia" w:ascii="宋体" w:hAnsi="宋体" w:eastAsia="宋体"/>
                <w:b/>
                <w:bCs/>
                <w:color w:val="auto"/>
                <w:kern w:val="0"/>
                <w:highlight w:val="none"/>
              </w:rPr>
              <w:t>及以上职称</w:t>
            </w:r>
            <w:r>
              <w:rPr>
                <w:rFonts w:hint="eastAsia" w:eastAsia="宋体"/>
                <w:color w:val="auto"/>
                <w:kern w:val="0"/>
                <w:highlight w:val="none"/>
              </w:rPr>
              <w:t>40%</w:t>
            </w:r>
            <w:r>
              <w:rPr>
                <w:rFonts w:hint="eastAsia" w:ascii="宋体" w:hAnsi="宋体" w:eastAsia="宋体"/>
                <w:color w:val="auto"/>
                <w:kern w:val="0"/>
                <w:highlight w:val="none"/>
              </w:rPr>
              <w:t>～</w:t>
            </w:r>
            <w:r>
              <w:rPr>
                <w:rFonts w:hint="eastAsia" w:eastAsia="宋体"/>
                <w:color w:val="auto"/>
                <w:kern w:val="0"/>
                <w:highlight w:val="none"/>
              </w:rPr>
              <w:t>50%</w:t>
            </w:r>
            <w:r>
              <w:rPr>
                <w:rFonts w:hint="eastAsia" w:ascii="宋体" w:hAnsi="宋体" w:eastAsia="宋体"/>
                <w:color w:val="auto"/>
                <w:kern w:val="0"/>
                <w:highlight w:val="none"/>
              </w:rPr>
              <w:t>（含</w:t>
            </w:r>
            <w:r>
              <w:rPr>
                <w:rFonts w:hint="eastAsia" w:eastAsia="宋体"/>
                <w:color w:val="auto"/>
                <w:kern w:val="0"/>
                <w:highlight w:val="none"/>
              </w:rPr>
              <w:t>40%</w:t>
            </w:r>
            <w:r>
              <w:rPr>
                <w:rFonts w:hint="eastAsia" w:ascii="宋体" w:hAnsi="宋体" w:eastAsia="宋体"/>
                <w:color w:val="auto"/>
                <w:kern w:val="0"/>
                <w:highlight w:val="none"/>
              </w:rPr>
              <w:t>）。</w:t>
            </w:r>
          </w:p>
          <w:p w14:paraId="326A5EDA">
            <w:pPr>
              <w:pStyle w:val="29"/>
              <w:wordWrap w:val="0"/>
              <w:spacing w:line="400" w:lineRule="exact"/>
              <w:rPr>
                <w:rFonts w:eastAsia="宋体"/>
                <w:color w:val="auto"/>
                <w:kern w:val="0"/>
                <w:highlight w:val="none"/>
              </w:rPr>
            </w:pPr>
            <w:r>
              <w:rPr>
                <w:rFonts w:hint="eastAsia" w:ascii="宋体" w:hAnsi="宋体" w:eastAsia="宋体"/>
                <w:color w:val="auto"/>
                <w:kern w:val="0"/>
                <w:highlight w:val="none"/>
              </w:rPr>
              <w:t>【差】组织机构形式合理，指挥系统，生产及质量、绿色施工、安全、文明施工、创优达标监控系统、联络协调系统不齐全，项目管理人员内高级职称人员</w:t>
            </w:r>
            <w:r>
              <w:rPr>
                <w:rFonts w:hint="eastAsia" w:eastAsia="宋体"/>
                <w:color w:val="auto"/>
                <w:kern w:val="0"/>
                <w:highlight w:val="none"/>
              </w:rPr>
              <w:t>10%</w:t>
            </w:r>
            <w:r>
              <w:rPr>
                <w:rFonts w:hint="eastAsia" w:ascii="宋体" w:hAnsi="宋体" w:eastAsia="宋体"/>
                <w:color w:val="auto"/>
                <w:kern w:val="0"/>
                <w:highlight w:val="none"/>
              </w:rPr>
              <w:t>以下、中级职称人员</w:t>
            </w:r>
            <w:r>
              <w:rPr>
                <w:rFonts w:hint="eastAsia" w:ascii="宋体" w:hAnsi="宋体" w:eastAsia="宋体"/>
                <w:b/>
                <w:bCs/>
                <w:color w:val="auto"/>
                <w:kern w:val="0"/>
                <w:highlight w:val="none"/>
              </w:rPr>
              <w:t>及以上职称</w:t>
            </w:r>
            <w:r>
              <w:rPr>
                <w:rFonts w:hint="eastAsia" w:eastAsia="宋体"/>
                <w:color w:val="auto"/>
                <w:kern w:val="0"/>
                <w:highlight w:val="none"/>
              </w:rPr>
              <w:t>40%</w:t>
            </w:r>
            <w:r>
              <w:rPr>
                <w:rFonts w:hint="eastAsia" w:ascii="宋体" w:hAnsi="宋体" w:eastAsia="宋体"/>
                <w:color w:val="auto"/>
                <w:kern w:val="0"/>
                <w:highlight w:val="none"/>
              </w:rPr>
              <w:t>以下。</w:t>
            </w:r>
          </w:p>
        </w:tc>
      </w:tr>
      <w:tr w14:paraId="0E8D479B">
        <w:tblPrEx>
          <w:tblCellMar>
            <w:top w:w="0" w:type="dxa"/>
            <w:left w:w="108" w:type="dxa"/>
            <w:bottom w:w="0" w:type="dxa"/>
            <w:right w:w="108" w:type="dxa"/>
          </w:tblCellMar>
        </w:tblPrEx>
        <w:trPr>
          <w:trHeight w:val="640" w:hRule="atLeast"/>
          <w:jc w:val="center"/>
        </w:trPr>
        <w:tc>
          <w:tcPr>
            <w:tcW w:w="9820"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7B2D1A86">
            <w:pPr>
              <w:pStyle w:val="29"/>
              <w:wordWrap w:val="0"/>
              <w:spacing w:line="400" w:lineRule="exact"/>
              <w:rPr>
                <w:rFonts w:eastAsia="宋体"/>
                <w:color w:val="auto"/>
                <w:kern w:val="0"/>
                <w:highlight w:val="none"/>
              </w:rPr>
            </w:pPr>
            <w:r>
              <w:rPr>
                <w:rFonts w:hint="eastAsia" w:ascii="黑体" w:hAnsi="黑体" w:eastAsia="黑体"/>
                <w:color w:val="auto"/>
                <w:kern w:val="0"/>
                <w:sz w:val="24"/>
                <w:szCs w:val="24"/>
                <w:highlight w:val="none"/>
              </w:rPr>
              <w:t>投标报价部分，满分：100分。</w:t>
            </w:r>
          </w:p>
        </w:tc>
      </w:tr>
      <w:tr w14:paraId="3B0FBDA1">
        <w:tblPrEx>
          <w:tblCellMar>
            <w:top w:w="0" w:type="dxa"/>
            <w:left w:w="108" w:type="dxa"/>
            <w:bottom w:w="0" w:type="dxa"/>
            <w:right w:w="108" w:type="dxa"/>
          </w:tblCellMar>
        </w:tblPrEx>
        <w:trPr>
          <w:trHeight w:val="640"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5C23B338">
            <w:pPr>
              <w:pStyle w:val="6"/>
              <w:wordWrap w:val="0"/>
              <w:spacing w:after="0" w:line="440" w:lineRule="exact"/>
              <w:jc w:val="center"/>
              <w:rPr>
                <w:rFonts w:ascii="黑体" w:hAnsi="黑体" w:eastAsia="黑体"/>
                <w:color w:val="auto"/>
                <w:kern w:val="0"/>
                <w:highlight w:val="none"/>
              </w:rPr>
            </w:pPr>
            <w:r>
              <w:rPr>
                <w:rFonts w:hint="eastAsia" w:ascii="黑体" w:hAnsi="黑体" w:eastAsia="黑体"/>
                <w:color w:val="auto"/>
                <w:kern w:val="0"/>
                <w:highlight w:val="none"/>
              </w:rPr>
              <w:t>评分事项</w:t>
            </w:r>
          </w:p>
        </w:tc>
        <w:tc>
          <w:tcPr>
            <w:tcW w:w="8615" w:type="dxa"/>
            <w:gridSpan w:val="2"/>
            <w:tcBorders>
              <w:top w:val="single" w:color="auto" w:sz="4" w:space="0"/>
              <w:left w:val="nil"/>
              <w:bottom w:val="single" w:color="auto" w:sz="4" w:space="0"/>
              <w:right w:val="single" w:color="auto" w:sz="4" w:space="0"/>
            </w:tcBorders>
            <w:noWrap w:val="0"/>
            <w:vAlign w:val="center"/>
          </w:tcPr>
          <w:p w14:paraId="753F2334">
            <w:pPr>
              <w:pStyle w:val="6"/>
              <w:wordWrap w:val="0"/>
              <w:spacing w:after="0" w:line="440" w:lineRule="exact"/>
              <w:jc w:val="center"/>
              <w:rPr>
                <w:rFonts w:ascii="黑体" w:hAnsi="黑体" w:eastAsia="黑体"/>
                <w:color w:val="auto"/>
                <w:kern w:val="0"/>
                <w:highlight w:val="none"/>
              </w:rPr>
            </w:pPr>
            <w:r>
              <w:rPr>
                <w:rFonts w:hint="eastAsia" w:ascii="黑体" w:hAnsi="黑体" w:eastAsia="黑体"/>
                <w:color w:val="auto"/>
                <w:kern w:val="0"/>
                <w:highlight w:val="none"/>
              </w:rPr>
              <w:t>评分方法</w:t>
            </w:r>
          </w:p>
        </w:tc>
      </w:tr>
      <w:tr w14:paraId="2C6DEB79">
        <w:tblPrEx>
          <w:tblCellMar>
            <w:top w:w="0" w:type="dxa"/>
            <w:left w:w="108" w:type="dxa"/>
            <w:bottom w:w="0" w:type="dxa"/>
            <w:right w:w="108" w:type="dxa"/>
          </w:tblCellMar>
        </w:tblPrEx>
        <w:trPr>
          <w:trHeight w:val="6580"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2BF85D6A">
            <w:pPr>
              <w:pStyle w:val="28"/>
              <w:wordWrap w:val="0"/>
              <w:spacing w:line="400" w:lineRule="exact"/>
              <w:jc w:val="center"/>
              <w:rPr>
                <w:rFonts w:eastAsia="宋体"/>
                <w:color w:val="auto"/>
                <w:kern w:val="0"/>
                <w:highlight w:val="none"/>
              </w:rPr>
            </w:pPr>
            <w:r>
              <w:rPr>
                <w:rFonts w:hint="eastAsia" w:ascii="宋体" w:hAnsi="宋体" w:eastAsia="宋体"/>
                <w:color w:val="auto"/>
                <w:kern w:val="0"/>
                <w:highlight w:val="none"/>
              </w:rPr>
              <w:t>评标基准价</w:t>
            </w:r>
            <w:r>
              <w:rPr>
                <w:rFonts w:hint="eastAsia" w:eastAsia="宋体"/>
                <w:color w:val="auto"/>
                <w:kern w:val="0"/>
                <w:highlight w:val="none"/>
              </w:rPr>
              <w:t>D</w:t>
            </w:r>
          </w:p>
        </w:tc>
        <w:tc>
          <w:tcPr>
            <w:tcW w:w="8615" w:type="dxa"/>
            <w:gridSpan w:val="2"/>
            <w:tcBorders>
              <w:top w:val="single" w:color="auto" w:sz="4" w:space="0"/>
              <w:left w:val="nil"/>
              <w:bottom w:val="single" w:color="auto" w:sz="4" w:space="0"/>
              <w:right w:val="single" w:color="auto" w:sz="4" w:space="0"/>
            </w:tcBorders>
            <w:noWrap w:val="0"/>
            <w:vAlign w:val="center"/>
          </w:tcPr>
          <w:p w14:paraId="221EE71E">
            <w:pPr>
              <w:pStyle w:val="6"/>
              <w:wordWrap w:val="0"/>
              <w:spacing w:after="0" w:line="400" w:lineRule="exact"/>
              <w:rPr>
                <w:rFonts w:ascii="Times New Roman"/>
                <w:color w:val="auto"/>
                <w:kern w:val="0"/>
                <w:sz w:val="21"/>
                <w:szCs w:val="21"/>
                <w:highlight w:val="none"/>
              </w:rPr>
            </w:pPr>
          </w:p>
          <w:p w14:paraId="59C2B130">
            <w:pPr>
              <w:wordWrap w:val="0"/>
              <w:spacing w:line="400" w:lineRule="exact"/>
              <w:ind w:firstLine="420" w:firstLineChars="200"/>
              <w:jc w:val="left"/>
              <w:rPr>
                <w:rFonts w:ascii="Times New Roman"/>
                <w:color w:val="auto"/>
                <w:kern w:val="0"/>
                <w:sz w:val="21"/>
                <w:szCs w:val="21"/>
                <w:highlight w:val="none"/>
              </w:rPr>
            </w:pPr>
            <w:r>
              <w:rPr>
                <w:rFonts w:hint="eastAsia" w:hAnsi="宋体"/>
                <w:color w:val="auto"/>
                <w:kern w:val="0"/>
                <w:sz w:val="21"/>
                <w:szCs w:val="21"/>
                <w:highlight w:val="none"/>
              </w:rPr>
              <w:t>（</w:t>
            </w:r>
            <w:r>
              <w:rPr>
                <w:rFonts w:hint="eastAsia" w:ascii="Times New Roman"/>
                <w:color w:val="auto"/>
                <w:kern w:val="0"/>
                <w:sz w:val="21"/>
                <w:szCs w:val="21"/>
                <w:highlight w:val="none"/>
              </w:rPr>
              <w:t>1</w:t>
            </w:r>
            <w:r>
              <w:rPr>
                <w:rFonts w:hint="eastAsia" w:hAnsi="宋体"/>
                <w:color w:val="auto"/>
                <w:kern w:val="0"/>
                <w:sz w:val="21"/>
                <w:szCs w:val="21"/>
                <w:highlight w:val="none"/>
              </w:rPr>
              <w:t>）确定</w:t>
            </w:r>
            <w:r>
              <w:rPr>
                <w:rFonts w:hint="eastAsia" w:ascii="Times New Roman" w:eastAsia="宋体"/>
                <w:b/>
                <w:bCs/>
                <w:snapToGrid w:val="0"/>
                <w:color w:val="auto"/>
                <w:kern w:val="0"/>
                <w:highlight w:val="none"/>
                <w:lang w:eastAsia="zh-CN"/>
              </w:rPr>
              <w:t>最高投标限价</w:t>
            </w:r>
            <w:r>
              <w:rPr>
                <w:rFonts w:hint="eastAsia" w:hAnsi="宋体"/>
                <w:color w:val="auto"/>
                <w:kern w:val="0"/>
                <w:sz w:val="21"/>
                <w:szCs w:val="21"/>
                <w:highlight w:val="none"/>
              </w:rPr>
              <w:t>下浮系数</w:t>
            </w:r>
            <w:r>
              <w:rPr>
                <w:rFonts w:hint="eastAsia" w:ascii="Times New Roman"/>
                <w:color w:val="auto"/>
                <w:kern w:val="0"/>
                <w:sz w:val="21"/>
                <w:szCs w:val="21"/>
                <w:highlight w:val="none"/>
              </w:rPr>
              <w:t>n</w:t>
            </w:r>
            <w:r>
              <w:rPr>
                <w:rFonts w:hint="eastAsia" w:hAnsi="宋体"/>
                <w:color w:val="auto"/>
                <w:kern w:val="0"/>
                <w:sz w:val="21"/>
                <w:szCs w:val="21"/>
                <w:highlight w:val="none"/>
              </w:rPr>
              <w:t>：用</w:t>
            </w:r>
            <w:r>
              <w:rPr>
                <w:rFonts w:hint="eastAsia" w:ascii="Times New Roman"/>
                <w:color w:val="auto"/>
                <w:kern w:val="0"/>
                <w:sz w:val="21"/>
                <w:szCs w:val="21"/>
                <w:highlight w:val="none"/>
              </w:rPr>
              <w:t>1</w:t>
            </w:r>
            <w:r>
              <w:rPr>
                <w:rFonts w:hint="eastAsia" w:hAnsi="宋体"/>
                <w:color w:val="auto"/>
                <w:kern w:val="0"/>
                <w:sz w:val="21"/>
                <w:szCs w:val="21"/>
                <w:highlight w:val="none"/>
              </w:rPr>
              <w:t>～</w:t>
            </w:r>
            <w:r>
              <w:rPr>
                <w:rFonts w:hint="eastAsia" w:ascii="Times New Roman"/>
                <w:color w:val="auto"/>
                <w:kern w:val="0"/>
                <w:sz w:val="21"/>
                <w:szCs w:val="21"/>
                <w:highlight w:val="none"/>
              </w:rPr>
              <w:t>21</w:t>
            </w:r>
            <w:r>
              <w:rPr>
                <w:rFonts w:hint="eastAsia" w:hAnsi="宋体"/>
                <w:color w:val="auto"/>
                <w:kern w:val="0"/>
                <w:sz w:val="21"/>
                <w:szCs w:val="21"/>
                <w:highlight w:val="none"/>
              </w:rPr>
              <w:t>号球分别代表一个下浮系数，由评委代表从这</w:t>
            </w:r>
            <w:r>
              <w:rPr>
                <w:rFonts w:hint="eastAsia" w:ascii="Times New Roman"/>
                <w:color w:val="auto"/>
                <w:kern w:val="0"/>
                <w:sz w:val="21"/>
                <w:szCs w:val="21"/>
                <w:highlight w:val="none"/>
              </w:rPr>
              <w:t>21</w:t>
            </w:r>
            <w:r>
              <w:rPr>
                <w:rFonts w:hint="eastAsia" w:hAnsi="宋体"/>
                <w:color w:val="auto"/>
                <w:kern w:val="0"/>
                <w:sz w:val="21"/>
                <w:szCs w:val="21"/>
                <w:highlight w:val="none"/>
              </w:rPr>
              <w:t>个号码中随机抽取</w:t>
            </w:r>
            <w:r>
              <w:rPr>
                <w:rFonts w:ascii="Times New Roman"/>
                <w:color w:val="auto"/>
                <w:kern w:val="0"/>
                <w:sz w:val="21"/>
                <w:szCs w:val="21"/>
                <w:highlight w:val="none"/>
                <w:u w:val="single"/>
              </w:rPr>
              <w:t xml:space="preserve"> </w:t>
            </w:r>
            <w:r>
              <w:rPr>
                <w:rFonts w:hint="eastAsia" w:ascii="Times New Roman"/>
                <w:color w:val="auto"/>
                <w:kern w:val="0"/>
                <w:sz w:val="21"/>
                <w:szCs w:val="21"/>
                <w:highlight w:val="none"/>
                <w:u w:val="single"/>
                <w:lang w:val="en-US" w:eastAsia="zh-CN"/>
              </w:rPr>
              <w:t>3</w:t>
            </w:r>
            <w:r>
              <w:rPr>
                <w:rFonts w:hint="eastAsia" w:ascii="Times New Roman"/>
                <w:color w:val="auto"/>
                <w:kern w:val="0"/>
                <w:sz w:val="21"/>
                <w:szCs w:val="21"/>
                <w:highlight w:val="none"/>
                <w:u w:val="single"/>
              </w:rPr>
              <w:t xml:space="preserve"> </w:t>
            </w:r>
            <w:r>
              <w:rPr>
                <w:rFonts w:hint="eastAsia" w:hAnsi="宋体"/>
                <w:color w:val="auto"/>
                <w:kern w:val="0"/>
                <w:sz w:val="21"/>
                <w:szCs w:val="21"/>
                <w:highlight w:val="none"/>
              </w:rPr>
              <w:t>次，每次抽取</w:t>
            </w:r>
            <w:r>
              <w:rPr>
                <w:rFonts w:hint="eastAsia" w:ascii="Times New Roman"/>
                <w:color w:val="auto"/>
                <w:kern w:val="0"/>
                <w:sz w:val="21"/>
                <w:szCs w:val="21"/>
                <w:highlight w:val="none"/>
              </w:rPr>
              <w:t>1</w:t>
            </w:r>
            <w:r>
              <w:rPr>
                <w:rFonts w:hint="eastAsia" w:hAnsi="宋体"/>
                <w:color w:val="auto"/>
                <w:kern w:val="0"/>
                <w:sz w:val="21"/>
                <w:szCs w:val="21"/>
                <w:highlight w:val="none"/>
              </w:rPr>
              <w:t>个号码，抽出的号球不参与下次抽取。所抽取的</w:t>
            </w:r>
            <w:r>
              <w:rPr>
                <w:rFonts w:hint="eastAsia" w:ascii="Times New Roman"/>
                <w:color w:val="auto"/>
                <w:kern w:val="0"/>
                <w:sz w:val="21"/>
                <w:szCs w:val="21"/>
                <w:highlight w:val="none"/>
                <w:lang w:val="en-US" w:eastAsia="zh-CN"/>
              </w:rPr>
              <w:t>3</w:t>
            </w:r>
            <w:r>
              <w:rPr>
                <w:rFonts w:hint="eastAsia" w:hAnsi="宋体"/>
                <w:color w:val="auto"/>
                <w:kern w:val="0"/>
                <w:sz w:val="21"/>
                <w:szCs w:val="21"/>
                <w:highlight w:val="none"/>
              </w:rPr>
              <w:t>个号码对应下浮系数的算术平均值作为</w:t>
            </w:r>
            <w:r>
              <w:rPr>
                <w:rFonts w:hint="eastAsia" w:ascii="Times New Roman" w:eastAsia="宋体"/>
                <w:b/>
                <w:bCs/>
                <w:snapToGrid w:val="0"/>
                <w:color w:val="auto"/>
                <w:kern w:val="0"/>
                <w:highlight w:val="none"/>
                <w:lang w:eastAsia="zh-CN"/>
              </w:rPr>
              <w:t>最高投标限价</w:t>
            </w:r>
            <w:r>
              <w:rPr>
                <w:rFonts w:hint="eastAsia" w:hAnsi="宋体"/>
                <w:color w:val="auto"/>
                <w:kern w:val="0"/>
                <w:sz w:val="21"/>
                <w:szCs w:val="21"/>
                <w:highlight w:val="none"/>
              </w:rPr>
              <w:t>下浮系数</w:t>
            </w:r>
            <w:r>
              <w:rPr>
                <w:rFonts w:hint="eastAsia" w:ascii="Times New Roman"/>
                <w:color w:val="auto"/>
                <w:kern w:val="0"/>
                <w:sz w:val="21"/>
                <w:szCs w:val="21"/>
                <w:highlight w:val="none"/>
              </w:rPr>
              <w:t>n</w:t>
            </w:r>
            <w:r>
              <w:rPr>
                <w:rFonts w:hint="eastAsia" w:hAnsi="宋体"/>
                <w:color w:val="auto"/>
                <w:kern w:val="0"/>
                <w:sz w:val="21"/>
                <w:szCs w:val="21"/>
                <w:highlight w:val="none"/>
              </w:rPr>
              <w:t>。具体号码对应的下浮系数可参考下表。</w:t>
            </w:r>
          </w:p>
          <w:tbl>
            <w:tblPr>
              <w:tblStyle w:val="15"/>
              <w:tblW w:w="0" w:type="auto"/>
              <w:tblInd w:w="113" w:type="dxa"/>
              <w:tblLayout w:type="autofit"/>
              <w:tblCellMar>
                <w:top w:w="0" w:type="dxa"/>
                <w:left w:w="108" w:type="dxa"/>
                <w:bottom w:w="0" w:type="dxa"/>
                <w:right w:w="108" w:type="dxa"/>
              </w:tblCellMar>
            </w:tblPr>
            <w:tblGrid>
              <w:gridCol w:w="1630"/>
              <w:gridCol w:w="883"/>
              <w:gridCol w:w="923"/>
              <w:gridCol w:w="961"/>
              <w:gridCol w:w="943"/>
              <w:gridCol w:w="981"/>
              <w:gridCol w:w="922"/>
              <w:gridCol w:w="911"/>
            </w:tblGrid>
            <w:tr w14:paraId="50FB65B3">
              <w:tblPrEx>
                <w:tblCellMar>
                  <w:top w:w="0" w:type="dxa"/>
                  <w:left w:w="108" w:type="dxa"/>
                  <w:bottom w:w="0" w:type="dxa"/>
                  <w:right w:w="108" w:type="dxa"/>
                </w:tblCellMar>
              </w:tblPrEx>
              <w:trPr>
                <w:trHeight w:val="445" w:hRule="atLeast"/>
              </w:trPr>
              <w:tc>
                <w:tcPr>
                  <w:tcW w:w="1630" w:type="dxa"/>
                  <w:tcBorders>
                    <w:top w:val="single" w:color="000000" w:sz="4" w:space="0"/>
                    <w:left w:val="single" w:color="000000" w:sz="4" w:space="0"/>
                    <w:bottom w:val="single" w:color="000000" w:sz="4" w:space="0"/>
                    <w:right w:val="single" w:color="000000" w:sz="4" w:space="0"/>
                  </w:tcBorders>
                  <w:noWrap w:val="0"/>
                  <w:vAlign w:val="center"/>
                </w:tcPr>
                <w:p w14:paraId="2BC64095">
                  <w:pPr>
                    <w:wordWrap w:val="0"/>
                    <w:spacing w:line="400" w:lineRule="exact"/>
                    <w:ind w:firstLine="420" w:firstLineChars="200"/>
                    <w:jc w:val="left"/>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号球</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02038218">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74BFB5CC">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2</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14:paraId="7722C351">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3</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676CAF4D">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4</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69F2BD7E">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5</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2A56F799">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6</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174C93CE">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7</w:t>
                  </w:r>
                </w:p>
              </w:tc>
            </w:tr>
            <w:tr w14:paraId="4166D097">
              <w:tblPrEx>
                <w:tblCellMar>
                  <w:top w:w="0" w:type="dxa"/>
                  <w:left w:w="108" w:type="dxa"/>
                  <w:bottom w:w="0" w:type="dxa"/>
                  <w:right w:w="108" w:type="dxa"/>
                </w:tblCellMar>
              </w:tblPrEx>
              <w:trPr>
                <w:trHeight w:val="635" w:hRule="atLeast"/>
              </w:trPr>
              <w:tc>
                <w:tcPr>
                  <w:tcW w:w="1630" w:type="dxa"/>
                  <w:tcBorders>
                    <w:top w:val="single" w:color="000000" w:sz="4" w:space="0"/>
                    <w:left w:val="single" w:color="000000" w:sz="4" w:space="0"/>
                    <w:bottom w:val="single" w:color="000000" w:sz="4" w:space="0"/>
                    <w:right w:val="single" w:color="000000" w:sz="4" w:space="0"/>
                  </w:tcBorders>
                  <w:noWrap w:val="0"/>
                  <w:vAlign w:val="center"/>
                </w:tcPr>
                <w:p w14:paraId="51BF3C08">
                  <w:pPr>
                    <w:wordWrap w:val="0"/>
                    <w:spacing w:line="400" w:lineRule="exact"/>
                    <w:jc w:val="left"/>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下浮系数（%）</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17440B88">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1.0</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30AC6D3E">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1.1</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14:paraId="4A605943">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1.2</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01BCD7DC">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1.3</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19E6C0EC">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1.4</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45AD212E">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1.5</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2C43FF71">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1.6</w:t>
                  </w:r>
                </w:p>
              </w:tc>
            </w:tr>
            <w:tr w14:paraId="68ECD740">
              <w:tblPrEx>
                <w:tblCellMar>
                  <w:top w:w="0" w:type="dxa"/>
                  <w:left w:w="108" w:type="dxa"/>
                  <w:bottom w:w="0" w:type="dxa"/>
                  <w:right w:w="108" w:type="dxa"/>
                </w:tblCellMar>
              </w:tblPrEx>
              <w:trPr>
                <w:trHeight w:val="570" w:hRule="atLeast"/>
              </w:trPr>
              <w:tc>
                <w:tcPr>
                  <w:tcW w:w="1630" w:type="dxa"/>
                  <w:tcBorders>
                    <w:top w:val="single" w:color="000000" w:sz="4" w:space="0"/>
                    <w:left w:val="single" w:color="000000" w:sz="4" w:space="0"/>
                    <w:bottom w:val="single" w:color="000000" w:sz="4" w:space="0"/>
                    <w:right w:val="single" w:color="000000" w:sz="4" w:space="0"/>
                  </w:tcBorders>
                  <w:noWrap w:val="0"/>
                  <w:vAlign w:val="center"/>
                </w:tcPr>
                <w:p w14:paraId="1E2DAAC3">
                  <w:pPr>
                    <w:wordWrap w:val="0"/>
                    <w:spacing w:line="400" w:lineRule="exact"/>
                    <w:ind w:firstLine="420" w:firstLineChars="200"/>
                    <w:jc w:val="left"/>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号球</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318D0F26">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8</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38310C21">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9</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14:paraId="52D100E3">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10</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6EAE541C">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11</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71D3B1DB">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12</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297EEE38">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13</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2FB1556E">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14</w:t>
                  </w:r>
                </w:p>
              </w:tc>
            </w:tr>
            <w:tr w14:paraId="732EA246">
              <w:tblPrEx>
                <w:tblCellMar>
                  <w:top w:w="0" w:type="dxa"/>
                  <w:left w:w="108" w:type="dxa"/>
                  <w:bottom w:w="0" w:type="dxa"/>
                  <w:right w:w="108" w:type="dxa"/>
                </w:tblCellMar>
              </w:tblPrEx>
              <w:trPr>
                <w:trHeight w:val="570" w:hRule="atLeast"/>
              </w:trPr>
              <w:tc>
                <w:tcPr>
                  <w:tcW w:w="1630" w:type="dxa"/>
                  <w:tcBorders>
                    <w:top w:val="single" w:color="000000" w:sz="4" w:space="0"/>
                    <w:left w:val="single" w:color="000000" w:sz="4" w:space="0"/>
                    <w:bottom w:val="single" w:color="000000" w:sz="4" w:space="0"/>
                    <w:right w:val="single" w:color="000000" w:sz="4" w:space="0"/>
                  </w:tcBorders>
                  <w:noWrap w:val="0"/>
                  <w:vAlign w:val="center"/>
                </w:tcPr>
                <w:p w14:paraId="0C157A0F">
                  <w:pPr>
                    <w:wordWrap w:val="0"/>
                    <w:spacing w:line="400" w:lineRule="exact"/>
                    <w:jc w:val="left"/>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下浮系数（%）</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44210AF3">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1.7</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33AB73B2">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1.8</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14:paraId="1E25904C">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1.9</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7AF021C5">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2.0</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1FEFD743">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2.1</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3CF9B3EC">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2.2</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38DA0449">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2.3</w:t>
                  </w:r>
                </w:p>
              </w:tc>
            </w:tr>
            <w:tr w14:paraId="2ED5445D">
              <w:tblPrEx>
                <w:tblCellMar>
                  <w:top w:w="0" w:type="dxa"/>
                  <w:left w:w="108" w:type="dxa"/>
                  <w:bottom w:w="0" w:type="dxa"/>
                  <w:right w:w="108" w:type="dxa"/>
                </w:tblCellMar>
              </w:tblPrEx>
              <w:trPr>
                <w:trHeight w:val="521" w:hRule="atLeast"/>
              </w:trPr>
              <w:tc>
                <w:tcPr>
                  <w:tcW w:w="1630" w:type="dxa"/>
                  <w:tcBorders>
                    <w:top w:val="single" w:color="000000" w:sz="4" w:space="0"/>
                    <w:left w:val="single" w:color="000000" w:sz="4" w:space="0"/>
                    <w:bottom w:val="single" w:color="000000" w:sz="4" w:space="0"/>
                    <w:right w:val="single" w:color="000000" w:sz="4" w:space="0"/>
                  </w:tcBorders>
                  <w:noWrap w:val="0"/>
                  <w:vAlign w:val="center"/>
                </w:tcPr>
                <w:p w14:paraId="35F80AEA">
                  <w:pPr>
                    <w:wordWrap w:val="0"/>
                    <w:spacing w:line="400" w:lineRule="exact"/>
                    <w:ind w:firstLine="420" w:firstLineChars="200"/>
                    <w:jc w:val="left"/>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号球</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31C0B2E0">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15</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39C35A1F">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16</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14:paraId="135F2AC9">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17</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46685562">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18</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12206CE5">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19</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3E1E0E67">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20</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1A6A2759">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21</w:t>
                  </w:r>
                </w:p>
              </w:tc>
            </w:tr>
            <w:tr w14:paraId="70123E0B">
              <w:tblPrEx>
                <w:tblCellMar>
                  <w:top w:w="0" w:type="dxa"/>
                  <w:left w:w="108" w:type="dxa"/>
                  <w:bottom w:w="0" w:type="dxa"/>
                  <w:right w:w="108" w:type="dxa"/>
                </w:tblCellMar>
              </w:tblPrEx>
              <w:trPr>
                <w:trHeight w:val="673" w:hRule="atLeast"/>
              </w:trPr>
              <w:tc>
                <w:tcPr>
                  <w:tcW w:w="1630" w:type="dxa"/>
                  <w:tcBorders>
                    <w:top w:val="single" w:color="000000" w:sz="4" w:space="0"/>
                    <w:left w:val="single" w:color="000000" w:sz="4" w:space="0"/>
                    <w:bottom w:val="single" w:color="000000" w:sz="4" w:space="0"/>
                    <w:right w:val="single" w:color="000000" w:sz="4" w:space="0"/>
                  </w:tcBorders>
                  <w:noWrap w:val="0"/>
                  <w:vAlign w:val="center"/>
                </w:tcPr>
                <w:p w14:paraId="3095ABFD">
                  <w:pPr>
                    <w:wordWrap w:val="0"/>
                    <w:spacing w:line="400" w:lineRule="exact"/>
                    <w:jc w:val="left"/>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下浮系数（%）</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1EEA3A5E">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2.4</w:t>
                  </w:r>
                </w:p>
              </w:tc>
              <w:tc>
                <w:tcPr>
                  <w:tcW w:w="923" w:type="dxa"/>
                  <w:tcBorders>
                    <w:top w:val="single" w:color="000000" w:sz="4" w:space="0"/>
                    <w:left w:val="single" w:color="000000" w:sz="4" w:space="0"/>
                    <w:bottom w:val="single" w:color="000000" w:sz="4" w:space="0"/>
                    <w:right w:val="single" w:color="000000" w:sz="4" w:space="0"/>
                  </w:tcBorders>
                  <w:noWrap w:val="0"/>
                  <w:vAlign w:val="center"/>
                </w:tcPr>
                <w:p w14:paraId="3DAE573B">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2.5</w:t>
                  </w:r>
                </w:p>
              </w:tc>
              <w:tc>
                <w:tcPr>
                  <w:tcW w:w="961" w:type="dxa"/>
                  <w:tcBorders>
                    <w:top w:val="single" w:color="000000" w:sz="4" w:space="0"/>
                    <w:left w:val="single" w:color="000000" w:sz="4" w:space="0"/>
                    <w:bottom w:val="single" w:color="000000" w:sz="4" w:space="0"/>
                    <w:right w:val="single" w:color="000000" w:sz="4" w:space="0"/>
                  </w:tcBorders>
                  <w:noWrap w:val="0"/>
                  <w:vAlign w:val="center"/>
                </w:tcPr>
                <w:p w14:paraId="4B61EB0F">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2.6</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14:paraId="01059561">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2.7</w:t>
                  </w:r>
                </w:p>
              </w:tc>
              <w:tc>
                <w:tcPr>
                  <w:tcW w:w="981" w:type="dxa"/>
                  <w:tcBorders>
                    <w:top w:val="single" w:color="000000" w:sz="4" w:space="0"/>
                    <w:left w:val="single" w:color="000000" w:sz="4" w:space="0"/>
                    <w:bottom w:val="single" w:color="000000" w:sz="4" w:space="0"/>
                    <w:right w:val="single" w:color="000000" w:sz="4" w:space="0"/>
                  </w:tcBorders>
                  <w:noWrap w:val="0"/>
                  <w:vAlign w:val="center"/>
                </w:tcPr>
                <w:p w14:paraId="1AB9CBD7">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2.8</w:t>
                  </w:r>
                </w:p>
              </w:tc>
              <w:tc>
                <w:tcPr>
                  <w:tcW w:w="922" w:type="dxa"/>
                  <w:tcBorders>
                    <w:top w:val="single" w:color="000000" w:sz="4" w:space="0"/>
                    <w:left w:val="single" w:color="000000" w:sz="4" w:space="0"/>
                    <w:bottom w:val="single" w:color="000000" w:sz="4" w:space="0"/>
                    <w:right w:val="single" w:color="000000" w:sz="4" w:space="0"/>
                  </w:tcBorders>
                  <w:noWrap w:val="0"/>
                  <w:vAlign w:val="center"/>
                </w:tcPr>
                <w:p w14:paraId="284256C9">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2.9</w:t>
                  </w:r>
                </w:p>
              </w:tc>
              <w:tc>
                <w:tcPr>
                  <w:tcW w:w="911" w:type="dxa"/>
                  <w:tcBorders>
                    <w:top w:val="single" w:color="000000" w:sz="4" w:space="0"/>
                    <w:left w:val="single" w:color="000000" w:sz="4" w:space="0"/>
                    <w:bottom w:val="single" w:color="000000" w:sz="4" w:space="0"/>
                    <w:right w:val="single" w:color="000000" w:sz="4" w:space="0"/>
                  </w:tcBorders>
                  <w:noWrap w:val="0"/>
                  <w:vAlign w:val="center"/>
                </w:tcPr>
                <w:p w14:paraId="0A6586A8">
                  <w:pPr>
                    <w:wordWrap w:val="0"/>
                    <w:spacing w:line="400" w:lineRule="exact"/>
                    <w:jc w:val="center"/>
                    <w:rPr>
                      <w:rFonts w:hint="eastAsia" w:ascii="宋体" w:hAnsi="宋体" w:eastAsia="宋体" w:cs="Times New Roman"/>
                      <w:color w:val="auto"/>
                      <w:kern w:val="0"/>
                      <w:sz w:val="21"/>
                      <w:szCs w:val="21"/>
                      <w:highlight w:val="none"/>
                    </w:rPr>
                  </w:pPr>
                  <w:r>
                    <w:rPr>
                      <w:rFonts w:hint="eastAsia" w:ascii="宋体" w:hAnsi="宋体" w:eastAsia="宋体" w:cs="Times New Roman"/>
                      <w:color w:val="auto"/>
                      <w:kern w:val="0"/>
                      <w:sz w:val="21"/>
                      <w:szCs w:val="21"/>
                      <w:highlight w:val="none"/>
                    </w:rPr>
                    <w:t>3.0</w:t>
                  </w:r>
                </w:p>
              </w:tc>
            </w:tr>
          </w:tbl>
          <w:p w14:paraId="3F0CEE53">
            <w:pPr>
              <w:wordWrap w:val="0"/>
              <w:spacing w:line="400" w:lineRule="exact"/>
              <w:ind w:firstLine="420" w:firstLineChars="200"/>
              <w:jc w:val="left"/>
              <w:rPr>
                <w:rFonts w:hint="eastAsia" w:ascii="Times New Roman"/>
                <w:color w:val="auto"/>
                <w:kern w:val="0"/>
                <w:sz w:val="21"/>
                <w:szCs w:val="21"/>
                <w:highlight w:val="none"/>
              </w:rPr>
            </w:pPr>
          </w:p>
          <w:p w14:paraId="746D7FF8">
            <w:pPr>
              <w:wordWrap w:val="0"/>
              <w:spacing w:line="400" w:lineRule="exact"/>
              <w:ind w:firstLine="420" w:firstLineChars="200"/>
              <w:jc w:val="left"/>
              <w:rPr>
                <w:rFonts w:ascii="Times New Roman"/>
                <w:color w:val="auto"/>
                <w:kern w:val="0"/>
                <w:sz w:val="21"/>
                <w:szCs w:val="21"/>
                <w:highlight w:val="none"/>
              </w:rPr>
            </w:pPr>
            <w:r>
              <w:rPr>
                <w:rFonts w:hint="eastAsia" w:hAnsi="宋体"/>
                <w:color w:val="auto"/>
                <w:kern w:val="0"/>
                <w:sz w:val="21"/>
                <w:szCs w:val="21"/>
                <w:highlight w:val="none"/>
              </w:rPr>
              <w:t>（</w:t>
            </w:r>
            <w:r>
              <w:rPr>
                <w:rFonts w:hint="eastAsia" w:ascii="Times New Roman"/>
                <w:color w:val="auto"/>
                <w:kern w:val="0"/>
                <w:sz w:val="21"/>
                <w:szCs w:val="21"/>
                <w:highlight w:val="none"/>
              </w:rPr>
              <w:t>2</w:t>
            </w:r>
            <w:r>
              <w:rPr>
                <w:rFonts w:hint="eastAsia" w:hAnsi="宋体"/>
                <w:color w:val="auto"/>
                <w:kern w:val="0"/>
                <w:sz w:val="21"/>
                <w:szCs w:val="21"/>
                <w:highlight w:val="none"/>
              </w:rPr>
              <w:t>）评标基准价</w:t>
            </w:r>
            <w:r>
              <w:rPr>
                <w:rFonts w:hint="eastAsia" w:ascii="Times New Roman"/>
                <w:color w:val="auto"/>
                <w:kern w:val="0"/>
                <w:sz w:val="21"/>
                <w:szCs w:val="21"/>
                <w:highlight w:val="none"/>
              </w:rPr>
              <w:t>D</w:t>
            </w:r>
            <w:r>
              <w:rPr>
                <w:rFonts w:hint="eastAsia" w:hAnsi="宋体"/>
                <w:color w:val="auto"/>
                <w:kern w:val="0"/>
                <w:sz w:val="21"/>
                <w:szCs w:val="21"/>
                <w:highlight w:val="none"/>
              </w:rPr>
              <w:t>＝</w:t>
            </w:r>
            <w:r>
              <w:rPr>
                <w:rFonts w:hint="eastAsia" w:ascii="Times New Roman" w:eastAsia="宋体"/>
                <w:b/>
                <w:bCs/>
                <w:snapToGrid w:val="0"/>
                <w:color w:val="auto"/>
                <w:kern w:val="0"/>
                <w:highlight w:val="none"/>
                <w:lang w:eastAsia="zh-CN"/>
              </w:rPr>
              <w:t>最高投标限价</w:t>
            </w:r>
            <w:r>
              <w:rPr>
                <w:rFonts w:hint="eastAsia" w:hAnsi="宋体"/>
                <w:color w:val="auto"/>
                <w:kern w:val="0"/>
                <w:sz w:val="21"/>
                <w:szCs w:val="21"/>
                <w:highlight w:val="none"/>
              </w:rPr>
              <w:t>×（</w:t>
            </w:r>
            <w:r>
              <w:rPr>
                <w:rFonts w:hint="eastAsia" w:ascii="Times New Roman"/>
                <w:color w:val="auto"/>
                <w:kern w:val="0"/>
                <w:sz w:val="21"/>
                <w:szCs w:val="21"/>
                <w:highlight w:val="none"/>
              </w:rPr>
              <w:t>1</w:t>
            </w:r>
            <w:r>
              <w:rPr>
                <w:rFonts w:hint="eastAsia" w:hAnsi="宋体"/>
                <w:color w:val="auto"/>
                <w:kern w:val="0"/>
                <w:sz w:val="21"/>
                <w:szCs w:val="21"/>
                <w:highlight w:val="none"/>
              </w:rPr>
              <w:t>－</w:t>
            </w:r>
            <w:r>
              <w:rPr>
                <w:rFonts w:hint="eastAsia" w:ascii="Times New Roman"/>
                <w:color w:val="auto"/>
                <w:kern w:val="0"/>
                <w:sz w:val="21"/>
                <w:szCs w:val="21"/>
                <w:highlight w:val="none"/>
              </w:rPr>
              <w:t>n</w:t>
            </w:r>
            <w:r>
              <w:rPr>
                <w:rFonts w:hint="eastAsia" w:hAnsi="宋体"/>
                <w:color w:val="auto"/>
                <w:kern w:val="0"/>
                <w:sz w:val="21"/>
                <w:szCs w:val="21"/>
                <w:highlight w:val="none"/>
              </w:rPr>
              <w:t>）</w:t>
            </w:r>
          </w:p>
        </w:tc>
      </w:tr>
      <w:tr w14:paraId="076ABF58">
        <w:tblPrEx>
          <w:tblCellMar>
            <w:top w:w="0" w:type="dxa"/>
            <w:left w:w="108" w:type="dxa"/>
            <w:bottom w:w="0" w:type="dxa"/>
            <w:right w:w="108" w:type="dxa"/>
          </w:tblCellMar>
        </w:tblPrEx>
        <w:trPr>
          <w:trHeight w:val="3019" w:hRule="atLeast"/>
          <w:jc w:val="center"/>
        </w:trPr>
        <w:tc>
          <w:tcPr>
            <w:tcW w:w="1205" w:type="dxa"/>
            <w:tcBorders>
              <w:top w:val="single" w:color="auto" w:sz="4" w:space="0"/>
              <w:left w:val="single" w:color="auto" w:sz="4" w:space="0"/>
              <w:bottom w:val="single" w:color="auto" w:sz="4" w:space="0"/>
              <w:right w:val="single" w:color="auto" w:sz="4" w:space="0"/>
            </w:tcBorders>
            <w:noWrap w:val="0"/>
            <w:vAlign w:val="center"/>
          </w:tcPr>
          <w:p w14:paraId="48422D91">
            <w:pPr>
              <w:pStyle w:val="28"/>
              <w:wordWrap w:val="0"/>
              <w:spacing w:line="400" w:lineRule="exact"/>
              <w:jc w:val="center"/>
              <w:rPr>
                <w:rFonts w:eastAsia="宋体"/>
                <w:color w:val="auto"/>
                <w:kern w:val="0"/>
                <w:highlight w:val="none"/>
              </w:rPr>
            </w:pPr>
            <w:r>
              <w:rPr>
                <w:rFonts w:hint="eastAsia" w:ascii="宋体" w:hAnsi="宋体" w:eastAsia="宋体"/>
                <w:color w:val="auto"/>
                <w:kern w:val="0"/>
                <w:highlight w:val="none"/>
              </w:rPr>
              <w:t>投标报价</w:t>
            </w:r>
          </w:p>
          <w:p w14:paraId="2DD68505">
            <w:pPr>
              <w:pStyle w:val="28"/>
              <w:wordWrap w:val="0"/>
              <w:spacing w:line="400" w:lineRule="exact"/>
              <w:jc w:val="center"/>
              <w:rPr>
                <w:rFonts w:eastAsia="宋体"/>
                <w:color w:val="auto"/>
                <w:kern w:val="0"/>
                <w:highlight w:val="none"/>
              </w:rPr>
            </w:pPr>
            <w:r>
              <w:rPr>
                <w:rFonts w:hint="eastAsia" w:ascii="宋体" w:hAnsi="宋体" w:eastAsia="宋体"/>
                <w:color w:val="auto"/>
                <w:kern w:val="0"/>
                <w:highlight w:val="none"/>
              </w:rPr>
              <w:t>得分</w:t>
            </w:r>
            <w:r>
              <w:rPr>
                <w:rFonts w:hint="eastAsia" w:eastAsia="宋体"/>
                <w:color w:val="auto"/>
                <w:kern w:val="0"/>
                <w:highlight w:val="none"/>
              </w:rPr>
              <w:t>N</w:t>
            </w:r>
          </w:p>
        </w:tc>
        <w:tc>
          <w:tcPr>
            <w:tcW w:w="8615" w:type="dxa"/>
            <w:gridSpan w:val="2"/>
            <w:tcBorders>
              <w:top w:val="single" w:color="auto" w:sz="4" w:space="0"/>
              <w:left w:val="nil"/>
              <w:bottom w:val="single" w:color="auto" w:sz="4" w:space="0"/>
              <w:right w:val="single" w:color="auto" w:sz="4" w:space="0"/>
            </w:tcBorders>
            <w:noWrap w:val="0"/>
            <w:vAlign w:val="center"/>
          </w:tcPr>
          <w:p w14:paraId="4620DC43">
            <w:pPr>
              <w:wordWrap w:val="0"/>
              <w:spacing w:line="400" w:lineRule="exact"/>
              <w:ind w:firstLine="420" w:firstLineChars="200"/>
              <w:jc w:val="left"/>
              <w:rPr>
                <w:rFonts w:ascii="Times New Roman"/>
                <w:color w:val="auto"/>
                <w:kern w:val="0"/>
                <w:sz w:val="21"/>
                <w:szCs w:val="21"/>
                <w:highlight w:val="none"/>
              </w:rPr>
            </w:pPr>
            <w:r>
              <w:rPr>
                <w:rFonts w:hint="eastAsia" w:hAnsi="宋体"/>
                <w:color w:val="auto"/>
                <w:kern w:val="0"/>
                <w:sz w:val="21"/>
                <w:szCs w:val="21"/>
                <w:highlight w:val="none"/>
              </w:rPr>
              <w:t>采用内插法计算某投标人的投标报价得分</w:t>
            </w:r>
            <w:r>
              <w:rPr>
                <w:rFonts w:hint="eastAsia" w:ascii="Times New Roman"/>
                <w:color w:val="auto"/>
                <w:kern w:val="0"/>
                <w:sz w:val="21"/>
                <w:szCs w:val="21"/>
                <w:highlight w:val="none"/>
              </w:rPr>
              <w:t>N</w:t>
            </w:r>
            <w:r>
              <w:rPr>
                <w:rFonts w:hint="eastAsia" w:hAnsi="宋体"/>
                <w:color w:val="auto"/>
                <w:kern w:val="0"/>
                <w:sz w:val="21"/>
                <w:szCs w:val="21"/>
                <w:highlight w:val="none"/>
              </w:rPr>
              <w:t>，即当投标人的投标总价等于评标基准价时得</w:t>
            </w:r>
            <w:r>
              <w:rPr>
                <w:rFonts w:hint="eastAsia" w:ascii="Times New Roman"/>
                <w:color w:val="auto"/>
                <w:kern w:val="0"/>
                <w:sz w:val="21"/>
                <w:szCs w:val="21"/>
                <w:highlight w:val="none"/>
              </w:rPr>
              <w:t>100</w:t>
            </w:r>
            <w:r>
              <w:rPr>
                <w:rFonts w:hint="eastAsia" w:hAnsi="宋体"/>
                <w:color w:val="auto"/>
                <w:kern w:val="0"/>
                <w:sz w:val="21"/>
                <w:szCs w:val="21"/>
                <w:highlight w:val="none"/>
              </w:rPr>
              <w:t>分，每高于评标基准价一个百分点扣</w:t>
            </w:r>
            <w:r>
              <w:rPr>
                <w:rFonts w:hint="eastAsia" w:ascii="Times New Roman"/>
                <w:color w:val="auto"/>
                <w:kern w:val="0"/>
                <w:sz w:val="21"/>
                <w:szCs w:val="21"/>
                <w:highlight w:val="none"/>
              </w:rPr>
              <w:t xml:space="preserve">1 </w:t>
            </w:r>
            <w:r>
              <w:rPr>
                <w:rFonts w:hint="eastAsia" w:hAnsi="宋体"/>
                <w:color w:val="auto"/>
                <w:kern w:val="0"/>
                <w:sz w:val="21"/>
                <w:szCs w:val="21"/>
                <w:highlight w:val="none"/>
              </w:rPr>
              <w:t>分</w:t>
            </w:r>
            <w:r>
              <w:rPr>
                <w:rFonts w:hint="eastAsia" w:ascii="Times New Roman"/>
                <w:color w:val="auto"/>
                <w:kern w:val="0"/>
                <w:sz w:val="21"/>
                <w:szCs w:val="21"/>
                <w:highlight w:val="none"/>
              </w:rPr>
              <w:t xml:space="preserve">, </w:t>
            </w:r>
            <w:r>
              <w:rPr>
                <w:rFonts w:hint="eastAsia" w:hAnsi="宋体"/>
                <w:color w:val="auto"/>
                <w:kern w:val="0"/>
                <w:sz w:val="21"/>
                <w:szCs w:val="21"/>
                <w:highlight w:val="none"/>
              </w:rPr>
              <w:t>每低于评标基准价一个百分点扣</w:t>
            </w:r>
            <w:r>
              <w:rPr>
                <w:rFonts w:hint="eastAsia" w:ascii="Times New Roman"/>
                <w:color w:val="auto"/>
                <w:kern w:val="0"/>
                <w:sz w:val="21"/>
                <w:szCs w:val="21"/>
                <w:highlight w:val="none"/>
              </w:rPr>
              <w:t>0.5</w:t>
            </w:r>
            <w:r>
              <w:rPr>
                <w:rFonts w:hint="eastAsia" w:hAnsi="宋体"/>
                <w:color w:val="auto"/>
                <w:kern w:val="0"/>
                <w:sz w:val="21"/>
                <w:szCs w:val="21"/>
                <w:highlight w:val="none"/>
              </w:rPr>
              <w:t>分，扣完为止。公式如下：</w:t>
            </w:r>
          </w:p>
          <w:p w14:paraId="6725105B">
            <w:pPr>
              <w:wordWrap w:val="0"/>
              <w:spacing w:line="400" w:lineRule="exact"/>
              <w:ind w:firstLine="420" w:firstLineChars="200"/>
              <w:jc w:val="left"/>
              <w:rPr>
                <w:rFonts w:ascii="Times New Roman"/>
                <w:color w:val="auto"/>
                <w:kern w:val="0"/>
                <w:sz w:val="21"/>
                <w:szCs w:val="21"/>
                <w:highlight w:val="none"/>
              </w:rPr>
            </w:pPr>
            <w:r>
              <w:rPr>
                <w:rFonts w:hint="eastAsia" w:ascii="Times New Roman"/>
                <w:color w:val="auto"/>
                <w:kern w:val="0"/>
                <w:sz w:val="21"/>
                <w:szCs w:val="21"/>
                <w:highlight w:val="none"/>
              </w:rPr>
              <w:t>N</w:t>
            </w:r>
            <w:r>
              <w:rPr>
                <w:rFonts w:hint="eastAsia" w:hAnsi="宋体"/>
                <w:color w:val="auto"/>
                <w:kern w:val="0"/>
                <w:sz w:val="21"/>
                <w:szCs w:val="21"/>
                <w:highlight w:val="none"/>
              </w:rPr>
              <w:t>＝</w:t>
            </w:r>
            <w:r>
              <w:rPr>
                <w:rFonts w:hint="eastAsia" w:ascii="Times New Roman"/>
                <w:color w:val="auto"/>
                <w:kern w:val="0"/>
                <w:sz w:val="21"/>
                <w:szCs w:val="21"/>
                <w:highlight w:val="none"/>
              </w:rPr>
              <w:t>100</w:t>
            </w:r>
            <w:r>
              <w:rPr>
                <w:rFonts w:hint="eastAsia" w:hAnsi="宋体"/>
                <w:color w:val="auto"/>
                <w:kern w:val="0"/>
                <w:sz w:val="21"/>
                <w:szCs w:val="21"/>
                <w:highlight w:val="none"/>
              </w:rPr>
              <w:t>－（</w:t>
            </w:r>
            <w:r>
              <w:rPr>
                <w:rFonts w:hint="eastAsia" w:ascii="Times New Roman"/>
                <w:color w:val="auto"/>
                <w:kern w:val="0"/>
                <w:sz w:val="21"/>
                <w:szCs w:val="21"/>
                <w:highlight w:val="none"/>
              </w:rPr>
              <w:t>| Di</w:t>
            </w:r>
            <w:r>
              <w:rPr>
                <w:rFonts w:hint="eastAsia" w:hAnsi="宋体"/>
                <w:color w:val="auto"/>
                <w:kern w:val="0"/>
                <w:sz w:val="21"/>
                <w:szCs w:val="21"/>
                <w:highlight w:val="none"/>
              </w:rPr>
              <w:t>－</w:t>
            </w:r>
            <w:r>
              <w:rPr>
                <w:rFonts w:hint="eastAsia" w:ascii="Times New Roman"/>
                <w:color w:val="auto"/>
                <w:kern w:val="0"/>
                <w:sz w:val="21"/>
                <w:szCs w:val="21"/>
                <w:highlight w:val="none"/>
              </w:rPr>
              <w:t xml:space="preserve">D | </w:t>
            </w:r>
            <w:r>
              <w:rPr>
                <w:rFonts w:hint="eastAsia" w:hAnsi="宋体"/>
                <w:color w:val="auto"/>
                <w:kern w:val="0"/>
                <w:sz w:val="21"/>
                <w:szCs w:val="21"/>
                <w:highlight w:val="none"/>
              </w:rPr>
              <w:t>÷</w:t>
            </w:r>
            <w:r>
              <w:rPr>
                <w:rFonts w:hint="eastAsia" w:ascii="Times New Roman"/>
                <w:color w:val="auto"/>
                <w:kern w:val="0"/>
                <w:sz w:val="21"/>
                <w:szCs w:val="21"/>
                <w:highlight w:val="none"/>
              </w:rPr>
              <w:t>D</w:t>
            </w:r>
            <w:r>
              <w:rPr>
                <w:rFonts w:hint="eastAsia" w:hAnsi="宋体"/>
                <w:color w:val="auto"/>
                <w:kern w:val="0"/>
                <w:sz w:val="21"/>
                <w:szCs w:val="21"/>
                <w:highlight w:val="none"/>
              </w:rPr>
              <w:t>）×</w:t>
            </w:r>
            <w:r>
              <w:rPr>
                <w:rFonts w:hint="eastAsia" w:ascii="Times New Roman"/>
                <w:color w:val="auto"/>
                <w:kern w:val="0"/>
                <w:sz w:val="21"/>
                <w:szCs w:val="21"/>
                <w:highlight w:val="none"/>
              </w:rPr>
              <w:t>100</w:t>
            </w:r>
            <w:r>
              <w:rPr>
                <w:rFonts w:hint="eastAsia" w:hAnsi="宋体"/>
                <w:color w:val="auto"/>
                <w:kern w:val="0"/>
                <w:sz w:val="21"/>
                <w:szCs w:val="21"/>
                <w:highlight w:val="none"/>
              </w:rPr>
              <w:t>×</w:t>
            </w:r>
            <w:r>
              <w:rPr>
                <w:rFonts w:hint="eastAsia" w:ascii="Times New Roman"/>
                <w:color w:val="auto"/>
                <w:kern w:val="0"/>
                <w:sz w:val="21"/>
                <w:szCs w:val="21"/>
                <w:highlight w:val="none"/>
              </w:rPr>
              <w:t>E</w:t>
            </w:r>
          </w:p>
          <w:p w14:paraId="71082B84">
            <w:pPr>
              <w:wordWrap w:val="0"/>
              <w:spacing w:line="400" w:lineRule="exact"/>
              <w:ind w:firstLine="420" w:firstLineChars="200"/>
              <w:jc w:val="left"/>
              <w:rPr>
                <w:rFonts w:ascii="Times New Roman"/>
                <w:color w:val="auto"/>
                <w:kern w:val="0"/>
                <w:sz w:val="21"/>
                <w:szCs w:val="21"/>
                <w:highlight w:val="none"/>
              </w:rPr>
            </w:pPr>
            <w:r>
              <w:rPr>
                <w:rFonts w:hint="eastAsia" w:hAnsi="宋体"/>
                <w:color w:val="auto"/>
                <w:kern w:val="0"/>
                <w:sz w:val="21"/>
                <w:szCs w:val="21"/>
                <w:highlight w:val="none"/>
              </w:rPr>
              <w:t>式中：</w:t>
            </w:r>
            <w:r>
              <w:rPr>
                <w:rFonts w:hint="eastAsia" w:ascii="Times New Roman"/>
                <w:color w:val="auto"/>
                <w:kern w:val="0"/>
                <w:sz w:val="21"/>
                <w:szCs w:val="21"/>
                <w:highlight w:val="none"/>
              </w:rPr>
              <w:t>D</w:t>
            </w:r>
            <w:r>
              <w:rPr>
                <w:rFonts w:hint="eastAsia" w:hAnsi="宋体"/>
                <w:color w:val="auto"/>
                <w:kern w:val="0"/>
                <w:sz w:val="21"/>
                <w:szCs w:val="21"/>
                <w:highlight w:val="none"/>
              </w:rPr>
              <w:t>为评标基准价；</w:t>
            </w:r>
            <w:r>
              <w:rPr>
                <w:rFonts w:hint="eastAsia" w:ascii="Times New Roman"/>
                <w:color w:val="auto"/>
                <w:kern w:val="0"/>
                <w:sz w:val="21"/>
                <w:szCs w:val="21"/>
                <w:highlight w:val="none"/>
              </w:rPr>
              <w:t>Di</w:t>
            </w:r>
            <w:r>
              <w:rPr>
                <w:rFonts w:hint="eastAsia" w:hAnsi="宋体"/>
                <w:color w:val="auto"/>
                <w:kern w:val="0"/>
                <w:sz w:val="21"/>
                <w:szCs w:val="21"/>
                <w:highlight w:val="none"/>
              </w:rPr>
              <w:t>为某投标人的投标总价；</w:t>
            </w:r>
            <w:r>
              <w:rPr>
                <w:rFonts w:hint="eastAsia" w:ascii="Times New Roman"/>
                <w:color w:val="auto"/>
                <w:kern w:val="0"/>
                <w:sz w:val="21"/>
                <w:szCs w:val="21"/>
                <w:highlight w:val="none"/>
              </w:rPr>
              <w:t>E</w:t>
            </w:r>
            <w:r>
              <w:rPr>
                <w:rFonts w:hint="eastAsia" w:hAnsi="宋体"/>
                <w:color w:val="auto"/>
                <w:kern w:val="0"/>
                <w:sz w:val="21"/>
                <w:szCs w:val="21"/>
                <w:highlight w:val="none"/>
              </w:rPr>
              <w:t>为扣分因子，当</w:t>
            </w:r>
            <w:r>
              <w:rPr>
                <w:rFonts w:hint="eastAsia" w:ascii="Times New Roman"/>
                <w:color w:val="auto"/>
                <w:kern w:val="0"/>
                <w:sz w:val="21"/>
                <w:szCs w:val="21"/>
                <w:highlight w:val="none"/>
              </w:rPr>
              <w:t>Di</w:t>
            </w:r>
            <w:r>
              <w:rPr>
                <w:rFonts w:hint="eastAsia" w:hAnsi="宋体"/>
                <w:color w:val="auto"/>
                <w:kern w:val="0"/>
                <w:sz w:val="21"/>
                <w:szCs w:val="21"/>
                <w:highlight w:val="none"/>
              </w:rPr>
              <w:t>＞</w:t>
            </w:r>
            <w:r>
              <w:rPr>
                <w:rFonts w:hint="eastAsia" w:ascii="Times New Roman"/>
                <w:color w:val="auto"/>
                <w:kern w:val="0"/>
                <w:sz w:val="21"/>
                <w:szCs w:val="21"/>
                <w:highlight w:val="none"/>
              </w:rPr>
              <w:t>D</w:t>
            </w:r>
            <w:r>
              <w:rPr>
                <w:rFonts w:hint="eastAsia" w:hAnsi="宋体"/>
                <w:color w:val="auto"/>
                <w:kern w:val="0"/>
                <w:sz w:val="21"/>
                <w:szCs w:val="21"/>
                <w:highlight w:val="none"/>
              </w:rPr>
              <w:t>时，</w:t>
            </w:r>
            <w:r>
              <w:rPr>
                <w:rFonts w:hint="eastAsia" w:ascii="Times New Roman"/>
                <w:color w:val="auto"/>
                <w:kern w:val="0"/>
                <w:sz w:val="21"/>
                <w:szCs w:val="21"/>
                <w:highlight w:val="none"/>
              </w:rPr>
              <w:t>E</w:t>
            </w:r>
            <w:r>
              <w:rPr>
                <w:rFonts w:hint="eastAsia" w:hAnsi="宋体"/>
                <w:color w:val="auto"/>
                <w:kern w:val="0"/>
                <w:sz w:val="21"/>
                <w:szCs w:val="21"/>
                <w:highlight w:val="none"/>
              </w:rPr>
              <w:t>＝</w:t>
            </w:r>
            <w:r>
              <w:rPr>
                <w:rFonts w:hint="eastAsia" w:ascii="Times New Roman"/>
                <w:color w:val="auto"/>
                <w:kern w:val="0"/>
                <w:sz w:val="21"/>
                <w:szCs w:val="21"/>
                <w:highlight w:val="none"/>
              </w:rPr>
              <w:t xml:space="preserve">1 </w:t>
            </w:r>
            <w:r>
              <w:rPr>
                <w:rFonts w:hint="eastAsia" w:hAnsi="宋体"/>
                <w:color w:val="auto"/>
                <w:kern w:val="0"/>
                <w:sz w:val="21"/>
                <w:szCs w:val="21"/>
                <w:highlight w:val="none"/>
              </w:rPr>
              <w:t>；当</w:t>
            </w:r>
            <w:r>
              <w:rPr>
                <w:rFonts w:hint="eastAsia" w:ascii="Times New Roman"/>
                <w:color w:val="auto"/>
                <w:kern w:val="0"/>
                <w:sz w:val="21"/>
                <w:szCs w:val="21"/>
                <w:highlight w:val="none"/>
              </w:rPr>
              <w:t>Di</w:t>
            </w:r>
            <w:r>
              <w:rPr>
                <w:rFonts w:hint="eastAsia" w:hAnsi="宋体"/>
                <w:color w:val="auto"/>
                <w:kern w:val="0"/>
                <w:sz w:val="21"/>
                <w:szCs w:val="21"/>
                <w:highlight w:val="none"/>
              </w:rPr>
              <w:t>＜</w:t>
            </w:r>
            <w:r>
              <w:rPr>
                <w:rFonts w:hint="eastAsia" w:ascii="Times New Roman"/>
                <w:color w:val="auto"/>
                <w:kern w:val="0"/>
                <w:sz w:val="21"/>
                <w:szCs w:val="21"/>
                <w:highlight w:val="none"/>
              </w:rPr>
              <w:t>D</w:t>
            </w:r>
            <w:r>
              <w:rPr>
                <w:rFonts w:hint="eastAsia" w:hAnsi="宋体"/>
                <w:color w:val="auto"/>
                <w:kern w:val="0"/>
                <w:sz w:val="21"/>
                <w:szCs w:val="21"/>
                <w:highlight w:val="none"/>
              </w:rPr>
              <w:t>时，</w:t>
            </w:r>
            <w:r>
              <w:rPr>
                <w:rFonts w:hint="eastAsia" w:ascii="Times New Roman"/>
                <w:color w:val="auto"/>
                <w:kern w:val="0"/>
                <w:sz w:val="21"/>
                <w:szCs w:val="21"/>
                <w:highlight w:val="none"/>
              </w:rPr>
              <w:t>E</w:t>
            </w:r>
            <w:r>
              <w:rPr>
                <w:rFonts w:hint="eastAsia" w:hAnsi="宋体"/>
                <w:color w:val="auto"/>
                <w:kern w:val="0"/>
                <w:sz w:val="21"/>
                <w:szCs w:val="21"/>
                <w:highlight w:val="none"/>
              </w:rPr>
              <w:t>＝</w:t>
            </w:r>
            <w:r>
              <w:rPr>
                <w:rFonts w:hint="eastAsia" w:ascii="Times New Roman"/>
                <w:color w:val="auto"/>
                <w:kern w:val="0"/>
                <w:sz w:val="21"/>
                <w:szCs w:val="21"/>
                <w:highlight w:val="none"/>
              </w:rPr>
              <w:t>0.5</w:t>
            </w:r>
            <w:r>
              <w:rPr>
                <w:rFonts w:hint="eastAsia" w:hAnsi="宋体"/>
                <w:color w:val="auto"/>
                <w:kern w:val="0"/>
                <w:sz w:val="21"/>
                <w:szCs w:val="21"/>
                <w:highlight w:val="none"/>
              </w:rPr>
              <w:t>。</w:t>
            </w:r>
          </w:p>
        </w:tc>
      </w:tr>
    </w:tbl>
    <w:p w14:paraId="5B313CBC">
      <w:pPr>
        <w:spacing w:before="155" w:line="211" w:lineRule="auto"/>
        <w:ind w:firstLine="470" w:firstLineChars="200"/>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.2  </w:t>
      </w:r>
      <w:r>
        <w:rPr>
          <w:rFonts w:hint="eastAsia" w:ascii="宋体" w:hAnsi="宋体" w:eastAsia="宋体" w:cs="宋体"/>
          <w:color w:val="auto"/>
          <w:spacing w:val="-3"/>
          <w:sz w:val="24"/>
          <w:szCs w:val="24"/>
          <w:highlight w:val="none"/>
        </w:rPr>
        <w:t>否决投标说明</w:t>
      </w:r>
      <w:bookmarkEnd w:id="132"/>
      <w:bookmarkEnd w:id="133"/>
      <w:bookmarkEnd w:id="134"/>
      <w:bookmarkEnd w:id="135"/>
    </w:p>
    <w:p w14:paraId="7B89C24C">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7A7E139">
      <w:pPr>
        <w:spacing w:before="59" w:line="33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061D711F">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4"/>
          <w:szCs w:val="24"/>
          <w:highlight w:val="none"/>
        </w:rPr>
      </w:pPr>
      <w:bookmarkStart w:id="136" w:name="bookmark138"/>
      <w:bookmarkEnd w:id="136"/>
      <w:bookmarkStart w:id="137" w:name="bookmark137"/>
      <w:bookmarkEnd w:id="137"/>
      <w:bookmarkStart w:id="138" w:name="_Toc13897"/>
      <w:bookmarkStart w:id="139" w:name="_Toc2769"/>
      <w:bookmarkStart w:id="140" w:name="_Toc19232"/>
      <w:bookmarkStart w:id="141" w:name="_Toc18711"/>
      <w:bookmarkStart w:id="142" w:name="_Toc7762"/>
      <w:bookmarkStart w:id="143" w:name="_Toc32569"/>
      <w:bookmarkStart w:id="144" w:name="_Toc10900"/>
      <w:r>
        <w:rPr>
          <w:rFonts w:hint="eastAsia" w:ascii="宋体" w:hAnsi="宋体" w:eastAsia="宋体" w:cs="宋体"/>
          <w:b/>
          <w:snapToGrid w:val="0"/>
          <w:color w:val="auto"/>
          <w:sz w:val="24"/>
          <w:szCs w:val="24"/>
          <w:highlight w:val="none"/>
        </w:rPr>
        <w:t>16．</w:t>
      </w:r>
      <w:bookmarkEnd w:id="138"/>
      <w:bookmarkEnd w:id="139"/>
      <w:bookmarkEnd w:id="140"/>
      <w:bookmarkEnd w:id="141"/>
      <w:bookmarkEnd w:id="142"/>
      <w:r>
        <w:rPr>
          <w:rFonts w:hint="eastAsia" w:ascii="宋体" w:hAnsi="宋体" w:eastAsia="宋体" w:cs="宋体"/>
          <w:b/>
          <w:snapToGrid w:val="0"/>
          <w:color w:val="auto"/>
          <w:sz w:val="24"/>
          <w:szCs w:val="24"/>
          <w:highlight w:val="none"/>
          <w:lang w:eastAsia="zh-CN"/>
        </w:rPr>
        <w:t>评标结果公示</w:t>
      </w:r>
      <w:bookmarkEnd w:id="143"/>
      <w:bookmarkEnd w:id="144"/>
    </w:p>
    <w:p w14:paraId="7F32E151">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snapToGrid w:val="0"/>
          <w:color w:val="auto"/>
          <w:kern w:val="0"/>
          <w:sz w:val="24"/>
          <w:szCs w:val="24"/>
          <w:highlight w:val="none"/>
        </w:rPr>
        <w:t xml:space="preserve"> 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评标委员会推荐定标候选人后，</w:t>
      </w:r>
      <w:r>
        <w:rPr>
          <w:rFonts w:hint="eastAsia" w:ascii="宋体" w:hAnsi="宋体" w:eastAsia="宋体" w:cs="宋体"/>
          <w:snapToGrid w:val="0"/>
          <w:color w:val="auto"/>
          <w:kern w:val="0"/>
          <w:sz w:val="24"/>
          <w:szCs w:val="24"/>
          <w:highlight w:val="none"/>
        </w:rPr>
        <w:t>招标人应</w:t>
      </w:r>
      <w:r>
        <w:rPr>
          <w:rFonts w:hint="eastAsia" w:ascii="宋体" w:hAnsi="宋体" w:eastAsia="宋体" w:cs="宋体"/>
          <w:snapToGrid w:val="0"/>
          <w:color w:val="auto"/>
          <w:kern w:val="0"/>
          <w:sz w:val="24"/>
          <w:szCs w:val="24"/>
          <w:highlight w:val="none"/>
          <w:lang w:eastAsia="zh-CN"/>
        </w:rPr>
        <w:t>于评标会结束后</w:t>
      </w:r>
      <w:r>
        <w:rPr>
          <w:rFonts w:hint="eastAsia" w:ascii="宋体" w:hAnsi="宋体" w:eastAsia="宋体" w:cs="宋体"/>
          <w:snapToGrid w:val="0"/>
          <w:color w:val="auto"/>
          <w:kern w:val="0"/>
          <w:sz w:val="24"/>
          <w:szCs w:val="24"/>
          <w:highlight w:val="none"/>
          <w:lang w:val="en-US" w:eastAsia="zh-CN"/>
        </w:rPr>
        <w:t>3日内将</w:t>
      </w: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标候选</w:t>
      </w:r>
      <w:r>
        <w:rPr>
          <w:rFonts w:hint="eastAsia" w:ascii="宋体" w:hAnsi="宋体" w:eastAsia="宋体" w:cs="宋体"/>
          <w:snapToGrid w:val="0"/>
          <w:color w:val="auto"/>
          <w:kern w:val="0"/>
          <w:sz w:val="24"/>
          <w:szCs w:val="24"/>
          <w:highlight w:val="none"/>
          <w:lang w:eastAsia="zh-CN"/>
        </w:rPr>
        <w:t>人和评标情况</w:t>
      </w:r>
      <w:r>
        <w:rPr>
          <w:rFonts w:hint="eastAsia" w:ascii="宋体" w:hAnsi="宋体" w:eastAsia="宋体" w:cs="宋体"/>
          <w:snapToGrid w:val="0"/>
          <w:color w:val="auto"/>
          <w:kern w:val="0"/>
          <w:sz w:val="24"/>
          <w:szCs w:val="24"/>
          <w:highlight w:val="none"/>
          <w:lang w:val="en-US" w:eastAsia="zh-CN"/>
        </w:rPr>
        <w:t>在广东省招标投标监管网和</w:t>
      </w:r>
      <w:r>
        <w:rPr>
          <w:rFonts w:hint="eastAsia" w:ascii="宋体" w:hAnsi="宋体" w:eastAsia="宋体" w:cs="宋体"/>
          <w:snapToGrid w:val="0"/>
          <w:color w:val="auto"/>
          <w:kern w:val="0"/>
          <w:sz w:val="24"/>
          <w:szCs w:val="24"/>
          <w:highlight w:val="none"/>
        </w:rPr>
        <w:t>韶关市公共资源交易中心</w:t>
      </w:r>
      <w:r>
        <w:rPr>
          <w:rFonts w:hint="eastAsia" w:ascii="宋体" w:hAnsi="宋体" w:eastAsia="宋体" w:cs="宋体"/>
          <w:snapToGrid w:val="0"/>
          <w:color w:val="auto"/>
          <w:kern w:val="0"/>
          <w:sz w:val="24"/>
          <w:szCs w:val="24"/>
          <w:highlight w:val="none"/>
          <w:lang w:eastAsia="zh-CN"/>
        </w:rPr>
        <w:t>建设工程交易系统</w:t>
      </w:r>
      <w:r>
        <w:rPr>
          <w:rFonts w:hint="eastAsia" w:ascii="宋体" w:hAnsi="宋体" w:eastAsia="宋体" w:cs="宋体"/>
          <w:snapToGrid w:val="0"/>
          <w:color w:val="auto"/>
          <w:kern w:val="0"/>
          <w:sz w:val="24"/>
          <w:szCs w:val="24"/>
          <w:highlight w:val="none"/>
          <w:lang w:val="en-US" w:eastAsia="zh-CN"/>
        </w:rPr>
        <w:t>上</w:t>
      </w:r>
      <w:r>
        <w:rPr>
          <w:rFonts w:hint="eastAsia" w:ascii="宋体" w:hAnsi="宋体" w:eastAsia="宋体" w:cs="宋体"/>
          <w:snapToGrid w:val="0"/>
          <w:color w:val="auto"/>
          <w:kern w:val="0"/>
          <w:sz w:val="24"/>
          <w:szCs w:val="24"/>
          <w:highlight w:val="none"/>
        </w:rPr>
        <w:t>公示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公示时间不少于3日。</w:t>
      </w:r>
      <w:r>
        <w:rPr>
          <w:rFonts w:hint="eastAsia" w:ascii="宋体" w:hAnsi="宋体" w:eastAsia="宋体" w:cs="宋体"/>
          <w:snapToGrid w:val="0"/>
          <w:color w:val="auto"/>
          <w:kern w:val="0"/>
          <w:sz w:val="24"/>
          <w:szCs w:val="24"/>
          <w:highlight w:val="none"/>
          <w:lang w:eastAsia="zh-CN"/>
        </w:rPr>
        <w:t>公示主要内容包括：（</w:t>
      </w:r>
      <w:r>
        <w:rPr>
          <w:rFonts w:hint="eastAsia" w:ascii="宋体" w:hAnsi="宋体" w:eastAsia="宋体" w:cs="宋体"/>
          <w:snapToGrid w:val="0"/>
          <w:color w:val="auto"/>
          <w:kern w:val="0"/>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48FF15C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E2EF6D0">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7C0D1AC4">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F278778">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752AFC36">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3F4223C">
      <w:pPr>
        <w:spacing w:before="78" w:line="220" w:lineRule="auto"/>
        <w:jc w:val="both"/>
        <w:outlineLvl w:val="1"/>
        <w:rPr>
          <w:rFonts w:hint="eastAsia" w:ascii="宋体" w:hAnsi="宋体" w:eastAsia="宋体" w:cs="宋体"/>
          <w:b/>
          <w:bCs/>
          <w:color w:val="auto"/>
          <w:spacing w:val="-3"/>
          <w:sz w:val="24"/>
          <w:szCs w:val="24"/>
          <w:highlight w:val="none"/>
        </w:rPr>
      </w:pPr>
    </w:p>
    <w:p w14:paraId="0AEE7CF2">
      <w:pPr>
        <w:spacing w:before="78" w:line="220" w:lineRule="auto"/>
        <w:ind w:left="9"/>
        <w:jc w:val="center"/>
        <w:outlineLvl w:val="1"/>
        <w:rPr>
          <w:rFonts w:hint="eastAsia" w:ascii="宋体" w:hAnsi="宋体" w:eastAsia="宋体" w:cs="宋体"/>
          <w:b/>
          <w:bCs/>
          <w:color w:val="auto"/>
          <w:spacing w:val="-3"/>
          <w:sz w:val="24"/>
          <w:szCs w:val="24"/>
          <w:highlight w:val="none"/>
        </w:rPr>
      </w:pPr>
      <w:bookmarkStart w:id="145" w:name="_Toc16554"/>
    </w:p>
    <w:p w14:paraId="0BB69E28">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746322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FA77B8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224951DE">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7062C79">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23E10897">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070BF4A4">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2A1319D7">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B4EE4EA">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79776D66">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32CA3F3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752F067C">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4B59586">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73F3F889">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3528DEA">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41D59CE0">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452466A">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2FE8272">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0B19371A">
      <w:pPr>
        <w:spacing w:before="78" w:line="220" w:lineRule="auto"/>
        <w:ind w:left="9"/>
        <w:jc w:val="center"/>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45"/>
    </w:p>
    <w:p w14:paraId="1EFFC73A">
      <w:pPr>
        <w:pStyle w:val="6"/>
        <w:spacing w:line="256" w:lineRule="auto"/>
        <w:rPr>
          <w:rFonts w:hint="eastAsia" w:ascii="宋体" w:hAnsi="宋体" w:eastAsia="宋体" w:cs="宋体"/>
          <w:color w:val="auto"/>
          <w:highlight w:val="none"/>
        </w:rPr>
      </w:pPr>
    </w:p>
    <w:p w14:paraId="70DA8BCC">
      <w:pPr>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5C70497D">
      <w:pPr>
        <w:spacing w:before="34" w:line="220" w:lineRule="auto"/>
        <w:ind w:left="495"/>
        <w:outlineLvl w:val="2"/>
        <w:rPr>
          <w:rFonts w:hint="eastAsia" w:ascii="宋体" w:hAnsi="宋体" w:eastAsia="宋体" w:cs="宋体"/>
          <w:color w:val="auto"/>
          <w:sz w:val="24"/>
          <w:szCs w:val="24"/>
          <w:highlight w:val="none"/>
        </w:rPr>
      </w:pPr>
      <w:bookmarkStart w:id="146" w:name="_Toc15082"/>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6"/>
    </w:p>
    <w:p w14:paraId="160261BC">
      <w:pPr>
        <w:spacing w:before="150" w:line="280" w:lineRule="auto"/>
        <w:ind w:right="200" w:firstLine="492"/>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0D52E19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 2.4 条“禁止投标条款 ”规定的任何一种情形；</w:t>
      </w:r>
    </w:p>
    <w:p w14:paraId="603309E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5D4AA6B6">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1AEC6BC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11696778">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7D8B8E4A">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温馨提示：建造师打印电子证书后，应在个人签名处手写本人签名，未手写签名或与签名图像笔迹不一致的，该电子证书无效。</w:t>
      </w:r>
    </w:p>
    <w:p w14:paraId="55F4CA1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建造师的注册单位与投标人不一致的；项目管理班子组成人员的各类证书、证件、证明不在有效期内的（建造师注册证书不在使用有效期内的）；擅自修改、遗漏《项目经理任职声明》实质性内容的；</w:t>
      </w:r>
    </w:p>
    <w:p w14:paraId="1B67E4FD">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注：投标人已经工商变更，但其员工执业资格注册证书的注册单位名称未完成变更的，不得否决其投标。</w:t>
      </w:r>
    </w:p>
    <w:p w14:paraId="311DFE69">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6C0F58AC">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（6）招标文件规定不接受联合体投标，但以联合体投标的；</w:t>
      </w:r>
    </w:p>
    <w:p w14:paraId="2545E35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）投标人为外省建筑企业，但未提供“进粤企业和人员诚信信息登记平台 ”企业和拟派人员信息情况打印页或网页截图的。</w:t>
      </w:r>
    </w:p>
    <w:p w14:paraId="6D70902A">
      <w:pPr>
        <w:spacing w:before="154" w:line="221" w:lineRule="auto"/>
        <w:ind w:left="477"/>
        <w:outlineLvl w:val="2"/>
        <w:rPr>
          <w:rFonts w:hint="eastAsia" w:ascii="宋体" w:hAnsi="宋体" w:eastAsia="宋体" w:cs="宋体"/>
          <w:color w:val="auto"/>
          <w:sz w:val="24"/>
          <w:szCs w:val="24"/>
          <w:highlight w:val="none"/>
        </w:rPr>
      </w:pPr>
      <w:bookmarkStart w:id="147" w:name="_Toc5925"/>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7"/>
    </w:p>
    <w:p w14:paraId="26483CE3">
      <w:pPr>
        <w:keepNext w:val="0"/>
        <w:keepLines w:val="0"/>
        <w:pageBreakBefore w:val="0"/>
        <w:widowControl/>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0C2F9E3F">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2D11B641">
      <w:pPr>
        <w:keepNext w:val="0"/>
        <w:keepLines w:val="0"/>
        <w:pageBreakBefore w:val="0"/>
        <w:widowControl/>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306681E4">
      <w:pPr>
        <w:keepNext w:val="0"/>
        <w:keepLines w:val="0"/>
        <w:pageBreakBefore w:val="0"/>
        <w:widowControl/>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1D5E7E8B">
      <w:pPr>
        <w:keepNext w:val="0"/>
        <w:keepLines w:val="0"/>
        <w:pageBreakBefore w:val="0"/>
        <w:widowControl/>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61A256C">
      <w:pPr>
        <w:spacing w:before="227" w:line="221" w:lineRule="auto"/>
        <w:ind w:left="475"/>
        <w:outlineLvl w:val="2"/>
        <w:rPr>
          <w:rFonts w:hint="eastAsia" w:ascii="宋体" w:hAnsi="宋体" w:eastAsia="宋体" w:cs="宋体"/>
          <w:color w:val="auto"/>
          <w:sz w:val="24"/>
          <w:szCs w:val="24"/>
          <w:highlight w:val="none"/>
        </w:rPr>
      </w:pPr>
      <w:bookmarkStart w:id="148" w:name="_Toc19828"/>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8"/>
    </w:p>
    <w:p w14:paraId="58201269">
      <w:pPr>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701EA00">
      <w:pPr>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4BBD2A16">
      <w:pPr>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28A865F2">
      <w:pPr>
        <w:spacing w:before="156" w:line="329" w:lineRule="auto"/>
        <w:ind w:right="200" w:firstLine="480"/>
        <w:jc w:val="both"/>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5C2D0203">
      <w:pPr>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59FDCAA7">
      <w:pPr>
        <w:spacing w:before="151" w:line="360" w:lineRule="auto"/>
        <w:ind w:right="21" w:firstLine="490"/>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2"/>
          <w:sz w:val="24"/>
          <w:szCs w:val="24"/>
          <w:highlight w:val="none"/>
        </w:rPr>
        <w:t>（4）出现两个或两个以上投标总价的（同一个投标总价大、小写不一致的除外）；投标总价超出</w:t>
      </w:r>
      <w:r>
        <w:rPr>
          <w:rFonts w:hint="eastAsia" w:ascii="宋体" w:hAnsi="宋体" w:eastAsia="宋体" w:cs="宋体"/>
          <w:color w:val="auto"/>
          <w:spacing w:val="-2"/>
          <w:sz w:val="24"/>
          <w:szCs w:val="24"/>
          <w:highlight w:val="none"/>
          <w:lang w:val="en-US" w:eastAsia="zh-CN"/>
        </w:rPr>
        <w:t>最高投标限价</w:t>
      </w:r>
      <w:r>
        <w:rPr>
          <w:rFonts w:hint="eastAsia" w:ascii="宋体" w:hAnsi="宋体" w:eastAsia="宋体" w:cs="宋体"/>
          <w:color w:val="auto"/>
          <w:spacing w:val="-2"/>
          <w:sz w:val="24"/>
          <w:szCs w:val="24"/>
          <w:highlight w:val="none"/>
        </w:rPr>
        <w:t>的；安全生产措施费少于规定的；暂列金额、暂估价未按照招标工程量清单统一报价的；擅自修改、增减招标工程量清单项目（包括措施项目）的；投标人的投标报价低于招标项目的成本警示价但未提供成本分析资料等报价依据</w:t>
      </w:r>
      <w:r>
        <w:rPr>
          <w:rFonts w:hint="eastAsia" w:ascii="宋体" w:hAnsi="宋体" w:eastAsia="宋体" w:cs="宋体"/>
          <w:color w:val="auto"/>
          <w:spacing w:val="-2"/>
          <w:sz w:val="24"/>
          <w:szCs w:val="24"/>
          <w:highlight w:val="none"/>
          <w:lang w:eastAsia="zh-CN"/>
        </w:rPr>
        <w:t>；</w:t>
      </w:r>
    </w:p>
    <w:p w14:paraId="2C7202B0">
      <w:pPr>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注：成本警示价＝最高投标限价×85%。如果某投标人的投标报价低于招标项目的成本警示价，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14:paraId="13FAA707">
      <w:pPr>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6ECCBC11">
      <w:pPr>
        <w:spacing w:before="151" w:line="221" w:lineRule="auto"/>
        <w:ind w:left="476"/>
        <w:outlineLvl w:val="2"/>
        <w:rPr>
          <w:rFonts w:hint="eastAsia" w:ascii="宋体" w:hAnsi="宋体" w:eastAsia="宋体" w:cs="宋体"/>
          <w:color w:val="auto"/>
          <w:sz w:val="24"/>
          <w:szCs w:val="24"/>
          <w:highlight w:val="none"/>
        </w:rPr>
      </w:pPr>
      <w:bookmarkStart w:id="149" w:name="_Toc1458"/>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9"/>
    </w:p>
    <w:p w14:paraId="661EC0BB">
      <w:pPr>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48B56398">
      <w:pPr>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56BDFC4F">
      <w:pPr>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2522ABAB">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2D9D4BC9">
      <w:pPr>
        <w:keepNext w:val="0"/>
        <w:keepLines w:val="0"/>
        <w:pageBreakBefore w:val="0"/>
        <w:widowControl/>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5E0C8B0A">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0DB0011F">
      <w:pPr>
        <w:keepNext w:val="0"/>
        <w:keepLines w:val="0"/>
        <w:pageBreakBefore w:val="0"/>
        <w:widowControl/>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69EA40D7">
      <w:pPr>
        <w:keepNext w:val="0"/>
        <w:keepLines w:val="0"/>
        <w:pageBreakBefore w:val="0"/>
        <w:widowControl/>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656BD1E5">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444FC7CC">
      <w:pPr>
        <w:keepNext w:val="0"/>
        <w:keepLines w:val="0"/>
        <w:pageBreakBefore w:val="0"/>
        <w:widowControl/>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7BCF0647">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pacing w:val="-6"/>
          <w:sz w:val="24"/>
          <w:szCs w:val="24"/>
          <w:highlight w:val="none"/>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p>
    <w:p w14:paraId="00B2008F">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pacing w:val="-6"/>
          <w:sz w:val="24"/>
          <w:szCs w:val="24"/>
          <w:highlight w:val="none"/>
        </w:rPr>
        <w:sectPr>
          <w:headerReference r:id="rId8" w:type="default"/>
          <w:footerReference r:id="rId9"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6"/>
          <w:sz w:val="24"/>
          <w:szCs w:val="24"/>
          <w:highlight w:val="none"/>
          <w:lang w:val="en-US" w:eastAsia="zh-CN"/>
        </w:rPr>
        <w:t>⑨监督部门于韶关市公共交易一体化平台发现系统提示风险预警，如提示投标单位上传投标文件使用的电脑IP地址一致等。</w:t>
      </w:r>
    </w:p>
    <w:p w14:paraId="5B7C83AF">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pacing w:val="-6"/>
          <w:sz w:val="24"/>
          <w:szCs w:val="24"/>
          <w:highlight w:val="none"/>
        </w:rPr>
      </w:pPr>
    </w:p>
    <w:p w14:paraId="55EEBDA7">
      <w:pPr>
        <w:spacing w:before="78" w:line="220" w:lineRule="auto"/>
        <w:ind w:left="9"/>
        <w:jc w:val="center"/>
        <w:outlineLvl w:val="1"/>
        <w:rPr>
          <w:rFonts w:hint="eastAsia" w:ascii="宋体" w:hAnsi="宋体" w:eastAsia="宋体" w:cs="宋体"/>
          <w:color w:val="auto"/>
          <w:sz w:val="24"/>
          <w:szCs w:val="24"/>
          <w:highlight w:val="none"/>
        </w:rPr>
      </w:pPr>
      <w:bookmarkStart w:id="150" w:name="bookmark57"/>
      <w:bookmarkEnd w:id="150"/>
      <w:bookmarkStart w:id="151" w:name="_Toc22243"/>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五</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定标规定及细则（本项目采用票决数量法定标）</w:t>
      </w:r>
      <w:bookmarkEnd w:id="151"/>
    </w:p>
    <w:p w14:paraId="22BE35D4">
      <w:pPr>
        <w:pStyle w:val="6"/>
        <w:spacing w:line="256" w:lineRule="auto"/>
        <w:rPr>
          <w:rFonts w:hint="eastAsia" w:ascii="宋体" w:hAnsi="宋体" w:eastAsia="宋体" w:cs="宋体"/>
          <w:color w:val="auto"/>
          <w:highlight w:val="none"/>
        </w:rPr>
      </w:pPr>
    </w:p>
    <w:p w14:paraId="48FF6F1A">
      <w:pPr>
        <w:keepNext w:val="0"/>
        <w:keepLines w:val="0"/>
        <w:pageBreakBefore w:val="0"/>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rPr>
      </w:pPr>
      <w:r>
        <w:rPr>
          <w:rStyle w:val="21"/>
          <w:rFonts w:hint="eastAsia" w:hAnsi="宋体" w:eastAsia="宋体" w:cs="宋体"/>
          <w:b/>
          <w:bCs/>
          <w:color w:val="auto"/>
          <w:kern w:val="0"/>
          <w:sz w:val="24"/>
          <w:szCs w:val="24"/>
          <w:highlight w:val="none"/>
          <w:lang w:val="en-US" w:eastAsia="zh-CN"/>
        </w:rPr>
        <w:t>1.</w:t>
      </w:r>
      <w:r>
        <w:rPr>
          <w:rStyle w:val="21"/>
          <w:rFonts w:hint="eastAsia" w:ascii="宋体" w:hAnsi="宋体" w:eastAsia="宋体" w:cs="宋体"/>
          <w:b/>
          <w:bCs/>
          <w:color w:val="auto"/>
          <w:kern w:val="0"/>
          <w:sz w:val="24"/>
          <w:szCs w:val="24"/>
          <w:highlight w:val="none"/>
          <w:lang w:eastAsia="zh-CN"/>
        </w:rPr>
        <w:t>确定</w:t>
      </w:r>
      <w:r>
        <w:rPr>
          <w:rStyle w:val="21"/>
          <w:rFonts w:hint="eastAsia" w:ascii="宋体" w:hAnsi="宋体" w:eastAsia="宋体" w:cs="宋体"/>
          <w:b/>
          <w:bCs/>
          <w:color w:val="auto"/>
          <w:kern w:val="0"/>
          <w:sz w:val="24"/>
          <w:szCs w:val="24"/>
          <w:highlight w:val="none"/>
        </w:rPr>
        <w:t>定标时间</w:t>
      </w:r>
    </w:p>
    <w:p w14:paraId="4A4B0186">
      <w:pPr>
        <w:keepNext w:val="0"/>
        <w:keepLines w:val="0"/>
        <w:pageBreakBefore w:val="0"/>
        <w:wordWrap/>
        <w:overflowPunct/>
        <w:topLinePunct w:val="0"/>
        <w:bidi w:val="0"/>
        <w:spacing w:line="360" w:lineRule="auto"/>
        <w:ind w:firstLine="480" w:firstLineChars="200"/>
        <w:rPr>
          <w:color w:val="auto"/>
          <w:highlight w:val="none"/>
        </w:rPr>
      </w:pPr>
      <w:r>
        <w:rPr>
          <w:rFonts w:hint="eastAsia"/>
          <w:color w:val="auto"/>
          <w:sz w:val="24"/>
          <w:szCs w:val="24"/>
          <w:highlight w:val="none"/>
          <w:lang w:eastAsia="zh-CN"/>
        </w:rPr>
        <w:t>定标会由招标人组织，原则上应当在定标候选人公示结束后5个工作日内</w:t>
      </w:r>
      <w:r>
        <w:rPr>
          <w:rFonts w:hint="eastAsia"/>
          <w:color w:val="auto"/>
          <w:sz w:val="24"/>
          <w:szCs w:val="24"/>
          <w:highlight w:val="none"/>
          <w:lang w:val="en-US" w:eastAsia="zh-CN"/>
        </w:rPr>
        <w:t>进入韶关市</w:t>
      </w:r>
      <w:r>
        <w:rPr>
          <w:rFonts w:hint="eastAsia"/>
          <w:color w:val="auto"/>
          <w:sz w:val="24"/>
          <w:szCs w:val="24"/>
          <w:highlight w:val="none"/>
          <w:lang w:eastAsia="zh-CN"/>
        </w:rPr>
        <w:t>公共资源交易</w:t>
      </w:r>
      <w:r>
        <w:rPr>
          <w:rFonts w:hint="eastAsia"/>
          <w:color w:val="auto"/>
          <w:sz w:val="24"/>
          <w:szCs w:val="24"/>
          <w:highlight w:val="none"/>
          <w:lang w:val="en-US" w:eastAsia="zh-CN"/>
        </w:rPr>
        <w:t>中心召开定标会议,</w:t>
      </w:r>
      <w:r>
        <w:rPr>
          <w:rFonts w:hint="eastAsia"/>
          <w:color w:val="auto"/>
          <w:sz w:val="24"/>
          <w:szCs w:val="24"/>
          <w:highlight w:val="none"/>
        </w:rPr>
        <w:t>定标会议全过程录音录像</w:t>
      </w:r>
      <w:r>
        <w:rPr>
          <w:rFonts w:hint="eastAsia"/>
          <w:color w:val="auto"/>
          <w:sz w:val="24"/>
          <w:szCs w:val="24"/>
          <w:highlight w:val="none"/>
          <w:lang w:eastAsia="zh-CN"/>
        </w:rPr>
        <w:t>，不</w:t>
      </w:r>
      <w:r>
        <w:rPr>
          <w:rFonts w:hint="eastAsia"/>
          <w:color w:val="auto"/>
          <w:sz w:val="24"/>
          <w:szCs w:val="24"/>
          <w:highlight w:val="none"/>
          <w:lang w:val="en-US" w:eastAsia="zh-CN"/>
        </w:rPr>
        <w:t>能按时定标的，</w:t>
      </w:r>
      <w:r>
        <w:rPr>
          <w:rFonts w:hint="eastAsia"/>
          <w:color w:val="auto"/>
          <w:sz w:val="24"/>
          <w:szCs w:val="24"/>
          <w:highlight w:val="none"/>
          <w:lang w:eastAsia="zh-CN"/>
        </w:rPr>
        <w:t>应当</w:t>
      </w:r>
      <w:r>
        <w:rPr>
          <w:rFonts w:hint="eastAsia"/>
          <w:color w:val="auto"/>
          <w:sz w:val="24"/>
          <w:szCs w:val="24"/>
          <w:highlight w:val="none"/>
        </w:rPr>
        <w:t>通过</w:t>
      </w:r>
      <w:r>
        <w:rPr>
          <w:rFonts w:hint="eastAsia"/>
          <w:color w:val="auto"/>
          <w:sz w:val="24"/>
          <w:szCs w:val="24"/>
          <w:highlight w:val="none"/>
          <w:lang w:val="en-US" w:eastAsia="zh-CN"/>
        </w:rPr>
        <w:t>广东省招标投标监管网和全国公共资源交易平台（广东省·韶关市）</w:t>
      </w:r>
      <w:r>
        <w:rPr>
          <w:rFonts w:hint="eastAsia"/>
          <w:color w:val="auto"/>
          <w:sz w:val="24"/>
          <w:szCs w:val="24"/>
          <w:highlight w:val="none"/>
        </w:rPr>
        <w:t>公布延期原因和</w:t>
      </w:r>
      <w:r>
        <w:rPr>
          <w:rFonts w:hint="eastAsia"/>
          <w:color w:val="auto"/>
          <w:sz w:val="24"/>
          <w:szCs w:val="24"/>
          <w:highlight w:val="none"/>
          <w:lang w:eastAsia="zh-CN"/>
        </w:rPr>
        <w:t>最终</w:t>
      </w:r>
      <w:r>
        <w:rPr>
          <w:rFonts w:hint="eastAsia"/>
          <w:color w:val="auto"/>
          <w:sz w:val="24"/>
          <w:szCs w:val="24"/>
          <w:highlight w:val="none"/>
        </w:rPr>
        <w:t>定标时间。</w:t>
      </w:r>
      <w:r>
        <w:rPr>
          <w:rFonts w:hint="eastAsia"/>
          <w:color w:val="auto"/>
          <w:sz w:val="24"/>
          <w:szCs w:val="24"/>
          <w:highlight w:val="none"/>
          <w:lang w:eastAsia="zh-CN"/>
        </w:rPr>
        <w:t>若招标人需要对定标候选人或拟派项目负责人进行考察的，定标时间可以适当延迟，但延迟一般不超过 3 个工作日。</w:t>
      </w:r>
    </w:p>
    <w:p w14:paraId="6B39F061">
      <w:pPr>
        <w:keepNext w:val="0"/>
        <w:keepLines w:val="0"/>
        <w:pageBreakBefore w:val="0"/>
        <w:wordWrap/>
        <w:overflowPunct/>
        <w:topLinePunct w:val="0"/>
        <w:bidi w:val="0"/>
        <w:spacing w:line="360" w:lineRule="auto"/>
        <w:ind w:firstLine="480" w:firstLineChars="200"/>
        <w:rPr>
          <w:rStyle w:val="21"/>
          <w:rFonts w:hint="eastAsia" w:ascii="宋体" w:hAnsi="宋体" w:eastAsia="宋体" w:cs="宋体"/>
          <w:color w:val="auto"/>
          <w:kern w:val="0"/>
          <w:sz w:val="24"/>
          <w:szCs w:val="24"/>
          <w:highlight w:val="none"/>
        </w:rPr>
      </w:pPr>
    </w:p>
    <w:p w14:paraId="1ADC89B1">
      <w:pPr>
        <w:keepNext w:val="0"/>
        <w:keepLines w:val="0"/>
        <w:pageBreakBefore w:val="0"/>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lang w:eastAsia="zh-CN"/>
        </w:rPr>
      </w:pPr>
      <w:r>
        <w:rPr>
          <w:rStyle w:val="21"/>
          <w:rFonts w:hint="eastAsia" w:hAnsi="宋体" w:eastAsia="宋体" w:cs="宋体"/>
          <w:b/>
          <w:bCs/>
          <w:color w:val="auto"/>
          <w:kern w:val="0"/>
          <w:sz w:val="24"/>
          <w:szCs w:val="24"/>
          <w:highlight w:val="none"/>
          <w:lang w:val="en-US" w:eastAsia="zh-CN"/>
        </w:rPr>
        <w:t>2</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eastAsia="zh-CN"/>
        </w:rPr>
        <w:t>定标委员会</w:t>
      </w:r>
    </w:p>
    <w:p w14:paraId="771B5860">
      <w:pPr>
        <w:keepNext w:val="0"/>
        <w:keepLines w:val="0"/>
        <w:pageBreakBefore w:val="0"/>
        <w:wordWrap/>
        <w:overflowPunct/>
        <w:topLinePunct w:val="0"/>
        <w:bidi w:val="0"/>
        <w:spacing w:line="360" w:lineRule="auto"/>
        <w:ind w:firstLine="480" w:firstLineChars="200"/>
        <w:rPr>
          <w:rStyle w:val="21"/>
          <w:rFonts w:hint="eastAsia" w:hAnsi="宋体" w:eastAsia="宋体" w:cs="宋体"/>
          <w:b w:val="0"/>
          <w:bCs w:val="0"/>
          <w:color w:val="auto"/>
          <w:kern w:val="0"/>
          <w:sz w:val="24"/>
          <w:szCs w:val="24"/>
          <w:highlight w:val="none"/>
          <w:lang w:val="en-US" w:eastAsia="zh-CN"/>
        </w:rPr>
      </w:pPr>
      <w:r>
        <w:rPr>
          <w:rStyle w:val="21"/>
          <w:rFonts w:hint="eastAsia" w:hAnsi="宋体" w:eastAsia="宋体" w:cs="宋体"/>
          <w:b w:val="0"/>
          <w:bCs w:val="0"/>
          <w:color w:val="auto"/>
          <w:kern w:val="0"/>
          <w:sz w:val="24"/>
          <w:szCs w:val="24"/>
          <w:highlight w:val="none"/>
          <w:lang w:val="en-US" w:eastAsia="zh-CN"/>
        </w:rPr>
        <w:t>2.1定标委员会实行招标人负责制，由招标人的法定代表人或者主要负责人负责组建和管理。定标委员会的组成方式和人员由招标人自行确定，成员原则上从招标人、项目业主、代建管理机构或者使用单位的领导班子成员、经营管理人员，或具备中级及以上职称、具有注册职业资格证的工程技术（经济）人员中产生，以上人员难以满足时也可从广东省综合评标评审专家库抽取补足(专家人数原则上不超过2人)，成员数量为7人以上单数，成员数量应在招标文件中明确。定标委员会应当推荐定标组长，招标人（不含代理机构）的法定代表人或者主要负责人参加定标委员会的，由其直接担任定标委员会组长。定标委员会名单在中标结果公告前应当保密。</w:t>
      </w:r>
    </w:p>
    <w:p w14:paraId="2AB8281C">
      <w:pPr>
        <w:keepNext w:val="0"/>
        <w:keepLines w:val="0"/>
        <w:pageBreakBefore w:val="0"/>
        <w:wordWrap/>
        <w:overflowPunct/>
        <w:topLinePunct w:val="0"/>
        <w:bidi w:val="0"/>
        <w:spacing w:line="360" w:lineRule="auto"/>
        <w:ind w:firstLine="480" w:firstLineChars="200"/>
        <w:rPr>
          <w:rStyle w:val="21"/>
          <w:rFonts w:hint="eastAsia" w:hAnsi="宋体" w:eastAsia="宋体" w:cs="宋体"/>
          <w:b w:val="0"/>
          <w:bCs w:val="0"/>
          <w:color w:val="auto"/>
          <w:kern w:val="0"/>
          <w:sz w:val="24"/>
          <w:szCs w:val="24"/>
          <w:highlight w:val="none"/>
          <w:lang w:val="en-US" w:eastAsia="zh-CN"/>
        </w:rPr>
      </w:pPr>
      <w:r>
        <w:rPr>
          <w:rStyle w:val="21"/>
          <w:rFonts w:hint="eastAsia" w:hAnsi="宋体" w:eastAsia="宋体" w:cs="宋体"/>
          <w:b w:val="0"/>
          <w:bCs w:val="0"/>
          <w:color w:val="auto"/>
          <w:kern w:val="0"/>
          <w:sz w:val="24"/>
          <w:szCs w:val="24"/>
          <w:highlight w:val="none"/>
          <w:lang w:val="en-US" w:eastAsia="zh-CN"/>
        </w:rPr>
        <w:t>2.2定标委员会应从评标委员会推荐的定标候选人中确定1名中标人，并向招标人提交书面定标报告。定标委员会成员应客观、公正地履行定标职责，在未公示中标结果前，对定标过程和结果严格保密，根据评标委员会的评标报告、综合考虑报价、技术、信用、招标人的清标和前期考察结果（如有）等因素，严格按照法律法规的规定和招标文件规定的定标办法、定标要素、“择优”和“比劣”标准，从评标委员会推荐的定标候选人中择优确定中标人，并对所提出的定标意见承担相应责任。</w:t>
      </w:r>
    </w:p>
    <w:p w14:paraId="739A3242">
      <w:pPr>
        <w:keepNext w:val="0"/>
        <w:keepLines w:val="0"/>
        <w:pageBreakBefore w:val="0"/>
        <w:wordWrap/>
        <w:overflowPunct/>
        <w:topLinePunct w:val="0"/>
        <w:bidi w:val="0"/>
        <w:spacing w:line="360" w:lineRule="auto"/>
        <w:ind w:firstLine="482" w:firstLineChars="200"/>
        <w:rPr>
          <w:rStyle w:val="21"/>
          <w:rFonts w:hint="eastAsia" w:ascii="宋体" w:hAnsi="宋体" w:eastAsia="宋体" w:cs="宋体"/>
          <w:b/>
          <w:bCs/>
          <w:color w:val="auto"/>
          <w:kern w:val="0"/>
          <w:sz w:val="24"/>
          <w:szCs w:val="24"/>
          <w:highlight w:val="none"/>
          <w:lang w:val="en-US" w:eastAsia="zh-CN"/>
        </w:rPr>
      </w:pPr>
      <w:r>
        <w:rPr>
          <w:rStyle w:val="21"/>
          <w:rFonts w:hint="eastAsia" w:hAnsi="宋体" w:eastAsia="宋体" w:cs="宋体"/>
          <w:b/>
          <w:bCs/>
          <w:color w:val="auto"/>
          <w:kern w:val="0"/>
          <w:sz w:val="24"/>
          <w:szCs w:val="24"/>
          <w:highlight w:val="none"/>
          <w:lang w:val="en-US" w:eastAsia="zh-CN"/>
        </w:rPr>
        <w:t>3</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val="en-US" w:eastAsia="zh-CN"/>
        </w:rPr>
        <w:t>组建招标监督小组</w:t>
      </w:r>
    </w:p>
    <w:p w14:paraId="50B63A47">
      <w:pPr>
        <w:keepNext w:val="0"/>
        <w:keepLines w:val="0"/>
        <w:pageBreakBefore w:val="0"/>
        <w:wordWrap/>
        <w:overflowPunct/>
        <w:topLinePunct w:val="0"/>
        <w:bidi w:val="0"/>
        <w:spacing w:line="360" w:lineRule="auto"/>
        <w:ind w:firstLine="480" w:firstLineChars="200"/>
        <w:rPr>
          <w:rStyle w:val="21"/>
          <w:rFonts w:hint="eastAsia" w:ascii="宋体" w:hAnsi="宋体" w:eastAsia="宋体" w:cs="宋体"/>
          <w:color w:val="auto"/>
          <w:kern w:val="0"/>
          <w:sz w:val="24"/>
          <w:szCs w:val="24"/>
          <w:highlight w:val="none"/>
          <w:lang w:val="en-US" w:eastAsia="zh-CN"/>
        </w:rPr>
      </w:pPr>
      <w:r>
        <w:rPr>
          <w:rStyle w:val="21"/>
          <w:rFonts w:hint="eastAsia" w:ascii="宋体" w:hAnsi="宋体" w:eastAsia="宋体" w:cs="宋体"/>
          <w:color w:val="auto"/>
          <w:kern w:val="0"/>
          <w:sz w:val="24"/>
          <w:szCs w:val="24"/>
          <w:highlight w:val="none"/>
          <w:lang w:val="en-US" w:eastAsia="zh-CN"/>
        </w:rPr>
        <w:t>招标人应及时组建招标监督小组，招标监督小组原则上由不少于 3 人组成，人员可由招标人直接委派，也可以从招标人的上级主管单位、项目业主单位、使用单位等补充委派，并确定一名组长负责统筹监督工作。同一人不得同时担任定标委员会成员和招标监督小组成员中的两个角色。招标监督小组的职责是对定标委员会的组建、定标过程及招标人在定标前的清标环节和对定标候选人的考察等进行全程监督，确保定标过程公正、公平。发现异常情况及时提醒、进行纠正，但不得就定标涉及的实质内容发表意见或者参与定标讨论。</w:t>
      </w:r>
    </w:p>
    <w:p w14:paraId="674FA459">
      <w:pPr>
        <w:keepNext w:val="0"/>
        <w:keepLines w:val="0"/>
        <w:pageBreakBefore w:val="0"/>
        <w:wordWrap/>
        <w:overflowPunct/>
        <w:topLinePunct w:val="0"/>
        <w:bidi w:val="0"/>
        <w:spacing w:line="360" w:lineRule="auto"/>
        <w:ind w:firstLine="482" w:firstLineChars="200"/>
        <w:rPr>
          <w:rFonts w:hint="eastAsia"/>
          <w:color w:val="auto"/>
          <w:sz w:val="24"/>
          <w:szCs w:val="24"/>
          <w:highlight w:val="none"/>
        </w:rPr>
      </w:pPr>
      <w:r>
        <w:rPr>
          <w:rStyle w:val="21"/>
          <w:rFonts w:hint="eastAsia" w:hAnsi="宋体" w:eastAsia="宋体" w:cs="宋体"/>
          <w:b/>
          <w:bCs/>
          <w:color w:val="auto"/>
          <w:kern w:val="0"/>
          <w:sz w:val="24"/>
          <w:szCs w:val="24"/>
          <w:highlight w:val="none"/>
          <w:lang w:val="en-US" w:eastAsia="zh-CN"/>
        </w:rPr>
        <w:t>4</w:t>
      </w:r>
      <w:r>
        <w:rPr>
          <w:rStyle w:val="21"/>
          <w:rFonts w:hint="eastAsia" w:ascii="宋体" w:hAnsi="宋体" w:eastAsia="宋体" w:cs="宋体"/>
          <w:b/>
          <w:bCs/>
          <w:color w:val="auto"/>
          <w:kern w:val="0"/>
          <w:sz w:val="24"/>
          <w:szCs w:val="24"/>
          <w:highlight w:val="none"/>
        </w:rPr>
        <w:t>.</w:t>
      </w:r>
      <w:r>
        <w:rPr>
          <w:rStyle w:val="21"/>
          <w:rFonts w:hint="eastAsia" w:ascii="宋体" w:hAnsi="宋体" w:eastAsia="宋体" w:cs="宋体"/>
          <w:b/>
          <w:bCs/>
          <w:color w:val="auto"/>
          <w:kern w:val="0"/>
          <w:sz w:val="24"/>
          <w:szCs w:val="24"/>
          <w:highlight w:val="none"/>
          <w:lang w:eastAsia="zh-CN"/>
        </w:rPr>
        <w:t>定标办法</w:t>
      </w:r>
      <w:bookmarkStart w:id="152" w:name="OLE_LINK3"/>
      <w:r>
        <w:rPr>
          <w:rStyle w:val="21"/>
          <w:rFonts w:hint="eastAsia" w:ascii="宋体" w:hAnsi="宋体" w:eastAsia="宋体" w:cs="宋体"/>
          <w:b/>
          <w:bCs/>
          <w:color w:val="auto"/>
          <w:kern w:val="0"/>
          <w:sz w:val="24"/>
          <w:szCs w:val="24"/>
          <w:highlight w:val="none"/>
          <w:lang w:eastAsia="zh-CN"/>
        </w:rPr>
        <w:t>：</w:t>
      </w:r>
      <w:r>
        <w:rPr>
          <w:rFonts w:hint="eastAsia"/>
          <w:b/>
          <w:bCs/>
          <w:color w:val="auto"/>
          <w:sz w:val="24"/>
          <w:szCs w:val="24"/>
          <w:highlight w:val="none"/>
          <w:lang w:val="en-US" w:eastAsia="zh-CN"/>
        </w:rPr>
        <w:t>本项目</w:t>
      </w:r>
      <w:bookmarkEnd w:id="152"/>
      <w:r>
        <w:rPr>
          <w:rFonts w:hint="eastAsia"/>
          <w:b/>
          <w:bCs/>
          <w:color w:val="auto"/>
          <w:sz w:val="24"/>
          <w:szCs w:val="24"/>
          <w:highlight w:val="none"/>
          <w:lang w:val="en-US" w:eastAsia="zh-CN"/>
        </w:rPr>
        <w:t>采用票决数量法定标。</w:t>
      </w:r>
    </w:p>
    <w:p w14:paraId="33A6A2F0">
      <w:pPr>
        <w:keepNext w:val="0"/>
        <w:keepLines w:val="0"/>
        <w:pageBreakBefore w:val="0"/>
        <w:wordWrap/>
        <w:overflowPunct/>
        <w:topLinePunct w:val="0"/>
        <w:bidi w:val="0"/>
        <w:spacing w:line="360" w:lineRule="auto"/>
        <w:ind w:firstLine="482" w:firstLineChars="200"/>
        <w:rPr>
          <w:rStyle w:val="21"/>
          <w:rFonts w:hint="eastAsia" w:hAnsi="宋体" w:eastAsia="宋体" w:cs="宋体"/>
          <w:b/>
          <w:bCs/>
          <w:color w:val="auto"/>
          <w:kern w:val="0"/>
          <w:sz w:val="24"/>
          <w:szCs w:val="24"/>
          <w:highlight w:val="none"/>
          <w:lang w:val="en-US" w:eastAsia="zh-CN"/>
        </w:rPr>
      </w:pPr>
      <w:r>
        <w:rPr>
          <w:rStyle w:val="21"/>
          <w:rFonts w:hint="eastAsia" w:hAnsi="宋体" w:eastAsia="宋体" w:cs="宋体"/>
          <w:b/>
          <w:bCs/>
          <w:color w:val="auto"/>
          <w:kern w:val="0"/>
          <w:sz w:val="24"/>
          <w:szCs w:val="24"/>
          <w:highlight w:val="none"/>
          <w:lang w:val="en-US" w:eastAsia="zh-CN"/>
        </w:rPr>
        <w:t>5.定标细则</w:t>
      </w:r>
    </w:p>
    <w:p w14:paraId="7A3AEFB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5CFE575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color w:val="auto"/>
          <w:highlight w:val="none"/>
        </w:rPr>
      </w:pPr>
      <w:r>
        <w:rPr>
          <w:rFonts w:hint="eastAsia" w:ascii="宋体" w:hAnsi="宋体" w:eastAsia="宋体" w:cs="宋体"/>
          <w:b w:val="0"/>
          <w:i w:val="0"/>
          <w:snapToGrid/>
          <w:color w:val="auto"/>
          <w:sz w:val="24"/>
          <w:szCs w:val="24"/>
          <w:highlight w:val="none"/>
          <w:u w:val="none"/>
          <w:shd w:val="clear" w:color="auto" w:fill="FFFFFF"/>
          <w:lang w:eastAsia="zh-CN"/>
        </w:rPr>
        <w:t>定标委员会成员对定标候选人进行记名投票，得票最高的即为中标人。当最高得票相同时，对得票最高的定标候选人再次进行记名投票，直至选出中标人。</w:t>
      </w:r>
    </w:p>
    <w:p w14:paraId="72D904B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5523094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5315711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5BE2A65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22CB8EFE">
      <w:pPr>
        <w:pStyle w:val="1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090BCC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lang w:val="en-US" w:eastAsia="zh-CN"/>
        </w:rPr>
        <w:t>定标会议</w:t>
      </w:r>
      <w:r>
        <w:rPr>
          <w:rFonts w:hint="eastAsia" w:ascii="宋体" w:hAnsi="宋体" w:eastAsia="宋体" w:cs="宋体"/>
          <w:color w:val="auto"/>
          <w:sz w:val="24"/>
          <w:szCs w:val="24"/>
          <w:highlight w:val="none"/>
          <w:u w:val="none"/>
          <w:shd w:val="clear" w:color="auto" w:fill="FFFFFF"/>
        </w:rPr>
        <w:t>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63A1FEE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07D9066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当最高得票相同时，对得票最高的定标候选人再次进行记名投票，直至选出中标人。</w:t>
      </w:r>
    </w:p>
    <w:p w14:paraId="51702C3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p>
    <w:p w14:paraId="555EF63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1ACC9FF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6921EFEB">
      <w:pPr>
        <w:pStyle w:val="13"/>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36100C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w:t>
      </w:r>
      <w:r>
        <w:rPr>
          <w:rFonts w:hint="eastAsia" w:ascii="宋体" w:hAnsi="宋体" w:eastAsia="宋体" w:cs="宋体"/>
          <w:b w:val="0"/>
          <w:bCs/>
          <w:color w:val="auto"/>
          <w:sz w:val="24"/>
          <w:szCs w:val="24"/>
          <w:highlight w:val="none"/>
          <w:lang w:val="en-US" w:eastAsia="zh-CN"/>
        </w:rPr>
        <w:t>定标会议</w:t>
      </w:r>
      <w:r>
        <w:rPr>
          <w:rFonts w:hint="eastAsia" w:ascii="宋体" w:hAnsi="宋体" w:eastAsia="宋体" w:cs="宋体"/>
          <w:b w:val="0"/>
          <w:bCs/>
          <w:color w:val="auto"/>
          <w:sz w:val="24"/>
          <w:szCs w:val="24"/>
          <w:highlight w:val="none"/>
          <w:lang w:eastAsia="zh-CN"/>
        </w:rPr>
        <w:t>的全过程进行监督，确保程序合规、记录完整，结论形成过程公正、透明。</w:t>
      </w:r>
    </w:p>
    <w:p w14:paraId="514476D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6E53138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14:paraId="764DADE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783A20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2BB817F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14:paraId="425D0FE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38D1A82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（3）企业实力</w:t>
      </w:r>
    </w:p>
    <w:p w14:paraId="4B3A49F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相对标准：企业实力强的定标候选人优于企业实力一般的定标候选人。</w:t>
      </w:r>
    </w:p>
    <w:p w14:paraId="7812245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（4）评标报告</w:t>
      </w:r>
    </w:p>
    <w:p w14:paraId="5EA464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4A1190B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（5）农民工工资保障情况</w:t>
      </w:r>
    </w:p>
    <w:p w14:paraId="46D6BBC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w:t>
      </w:r>
      <w:r>
        <w:rPr>
          <w:rFonts w:hint="eastAsia" w:ascii="宋体" w:hAnsi="宋体" w:eastAsia="宋体" w:cs="宋体"/>
          <w:b w:val="0"/>
          <w:bCs w:val="0"/>
          <w:color w:val="auto"/>
          <w:kern w:val="0"/>
          <w:sz w:val="24"/>
          <w:szCs w:val="24"/>
          <w:highlight w:val="none"/>
          <w:u w:val="none"/>
          <w:shd w:val="clear" w:color="auto" w:fill="FFFFFF"/>
          <w:lang w:val="en-US" w:eastAsia="zh-CN" w:bidi="ar-SA"/>
        </w:rPr>
        <w:t>定标候选人提交的证明材料和招标人查询的材料进行评审）。</w:t>
      </w:r>
    </w:p>
    <w:p w14:paraId="0249140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14:paraId="1AC2ADC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1"/>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1"/>
          <w:rFonts w:hint="eastAsia" w:ascii="宋体" w:hAnsi="宋体" w:eastAsia="宋体" w:cs="宋体"/>
          <w:b w:val="0"/>
          <w:bCs w:val="0"/>
          <w:color w:val="auto"/>
          <w:kern w:val="0"/>
          <w:sz w:val="24"/>
          <w:szCs w:val="24"/>
          <w:highlight w:val="none"/>
          <w:lang w:val="en-US" w:eastAsia="zh-CN"/>
        </w:rPr>
        <w:t>后</w:t>
      </w:r>
      <w:r>
        <w:rPr>
          <w:rStyle w:val="21"/>
          <w:rFonts w:hint="eastAsia" w:ascii="宋体" w:hAnsi="宋体" w:eastAsia="宋体" w:cs="宋体"/>
          <w:color w:val="auto"/>
          <w:kern w:val="0"/>
          <w:sz w:val="24"/>
          <w:szCs w:val="24"/>
          <w:highlight w:val="none"/>
          <w:lang w:val="en-US" w:eastAsia="zh-CN"/>
        </w:rPr>
        <w:t>，招标人应于定标会结束后3日内将定标结果在广东省招标投标监管网和韶关市公共资源交易中心工程交易系统上公示，公示时间不少于3日。招标人及行政监督主管部门按照有关法律法规处理有关异议投诉。公示主要内容包括：公示主要内容包括：定标报告（定标成员信息除外）、中标人名单、中标价和拟投入本项目的项目负责人、技术负责人及各专业负责人（如有）等内容。</w:t>
      </w:r>
    </w:p>
    <w:p w14:paraId="7E32015C">
      <w:pPr>
        <w:keepNext w:val="0"/>
        <w:keepLines w:val="0"/>
        <w:pageBreakBefore w:val="0"/>
        <w:wordWrap/>
        <w:overflowPunct/>
        <w:topLinePunct w:val="0"/>
        <w:bidi w:val="0"/>
        <w:spacing w:line="360" w:lineRule="auto"/>
        <w:rPr>
          <w:rFonts w:hint="eastAsia"/>
          <w:color w:val="auto"/>
          <w:sz w:val="24"/>
          <w:szCs w:val="24"/>
          <w:highlight w:val="none"/>
          <w:lang w:val="en-US" w:eastAsia="zh-CN"/>
        </w:rPr>
      </w:pPr>
    </w:p>
    <w:p w14:paraId="3CEEB8C0">
      <w:pPr>
        <w:keepNext w:val="0"/>
        <w:keepLines w:val="0"/>
        <w:pageBreakBefore w:val="0"/>
        <w:wordWrap/>
        <w:overflowPunct/>
        <w:topLinePunct w:val="0"/>
        <w:bidi w:val="0"/>
        <w:spacing w:before="78" w:line="360" w:lineRule="auto"/>
        <w:ind w:left="3525"/>
        <w:outlineLvl w:val="0"/>
        <w:rPr>
          <w:rFonts w:hint="eastAsia" w:ascii="宋体" w:hAnsi="宋体" w:eastAsia="宋体" w:cs="宋体"/>
          <w:b/>
          <w:bCs/>
          <w:color w:val="auto"/>
          <w:spacing w:val="-7"/>
          <w:sz w:val="24"/>
          <w:szCs w:val="24"/>
          <w:highlight w:val="none"/>
        </w:rPr>
      </w:pPr>
    </w:p>
    <w:p w14:paraId="3C22D184">
      <w:pPr>
        <w:pStyle w:val="4"/>
        <w:rPr>
          <w:rFonts w:hint="eastAsia" w:ascii="宋体" w:hAnsi="宋体" w:eastAsia="宋体" w:cs="宋体"/>
          <w:b/>
          <w:bCs/>
          <w:color w:val="auto"/>
          <w:spacing w:val="-7"/>
          <w:sz w:val="24"/>
          <w:szCs w:val="24"/>
          <w:highlight w:val="none"/>
        </w:rPr>
      </w:pPr>
    </w:p>
    <w:p w14:paraId="36F36E07">
      <w:pPr>
        <w:rPr>
          <w:rFonts w:hint="eastAsia" w:ascii="宋体" w:hAnsi="宋体" w:eastAsia="宋体" w:cs="宋体"/>
          <w:b/>
          <w:bCs/>
          <w:color w:val="auto"/>
          <w:spacing w:val="-7"/>
          <w:sz w:val="24"/>
          <w:szCs w:val="24"/>
          <w:highlight w:val="none"/>
        </w:rPr>
      </w:pPr>
    </w:p>
    <w:p w14:paraId="7F98C488">
      <w:pPr>
        <w:pStyle w:val="4"/>
        <w:rPr>
          <w:rFonts w:hint="eastAsia" w:ascii="宋体" w:hAnsi="宋体" w:eastAsia="宋体" w:cs="宋体"/>
          <w:b/>
          <w:bCs/>
          <w:color w:val="auto"/>
          <w:spacing w:val="-7"/>
          <w:sz w:val="24"/>
          <w:szCs w:val="24"/>
          <w:highlight w:val="none"/>
        </w:rPr>
      </w:pPr>
    </w:p>
    <w:p w14:paraId="191F5911">
      <w:pPr>
        <w:rPr>
          <w:rFonts w:hint="eastAsia" w:ascii="宋体" w:hAnsi="宋体" w:eastAsia="宋体" w:cs="宋体"/>
          <w:b/>
          <w:bCs/>
          <w:color w:val="auto"/>
          <w:spacing w:val="-7"/>
          <w:sz w:val="24"/>
          <w:szCs w:val="24"/>
          <w:highlight w:val="none"/>
        </w:rPr>
      </w:pPr>
    </w:p>
    <w:p w14:paraId="44391741">
      <w:pPr>
        <w:pStyle w:val="4"/>
        <w:rPr>
          <w:rFonts w:hint="eastAsia" w:ascii="宋体" w:hAnsi="宋体" w:eastAsia="宋体" w:cs="宋体"/>
          <w:b/>
          <w:bCs/>
          <w:color w:val="auto"/>
          <w:spacing w:val="-7"/>
          <w:sz w:val="24"/>
          <w:szCs w:val="24"/>
          <w:highlight w:val="none"/>
        </w:rPr>
      </w:pPr>
    </w:p>
    <w:p w14:paraId="11E28027">
      <w:pPr>
        <w:rPr>
          <w:rFonts w:hint="eastAsia" w:ascii="宋体" w:hAnsi="宋体" w:eastAsia="宋体" w:cs="宋体"/>
          <w:b/>
          <w:bCs/>
          <w:color w:val="auto"/>
          <w:spacing w:val="-7"/>
          <w:sz w:val="24"/>
          <w:szCs w:val="24"/>
          <w:highlight w:val="none"/>
        </w:rPr>
      </w:pPr>
    </w:p>
    <w:p w14:paraId="3477D15B">
      <w:pPr>
        <w:pStyle w:val="4"/>
        <w:rPr>
          <w:rFonts w:hint="eastAsia"/>
          <w:color w:val="auto"/>
          <w:highlight w:val="none"/>
        </w:rPr>
      </w:pPr>
    </w:p>
    <w:p w14:paraId="2C5E3E54">
      <w:pPr>
        <w:pStyle w:val="4"/>
        <w:rPr>
          <w:rFonts w:hint="eastAsia"/>
          <w:color w:val="auto"/>
          <w:highlight w:val="none"/>
        </w:rPr>
      </w:pPr>
    </w:p>
    <w:p w14:paraId="78DC9753">
      <w:pPr>
        <w:rPr>
          <w:rFonts w:hint="eastAsia" w:ascii="宋体" w:hAnsi="宋体" w:eastAsia="宋体" w:cs="宋体"/>
          <w:b/>
          <w:bCs/>
          <w:color w:val="auto"/>
          <w:spacing w:val="-7"/>
          <w:sz w:val="24"/>
          <w:szCs w:val="24"/>
          <w:highlight w:val="none"/>
        </w:rPr>
      </w:pPr>
    </w:p>
    <w:p w14:paraId="216120B9">
      <w:pPr>
        <w:spacing w:before="78" w:line="220" w:lineRule="auto"/>
        <w:ind w:left="9"/>
        <w:jc w:val="center"/>
        <w:outlineLvl w:val="1"/>
        <w:rPr>
          <w:rFonts w:hint="eastAsia" w:ascii="宋体" w:hAnsi="宋体" w:eastAsia="宋体" w:cs="宋体"/>
          <w:b/>
          <w:bCs/>
          <w:color w:val="auto"/>
          <w:spacing w:val="-3"/>
          <w:sz w:val="24"/>
          <w:szCs w:val="24"/>
          <w:highlight w:val="none"/>
        </w:rPr>
      </w:pPr>
      <w:bookmarkStart w:id="153" w:name="_Toc4926"/>
      <w:bookmarkStart w:id="154" w:name="_Toc209"/>
    </w:p>
    <w:p w14:paraId="3CDF5EC8">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824BC27">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674D3F8">
      <w:pPr>
        <w:spacing w:before="78" w:line="220" w:lineRule="auto"/>
        <w:ind w:left="9"/>
        <w:jc w:val="center"/>
        <w:outlineLvl w:val="1"/>
        <w:rPr>
          <w:rFonts w:hint="eastAsia" w:ascii="宋体" w:hAnsi="宋体" w:eastAsia="宋体" w:cs="宋体"/>
          <w:b/>
          <w:bCs/>
          <w:color w:val="auto"/>
          <w:spacing w:val="-3"/>
          <w:sz w:val="24"/>
          <w:szCs w:val="24"/>
          <w:highlight w:val="none"/>
          <w:lang w:val="en-US" w:eastAsia="zh-CN"/>
        </w:rPr>
      </w:pPr>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53"/>
      <w:bookmarkEnd w:id="154"/>
    </w:p>
    <w:p w14:paraId="7A05DA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w:t>
      </w:r>
    </w:p>
    <w:p w14:paraId="36D267E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中标人确定。定标结果公示期满无异议的，招标人确认中标人，中标人的投标报价即为中标价。</w:t>
      </w:r>
    </w:p>
    <w:p w14:paraId="755409C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在中标人确定之日起七日内向中标人发出中标通知书并将中标结果通知其他投标人。在中标通知书发出后五日内，将投标保证金及银行同期存款利息退回定标候选人以外的投标人，在书面合同订立之日起五日内将投标保证金及银行同期存款利息退回中标人和其他定标候选人。（具体投标保证金退回按韶关市公共资源交易中心相应规定操作）</w:t>
      </w:r>
    </w:p>
    <w:p w14:paraId="13C867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3622870D">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6F77332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定标结果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138E001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2.2在定标候选人和定标结果公示期间有关评标结果的异议成立的，招标人原则上应当组织原评标委员会和原定标委员会对有关的问题予以纠正，问题纠正后再公示定标候选人和中标人。</w:t>
      </w:r>
    </w:p>
    <w:p w14:paraId="2D44F3D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0EE7EECE">
      <w:pPr>
        <w:pStyle w:val="13"/>
        <w:keepNext w:val="0"/>
        <w:keepLines w:val="0"/>
        <w:pageBreakBefore w:val="0"/>
        <w:widowControl w:val="0"/>
        <w:shd w:val="clear" w:color="auto" w:fill="auto"/>
        <w:kinsoku/>
        <w:wordWrap/>
        <w:overflowPunct/>
        <w:topLinePunct w:val="0"/>
        <w:bidi w:val="0"/>
        <w:adjustRightInd/>
        <w:snapToGrid/>
        <w:spacing w:before="0" w:beforeLines="0" w:after="0" w:afterLines="0" w:line="360" w:lineRule="auto"/>
        <w:ind w:left="0" w:leftChars="0" w:firstLine="482" w:firstLineChars="200"/>
        <w:jc w:val="both"/>
        <w:textAlignment w:val="auto"/>
        <w:outlineLvl w:val="9"/>
        <w:rPr>
          <w:rFonts w:hint="eastAsia" w:ascii="宋体" w:hAnsi="宋体" w:eastAsia="宋体" w:cs="宋体"/>
          <w:b/>
          <w:bCs/>
          <w:i/>
          <w:color w:val="auto"/>
          <w:sz w:val="24"/>
          <w:szCs w:val="24"/>
          <w:highlight w:val="none"/>
        </w:rPr>
      </w:pPr>
      <w:bookmarkStart w:id="155" w:name="_Toc236550039"/>
      <w:r>
        <w:rPr>
          <w:rStyle w:val="18"/>
          <w:rFonts w:hint="eastAsia" w:ascii="宋体" w:hAnsi="宋体" w:eastAsia="宋体" w:cs="宋体"/>
          <w:b/>
          <w:bCs/>
          <w:i w:val="0"/>
          <w:color w:val="auto"/>
          <w:sz w:val="24"/>
          <w:szCs w:val="24"/>
          <w:highlight w:val="none"/>
          <w:lang w:val="en-US" w:eastAsia="zh-CN"/>
        </w:rPr>
        <w:t>3</w:t>
      </w:r>
      <w:r>
        <w:rPr>
          <w:rStyle w:val="18"/>
          <w:rFonts w:hint="eastAsia" w:ascii="宋体" w:hAnsi="宋体" w:eastAsia="宋体" w:cs="宋体"/>
          <w:b/>
          <w:bCs/>
          <w:i w:val="0"/>
          <w:color w:val="auto"/>
          <w:sz w:val="24"/>
          <w:szCs w:val="24"/>
          <w:highlight w:val="none"/>
        </w:rPr>
        <w:t>．废除授标</w:t>
      </w:r>
      <w:bookmarkEnd w:id="155"/>
      <w:r>
        <w:rPr>
          <w:rStyle w:val="18"/>
          <w:rFonts w:hint="eastAsia" w:ascii="宋体" w:hAnsi="宋体" w:eastAsia="宋体" w:cs="宋体"/>
          <w:b/>
          <w:bCs/>
          <w:i w:val="0"/>
          <w:color w:val="auto"/>
          <w:sz w:val="24"/>
          <w:szCs w:val="24"/>
          <w:highlight w:val="none"/>
        </w:rPr>
        <w:t>及授标</w:t>
      </w:r>
    </w:p>
    <w:p w14:paraId="6F5D045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3.1评定标完成后，中标人有下列情形之一的，招标人应按规定取消中标人资格或废除授标：</w:t>
      </w:r>
    </w:p>
    <w:p w14:paraId="5761EDE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29A613F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34437C4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2CD47F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0DCDC1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1EBFDBB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1CB820B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8D4A23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382F114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2CE748D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4CF98D6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中标人被取消中标人资格或废除授标，招标人可以组织定标委员会召开定标会议重新进行定标，重新定标后再进行定标结果公示。如果招标人认为其他定标候选人的条件明显不利于招标人的，也可以重新招标。</w:t>
      </w:r>
    </w:p>
    <w:p w14:paraId="456F4F2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066BAEA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47FF8AB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30126BB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08A581F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058A589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1"/>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453B91BC">
      <w:pPr>
        <w:keepNext w:val="0"/>
        <w:keepLines w:val="0"/>
        <w:pageBreakBefore w:val="0"/>
        <w:wordWrap/>
        <w:overflowPunct/>
        <w:topLinePunct w:val="0"/>
        <w:bidi w:val="0"/>
        <w:spacing w:line="360" w:lineRule="auto"/>
        <w:rPr>
          <w:rFonts w:hint="eastAsia"/>
          <w:color w:val="auto"/>
          <w:sz w:val="24"/>
          <w:szCs w:val="24"/>
          <w:highlight w:val="none"/>
        </w:rPr>
        <w:sectPr>
          <w:headerReference r:id="rId10" w:type="default"/>
          <w:footerReference r:id="rId11" w:type="default"/>
          <w:endnotePr>
            <w:numFmt w:val="decimal"/>
          </w:endnotePr>
          <w:pgSz w:w="11906" w:h="16838"/>
          <w:pgMar w:top="1247" w:right="1304" w:bottom="1247" w:left="1304" w:header="850" w:footer="544" w:gutter="0"/>
          <w:cols w:space="720" w:num="1"/>
          <w:rtlGutter w:val="0"/>
          <w:docGrid w:linePitch="327" w:charSpace="0"/>
        </w:sectPr>
      </w:pPr>
    </w:p>
    <w:p w14:paraId="5413A7C9">
      <w:pPr>
        <w:spacing w:before="78" w:line="219" w:lineRule="auto"/>
        <w:ind w:left="3525"/>
        <w:outlineLvl w:val="0"/>
        <w:rPr>
          <w:rFonts w:hint="eastAsia" w:ascii="宋体" w:hAnsi="宋体" w:eastAsia="宋体" w:cs="宋体"/>
          <w:color w:val="auto"/>
          <w:sz w:val="24"/>
          <w:szCs w:val="24"/>
          <w:highlight w:val="none"/>
        </w:rPr>
      </w:pPr>
      <w:bookmarkStart w:id="156" w:name="_Toc13655"/>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56"/>
    </w:p>
    <w:p w14:paraId="73FD4C9A">
      <w:pPr>
        <w:spacing w:before="78" w:line="219" w:lineRule="auto"/>
        <w:ind w:left="582"/>
        <w:outlineLvl w:val="2"/>
        <w:rPr>
          <w:rFonts w:hint="eastAsia" w:ascii="宋体" w:hAnsi="宋体" w:eastAsia="宋体" w:cs="宋体"/>
          <w:color w:val="auto"/>
          <w:sz w:val="24"/>
          <w:szCs w:val="24"/>
          <w:highlight w:val="none"/>
        </w:rPr>
      </w:pPr>
      <w:bookmarkStart w:id="157" w:name="_Toc21697"/>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57"/>
    </w:p>
    <w:p w14:paraId="72AC753B">
      <w:pPr>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w:t>
      </w:r>
      <w:r>
        <w:rPr>
          <w:rFonts w:hint="eastAsia" w:ascii="宋体" w:hAnsi="宋体" w:eastAsia="宋体" w:cs="宋体"/>
          <w:color w:val="auto"/>
          <w:spacing w:val="1"/>
          <w:sz w:val="24"/>
          <w:szCs w:val="24"/>
          <w:highlight w:val="none"/>
          <w:lang w:val="en-US" w:eastAsia="zh-CN"/>
        </w:rPr>
        <w:t>应</w:t>
      </w:r>
      <w:r>
        <w:rPr>
          <w:rFonts w:hint="eastAsia" w:ascii="宋体" w:hAnsi="宋体" w:eastAsia="宋体" w:cs="宋体"/>
          <w:color w:val="auto"/>
          <w:spacing w:val="1"/>
          <w:sz w:val="24"/>
          <w:szCs w:val="24"/>
          <w:highlight w:val="none"/>
        </w:rPr>
        <w:t>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FA046D1">
      <w:pPr>
        <w:pStyle w:val="6"/>
        <w:spacing w:line="394" w:lineRule="auto"/>
        <w:rPr>
          <w:rFonts w:hint="eastAsia" w:ascii="宋体" w:hAnsi="宋体" w:eastAsia="宋体" w:cs="宋体"/>
          <w:color w:val="auto"/>
          <w:highlight w:val="none"/>
        </w:rPr>
      </w:pPr>
    </w:p>
    <w:p w14:paraId="4EF45B28">
      <w:pPr>
        <w:spacing w:before="78" w:line="221" w:lineRule="auto"/>
        <w:ind w:left="572"/>
        <w:outlineLvl w:val="2"/>
        <w:rPr>
          <w:rFonts w:hint="eastAsia" w:ascii="宋体" w:hAnsi="宋体" w:eastAsia="宋体" w:cs="宋体"/>
          <w:color w:val="auto"/>
          <w:sz w:val="24"/>
          <w:szCs w:val="24"/>
          <w:highlight w:val="none"/>
        </w:rPr>
      </w:pPr>
      <w:bookmarkStart w:id="158" w:name="_Toc979"/>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58"/>
    </w:p>
    <w:p w14:paraId="4213F0D5">
      <w:pPr>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3E0F2192">
      <w:pPr>
        <w:pStyle w:val="6"/>
        <w:spacing w:line="475" w:lineRule="auto"/>
        <w:rPr>
          <w:rFonts w:hint="eastAsia" w:ascii="宋体" w:hAnsi="宋体" w:eastAsia="宋体" w:cs="宋体"/>
          <w:color w:val="auto"/>
          <w:highlight w:val="none"/>
        </w:rPr>
      </w:pPr>
    </w:p>
    <w:p w14:paraId="0D126311">
      <w:pPr>
        <w:spacing w:before="79" w:line="221" w:lineRule="auto"/>
        <w:ind w:left="570"/>
        <w:outlineLvl w:val="2"/>
        <w:rPr>
          <w:rFonts w:hint="eastAsia" w:ascii="宋体" w:hAnsi="宋体" w:eastAsia="宋体" w:cs="宋体"/>
          <w:color w:val="auto"/>
          <w:sz w:val="24"/>
          <w:szCs w:val="24"/>
          <w:highlight w:val="none"/>
        </w:rPr>
      </w:pPr>
      <w:bookmarkStart w:id="159" w:name="_Toc13145"/>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59"/>
    </w:p>
    <w:p w14:paraId="768BD984">
      <w:pPr>
        <w:keepNext w:val="0"/>
        <w:keepLines w:val="0"/>
        <w:pageBreakBefore w:val="0"/>
        <w:widowControl/>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10</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的履约保证。联合体中标的，由联合体牵头人提交。</w:t>
      </w:r>
    </w:p>
    <w:p w14:paraId="49C84C93">
      <w:pPr>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2796A316">
      <w:pPr>
        <w:wordWrap w:val="0"/>
        <w:spacing w:line="440" w:lineRule="exact"/>
        <w:ind w:firstLine="562"/>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35FFE1C4">
      <w:pPr>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514C5854">
      <w:pPr>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0B05782F">
      <w:pPr>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5942DFEF">
      <w:pPr>
        <w:pStyle w:val="6"/>
        <w:spacing w:line="256" w:lineRule="auto"/>
        <w:rPr>
          <w:rFonts w:hint="eastAsia" w:ascii="宋体" w:hAnsi="宋体" w:eastAsia="宋体" w:cs="宋体"/>
          <w:color w:val="auto"/>
          <w:highlight w:val="none"/>
        </w:rPr>
      </w:pPr>
    </w:p>
    <w:p w14:paraId="0EC79573">
      <w:pPr>
        <w:pStyle w:val="6"/>
        <w:spacing w:line="257" w:lineRule="auto"/>
        <w:rPr>
          <w:rFonts w:hint="eastAsia" w:ascii="宋体" w:hAnsi="宋体" w:eastAsia="宋体" w:cs="宋体"/>
          <w:color w:val="auto"/>
          <w:highlight w:val="none"/>
        </w:rPr>
      </w:pPr>
    </w:p>
    <w:p w14:paraId="6839761F">
      <w:pPr>
        <w:spacing w:before="78" w:line="222" w:lineRule="auto"/>
        <w:ind w:left="488"/>
        <w:outlineLvl w:val="2"/>
        <w:rPr>
          <w:rFonts w:hint="eastAsia" w:ascii="宋体" w:hAnsi="宋体" w:eastAsia="宋体" w:cs="宋体"/>
          <w:color w:val="auto"/>
          <w:sz w:val="24"/>
          <w:szCs w:val="24"/>
          <w:highlight w:val="none"/>
        </w:rPr>
      </w:pPr>
      <w:bookmarkStart w:id="160" w:name="_Toc133"/>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60"/>
    </w:p>
    <w:p w14:paraId="76D76CF8">
      <w:pPr>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4E43A176">
      <w:pPr>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648BF508">
      <w:pPr>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的造价咨询单位实施。</w:t>
      </w:r>
    </w:p>
    <w:p w14:paraId="7F0442D0">
      <w:pPr>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460300C3">
      <w:pPr>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15350C8A">
      <w:pPr>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eastAsia="zh-CN"/>
        </w:rPr>
        <w:t>最高投标限价</w:t>
      </w:r>
      <w:r>
        <w:rPr>
          <w:rFonts w:hint="eastAsia" w:ascii="宋体" w:hAnsi="宋体" w:eastAsia="宋体" w:cs="宋体"/>
          <w:color w:val="auto"/>
          <w:spacing w:val="2"/>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528861A1">
      <w:pPr>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096AAFEE">
      <w:pPr>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3EC03351">
      <w:pPr>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2828B542">
      <w:pPr>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4BAAE47D">
      <w:pPr>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366E90A8">
      <w:pPr>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3517AD8D">
      <w:pPr>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w:t>
      </w:r>
      <w:r>
        <w:rPr>
          <w:rFonts w:hint="eastAsia" w:ascii="宋体" w:hAnsi="宋体" w:eastAsia="宋体" w:cs="宋体"/>
          <w:color w:val="auto"/>
          <w:spacing w:val="-2"/>
          <w:sz w:val="24"/>
          <w:szCs w:val="24"/>
          <w:highlight w:val="none"/>
          <w:lang w:eastAsia="zh-CN"/>
        </w:rPr>
        <w:t>定标</w:t>
      </w:r>
      <w:r>
        <w:rPr>
          <w:rFonts w:hint="eastAsia" w:ascii="宋体" w:hAnsi="宋体" w:eastAsia="宋体" w:cs="宋体"/>
          <w:color w:val="auto"/>
          <w:spacing w:val="-2"/>
          <w:sz w:val="24"/>
          <w:szCs w:val="24"/>
          <w:highlight w:val="none"/>
        </w:rPr>
        <w:t>候选人。</w:t>
      </w:r>
    </w:p>
    <w:p w14:paraId="556FD923">
      <w:pPr>
        <w:spacing w:before="78" w:line="220" w:lineRule="auto"/>
        <w:ind w:left="489"/>
        <w:outlineLvl w:val="2"/>
        <w:rPr>
          <w:rFonts w:hint="eastAsia" w:ascii="宋体" w:hAnsi="宋体" w:eastAsia="宋体" w:cs="宋体"/>
          <w:color w:val="auto"/>
          <w:sz w:val="24"/>
          <w:szCs w:val="24"/>
          <w:highlight w:val="none"/>
        </w:rPr>
      </w:pPr>
      <w:bookmarkStart w:id="161" w:name="_Toc4089"/>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61"/>
    </w:p>
    <w:p w14:paraId="28920CC3">
      <w:pPr>
        <w:spacing w:before="150" w:line="319" w:lineRule="auto"/>
        <w:ind w:left="12" w:right="91" w:firstLine="477"/>
        <w:rPr>
          <w:rFonts w:hint="eastAsia" w:ascii="宋体" w:hAnsi="宋体" w:eastAsia="宋体" w:cs="宋体"/>
          <w:color w:val="auto"/>
          <w:spacing w:val="-2"/>
          <w:sz w:val="24"/>
          <w:szCs w:val="24"/>
          <w:highlight w:val="none"/>
          <w:lang w:eastAsia="zh-CN"/>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w:t>
      </w:r>
      <w:r>
        <w:rPr>
          <w:rFonts w:hint="eastAsia" w:ascii="宋体" w:hAnsi="宋体" w:eastAsia="宋体" w:cs="宋体"/>
          <w:color w:val="auto"/>
          <w:spacing w:val="-2"/>
          <w:sz w:val="24"/>
          <w:szCs w:val="24"/>
          <w:highlight w:val="none"/>
          <w:lang w:val="en-US" w:eastAsia="zh-CN"/>
        </w:rPr>
        <w:t>招标人可以组织定标委员会召开定标会议重新进行定标，重新定标后再进行定标结果公示，</w:t>
      </w:r>
      <w:r>
        <w:rPr>
          <w:rFonts w:hint="eastAsia" w:ascii="宋体" w:hAnsi="宋体" w:eastAsia="宋体" w:cs="宋体"/>
          <w:color w:val="auto"/>
          <w:spacing w:val="-2"/>
          <w:sz w:val="24"/>
          <w:szCs w:val="24"/>
          <w:highlight w:val="none"/>
        </w:rPr>
        <w:t>如果招标人认为其他</w:t>
      </w:r>
      <w:r>
        <w:rPr>
          <w:rFonts w:hint="eastAsia" w:ascii="宋体" w:hAnsi="宋体" w:eastAsia="宋体" w:cs="宋体"/>
          <w:color w:val="auto"/>
          <w:spacing w:val="-2"/>
          <w:sz w:val="24"/>
          <w:szCs w:val="24"/>
          <w:highlight w:val="none"/>
          <w:lang w:eastAsia="zh-CN"/>
        </w:rPr>
        <w:t>定标</w:t>
      </w:r>
    </w:p>
    <w:p w14:paraId="68CE2017">
      <w:pPr>
        <w:spacing w:before="150" w:line="319" w:lineRule="auto"/>
        <w:ind w:left="12" w:right="91" w:firstLine="477"/>
        <w:jc w:val="both"/>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候选人的条件明显不利于招标人的，也可以重新招标。因此种情况造成招标人重新招标的，招标人可不接受该弃标人再次投标。同时，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14A6FD87">
      <w:pPr>
        <w:spacing w:before="79" w:line="298" w:lineRule="auto"/>
        <w:ind w:left="10" w:right="91" w:firstLine="479"/>
        <w:rPr>
          <w:rFonts w:hint="eastAsia" w:ascii="宋体" w:hAnsi="宋体" w:eastAsia="宋体" w:cs="宋体"/>
          <w:b/>
          <w:bCs/>
          <w:color w:val="auto"/>
          <w:spacing w:val="-5"/>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z w:val="24"/>
          <w:szCs w:val="24"/>
          <w:highlight w:val="none"/>
        </w:rPr>
        <w:t xml:space="preserve"> 中标人因不可抗力提出不能履行合同的，须在领取中标通知书之日起 10 天内提供有关证明文件或资料，其投标保证予以退还。</w:t>
      </w:r>
      <w:r>
        <w:rPr>
          <w:rFonts w:hint="eastAsia" w:ascii="宋体" w:hAnsi="宋体" w:eastAsia="宋体" w:cs="宋体"/>
          <w:color w:val="auto"/>
          <w:sz w:val="24"/>
          <w:szCs w:val="24"/>
          <w:highlight w:val="none"/>
          <w:lang w:val="en-US" w:eastAsia="zh-CN"/>
        </w:rPr>
        <w:t>招标人可以组织定标委员会召开定标会议重新进行定标，重新定标后再进行定标结果公示</w:t>
      </w:r>
      <w:r>
        <w:rPr>
          <w:rFonts w:hint="eastAsia" w:ascii="宋体" w:hAnsi="宋体" w:eastAsia="宋体" w:cs="宋体"/>
          <w:color w:val="auto"/>
          <w:sz w:val="24"/>
          <w:szCs w:val="24"/>
          <w:highlight w:val="none"/>
        </w:rPr>
        <w:t>，如果招标人认为其他</w:t>
      </w:r>
      <w:r>
        <w:rPr>
          <w:rFonts w:hint="eastAsia" w:ascii="宋体" w:hAnsi="宋体" w:eastAsia="宋体" w:cs="宋体"/>
          <w:color w:val="auto"/>
          <w:sz w:val="24"/>
          <w:szCs w:val="24"/>
          <w:highlight w:val="none"/>
          <w:lang w:val="en-US" w:eastAsia="zh-CN"/>
        </w:rPr>
        <w:t>定</w:t>
      </w:r>
      <w:r>
        <w:rPr>
          <w:rFonts w:hint="eastAsia" w:ascii="宋体" w:hAnsi="宋体" w:eastAsia="宋体" w:cs="宋体"/>
          <w:color w:val="auto"/>
          <w:sz w:val="24"/>
          <w:szCs w:val="24"/>
          <w:highlight w:val="none"/>
        </w:rPr>
        <w:t>标候选人的条件明显不利于招标人的，也可以重新招标。</w:t>
      </w:r>
    </w:p>
    <w:p w14:paraId="3A26C76E">
      <w:pPr>
        <w:spacing w:before="78" w:line="219" w:lineRule="auto"/>
        <w:ind w:left="2923"/>
        <w:outlineLvl w:val="0"/>
        <w:rPr>
          <w:rFonts w:hint="eastAsia" w:ascii="宋体" w:hAnsi="宋体" w:eastAsia="宋体" w:cs="宋体"/>
          <w:b/>
          <w:bCs/>
          <w:color w:val="auto"/>
          <w:spacing w:val="-3"/>
          <w:sz w:val="24"/>
          <w:szCs w:val="24"/>
          <w:highlight w:val="none"/>
        </w:rPr>
      </w:pPr>
      <w:bookmarkStart w:id="162" w:name="bookmark86"/>
      <w:bookmarkEnd w:id="162"/>
      <w:bookmarkStart w:id="163" w:name="_Toc7715"/>
    </w:p>
    <w:p w14:paraId="22AE8F3F">
      <w:pPr>
        <w:spacing w:before="78" w:line="219" w:lineRule="auto"/>
        <w:ind w:left="2923"/>
        <w:outlineLvl w:val="0"/>
        <w:rPr>
          <w:rFonts w:hint="eastAsia" w:ascii="宋体" w:hAnsi="宋体" w:eastAsia="宋体" w:cs="宋体"/>
          <w:b/>
          <w:bCs/>
          <w:color w:val="auto"/>
          <w:spacing w:val="-3"/>
          <w:sz w:val="24"/>
          <w:szCs w:val="24"/>
          <w:highlight w:val="none"/>
        </w:rPr>
      </w:pPr>
    </w:p>
    <w:p w14:paraId="0BD69CF5">
      <w:pPr>
        <w:spacing w:before="78" w:line="219" w:lineRule="auto"/>
        <w:ind w:left="2923"/>
        <w:outlineLvl w:val="0"/>
        <w:rPr>
          <w:rFonts w:hint="eastAsia" w:ascii="宋体" w:hAnsi="宋体" w:eastAsia="宋体" w:cs="宋体"/>
          <w:b/>
          <w:bCs/>
          <w:color w:val="auto"/>
          <w:spacing w:val="-3"/>
          <w:sz w:val="24"/>
          <w:szCs w:val="24"/>
          <w:highlight w:val="none"/>
        </w:rPr>
      </w:pPr>
    </w:p>
    <w:p w14:paraId="0619869C">
      <w:pPr>
        <w:spacing w:before="78" w:line="219" w:lineRule="auto"/>
        <w:ind w:left="2923"/>
        <w:outlineLvl w:val="0"/>
        <w:rPr>
          <w:rFonts w:hint="eastAsia" w:ascii="宋体" w:hAnsi="宋体" w:eastAsia="宋体" w:cs="宋体"/>
          <w:b/>
          <w:bCs/>
          <w:color w:val="auto"/>
          <w:spacing w:val="-3"/>
          <w:sz w:val="24"/>
          <w:szCs w:val="24"/>
          <w:highlight w:val="none"/>
        </w:rPr>
      </w:pPr>
    </w:p>
    <w:p w14:paraId="36B59A73">
      <w:pPr>
        <w:spacing w:before="78" w:line="219" w:lineRule="auto"/>
        <w:ind w:left="2923"/>
        <w:outlineLvl w:val="0"/>
        <w:rPr>
          <w:rFonts w:hint="eastAsia" w:ascii="宋体" w:hAnsi="宋体" w:eastAsia="宋体" w:cs="宋体"/>
          <w:b/>
          <w:bCs/>
          <w:color w:val="auto"/>
          <w:spacing w:val="-3"/>
          <w:sz w:val="24"/>
          <w:szCs w:val="24"/>
          <w:highlight w:val="none"/>
        </w:rPr>
      </w:pPr>
    </w:p>
    <w:p w14:paraId="0C8A88F8">
      <w:pPr>
        <w:spacing w:before="78" w:line="219" w:lineRule="auto"/>
        <w:ind w:left="2923"/>
        <w:outlineLvl w:val="0"/>
        <w:rPr>
          <w:rFonts w:hint="eastAsia" w:ascii="宋体" w:hAnsi="宋体" w:eastAsia="宋体" w:cs="宋体"/>
          <w:b/>
          <w:bCs/>
          <w:color w:val="auto"/>
          <w:spacing w:val="-3"/>
          <w:sz w:val="24"/>
          <w:szCs w:val="24"/>
          <w:highlight w:val="none"/>
        </w:rPr>
      </w:pPr>
    </w:p>
    <w:p w14:paraId="77F7DAF7">
      <w:pPr>
        <w:spacing w:before="78" w:line="219" w:lineRule="auto"/>
        <w:ind w:left="2923"/>
        <w:outlineLvl w:val="0"/>
        <w:rPr>
          <w:rFonts w:hint="eastAsia" w:ascii="宋体" w:hAnsi="宋体" w:eastAsia="宋体" w:cs="宋体"/>
          <w:b/>
          <w:bCs/>
          <w:color w:val="auto"/>
          <w:spacing w:val="-3"/>
          <w:sz w:val="24"/>
          <w:szCs w:val="24"/>
          <w:highlight w:val="none"/>
        </w:rPr>
      </w:pPr>
    </w:p>
    <w:p w14:paraId="0E942538">
      <w:pPr>
        <w:spacing w:before="78" w:line="219" w:lineRule="auto"/>
        <w:ind w:left="2923"/>
        <w:outlineLvl w:val="0"/>
        <w:rPr>
          <w:rFonts w:hint="eastAsia" w:ascii="宋体" w:hAnsi="宋体" w:eastAsia="宋体" w:cs="宋体"/>
          <w:b/>
          <w:bCs/>
          <w:color w:val="auto"/>
          <w:spacing w:val="-3"/>
          <w:sz w:val="24"/>
          <w:szCs w:val="24"/>
          <w:highlight w:val="none"/>
        </w:rPr>
      </w:pPr>
    </w:p>
    <w:p w14:paraId="049C6DAC">
      <w:pPr>
        <w:spacing w:before="78" w:line="219" w:lineRule="auto"/>
        <w:ind w:left="2923"/>
        <w:outlineLvl w:val="0"/>
        <w:rPr>
          <w:rFonts w:hint="eastAsia" w:ascii="宋体" w:hAnsi="宋体" w:eastAsia="宋体" w:cs="宋体"/>
          <w:b/>
          <w:bCs/>
          <w:color w:val="auto"/>
          <w:spacing w:val="-3"/>
          <w:sz w:val="24"/>
          <w:szCs w:val="24"/>
          <w:highlight w:val="none"/>
        </w:rPr>
      </w:pPr>
    </w:p>
    <w:p w14:paraId="26268C4E">
      <w:pPr>
        <w:spacing w:before="78" w:line="219" w:lineRule="auto"/>
        <w:ind w:left="2923"/>
        <w:outlineLvl w:val="0"/>
        <w:rPr>
          <w:rFonts w:hint="eastAsia" w:ascii="宋体" w:hAnsi="宋体" w:eastAsia="宋体" w:cs="宋体"/>
          <w:b/>
          <w:bCs/>
          <w:color w:val="auto"/>
          <w:spacing w:val="-3"/>
          <w:sz w:val="24"/>
          <w:szCs w:val="24"/>
          <w:highlight w:val="none"/>
        </w:rPr>
      </w:pPr>
    </w:p>
    <w:p w14:paraId="68EE8031">
      <w:pPr>
        <w:spacing w:before="78" w:line="219" w:lineRule="auto"/>
        <w:ind w:left="2923"/>
        <w:outlineLvl w:val="0"/>
        <w:rPr>
          <w:rFonts w:hint="eastAsia" w:ascii="宋体" w:hAnsi="宋体" w:eastAsia="宋体" w:cs="宋体"/>
          <w:b/>
          <w:bCs/>
          <w:color w:val="auto"/>
          <w:spacing w:val="-3"/>
          <w:sz w:val="24"/>
          <w:szCs w:val="24"/>
          <w:highlight w:val="none"/>
        </w:rPr>
      </w:pPr>
    </w:p>
    <w:p w14:paraId="149B21CB">
      <w:pPr>
        <w:spacing w:before="78" w:line="219" w:lineRule="auto"/>
        <w:ind w:left="2923"/>
        <w:outlineLvl w:val="0"/>
        <w:rPr>
          <w:rFonts w:hint="eastAsia" w:ascii="宋体" w:hAnsi="宋体" w:eastAsia="宋体" w:cs="宋体"/>
          <w:b/>
          <w:bCs/>
          <w:color w:val="auto"/>
          <w:spacing w:val="-3"/>
          <w:sz w:val="24"/>
          <w:szCs w:val="24"/>
          <w:highlight w:val="none"/>
        </w:rPr>
      </w:pPr>
    </w:p>
    <w:p w14:paraId="0A6A9740">
      <w:pPr>
        <w:spacing w:before="78" w:line="219" w:lineRule="auto"/>
        <w:ind w:left="2923"/>
        <w:outlineLvl w:val="0"/>
        <w:rPr>
          <w:rFonts w:hint="eastAsia" w:ascii="宋体" w:hAnsi="宋体" w:eastAsia="宋体" w:cs="宋体"/>
          <w:b/>
          <w:bCs/>
          <w:color w:val="auto"/>
          <w:spacing w:val="-3"/>
          <w:sz w:val="24"/>
          <w:szCs w:val="24"/>
          <w:highlight w:val="none"/>
        </w:rPr>
      </w:pPr>
    </w:p>
    <w:p w14:paraId="6733878D">
      <w:pPr>
        <w:spacing w:before="78" w:line="219" w:lineRule="auto"/>
        <w:ind w:left="2923"/>
        <w:outlineLvl w:val="0"/>
        <w:rPr>
          <w:rFonts w:hint="eastAsia" w:ascii="宋体" w:hAnsi="宋体" w:eastAsia="宋体" w:cs="宋体"/>
          <w:b/>
          <w:bCs/>
          <w:color w:val="auto"/>
          <w:spacing w:val="-3"/>
          <w:sz w:val="24"/>
          <w:szCs w:val="24"/>
          <w:highlight w:val="none"/>
        </w:rPr>
      </w:pPr>
    </w:p>
    <w:p w14:paraId="0A2D86B4">
      <w:pPr>
        <w:spacing w:before="78" w:line="219" w:lineRule="auto"/>
        <w:ind w:left="2923"/>
        <w:outlineLvl w:val="0"/>
        <w:rPr>
          <w:rFonts w:hint="eastAsia" w:ascii="宋体" w:hAnsi="宋体" w:eastAsia="宋体" w:cs="宋体"/>
          <w:b/>
          <w:bCs/>
          <w:color w:val="auto"/>
          <w:spacing w:val="-3"/>
          <w:sz w:val="24"/>
          <w:szCs w:val="24"/>
          <w:highlight w:val="none"/>
        </w:rPr>
      </w:pPr>
    </w:p>
    <w:p w14:paraId="38523F32">
      <w:pPr>
        <w:spacing w:before="78" w:line="219" w:lineRule="auto"/>
        <w:ind w:left="2923"/>
        <w:outlineLvl w:val="0"/>
        <w:rPr>
          <w:rFonts w:hint="eastAsia" w:ascii="宋体" w:hAnsi="宋体" w:eastAsia="宋体" w:cs="宋体"/>
          <w:b/>
          <w:bCs/>
          <w:color w:val="auto"/>
          <w:spacing w:val="-3"/>
          <w:sz w:val="24"/>
          <w:szCs w:val="24"/>
          <w:highlight w:val="none"/>
        </w:rPr>
      </w:pPr>
    </w:p>
    <w:p w14:paraId="30E17FE4">
      <w:pPr>
        <w:spacing w:before="78" w:line="219" w:lineRule="auto"/>
        <w:ind w:left="2923"/>
        <w:outlineLvl w:val="0"/>
        <w:rPr>
          <w:rFonts w:hint="eastAsia" w:ascii="宋体" w:hAnsi="宋体" w:eastAsia="宋体" w:cs="宋体"/>
          <w:b/>
          <w:bCs/>
          <w:color w:val="auto"/>
          <w:spacing w:val="-3"/>
          <w:sz w:val="24"/>
          <w:szCs w:val="24"/>
          <w:highlight w:val="none"/>
        </w:rPr>
      </w:pPr>
    </w:p>
    <w:p w14:paraId="1A72C90A">
      <w:pPr>
        <w:spacing w:before="78" w:line="219" w:lineRule="auto"/>
        <w:ind w:left="2923"/>
        <w:outlineLvl w:val="0"/>
        <w:rPr>
          <w:rFonts w:hint="eastAsia" w:ascii="宋体" w:hAnsi="宋体" w:eastAsia="宋体" w:cs="宋体"/>
          <w:b/>
          <w:bCs/>
          <w:color w:val="auto"/>
          <w:spacing w:val="-3"/>
          <w:sz w:val="24"/>
          <w:szCs w:val="24"/>
          <w:highlight w:val="none"/>
        </w:rPr>
      </w:pPr>
    </w:p>
    <w:p w14:paraId="710B5863">
      <w:pPr>
        <w:spacing w:before="78" w:line="219" w:lineRule="auto"/>
        <w:ind w:left="2923"/>
        <w:outlineLvl w:val="0"/>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63"/>
    </w:p>
    <w:p w14:paraId="1B94BC0C">
      <w:pPr>
        <w:pStyle w:val="6"/>
        <w:spacing w:line="257" w:lineRule="auto"/>
        <w:rPr>
          <w:rFonts w:hint="eastAsia" w:ascii="宋体" w:hAnsi="宋体" w:eastAsia="宋体" w:cs="宋体"/>
          <w:color w:val="auto"/>
          <w:highlight w:val="none"/>
        </w:rPr>
      </w:pPr>
    </w:p>
    <w:p w14:paraId="6CC8F324">
      <w:pPr>
        <w:pStyle w:val="6"/>
        <w:spacing w:line="257" w:lineRule="auto"/>
        <w:rPr>
          <w:rFonts w:hint="eastAsia" w:ascii="宋体" w:hAnsi="宋体" w:eastAsia="宋体" w:cs="宋体"/>
          <w:color w:val="auto"/>
          <w:highlight w:val="none"/>
        </w:rPr>
      </w:pPr>
    </w:p>
    <w:p w14:paraId="67BF6DEB">
      <w:pPr>
        <w:spacing w:before="78" w:line="220" w:lineRule="auto"/>
        <w:ind w:left="498"/>
        <w:outlineLvl w:val="2"/>
        <w:rPr>
          <w:rFonts w:hint="eastAsia" w:ascii="宋体" w:hAnsi="宋体" w:eastAsia="宋体" w:cs="宋体"/>
          <w:color w:val="auto"/>
          <w:sz w:val="24"/>
          <w:szCs w:val="24"/>
          <w:highlight w:val="none"/>
        </w:rPr>
      </w:pPr>
      <w:bookmarkStart w:id="164" w:name="_Toc6603"/>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64"/>
    </w:p>
    <w:p w14:paraId="26524AE3">
      <w:pPr>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258B5D98">
      <w:pPr>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515689EE">
      <w:pPr>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58D57A6E">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05998231">
      <w:pPr>
        <w:spacing w:before="154" w:line="219" w:lineRule="auto"/>
        <w:ind w:left="58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7409424A">
      <w:pPr>
        <w:spacing w:before="154" w:line="360" w:lineRule="auto"/>
        <w:ind w:left="580"/>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lang w:val="en-US" w:eastAsia="en-US"/>
        </w:rPr>
        <w:t>1.2</w:t>
      </w:r>
      <w:r>
        <w:rPr>
          <w:rFonts w:hint="eastAsia" w:ascii="宋体" w:hAnsi="宋体" w:eastAsia="宋体" w:cs="宋体"/>
          <w:color w:val="auto"/>
          <w:spacing w:val="-1"/>
          <w:sz w:val="24"/>
          <w:szCs w:val="24"/>
          <w:highlight w:val="none"/>
          <w:lang w:val="en-US" w:eastAsia="zh-CN"/>
        </w:rPr>
        <w:t xml:space="preserve">  </w:t>
      </w:r>
      <w:r>
        <w:rPr>
          <w:rFonts w:hint="eastAsia" w:ascii="宋体" w:hAnsi="宋体" w:eastAsia="宋体" w:cs="宋体"/>
          <w:color w:val="auto"/>
          <w:spacing w:val="-2"/>
          <w:sz w:val="24"/>
          <w:szCs w:val="24"/>
          <w:highlight w:val="none"/>
        </w:rPr>
        <w:t>项目中标后，中标人须配建一定比例的公益项目，并在签订施工合同前，先行签订公益项目捐建协议</w:t>
      </w:r>
      <w:r>
        <w:rPr>
          <w:rFonts w:hint="eastAsia" w:ascii="宋体" w:hAnsi="宋体" w:eastAsia="宋体" w:cs="宋体"/>
          <w:color w:val="auto"/>
          <w:spacing w:val="-2"/>
          <w:sz w:val="24"/>
          <w:szCs w:val="24"/>
          <w:highlight w:val="none"/>
          <w:lang w:eastAsia="zh-CN"/>
        </w:rPr>
        <w:t>。</w:t>
      </w:r>
    </w:p>
    <w:p w14:paraId="1A3CB02C">
      <w:pPr>
        <w:pStyle w:val="6"/>
        <w:spacing w:line="257" w:lineRule="auto"/>
        <w:rPr>
          <w:rFonts w:hint="eastAsia" w:ascii="宋体" w:hAnsi="宋体" w:eastAsia="宋体" w:cs="宋体"/>
          <w:color w:val="auto"/>
          <w:highlight w:val="none"/>
        </w:rPr>
      </w:pPr>
    </w:p>
    <w:p w14:paraId="48096343">
      <w:pPr>
        <w:spacing w:before="78" w:line="220" w:lineRule="auto"/>
        <w:ind w:left="488"/>
        <w:outlineLvl w:val="2"/>
        <w:rPr>
          <w:rFonts w:hint="eastAsia" w:ascii="宋体" w:hAnsi="宋体" w:eastAsia="宋体" w:cs="宋体"/>
          <w:color w:val="auto"/>
          <w:sz w:val="24"/>
          <w:szCs w:val="24"/>
          <w:highlight w:val="none"/>
        </w:rPr>
      </w:pPr>
      <w:bookmarkStart w:id="165" w:name="bookmark88"/>
      <w:bookmarkEnd w:id="165"/>
      <w:bookmarkStart w:id="166" w:name="_Toc24910"/>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66"/>
    </w:p>
    <w:p w14:paraId="5F789777">
      <w:pPr>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7C2B4B88">
      <w:pPr>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67" w:name="OLE_LINK28"/>
      <w:r>
        <w:rPr>
          <w:rFonts w:hint="eastAsia" w:ascii="宋体" w:hAnsi="宋体" w:eastAsia="宋体" w:cs="宋体"/>
          <w:color w:val="auto"/>
          <w:spacing w:val="-5"/>
          <w:sz w:val="24"/>
          <w:szCs w:val="24"/>
          <w:highlight w:val="none"/>
        </w:rPr>
        <w:t>《建设工程工程量清单计价</w:t>
      </w:r>
      <w:r>
        <w:rPr>
          <w:rFonts w:hint="eastAsia" w:ascii="宋体" w:hAnsi="宋体" w:eastAsia="宋体" w:cs="宋体"/>
          <w:color w:val="auto"/>
          <w:spacing w:val="-5"/>
          <w:sz w:val="24"/>
          <w:szCs w:val="24"/>
          <w:highlight w:val="none"/>
          <w:lang w:val="en-US" w:eastAsia="zh-CN"/>
        </w:rPr>
        <w:t>标准</w:t>
      </w:r>
      <w:r>
        <w:rPr>
          <w:rFonts w:hint="eastAsia" w:ascii="宋体" w:hAnsi="宋体" w:eastAsia="宋体" w:cs="宋体"/>
          <w:color w:val="auto"/>
          <w:spacing w:val="-5"/>
          <w:sz w:val="24"/>
          <w:szCs w:val="24"/>
          <w:highlight w:val="none"/>
        </w:rPr>
        <w:t>》（GB50500—</w:t>
      </w:r>
      <w:r>
        <w:rPr>
          <w:rFonts w:hint="eastAsia" w:ascii="宋体" w:hAnsi="宋体" w:eastAsia="宋体" w:cs="宋体"/>
          <w:color w:val="auto"/>
          <w:spacing w:val="-5"/>
          <w:sz w:val="24"/>
          <w:szCs w:val="24"/>
          <w:highlight w:val="none"/>
          <w:lang w:val="en-US" w:eastAsia="zh-CN"/>
        </w:rPr>
        <w:t>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67"/>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w:t>
      </w:r>
    </w:p>
    <w:p w14:paraId="01C87EDF">
      <w:pPr>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50F65D12">
      <w:pPr>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0AC2BD08">
      <w:pPr>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393945A3">
      <w:pPr>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 天。</w:t>
      </w:r>
    </w:p>
    <w:p w14:paraId="23643975">
      <w:pPr>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3BE6F0A0">
      <w:pPr>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53B8677A">
      <w:pPr>
        <w:spacing w:before="158" w:line="309"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rPr>
        <w:t>15%以</w:t>
      </w:r>
      <w:r>
        <w:rPr>
          <w:rFonts w:hint="eastAsia" w:ascii="宋体" w:hAnsi="宋体" w:eastAsia="宋体" w:cs="宋体"/>
          <w:color w:val="auto"/>
          <w:spacing w:val="-4"/>
          <w:sz w:val="24"/>
          <w:szCs w:val="24"/>
          <w:highlight w:val="none"/>
        </w:rPr>
        <w:t>内（含</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15%）的，其综合单价不予调整；工程量偏差或变化超过</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15%的，按照以下规定</w:t>
      </w:r>
      <w:r>
        <w:rPr>
          <w:rFonts w:hint="eastAsia" w:ascii="宋体" w:hAnsi="宋体" w:eastAsia="宋体" w:cs="宋体"/>
          <w:color w:val="auto"/>
          <w:spacing w:val="-3"/>
          <w:sz w:val="24"/>
          <w:szCs w:val="24"/>
          <w:highlight w:val="none"/>
        </w:rPr>
        <w:t>调整：</w:t>
      </w:r>
    </w:p>
    <w:p w14:paraId="5B55EA75">
      <w:pPr>
        <w:spacing w:before="78" w:line="327" w:lineRule="auto"/>
        <w:ind w:left="12" w:firstLine="478"/>
        <w:jc w:val="both"/>
        <w:rPr>
          <w:rFonts w:hint="eastAsia" w:ascii="宋体" w:hAnsi="宋体" w:eastAsia="宋体" w:cs="宋体"/>
          <w:color w:val="auto"/>
          <w:sz w:val="24"/>
          <w:szCs w:val="24"/>
          <w:highlight w:val="none"/>
        </w:rPr>
      </w:pPr>
      <w:bookmarkStart w:id="168" w:name="bookmark142"/>
      <w:bookmarkEnd w:id="168"/>
      <w:r>
        <w:rPr>
          <w:rFonts w:hint="eastAsia" w:ascii="宋体" w:hAnsi="宋体" w:eastAsia="宋体" w:cs="宋体"/>
          <w:color w:val="auto"/>
          <w:spacing w:val="-3"/>
          <w:sz w:val="24"/>
          <w:szCs w:val="24"/>
          <w:highlight w:val="none"/>
        </w:rPr>
        <w:t>对于合理报价的清单项目，当工程量增加超过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auto"/>
          <w:spacing w:val="-1"/>
          <w:sz w:val="24"/>
          <w:szCs w:val="24"/>
          <w:highlight w:val="none"/>
        </w:rPr>
        <w:t>。</w:t>
      </w:r>
    </w:p>
    <w:p w14:paraId="2482612A">
      <w:pPr>
        <w:spacing w:before="97" w:line="324"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5A5F1B3C">
      <w:pPr>
        <w:spacing w:before="97" w:line="324" w:lineRule="auto"/>
        <w:ind w:left="13" w:right="179" w:firstLine="477"/>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中《分部分项工程和单价措施项目清单与计价表》子目相对应综合单价×（1-中标下浮率）。</w:t>
      </w:r>
    </w:p>
    <w:p w14:paraId="51501E43">
      <w:pPr>
        <w:spacing w:before="97" w:line="324" w:lineRule="auto"/>
        <w:ind w:left="13" w:right="179" w:firstLine="477"/>
        <w:rPr>
          <w:rFonts w:hint="eastAsia" w:ascii="宋体" w:hAnsi="宋体" w:eastAsia="宋体" w:cs="宋体"/>
          <w:b/>
          <w:bCs/>
          <w:color w:val="auto"/>
          <w:spacing w:val="-4"/>
          <w:sz w:val="24"/>
          <w:szCs w:val="24"/>
          <w:highlight w:val="none"/>
        </w:rPr>
      </w:pPr>
      <w:bookmarkStart w:id="169" w:name="_Toc18478"/>
      <w:bookmarkStart w:id="170" w:name="_Toc12035"/>
      <w:bookmarkStart w:id="171" w:name="_Toc30068"/>
      <w:r>
        <w:rPr>
          <w:rFonts w:hint="eastAsia" w:ascii="宋体" w:hAnsi="宋体" w:eastAsia="宋体" w:cs="宋体"/>
          <w:b/>
          <w:bCs/>
          <w:color w:val="auto"/>
          <w:spacing w:val="-4"/>
          <w:sz w:val="24"/>
          <w:szCs w:val="24"/>
          <w:highlight w:val="none"/>
        </w:rPr>
        <w:t>中标下浮率=[1-（中标价-</w:t>
      </w:r>
      <w:r>
        <w:rPr>
          <w:rFonts w:hint="eastAsia" w:ascii="宋体" w:hAnsi="宋体" w:eastAsia="宋体" w:cs="宋体"/>
          <w:b/>
          <w:bCs/>
          <w:color w:val="auto"/>
          <w:spacing w:val="-4"/>
          <w:sz w:val="24"/>
          <w:szCs w:val="24"/>
          <w:highlight w:val="none"/>
          <w:lang w:val="en-US" w:eastAsia="zh-CN"/>
        </w:rPr>
        <w:t>中标安全生产措施费</w:t>
      </w:r>
      <w:r>
        <w:rPr>
          <w:rFonts w:hint="eastAsia" w:ascii="宋体" w:hAnsi="宋体" w:eastAsia="宋体" w:cs="宋体"/>
          <w:b/>
          <w:bCs/>
          <w:color w:val="auto"/>
          <w:spacing w:val="-4"/>
          <w:sz w:val="24"/>
          <w:szCs w:val="24"/>
          <w:highlight w:val="none"/>
        </w:rPr>
        <w:t>-暂列金额-暂估价）/（</w:t>
      </w:r>
      <w:bookmarkEnd w:id="169"/>
      <w:bookmarkEnd w:id="170"/>
      <w:bookmarkStart w:id="172" w:name="_Toc13602"/>
      <w:bookmarkStart w:id="173" w:name="_Toc15512"/>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-控制价</w:t>
      </w:r>
      <w:r>
        <w:rPr>
          <w:rFonts w:hint="eastAsia" w:ascii="宋体" w:hAnsi="宋体" w:eastAsia="宋体" w:cs="宋体"/>
          <w:b/>
          <w:bCs/>
          <w:color w:val="auto"/>
          <w:spacing w:val="-4"/>
          <w:sz w:val="24"/>
          <w:szCs w:val="24"/>
          <w:highlight w:val="none"/>
          <w:lang w:val="en-US" w:eastAsia="zh-CN"/>
        </w:rPr>
        <w:t>安全生产措施费</w:t>
      </w:r>
      <w:r>
        <w:rPr>
          <w:rFonts w:hint="eastAsia" w:ascii="宋体" w:hAnsi="宋体" w:eastAsia="宋体" w:cs="宋体"/>
          <w:b/>
          <w:bCs/>
          <w:color w:val="auto"/>
          <w:spacing w:val="-4"/>
          <w:sz w:val="24"/>
          <w:szCs w:val="24"/>
          <w:highlight w:val="none"/>
        </w:rPr>
        <w:t>-暂列金额-暂估价）] ×100%</w:t>
      </w:r>
      <w:bookmarkEnd w:id="171"/>
      <w:bookmarkEnd w:id="172"/>
      <w:bookmarkEnd w:id="173"/>
    </w:p>
    <w:p w14:paraId="6393F5EA">
      <w:pPr>
        <w:spacing w:before="123" w:line="301"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68FBC4E8">
      <w:pPr>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3EF8AFC3">
      <w:pPr>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662453EE">
      <w:pPr>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5EF0AACD">
      <w:pPr>
        <w:numPr>
          <w:ilvl w:val="0"/>
          <w:numId w:val="3"/>
        </w:numPr>
        <w:spacing w:before="78" w:line="360" w:lineRule="auto"/>
        <w:ind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74" w:name="bookmark143"/>
      <w:bookmarkEnd w:id="174"/>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 条被认定为不平衡报价的清单项目，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 2.3.2.1 的</w:t>
      </w:r>
      <w:r>
        <w:rPr>
          <w:rFonts w:hint="eastAsia" w:ascii="宋体" w:hAnsi="宋体" w:eastAsia="宋体" w:cs="宋体"/>
          <w:b/>
          <w:bCs/>
          <w:color w:val="auto"/>
          <w:spacing w:val="-2"/>
          <w:sz w:val="24"/>
          <w:szCs w:val="24"/>
          <w:highlight w:val="none"/>
        </w:rPr>
        <w:t>方法调整。】</w:t>
      </w:r>
    </w:p>
    <w:p w14:paraId="2C5B3DDC">
      <w:pPr>
        <w:numPr>
          <w:ilvl w:val="0"/>
          <w:numId w:val="0"/>
        </w:numPr>
        <w:spacing w:before="78" w:line="360" w:lineRule="auto"/>
        <w:ind w:firstLine="237"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 的方法调整。</w:t>
      </w:r>
    </w:p>
    <w:p w14:paraId="044009E5">
      <w:pPr>
        <w:numPr>
          <w:ilvl w:val="0"/>
          <w:numId w:val="0"/>
        </w:numPr>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5388631A">
      <w:pPr>
        <w:spacing w:before="126" w:line="314" w:lineRule="auto"/>
        <w:ind w:left="29" w:right="21" w:firstLine="50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w:t>
      </w:r>
      <w:r>
        <w:rPr>
          <w:rFonts w:hint="eastAsia" w:ascii="宋体" w:hAnsi="宋体" w:eastAsia="宋体" w:cs="宋体"/>
          <w:b/>
          <w:bCs/>
          <w:color w:val="auto"/>
          <w:spacing w:val="-3"/>
          <w:sz w:val="24"/>
          <w:szCs w:val="24"/>
          <w:highlight w:val="none"/>
          <w:lang w:eastAsia="zh-CN"/>
        </w:rPr>
        <w:t>最高投标限价</w:t>
      </w:r>
      <w:r>
        <w:rPr>
          <w:rFonts w:hint="eastAsia" w:ascii="宋体" w:hAnsi="宋体" w:eastAsia="宋体" w:cs="宋体"/>
          <w:b/>
          <w:bCs/>
          <w:color w:val="auto"/>
          <w:spacing w:val="-3"/>
          <w:sz w:val="24"/>
          <w:szCs w:val="24"/>
          <w:highlight w:val="none"/>
        </w:rPr>
        <w:t>-控制价</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3"/>
          <w:sz w:val="24"/>
          <w:szCs w:val="24"/>
          <w:highlight w:val="none"/>
        </w:rPr>
        <w:t>-暂列金额-暂估价）]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3EAAA9C2">
      <w:pPr>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11F70C36">
      <w:pPr>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531604AE">
      <w:pPr>
        <w:spacing w:before="152" w:line="220" w:lineRule="auto"/>
        <w:ind w:left="499"/>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b/>
          <w:bCs/>
          <w:color w:val="auto"/>
          <w:spacing w:val="-1"/>
          <w:sz w:val="24"/>
          <w:szCs w:val="24"/>
          <w:highlight w:val="none"/>
        </w:rPr>
        <w:t>）</w:t>
      </w:r>
      <w:r>
        <w:rPr>
          <w:rFonts w:hint="eastAsia" w:ascii="宋体" w:hAnsi="宋体" w:eastAsia="宋体" w:cs="宋体"/>
          <w:b w:val="0"/>
          <w:bCs w:val="0"/>
          <w:color w:val="auto"/>
          <w:spacing w:val="-1"/>
          <w:sz w:val="24"/>
          <w:szCs w:val="24"/>
          <w:highlight w:val="none"/>
        </w:rPr>
        <w:t>安全生产措施费应按照实际发生变化的措施项目计算。</w:t>
      </w:r>
    </w:p>
    <w:p w14:paraId="601BC492">
      <w:pPr>
        <w:spacing w:before="156" w:line="309" w:lineRule="auto"/>
        <w:ind w:left="7" w:right="81" w:firstLine="477"/>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 2.3.3.1 子目的规定确定单价。</w:t>
      </w:r>
    </w:p>
    <w:p w14:paraId="4D9326AB">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 1-中标下浮率）。</w:t>
      </w:r>
    </w:p>
    <w:p w14:paraId="0F4567BC">
      <w:pPr>
        <w:spacing w:before="157" w:line="324"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09FC9918">
      <w:pPr>
        <w:spacing w:before="35" w:line="309"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768E8515">
      <w:pPr>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76795D8D">
      <w:pPr>
        <w:spacing w:before="78" w:line="331" w:lineRule="auto"/>
        <w:ind w:left="8" w:right="108" w:firstLine="480"/>
        <w:jc w:val="both"/>
        <w:rPr>
          <w:rFonts w:hint="eastAsia" w:ascii="宋体" w:hAnsi="宋体" w:eastAsia="宋体" w:cs="宋体"/>
          <w:color w:val="auto"/>
          <w:sz w:val="24"/>
          <w:szCs w:val="24"/>
          <w:highlight w:val="none"/>
        </w:rPr>
      </w:pPr>
      <w:bookmarkStart w:id="175" w:name="bookmark144"/>
      <w:bookmarkEnd w:id="175"/>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668F6256">
      <w:pPr>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12962E2B">
      <w:pPr>
        <w:spacing w:before="152" w:line="278"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子目的规定确定单价，并调整合同价款。</w:t>
      </w:r>
    </w:p>
    <w:p w14:paraId="1CCA4EE2">
      <w:pPr>
        <w:spacing w:before="157" w:line="219"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0B453D5A">
      <w:pPr>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1B89C915">
      <w:pPr>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431259BB">
      <w:pPr>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584E8AC9">
      <w:pPr>
        <w:spacing w:before="153" w:line="220" w:lineRule="auto"/>
        <w:ind w:left="494"/>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48504F9D">
      <w:pPr>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620B4A06">
      <w:pPr>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 为</w:t>
      </w:r>
      <w:r>
        <w:rPr>
          <w:rFonts w:hint="eastAsia" w:ascii="宋体" w:hAnsi="宋体" w:eastAsia="宋体" w:cs="宋体"/>
          <w:color w:val="auto"/>
          <w:spacing w:val="-2"/>
          <w:sz w:val="24"/>
          <w:szCs w:val="24"/>
          <w:highlight w:val="none"/>
          <w:u w:val="single"/>
        </w:rPr>
        <w:t xml:space="preserve">  5%   </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 值时，该材料、工程设备单价不予调整；超过</w:t>
      </w:r>
      <w:r>
        <w:rPr>
          <w:rFonts w:hint="eastAsia" w:ascii="宋体" w:hAnsi="宋体" w:eastAsia="宋体" w:cs="宋体"/>
          <w:color w:val="auto"/>
          <w:sz w:val="24"/>
          <w:szCs w:val="24"/>
          <w:highlight w:val="none"/>
        </w:rPr>
        <w:t>A 值时，其超过部分可以调整。相关费用按有关规定进行相</w:t>
      </w:r>
      <w:r>
        <w:rPr>
          <w:rFonts w:hint="eastAsia" w:ascii="宋体" w:hAnsi="宋体" w:eastAsia="宋体" w:cs="宋体"/>
          <w:color w:val="auto"/>
          <w:spacing w:val="-1"/>
          <w:sz w:val="24"/>
          <w:szCs w:val="24"/>
          <w:highlight w:val="none"/>
        </w:rPr>
        <w:t>应调整。</w:t>
      </w:r>
    </w:p>
    <w:p w14:paraId="7A5EF1AF">
      <w:pPr>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030C848A">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o:preferrelative="t" stroked="f" coordsize="21600,21600">
            <v:path/>
            <v:fill on="f" focussize="0,0"/>
            <v:stroke on="f"/>
            <v:imagedata r:id="rId30" embosscolor="#FFFFFF" o:title=""/>
            <o:lock v:ext="edit" grouping="f" rotation="f" text="f" aspectratio="t"/>
            <w10:wrap type="none"/>
            <w10:anchorlock/>
          </v:shape>
          <o:OLEObject Type="Embed" ProgID="Equation.KSEE3" ShapeID="_x0000_i1025" DrawAspect="Content" ObjectID="_1468075725" r:id="rId29">
            <o:LockedField>false</o:LockedField>
          </o:OLEObject>
        </w:object>
      </w:r>
    </w:p>
    <w:p w14:paraId="4D492031">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o:preferrelative="t" stroked="f" coordsize="21600,21600">
            <v:path/>
            <v:fill on="f" focussize="0,0"/>
            <v:stroke on="f"/>
            <v:imagedata r:id="rId32" embosscolor="#FFFFFF" o:title=""/>
            <o:lock v:ext="edit" grouping="f" rotation="f" text="f" aspectratio="t"/>
            <w10:wrap type="none"/>
            <w10:anchorlock/>
          </v:shape>
          <o:OLEObject Type="Embed" ProgID="Equation.KSEE3" ShapeID="_x0000_i1026" DrawAspect="Content" ObjectID="_1468075726" r:id="rId31">
            <o:LockedField>false</o:LockedField>
          </o:OLEObject>
        </w:object>
      </w:r>
    </w:p>
    <w:p w14:paraId="608B9F53">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o:preferrelative="t" stroked="f" coordsize="21600,21600">
            <v:path/>
            <v:fill on="f" focussize="0,0"/>
            <v:stroke on="f"/>
            <v:imagedata r:id="rId34" embosscolor="#FFFFFF" o:title=""/>
            <o:lock v:ext="edit" grouping="f" rotation="f" text="f" aspectratio="t"/>
            <w10:wrap type="none"/>
            <w10:anchorlock/>
          </v:shape>
          <o:OLEObject Type="Embed" ProgID="Equation.KSEE3" ShapeID="_x0000_i1027" DrawAspect="Content" ObjectID="_1468075727" r:id="rId33">
            <o:LockedField>false</o:LockedField>
          </o:OLEObject>
        </w:object>
      </w:r>
    </w:p>
    <w:p w14:paraId="5CDA4E90">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o:preferrelative="t" stroked="f" coordsize="21600,21600">
            <v:path/>
            <v:fill on="f" focussize="0,0"/>
            <v:stroke on="f"/>
            <v:imagedata r:id="rId36" embosscolor="#FFFFFF" o:title=""/>
            <o:lock v:ext="edit" grouping="f" rotation="f" text="f" aspectratio="t"/>
            <w10:wrap type="none"/>
            <w10:anchorlock/>
          </v:shape>
          <o:OLEObject Type="Embed" ProgID="Equation.KSEE3" ShapeID="_x0000_i1028" DrawAspect="Content" ObjectID="_1468075728" r:id="rId35">
            <o:LockedField>false</o:LockedField>
          </o:OLEObject>
        </w:object>
      </w:r>
    </w:p>
    <w:p w14:paraId="5FA62F9D">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c．涨价时，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o:preferrelative="t" stroked="f" coordsize="21600,21600">
            <v:path/>
            <v:fill on="f" focussize="0,0"/>
            <v:stroke on="f"/>
            <v:imagedata r:id="rId38" embosscolor="#FFFFFF" o:title=""/>
            <o:lock v:ext="edit" grouping="f" rotation="f" text="f" aspectratio="t"/>
            <w10:wrap type="none"/>
            <w10:anchorlock/>
          </v:shape>
          <o:OLEObject Type="Embed" ProgID="Equation.KSEE3" ShapeID="_x0000_i1029" DrawAspect="Content" ObjectID="_1468075729" r:id="rId37">
            <o:LockedField>false</o:LockedField>
          </o:OLEObject>
        </w:object>
      </w:r>
    </w:p>
    <w:p w14:paraId="23DD8A28">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40" embosscolor="#FFFFFF" o:title=""/>
            <o:lock v:ext="edit" grouping="f" rotation="f" text="f" aspectratio="t"/>
            <w10:wrap type="none"/>
            <w10:anchorlock/>
          </v:shape>
          <o:OLEObject Type="Embed" ProgID="Equation.KSEE3" ShapeID="_x0000_i1030" DrawAspect="Content" ObjectID="_1468075730" r:id="rId39">
            <o:LockedField>false</o:LockedField>
          </o:OLEObject>
        </w:object>
      </w:r>
    </w:p>
    <w:p w14:paraId="6D7EB0A5">
      <w:pPr>
        <w:spacing w:before="78"/>
        <w:ind w:left="330"/>
        <w:rPr>
          <w:rFonts w:hint="eastAsia" w:ascii="宋体" w:hAnsi="宋体" w:eastAsia="宋体" w:cs="宋体"/>
          <w:color w:val="auto"/>
          <w:sz w:val="24"/>
          <w:szCs w:val="24"/>
          <w:highlight w:val="none"/>
        </w:rPr>
      </w:pPr>
    </w:p>
    <w:p w14:paraId="06069E38">
      <w:pPr>
        <w:spacing w:before="140" w:line="196" w:lineRule="auto"/>
        <w:ind w:left="3758"/>
        <w:rPr>
          <w:rFonts w:hint="eastAsia" w:ascii="宋体" w:hAnsi="宋体" w:eastAsia="宋体" w:cs="宋体"/>
          <w:color w:val="auto"/>
          <w:sz w:val="13"/>
          <w:szCs w:val="13"/>
          <w:highlight w:val="none"/>
        </w:rPr>
      </w:pPr>
      <w:r>
        <w:rPr>
          <w:rFonts w:hint="eastAsia" w:ascii="宋体" w:hAnsi="宋体" w:eastAsia="宋体" w:cs="宋体"/>
          <w:color w:val="auto"/>
          <w:spacing w:val="-2"/>
          <w:position w:val="1"/>
          <w:sz w:val="24"/>
          <w:szCs w:val="24"/>
          <w:highlight w:val="none"/>
        </w:rPr>
        <w:t>F</w:t>
      </w:r>
      <w:r>
        <w:rPr>
          <w:rFonts w:hint="eastAsia" w:ascii="宋体" w:hAnsi="宋体" w:eastAsia="宋体" w:cs="宋体"/>
          <w:color w:val="auto"/>
          <w:spacing w:val="-2"/>
          <w:position w:val="-4"/>
          <w:sz w:val="13"/>
          <w:szCs w:val="13"/>
          <w:highlight w:val="none"/>
        </w:rPr>
        <w:t>0</w:t>
      </w:r>
    </w:p>
    <w:p w14:paraId="3B8337F3">
      <w:pPr>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 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2FCF1F16">
      <w:pPr>
        <w:spacing w:before="33" w:line="299" w:lineRule="auto"/>
        <w:ind w:right="5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081F7290">
      <w:pPr>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182F86EE">
      <w:pPr>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5B588461">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2" embosscolor="#FFFFFF" o:title=""/>
            <o:lock v:ext="edit" grouping="f" rotation="f" text="f" aspectratio="t"/>
            <w10:wrap type="none"/>
            <w10:anchorlock/>
          </v:shape>
          <o:OLEObject Type="Embed" ProgID="Equation.KSEE3" ShapeID="_x0000_i1031" DrawAspect="Content" ObjectID="_1468075731" r:id="rId41">
            <o:LockedField>false</o:LockedField>
          </o:OLEObject>
        </w:object>
      </w:r>
    </w:p>
    <w:p w14:paraId="5A143971">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4" embosscolor="#FFFFFF" o:title=""/>
            <o:lock v:ext="edit" grouping="f" rotation="f" text="f" aspectratio="t"/>
            <w10:wrap type="none"/>
            <w10:anchorlock/>
          </v:shape>
          <o:OLEObject Type="Embed" ProgID="Equation.KSEE3" ShapeID="_x0000_i1032" DrawAspect="Content" ObjectID="_1468075732" r:id="rId43">
            <o:LockedField>false</o:LockedField>
          </o:OLEObject>
        </w:object>
      </w:r>
    </w:p>
    <w:p w14:paraId="71DA5EDB">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73DAD1F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6" embosscolor="#FFFFFF" o:title=""/>
            <o:lock v:ext="edit" grouping="f" rotation="f" text="f" aspectratio="t"/>
            <w10:wrap type="none"/>
            <w10:anchorlock/>
          </v:shape>
          <o:OLEObject Type="Embed" ProgID="Equation.KSEE3" ShapeID="_x0000_i1033" DrawAspect="Content" ObjectID="_1468075733" r:id="rId45">
            <o:LockedField>false</o:LockedField>
          </o:OLEObject>
        </w:object>
      </w:r>
    </w:p>
    <w:p w14:paraId="0DF37DD9">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8" embosscolor="#FFFFFF" o:title=""/>
            <o:lock v:ext="edit" grouping="f" rotation="f" text="f" aspectratio="t"/>
            <w10:wrap type="none"/>
            <w10:anchorlock/>
          </v:shape>
          <o:OLEObject Type="Embed" ProgID="Equation.KSEE3" ShapeID="_x0000_i1034" DrawAspect="Content" ObjectID="_1468075734" r:id="rId47">
            <o:LockedField>false</o:LockedField>
          </o:OLEObject>
        </w:object>
      </w:r>
    </w:p>
    <w:p w14:paraId="3A18FCB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43BF53D3">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50" embosscolor="#FFFFFF" o:title=""/>
            <o:lock v:ext="edit" grouping="f" rotation="f" text="f" aspectratio="t"/>
            <w10:wrap type="none"/>
            <w10:anchorlock/>
          </v:shape>
          <o:OLEObject Type="Embed" ProgID="Equation.KSEE3" ShapeID="_x0000_i1035" DrawAspect="Content" ObjectID="_1468075735" r:id="rId49">
            <o:LockedField>false</o:LockedField>
          </o:OLEObject>
        </w:object>
      </w:r>
    </w:p>
    <w:p w14:paraId="4B570A77">
      <w:pPr>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2" embosscolor="#FFFFFF" o:title=""/>
            <o:lock v:ext="edit" grouping="f" rotation="f" text="f" aspectratio="t"/>
            <w10:wrap type="none"/>
            <w10:anchorlock/>
          </v:shape>
          <o:OLEObject Type="Embed" ProgID="Equation.KSEE3" ShapeID="_x0000_i1036" DrawAspect="Content" ObjectID="_1468075736" r:id="rId51">
            <o:LockedField>false</o:LockedField>
          </o:OLEObject>
        </w:object>
      </w:r>
    </w:p>
    <w:p w14:paraId="21C1C499">
      <w:pPr>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6BEA2F3E">
      <w:pPr>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0EB572A7">
      <w:pPr>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13FAEFE8">
      <w:pPr>
        <w:spacing w:before="153" w:line="315" w:lineRule="auto"/>
        <w:ind w:left="8" w:right="2"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5F0733E8">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7F10FE20">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8"/>
          <w:sz w:val="24"/>
          <w:szCs w:val="24"/>
          <w:highlight w:val="none"/>
        </w:rPr>
        <w:t>》（GB50500—20</w:t>
      </w:r>
      <w:r>
        <w:rPr>
          <w:rFonts w:hint="eastAsia" w:ascii="宋体" w:hAnsi="宋体" w:eastAsia="宋体" w:cs="宋体"/>
          <w:color w:val="auto"/>
          <w:spacing w:val="-8"/>
          <w:sz w:val="24"/>
          <w:szCs w:val="24"/>
          <w:highlight w:val="none"/>
          <w:lang w:val="en-US" w:eastAsia="zh-CN"/>
        </w:rPr>
        <w:t>24</w:t>
      </w:r>
      <w:r>
        <w:rPr>
          <w:rFonts w:hint="eastAsia" w:ascii="宋体" w:hAnsi="宋体" w:eastAsia="宋体" w:cs="宋体"/>
          <w:color w:val="auto"/>
          <w:spacing w:val="-8"/>
          <w:sz w:val="24"/>
          <w:szCs w:val="24"/>
          <w:highlight w:val="none"/>
        </w:rPr>
        <w:t>）有关规定执行。</w:t>
      </w:r>
    </w:p>
    <w:p w14:paraId="50EB52AA">
      <w:pPr>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z w:val="24"/>
          <w:szCs w:val="24"/>
          <w:highlight w:val="none"/>
        </w:rPr>
        <w:t>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19DA12CE">
      <w:pPr>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01E94B7B">
      <w:pPr>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42772186">
      <w:pPr>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4212D90A">
      <w:pPr>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加的费用和（或）工期延误由承包人承担。</w:t>
      </w:r>
    </w:p>
    <w:p w14:paraId="300DDFC8">
      <w:pPr>
        <w:spacing w:before="152" w:line="319"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 的，则采用厂商报价或市场询价等方式取得有合法依据的市场价格，报发包人确认。</w:t>
      </w:r>
    </w:p>
    <w:p w14:paraId="6245169A">
      <w:pPr>
        <w:pStyle w:val="30"/>
        <w:snapToGrid w:val="0"/>
        <w:spacing w:line="440" w:lineRule="exact"/>
        <w:ind w:firstLine="480"/>
        <w:jc w:val="both"/>
        <w:outlineLvl w:val="2"/>
        <w:rPr>
          <w:rStyle w:val="21"/>
          <w:rFonts w:hint="eastAsia" w:ascii="宋体" w:hAnsi="宋体" w:eastAsia="宋体" w:cs="宋体"/>
          <w:b/>
          <w:bCs/>
          <w:color w:val="auto"/>
          <w:sz w:val="24"/>
          <w:szCs w:val="24"/>
          <w:highlight w:val="none"/>
        </w:rPr>
      </w:pPr>
      <w:bookmarkStart w:id="176" w:name="_Toc5247"/>
      <w:bookmarkStart w:id="177" w:name="_Toc1816"/>
      <w:r>
        <w:rPr>
          <w:rStyle w:val="21"/>
          <w:rFonts w:hint="eastAsia" w:ascii="宋体" w:hAnsi="宋体" w:eastAsia="宋体" w:cs="宋体"/>
          <w:b/>
          <w:bCs/>
          <w:color w:val="auto"/>
          <w:sz w:val="24"/>
          <w:szCs w:val="24"/>
          <w:highlight w:val="none"/>
        </w:rPr>
        <w:t>3. 工程付款办法</w:t>
      </w:r>
      <w:bookmarkEnd w:id="176"/>
      <w:bookmarkEnd w:id="177"/>
    </w:p>
    <w:p w14:paraId="47DD6CF3">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034C0557">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1606CF3C">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snapToGrid w:val="0"/>
          <w:color w:val="auto"/>
          <w:kern w:val="0"/>
          <w:sz w:val="24"/>
          <w:szCs w:val="20"/>
          <w:highlight w:val="none"/>
          <w:lang w:val="en-US" w:eastAsia="zh-CN"/>
        </w:rPr>
        <w:t>施工预付款支付比例为：按施工合同价（暂估价、暂列金额除外）的 30% 支付，其中施工合同价(暂估价、暂列金额除外)5%直接拨付至农民工工资专用账户且应留存至最后一期支付进度款时全额扣回。</w:t>
      </w:r>
    </w:p>
    <w:p w14:paraId="2AB46FF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要求 </w:t>
      </w:r>
      <w:r>
        <w:rPr>
          <w:rFonts w:hint="eastAsia" w:ascii="宋体" w:hAnsi="宋体" w:eastAsia="宋体" w:cs="宋体"/>
          <w:snapToGrid w:val="0"/>
          <w:color w:val="auto"/>
          <w:kern w:val="0"/>
          <w:sz w:val="24"/>
          <w:szCs w:val="20"/>
          <w:highlight w:val="none"/>
          <w:lang w:eastAsia="zh-CN"/>
        </w:rPr>
        <w:t>承包人提供与预付款等额的预付款保函。</w:t>
      </w:r>
    </w:p>
    <w:p w14:paraId="31DF017C">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 xml:space="preserve">3.2.3 </w:t>
      </w:r>
      <w:r>
        <w:rPr>
          <w:rFonts w:hint="eastAsia" w:ascii="宋体" w:hAnsi="宋体" w:eastAsia="宋体" w:cs="宋体"/>
          <w:b w:val="0"/>
          <w:bCs w:val="0"/>
          <w:snapToGrid w:val="0"/>
          <w:color w:val="auto"/>
          <w:kern w:val="0"/>
          <w:sz w:val="24"/>
          <w:szCs w:val="20"/>
          <w:highlight w:val="none"/>
          <w:lang w:val="en-US" w:eastAsia="zh-CN"/>
        </w:rPr>
        <w:t>承包人应在签订合同后，在提供符合要求的预付款保函及在具备施工条件的前提下，向发包人提交预付款支付申请。发包人应对在收到支付申请的7天内进行核实后向承包人发出预付款支付证书，并在签发支付证书后的 7 天内向承包人支付预付款。凡未签订合同或不具备施工条件的工程，发包人不得预付工程款。</w:t>
      </w:r>
    </w:p>
    <w:p w14:paraId="4CA55248">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预付款的抵扣方式、抵扣比例和抵扣时间安排：预付款应</w:t>
      </w:r>
      <w:r>
        <w:rPr>
          <w:rFonts w:hint="eastAsia" w:ascii="宋体" w:hAnsi="宋体" w:eastAsia="宋体" w:cs="宋体"/>
          <w:snapToGrid w:val="0"/>
          <w:color w:val="auto"/>
          <w:kern w:val="0"/>
          <w:sz w:val="24"/>
          <w:szCs w:val="20"/>
          <w:highlight w:val="none"/>
          <w:lang w:val="en-US" w:eastAsia="zh-CN"/>
        </w:rPr>
        <w:t>从进度款中按 50%的比例同步扣回预付款。预付款在首次申请进度款时开始扣回，直至全部扣完终止。</w:t>
      </w:r>
    </w:p>
    <w:p w14:paraId="666F7C71">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2DC592B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snapToGrid w:val="0"/>
          <w:color w:val="auto"/>
          <w:kern w:val="0"/>
          <w:sz w:val="24"/>
          <w:szCs w:val="20"/>
          <w:highlight w:val="none"/>
          <w:lang w:val="en-US" w:eastAsia="zh-CN"/>
        </w:rPr>
        <w:t>每月的工程进度款按工程实际完成工程量的 80% 申请支付，工程进度款中的作业工人工资款项由发包人单独足额拨付到承包人的工资专户。</w:t>
      </w:r>
    </w:p>
    <w:p w14:paraId="04331B1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snapToGrid w:val="0"/>
          <w:color w:val="auto"/>
          <w:kern w:val="0"/>
          <w:sz w:val="24"/>
          <w:szCs w:val="20"/>
          <w:highlight w:val="none"/>
          <w:lang w:eastAsia="zh-CN"/>
        </w:rPr>
        <w:t xml:space="preserve"> 措施项目费中的“</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”拨付按照《广东省建设工程计价依据（20</w:t>
      </w:r>
      <w:r>
        <w:rPr>
          <w:rFonts w:hint="eastAsia" w:ascii="宋体" w:hAnsi="宋体" w:eastAsia="宋体" w:cs="宋体"/>
          <w:snapToGrid w:val="0"/>
          <w:color w:val="auto"/>
          <w:kern w:val="0"/>
          <w:sz w:val="24"/>
          <w:szCs w:val="20"/>
          <w:highlight w:val="none"/>
          <w:lang w:val="en-US" w:eastAsia="zh-CN"/>
        </w:rPr>
        <w:t>24</w:t>
      </w:r>
      <w:r>
        <w:rPr>
          <w:rFonts w:hint="eastAsia" w:ascii="宋体" w:hAnsi="宋体" w:eastAsia="宋体" w:cs="宋体"/>
          <w:snapToGrid w:val="0"/>
          <w:color w:val="auto"/>
          <w:kern w:val="0"/>
          <w:sz w:val="24"/>
          <w:szCs w:val="20"/>
          <w:highlight w:val="none"/>
          <w:lang w:eastAsia="zh-CN"/>
        </w:rPr>
        <w:t>）》执行，按照项目所在地的建设行政主管部门有关规定支付。发生一般事故及以上等级重大安全事故的，发包人可扣除承包人金额相当于所有“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”的工程管理费。</w:t>
      </w:r>
    </w:p>
    <w:p w14:paraId="4CF02F97">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变更工程造价必须经监理单位核实，并经发包人核定后方可支付。</w:t>
      </w:r>
    </w:p>
    <w:p w14:paraId="360CA251">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工程款（预付款+累计支付进度款）支付至合同价款的80%时停止支付，结算审核完成后，</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支付至合同价格的97%，剩余3%转为质量保证金；承包人提交了等额质量保证担保或质量保证保险的，</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一次性结清合同价格。</w:t>
      </w:r>
    </w:p>
    <w:p w14:paraId="7614AF5C">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1</w:t>
      </w:r>
      <w:r>
        <w:rPr>
          <w:rFonts w:hint="eastAsia" w:ascii="宋体" w:hAnsi="宋体" w:eastAsia="宋体" w:cs="宋体"/>
          <w:snapToGrid w:val="0"/>
          <w:color w:val="auto"/>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508CCD7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144BDDDA">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2EF0E0E7">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材料暂估价、专业工程暂估价支付方式：</w:t>
      </w:r>
      <w:r>
        <w:rPr>
          <w:rFonts w:hint="eastAsia" w:ascii="宋体" w:hAnsi="宋体" w:eastAsia="宋体" w:cs="宋体"/>
          <w:snapToGrid w:val="0"/>
          <w:color w:val="auto"/>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材料暂估价、专业工程暂估价与每个月的工程进度款一并报送，但需要列明详细项目内容，该部分材料暂估价、专业工程暂估价按该部分实际完成工程量的50%支付，工程竣工验收合格后支付至8</w:t>
      </w:r>
      <w:r>
        <w:rPr>
          <w:rFonts w:hint="eastAsia" w:ascii="宋体" w:hAnsi="宋体" w:eastAsia="宋体" w:cs="宋体"/>
          <w:snapToGrid w:val="0"/>
          <w:color w:val="auto"/>
          <w:kern w:val="0"/>
          <w:sz w:val="24"/>
          <w:szCs w:val="20"/>
          <w:highlight w:val="none"/>
          <w:u w:val="single"/>
          <w:lang w:val="en-US" w:eastAsia="zh-CN"/>
        </w:rPr>
        <w:t>0</w:t>
      </w:r>
      <w:r>
        <w:rPr>
          <w:rFonts w:hint="eastAsia" w:ascii="宋体" w:hAnsi="宋体" w:eastAsia="宋体" w:cs="宋体"/>
          <w:snapToGrid w:val="0"/>
          <w:color w:val="auto"/>
          <w:kern w:val="0"/>
          <w:sz w:val="24"/>
          <w:szCs w:val="20"/>
          <w:highlight w:val="none"/>
          <w:u w:val="single"/>
          <w:lang w:eastAsia="zh-CN"/>
        </w:rPr>
        <w:t>%，剩余部分结算完成后支付至审定造价的97%，剩余3%为工程质量保修金。</w:t>
      </w:r>
    </w:p>
    <w:p w14:paraId="7B7E862C">
      <w:pPr>
        <w:widowControl w:val="0"/>
        <w:kinsoku/>
        <w:wordWrap w:val="0"/>
        <w:autoSpaceDE/>
        <w:autoSpaceDN/>
        <w:adjustRightInd w:val="0"/>
        <w:snapToGrid w:val="0"/>
        <w:spacing w:line="440" w:lineRule="exact"/>
        <w:ind w:firstLine="480" w:firstLineChars="200"/>
        <w:jc w:val="both"/>
        <w:textAlignment w:val="auto"/>
        <w:rPr>
          <w:rFonts w:hint="eastAsia" w:ascii="宋体" w:hAnsi="宋体" w:eastAsia="宋体" w:cs="宋体"/>
          <w:snapToGrid w:val="0"/>
          <w:color w:val="auto"/>
          <w:kern w:val="0"/>
          <w:sz w:val="24"/>
          <w:szCs w:val="20"/>
          <w:highlight w:val="none"/>
          <w:u w:val="single"/>
          <w:lang w:eastAsia="zh-CN"/>
        </w:rPr>
      </w:pPr>
    </w:p>
    <w:p w14:paraId="410C34A9">
      <w:pPr>
        <w:spacing w:before="154" w:line="212" w:lineRule="auto"/>
        <w:ind w:left="486"/>
        <w:outlineLvl w:val="2"/>
        <w:rPr>
          <w:rFonts w:hint="eastAsia" w:ascii="宋体" w:hAnsi="宋体" w:eastAsia="宋体" w:cs="宋体"/>
          <w:b/>
          <w:bCs/>
          <w:color w:val="auto"/>
          <w:spacing w:val="-7"/>
          <w:sz w:val="24"/>
          <w:szCs w:val="24"/>
          <w:highlight w:val="none"/>
        </w:rPr>
      </w:pPr>
      <w:bookmarkStart w:id="178" w:name="_Toc29229"/>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78"/>
    </w:p>
    <w:p w14:paraId="54E7AEA2">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3816928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551F2EE5">
      <w:pPr>
        <w:spacing w:before="79" w:line="298" w:lineRule="auto"/>
        <w:ind w:left="10" w:right="91" w:firstLine="479"/>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w:t>
      </w:r>
      <w:r>
        <w:rPr>
          <w:rFonts w:hint="eastAsia" w:ascii="宋体" w:hAnsi="宋体" w:eastAsia="宋体" w:cs="宋体"/>
          <w:b/>
          <w:bCs w:val="0"/>
          <w:snapToGrid w:val="0"/>
          <w:color w:val="auto"/>
          <w:kern w:val="0"/>
          <w:sz w:val="24"/>
          <w:szCs w:val="24"/>
          <w:highlight w:val="none"/>
          <w:lang w:val="en-US" w:eastAsia="zh-CN"/>
        </w:rPr>
        <w:t xml:space="preserve">工人工资支付专用账户  </w:t>
      </w:r>
    </w:p>
    <w:p w14:paraId="50C1419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根据《广东省住房和城乡建设厅关于印发《广东省在建房屋市政工程项目落实用工实名制和工资支付有关制度标准化管理手册》的通知》（粤建市〔2026〕63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7A5D154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2596162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7EE2CD9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44FDAC8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BD3BD0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 2 个工作日内，将开户银行及其账号、开户协议等资料提交给发包人。 </w:t>
      </w:r>
    </w:p>
    <w:p w14:paraId="34DB5DE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63131C8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148B1306">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7DF8F264">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34FC3195">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4392A62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61348DB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78D75DE2">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5453241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4.4.1</w:t>
      </w:r>
      <w:r>
        <w:rPr>
          <w:rFonts w:hint="eastAsia" w:ascii="宋体" w:hAnsi="宋体" w:eastAsia="宋体" w:cs="宋体"/>
          <w:bCs/>
          <w:snapToGrid w:val="0"/>
          <w:color w:val="auto"/>
          <w:kern w:val="0"/>
          <w:sz w:val="24"/>
          <w:szCs w:val="24"/>
          <w:highlight w:val="none"/>
          <w:lang w:val="en-US" w:eastAsia="zh-CN"/>
        </w:rPr>
        <w:t xml:space="preserve"> 本招标项目施工工期为</w:t>
      </w:r>
      <w:r>
        <w:rPr>
          <w:rFonts w:hint="eastAsia" w:ascii="宋体" w:hAnsi="宋体" w:eastAsia="宋体" w:cs="宋体"/>
          <w:bCs/>
          <w:snapToGrid w:val="0"/>
          <w:color w:val="auto"/>
          <w:kern w:val="0"/>
          <w:sz w:val="24"/>
          <w:szCs w:val="24"/>
          <w:highlight w:val="none"/>
          <w:u w:val="single"/>
          <w:lang w:val="en-US" w:eastAsia="zh-CN"/>
        </w:rPr>
        <w:t>240</w:t>
      </w:r>
      <w:r>
        <w:rPr>
          <w:rFonts w:hint="eastAsia" w:ascii="宋体" w:hAnsi="宋体" w:eastAsia="宋体" w:cs="宋体"/>
          <w:bCs/>
          <w:snapToGrid w:val="0"/>
          <w:color w:val="auto"/>
          <w:kern w:val="0"/>
          <w:sz w:val="24"/>
          <w:szCs w:val="24"/>
          <w:highlight w:val="none"/>
          <w:lang w:val="en-US" w:eastAsia="zh-CN"/>
        </w:rPr>
        <w:t xml:space="preserve">个日历天，承包人必须在招标工期内完成招标范围内的全部内容。 </w:t>
      </w:r>
    </w:p>
    <w:p w14:paraId="23855B0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p>
    <w:p w14:paraId="6F05BEE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3BB590C9">
      <w:pPr>
        <w:adjustRightInd w:val="0"/>
        <w:snapToGrid w:val="0"/>
        <w:spacing w:line="440" w:lineRule="exact"/>
        <w:ind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20D88E6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4E15628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10EA615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0EE3583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59C9751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2000元缴纳违约金给发包人，在结算中一并扣除。</w:t>
      </w:r>
    </w:p>
    <w:p w14:paraId="2988B5F8">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09C6C3A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29BDD362">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122052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47BEC3C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069D264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10D28C8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14:paraId="17733AC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070720B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51B9B6B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2EF9F2E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主材的采购和使用 </w:t>
      </w:r>
    </w:p>
    <w:p w14:paraId="16261CF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65B2F52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14:paraId="5323BC6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BAE5962">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6B2E1FB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1</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3A99F32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5D920F1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w:t>
      </w:r>
    </w:p>
    <w:p w14:paraId="1AD6970D">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1730509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08CB700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0D58C84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10A1CAC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123021E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0937845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63B86F2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61FB760D">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119C6BA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3B141AD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7D64282D">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3F15E95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14:paraId="48708BC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50664A1C">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6E91B1F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60480FE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64786CF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28025C02">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53E0767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single"/>
          <w:shd w:val="clear" w:color="auto" w:fill="FFFFFF"/>
          <w:lang w:val="en-US" w:eastAsia="zh-CN" w:bidi="ar-SA"/>
        </w:rPr>
        <w:t xml:space="preserve"> 壹 </w:t>
      </w:r>
      <w:r>
        <w:rPr>
          <w:rFonts w:hint="eastAsia" w:ascii="宋体" w:hAnsi="宋体" w:eastAsia="宋体" w:cs="宋体"/>
          <w:bCs/>
          <w:snapToGrid w:val="0"/>
          <w:color w:val="auto"/>
          <w:kern w:val="0"/>
          <w:sz w:val="24"/>
          <w:szCs w:val="24"/>
          <w:highlight w:val="none"/>
          <w:lang w:val="en-US" w:eastAsia="zh-CN"/>
        </w:rPr>
        <w:t xml:space="preserve">万元/次。承包人对建筑垃圾须按《韶关市建筑垃圾管理条例》（2021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E43280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350F8A6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201BAC2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4.17.1 </w:t>
      </w:r>
      <w:r>
        <w:rPr>
          <w:rFonts w:hint="eastAsia" w:ascii="宋体" w:hAnsi="宋体" w:eastAsia="宋体" w:cs="宋体"/>
          <w:bCs/>
          <w:snapToGrid w:val="0"/>
          <w:color w:val="auto"/>
          <w:kern w:val="0"/>
          <w:sz w:val="24"/>
          <w:szCs w:val="24"/>
          <w:highlight w:val="none"/>
          <w:lang w:val="en-US" w:eastAsia="zh-CN"/>
        </w:rPr>
        <w:t>承包人在施工阶段应做好水土保持工作，相关费用承包人自行考虑在投标报价中。</w:t>
      </w:r>
    </w:p>
    <w:p w14:paraId="5C1CBB1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14:paraId="24255D5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14:paraId="01712E4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5093B6E2">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26BA7A8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75DBFEC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质量违约</w:t>
      </w:r>
    </w:p>
    <w:p w14:paraId="4C10CC8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 </w:t>
      </w:r>
    </w:p>
    <w:p w14:paraId="484BD5F3">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视为承包人违约，按现行《建设工程质量管理条例》处理。 </w:t>
      </w:r>
    </w:p>
    <w:p w14:paraId="1C688EB2">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 </w:t>
      </w:r>
    </w:p>
    <w:p w14:paraId="5ECE507A">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一起看样定版后方能实施。未经监理人、发包人同意擅自先行采购和实施的，否则因不符 </w:t>
      </w:r>
    </w:p>
    <w:p w14:paraId="1B3D9443">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合设计要求返工造成的费用由承包人承担。</w:t>
      </w:r>
    </w:p>
    <w:p w14:paraId="11F19938">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2889235D">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 </w:t>
      </w:r>
    </w:p>
    <w:p w14:paraId="57442AAE">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行整改，如未按规定时间进行整改或整改不到位的，每次按 5000元缴纳违约金给发包人，在进度款或结算款中一并扣除。 </w:t>
      </w:r>
    </w:p>
    <w:p w14:paraId="209B3536">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 </w:t>
      </w:r>
    </w:p>
    <w:p w14:paraId="3887220F">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格外，还要按合同价款的 1%向招标人支付质量违约金，工期不予顺延。 </w:t>
      </w:r>
    </w:p>
    <w:p w14:paraId="5F52F55E">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1E0EC601">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4.254.1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 </w:t>
      </w:r>
    </w:p>
    <w:p w14:paraId="6EFEB0AD">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伤、死亡等重大责任事故,则承包人应承担全部损失,并按相关法规接受行政处罚；如造成发 </w:t>
      </w:r>
    </w:p>
    <w:p w14:paraId="2C5E6227">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包人及对第三人利益的损害,该等损害赔偿责任均由承包人承担。 </w:t>
      </w:r>
    </w:p>
    <w:p w14:paraId="702C49BF">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6C6B6FAB">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4.4.1 在合同履行期间，如经查实承包人拖欠或克扣农民工或劳务工工资，导致劳资纠纷 或发生危及公共安全或正常社会秩序的事件的，按承包人违约处理，按人民币 10000 元/次从 工程进度款中扣除。承包人必须无条件确保民工工资得到及时发放，无拖欠民工工资现象，并 采取发包人认为切实可行的措施确保无劳资纠纷事件发生，如发生承包人拖欠民工工资并且向 政府或发包人索要承包人拖欠工资的，发包人有权使用工人工资保证金或在剩余进度款范围内 代承包人向民工支付工资，承包人对发包人垫付工资的人员范围和工资数额均不得提异议。发 包人代支的工资除了从当期工程款内直接扣除外,承包人须按照发包人所垫付的民工工资 2 倍 向发包人支付违约金。违约金在下期进度款中扣除。未在下期进度款扣除或承包人在发包人处已经无款可扣的，起计逾期支付利息。发包人可以在承包人其他任何款项中扣除所垫付的工资 和相应的违约金与利息。承包人对提供的资料真实性负责，如发现虚假不实情况，承包人须向 发包人支付违约金 20000 元/次。</w:t>
      </w:r>
    </w:p>
    <w:p w14:paraId="37C3DC99">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4.4.2 承包人应积极落实有关部门关于用工实名制管理工作的要求，未按规定落实农民工 工资专户及实用工实名制要求，经有关部门警告或处罚的，按违约金人民币 10000 元/次从工 程进度款中扣除。 </w:t>
      </w:r>
    </w:p>
    <w:p w14:paraId="0CD1AFAA">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29F815FC">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 </w:t>
      </w:r>
    </w:p>
    <w:p w14:paraId="7EE49ED3">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成安全责任事故，承包人应及时改正行为并赔偿相关方的损失，如未及时整改，针对每一违约 </w:t>
      </w:r>
    </w:p>
    <w:p w14:paraId="5455CEAD">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行为每持续一天应缴纳违约金1000元。</w:t>
      </w:r>
    </w:p>
    <w:p w14:paraId="572FD953">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26</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 </w:t>
      </w:r>
    </w:p>
    <w:p w14:paraId="7885807C">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格项目、安全隐患必须在规定的时间内整改完成，否则每拖延一天处以2000元人民币违约金，直至整改合格。</w:t>
      </w:r>
    </w:p>
    <w:p w14:paraId="2D3AC461">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26</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承包人现场施工人员未按相关规定佩戴安全帽和反光衣进入施工区域的，经现场发包人（监理单位）管理人员确认后，承包人须按100元/人/次缴纳违约金。</w:t>
      </w:r>
    </w:p>
    <w:p w14:paraId="3B3B65AF">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val="0"/>
          <w:bCs/>
          <w:snapToGrid w:val="0"/>
          <w:color w:val="auto"/>
          <w:kern w:val="0"/>
          <w:sz w:val="24"/>
          <w:szCs w:val="24"/>
          <w:highlight w:val="none"/>
          <w:lang w:val="en-US" w:eastAsia="zh-CN"/>
        </w:rPr>
        <w:t xml:space="preserve"> 其他违约 </w:t>
      </w:r>
    </w:p>
    <w:p w14:paraId="514CC0EC">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 </w:t>
      </w:r>
    </w:p>
    <w:p w14:paraId="0A153623">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r>
        <w:rPr>
          <w:rFonts w:hint="eastAsia" w:ascii="宋体" w:hAnsi="宋体" w:eastAsia="宋体" w:cs="宋体"/>
          <w:b w:val="0"/>
          <w:bCs/>
          <w:snapToGrid w:val="0"/>
          <w:color w:val="auto"/>
          <w:kern w:val="0"/>
          <w:sz w:val="24"/>
          <w:szCs w:val="24"/>
          <w:highlight w:val="none"/>
          <w:lang w:val="en-US" w:eastAsia="zh-CN"/>
        </w:rPr>
        <w:t>在日常检查及相关会议中主要管理人员不到岗，按 500元/人/次缴纳违约金给发包人。</w:t>
      </w:r>
    </w:p>
    <w:p w14:paraId="7516FA2F">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w:t>
      </w:r>
      <w:r>
        <w:rPr>
          <w:rFonts w:hint="eastAsia" w:ascii="宋体" w:hAnsi="宋体" w:eastAsia="宋体" w:cs="宋体"/>
          <w:b w:val="0"/>
          <w:bCs/>
          <w:snapToGrid w:val="0"/>
          <w:color w:val="auto"/>
          <w:kern w:val="0"/>
          <w:sz w:val="24"/>
          <w:szCs w:val="24"/>
          <w:highlight w:val="none"/>
          <w:lang w:val="en-US" w:eastAsia="zh-CN"/>
        </w:rPr>
        <w:t>，如发包人在日常检查中发现不同步的现象的，视为违约并扣除违约金2000元/每次</w:t>
      </w:r>
      <w:r>
        <w:rPr>
          <w:rFonts w:hint="default" w:ascii="宋体" w:hAnsi="宋体" w:eastAsia="宋体" w:cs="宋体"/>
          <w:b w:val="0"/>
          <w:bCs/>
          <w:snapToGrid w:val="0"/>
          <w:color w:val="auto"/>
          <w:kern w:val="0"/>
          <w:sz w:val="24"/>
          <w:szCs w:val="24"/>
          <w:highlight w:val="none"/>
          <w:lang w:val="en-US" w:eastAsia="zh-CN"/>
        </w:rPr>
        <w:t xml:space="preserve">。 </w:t>
      </w:r>
    </w:p>
    <w:p w14:paraId="77585534">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 </w:t>
      </w:r>
    </w:p>
    <w:p w14:paraId="5CF3AF74">
      <w:pPr>
        <w:adjustRightInd w:val="0"/>
        <w:snapToGrid w:val="0"/>
        <w:spacing w:line="440" w:lineRule="exact"/>
        <w:rPr>
          <w:rFonts w:hint="default" w:ascii="宋体" w:hAnsi="宋体" w:eastAsia="宋体" w:cs="宋体"/>
          <w:bCs/>
          <w:snapToGrid w:val="0"/>
          <w:color w:val="auto"/>
          <w:kern w:val="0"/>
          <w:sz w:val="24"/>
          <w:szCs w:val="24"/>
          <w:highlight w:val="none"/>
          <w:lang w:val="en-US" w:eastAsia="zh-CN" w:bidi="ar-SA"/>
        </w:rPr>
      </w:pPr>
      <w:r>
        <w:rPr>
          <w:rFonts w:hint="default" w:ascii="宋体" w:hAnsi="宋体" w:eastAsia="宋体" w:cs="宋体"/>
          <w:b w:val="0"/>
          <w:bCs/>
          <w:snapToGrid w:val="0"/>
          <w:color w:val="auto"/>
          <w:kern w:val="0"/>
          <w:sz w:val="24"/>
          <w:szCs w:val="24"/>
          <w:highlight w:val="none"/>
          <w:lang w:val="en-US" w:eastAsia="zh-CN"/>
        </w:rPr>
        <w:t>金。承包人因上述违约行为而须缴纳的违约金在工程进度款中或结算时一并扣除。</w:t>
      </w:r>
    </w:p>
    <w:p w14:paraId="7B415C9D">
      <w:pPr>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4E97C5C1">
      <w:pPr>
        <w:rPr>
          <w:color w:val="auto"/>
          <w:sz w:val="24"/>
          <w:szCs w:val="24"/>
          <w:highlight w:val="none"/>
        </w:rPr>
      </w:pPr>
    </w:p>
    <w:p w14:paraId="33CEC7C8">
      <w:pPr>
        <w:pStyle w:val="2"/>
        <w:tabs>
          <w:tab w:val="left" w:pos="885"/>
        </w:tabs>
        <w:wordWrap w:val="0"/>
        <w:autoSpaceDE/>
        <w:autoSpaceDN/>
        <w:snapToGrid w:val="0"/>
        <w:spacing w:line="440" w:lineRule="exact"/>
        <w:jc w:val="both"/>
        <w:rPr>
          <w:rFonts w:ascii="宋体" w:hAnsi="宋体" w:cs="宋体"/>
          <w:b/>
          <w:snapToGrid w:val="0"/>
          <w:color w:val="auto"/>
          <w:kern w:val="2"/>
          <w:sz w:val="24"/>
          <w:szCs w:val="24"/>
          <w:highlight w:val="none"/>
        </w:rPr>
      </w:pPr>
    </w:p>
    <w:p w14:paraId="53E7278A">
      <w:pPr>
        <w:pStyle w:val="2"/>
        <w:tabs>
          <w:tab w:val="left" w:pos="885"/>
        </w:tabs>
        <w:wordWrap w:val="0"/>
        <w:autoSpaceDE/>
        <w:autoSpaceDN/>
        <w:snapToGrid w:val="0"/>
        <w:spacing w:line="440" w:lineRule="exact"/>
        <w:ind w:left="885" w:hanging="885"/>
        <w:jc w:val="center"/>
        <w:rPr>
          <w:rFonts w:ascii="宋体" w:hAnsi="宋体" w:cs="宋体"/>
          <w:b/>
          <w:snapToGrid w:val="0"/>
          <w:color w:val="auto"/>
          <w:kern w:val="2"/>
          <w:sz w:val="24"/>
          <w:szCs w:val="24"/>
          <w:highlight w:val="none"/>
        </w:rPr>
      </w:pPr>
    </w:p>
    <w:p w14:paraId="5FDAA685">
      <w:pPr>
        <w:rPr>
          <w:rFonts w:ascii="宋体" w:hAnsi="宋体" w:cs="宋体"/>
          <w:b/>
          <w:snapToGrid w:val="0"/>
          <w:color w:val="auto"/>
          <w:kern w:val="2"/>
          <w:sz w:val="24"/>
          <w:szCs w:val="24"/>
          <w:highlight w:val="none"/>
        </w:rPr>
      </w:pPr>
    </w:p>
    <w:p w14:paraId="5A230042">
      <w:pPr>
        <w:pStyle w:val="8"/>
        <w:rPr>
          <w:rFonts w:ascii="宋体" w:hAnsi="宋体" w:cs="宋体"/>
          <w:b/>
          <w:snapToGrid w:val="0"/>
          <w:color w:val="auto"/>
          <w:kern w:val="2"/>
          <w:sz w:val="24"/>
          <w:szCs w:val="24"/>
          <w:highlight w:val="none"/>
        </w:rPr>
      </w:pPr>
    </w:p>
    <w:p w14:paraId="73B359CC">
      <w:pPr>
        <w:pStyle w:val="14"/>
        <w:rPr>
          <w:rFonts w:hint="eastAsia" w:ascii="宋体" w:hAnsi="宋体" w:eastAsia="宋体" w:cs="宋体"/>
          <w:color w:val="auto"/>
          <w:sz w:val="24"/>
          <w:szCs w:val="24"/>
          <w:highlight w:val="none"/>
          <w:lang w:eastAsia="zh-CN"/>
        </w:rPr>
      </w:pPr>
    </w:p>
    <w:p w14:paraId="134E41C0">
      <w:pPr>
        <w:pStyle w:val="14"/>
        <w:rPr>
          <w:rFonts w:hint="eastAsia" w:ascii="宋体" w:hAnsi="宋体" w:eastAsia="宋体" w:cs="宋体"/>
          <w:color w:val="auto"/>
          <w:sz w:val="24"/>
          <w:szCs w:val="24"/>
          <w:highlight w:val="none"/>
          <w:lang w:eastAsia="zh-CN"/>
        </w:rPr>
      </w:pPr>
    </w:p>
    <w:p w14:paraId="07C56ECD">
      <w:pPr>
        <w:pStyle w:val="14"/>
        <w:rPr>
          <w:rFonts w:hint="eastAsia" w:ascii="宋体" w:hAnsi="宋体" w:eastAsia="宋体" w:cs="宋体"/>
          <w:color w:val="auto"/>
          <w:sz w:val="24"/>
          <w:szCs w:val="24"/>
          <w:highlight w:val="none"/>
          <w:lang w:eastAsia="zh-CN"/>
        </w:rPr>
      </w:pPr>
    </w:p>
    <w:p w14:paraId="72C8E0EF">
      <w:pPr>
        <w:pStyle w:val="14"/>
        <w:rPr>
          <w:rFonts w:hint="eastAsia" w:ascii="宋体" w:hAnsi="宋体" w:eastAsia="宋体" w:cs="宋体"/>
          <w:color w:val="auto"/>
          <w:sz w:val="24"/>
          <w:szCs w:val="24"/>
          <w:highlight w:val="none"/>
          <w:lang w:eastAsia="zh-CN"/>
        </w:rPr>
      </w:pPr>
    </w:p>
    <w:p w14:paraId="66AF3AAF">
      <w:pPr>
        <w:spacing w:before="78" w:line="219" w:lineRule="auto"/>
        <w:outlineLvl w:val="9"/>
        <w:rPr>
          <w:rFonts w:hint="eastAsia" w:ascii="宋体" w:hAnsi="宋体" w:eastAsia="宋体" w:cs="宋体"/>
          <w:b/>
          <w:bCs/>
          <w:color w:val="auto"/>
          <w:spacing w:val="-3"/>
          <w:sz w:val="24"/>
          <w:szCs w:val="24"/>
          <w:highlight w:val="none"/>
        </w:rPr>
      </w:pPr>
      <w:bookmarkStart w:id="179" w:name="bookmark96"/>
      <w:bookmarkEnd w:id="179"/>
    </w:p>
    <w:p w14:paraId="48462BAF">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6956492B">
      <w:pPr>
        <w:spacing w:before="78" w:line="219" w:lineRule="auto"/>
        <w:ind w:left="3273"/>
        <w:outlineLvl w:val="0"/>
        <w:rPr>
          <w:rFonts w:hint="eastAsia" w:ascii="宋体" w:hAnsi="宋体" w:eastAsia="宋体" w:cs="宋体"/>
          <w:color w:val="auto"/>
          <w:highlight w:val="none"/>
        </w:rPr>
      </w:pPr>
      <w:bookmarkStart w:id="180" w:name="_Toc30225"/>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80"/>
    </w:p>
    <w:p w14:paraId="65DD417D">
      <w:pPr>
        <w:pStyle w:val="6"/>
        <w:spacing w:line="257" w:lineRule="auto"/>
        <w:rPr>
          <w:rFonts w:hint="eastAsia" w:ascii="宋体" w:hAnsi="宋体" w:eastAsia="宋体" w:cs="宋体"/>
          <w:color w:val="auto"/>
          <w:highlight w:val="none"/>
        </w:rPr>
      </w:pPr>
    </w:p>
    <w:p w14:paraId="676D9B16">
      <w:pPr>
        <w:spacing w:before="78" w:line="221" w:lineRule="auto"/>
        <w:ind w:left="125"/>
        <w:outlineLvl w:val="2"/>
        <w:rPr>
          <w:rFonts w:hint="eastAsia" w:ascii="宋体" w:hAnsi="宋体" w:eastAsia="宋体" w:cs="宋体"/>
          <w:color w:val="auto"/>
          <w:sz w:val="24"/>
          <w:szCs w:val="24"/>
          <w:highlight w:val="none"/>
        </w:rPr>
      </w:pPr>
      <w:bookmarkStart w:id="181" w:name="_Toc19340"/>
      <w:bookmarkStart w:id="182" w:name="_Toc10155"/>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81"/>
      <w:bookmarkEnd w:id="182"/>
    </w:p>
    <w:p w14:paraId="207C7161">
      <w:pP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16F9CF9A">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3C988F20">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57B6CCBB">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79D03B83">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78A259CE">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5D84CC9B">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01A4325E">
      <w:pP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7C054B73">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09CCD543">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2BF32395">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444A78F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03F83826">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151CB418">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345E5448">
      <w:pPr>
        <w:spacing w:before="153" w:line="219" w:lineRule="auto"/>
        <w:ind w:left="130"/>
        <w:rPr>
          <w:rFonts w:hint="eastAsia" w:ascii="宋体" w:hAnsi="宋体" w:eastAsia="宋体" w:cs="宋体"/>
          <w:color w:val="auto"/>
          <w:spacing w:val="-1"/>
          <w:sz w:val="24"/>
          <w:szCs w:val="24"/>
          <w:highlight w:val="none"/>
        </w:rPr>
      </w:pPr>
      <w:bookmarkStart w:id="183" w:name="_Toc12084"/>
      <w:bookmarkStart w:id="184" w:name="_Toc16294"/>
      <w:r>
        <w:rPr>
          <w:rFonts w:hint="eastAsia" w:ascii="宋体" w:hAnsi="宋体" w:eastAsia="宋体" w:cs="宋体"/>
          <w:color w:val="auto"/>
          <w:spacing w:val="-1"/>
          <w:sz w:val="24"/>
          <w:szCs w:val="24"/>
          <w:highlight w:val="none"/>
        </w:rPr>
        <w:t>（14）《建筑与市政工程无障碍通用规范》 GB 55019-2021；</w:t>
      </w:r>
      <w:bookmarkEnd w:id="183"/>
      <w:bookmarkEnd w:id="184"/>
    </w:p>
    <w:p w14:paraId="7BF01187">
      <w:pPr>
        <w:spacing w:before="153" w:line="219" w:lineRule="auto"/>
        <w:ind w:left="130"/>
        <w:rPr>
          <w:rFonts w:hint="eastAsia" w:ascii="宋体" w:hAnsi="宋体" w:eastAsia="宋体" w:cs="宋体"/>
          <w:color w:val="auto"/>
          <w:spacing w:val="-1"/>
          <w:sz w:val="24"/>
          <w:szCs w:val="24"/>
          <w:highlight w:val="none"/>
        </w:rPr>
      </w:pPr>
      <w:bookmarkStart w:id="185" w:name="_Toc1177"/>
      <w:bookmarkStart w:id="186" w:name="_Toc15158"/>
      <w:r>
        <w:rPr>
          <w:rFonts w:hint="eastAsia" w:ascii="宋体" w:hAnsi="宋体" w:eastAsia="宋体" w:cs="宋体"/>
          <w:color w:val="auto"/>
          <w:spacing w:val="-1"/>
          <w:sz w:val="24"/>
          <w:szCs w:val="24"/>
          <w:highlight w:val="none"/>
        </w:rPr>
        <w:t>（15）《建筑防火通用规范》GB 55037-2022;</w:t>
      </w:r>
      <w:bookmarkEnd w:id="185"/>
      <w:bookmarkEnd w:id="186"/>
    </w:p>
    <w:p w14:paraId="29E4C8FC">
      <w:pPr>
        <w:spacing w:before="153" w:line="219" w:lineRule="auto"/>
        <w:ind w:left="130"/>
        <w:rPr>
          <w:rFonts w:hint="eastAsia" w:ascii="宋体" w:hAnsi="宋体" w:eastAsia="宋体" w:cs="宋体"/>
          <w:color w:val="auto"/>
          <w:spacing w:val="-1"/>
          <w:sz w:val="24"/>
          <w:szCs w:val="24"/>
          <w:highlight w:val="none"/>
        </w:rPr>
      </w:pPr>
      <w:bookmarkStart w:id="187" w:name="_Toc24233"/>
      <w:bookmarkStart w:id="188" w:name="_Toc2461"/>
      <w:r>
        <w:rPr>
          <w:rFonts w:hint="eastAsia" w:ascii="宋体" w:hAnsi="宋体" w:eastAsia="宋体" w:cs="宋体"/>
          <w:color w:val="auto"/>
          <w:spacing w:val="-1"/>
          <w:sz w:val="24"/>
          <w:szCs w:val="24"/>
          <w:highlight w:val="none"/>
        </w:rPr>
        <w:t>（16）《建筑与市政工程抗震通用规范》GB55002-2001;</w:t>
      </w:r>
      <w:bookmarkEnd w:id="187"/>
      <w:bookmarkEnd w:id="188"/>
    </w:p>
    <w:p w14:paraId="0A06A566">
      <w:pPr>
        <w:spacing w:before="153" w:line="219" w:lineRule="auto"/>
        <w:ind w:left="130"/>
        <w:rPr>
          <w:rFonts w:hint="eastAsia" w:ascii="宋体" w:hAnsi="宋体" w:eastAsia="宋体" w:cs="宋体"/>
          <w:color w:val="auto"/>
          <w:spacing w:val="-1"/>
          <w:sz w:val="24"/>
          <w:szCs w:val="24"/>
          <w:highlight w:val="none"/>
        </w:rPr>
      </w:pPr>
      <w:bookmarkStart w:id="189" w:name="_Toc5777"/>
      <w:bookmarkStart w:id="190" w:name="_Toc8109"/>
      <w:r>
        <w:rPr>
          <w:rFonts w:hint="eastAsia" w:ascii="宋体" w:hAnsi="宋体" w:eastAsia="宋体" w:cs="宋体"/>
          <w:color w:val="auto"/>
          <w:spacing w:val="-1"/>
          <w:sz w:val="24"/>
          <w:szCs w:val="24"/>
          <w:highlight w:val="none"/>
        </w:rPr>
        <w:t>（17）《建筑与市政地基基础通用规范》GB55003-2001;</w:t>
      </w:r>
      <w:bookmarkEnd w:id="189"/>
      <w:bookmarkEnd w:id="190"/>
    </w:p>
    <w:p w14:paraId="5AAC3403">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67D644A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1057494F">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6DDC636B">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6651FAFB">
      <w:pPr>
        <w:pStyle w:val="6"/>
        <w:spacing w:line="257" w:lineRule="auto"/>
        <w:rPr>
          <w:rFonts w:hint="eastAsia" w:ascii="宋体" w:hAnsi="宋体" w:eastAsia="宋体" w:cs="宋体"/>
          <w:color w:val="auto"/>
          <w:highlight w:val="none"/>
        </w:rPr>
      </w:pPr>
    </w:p>
    <w:p w14:paraId="6689F434">
      <w:pPr>
        <w:spacing w:before="78" w:line="220" w:lineRule="auto"/>
        <w:ind w:left="115"/>
        <w:outlineLvl w:val="2"/>
        <w:rPr>
          <w:rFonts w:hint="eastAsia" w:ascii="宋体" w:hAnsi="宋体" w:eastAsia="宋体" w:cs="宋体"/>
          <w:color w:val="auto"/>
          <w:sz w:val="24"/>
          <w:szCs w:val="24"/>
          <w:highlight w:val="none"/>
        </w:rPr>
      </w:pPr>
      <w:bookmarkStart w:id="191" w:name="_Toc16340"/>
      <w:bookmarkStart w:id="192" w:name="_Toc15652"/>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91"/>
      <w:bookmarkEnd w:id="192"/>
    </w:p>
    <w:p w14:paraId="4745335C">
      <w:pP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7BB5E0FE">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15195069">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5B7C38D8">
      <w:pP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5D25ACA6">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EBB3B65">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53D30BA2">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6708A72B">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43BE96D6">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48BC2942">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2BB34F7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47CB8D54">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3" w:name="_Toc8494"/>
      <w:bookmarkStart w:id="194" w:name="_Toc30781"/>
      <w:r>
        <w:rPr>
          <w:rFonts w:hint="eastAsia" w:ascii="宋体" w:hAnsi="宋体" w:eastAsia="宋体" w:cs="宋体"/>
          <w:color w:val="auto"/>
          <w:spacing w:val="-2"/>
          <w:sz w:val="24"/>
          <w:szCs w:val="24"/>
          <w:highlight w:val="none"/>
        </w:rPr>
        <w:t>（11）《建筑与市政工程无障碍通用规范》 GB 55019-2021；</w:t>
      </w:r>
      <w:bookmarkEnd w:id="193"/>
      <w:bookmarkEnd w:id="194"/>
    </w:p>
    <w:p w14:paraId="763C31EE">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5" w:name="_Toc31143"/>
      <w:bookmarkStart w:id="196" w:name="_Toc17383"/>
      <w:r>
        <w:rPr>
          <w:rFonts w:hint="eastAsia" w:ascii="宋体" w:hAnsi="宋体" w:eastAsia="宋体" w:cs="宋体"/>
          <w:color w:val="auto"/>
          <w:spacing w:val="-2"/>
          <w:sz w:val="24"/>
          <w:szCs w:val="24"/>
          <w:highlight w:val="none"/>
        </w:rPr>
        <w:t>（12）《建筑防火通用规范》GB 55037-2022;</w:t>
      </w:r>
      <w:bookmarkEnd w:id="195"/>
      <w:bookmarkEnd w:id="196"/>
    </w:p>
    <w:p w14:paraId="12CCBEA6">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7" w:name="_Toc954"/>
      <w:bookmarkStart w:id="198" w:name="_Toc32476"/>
      <w:r>
        <w:rPr>
          <w:rFonts w:hint="eastAsia" w:ascii="宋体" w:hAnsi="宋体" w:eastAsia="宋体" w:cs="宋体"/>
          <w:color w:val="auto"/>
          <w:spacing w:val="-2"/>
          <w:sz w:val="24"/>
          <w:szCs w:val="24"/>
          <w:highlight w:val="none"/>
        </w:rPr>
        <w:t>（13）《建筑与市政工程抗震通用规范》GB55002-2001;</w:t>
      </w:r>
      <w:bookmarkEnd w:id="197"/>
      <w:bookmarkEnd w:id="198"/>
    </w:p>
    <w:p w14:paraId="7FEC785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9" w:name="_Toc27898"/>
      <w:bookmarkStart w:id="200" w:name="_Toc7185"/>
      <w:r>
        <w:rPr>
          <w:rFonts w:hint="eastAsia" w:ascii="宋体" w:hAnsi="宋体" w:eastAsia="宋体" w:cs="宋体"/>
          <w:color w:val="auto"/>
          <w:spacing w:val="-2"/>
          <w:sz w:val="24"/>
          <w:szCs w:val="24"/>
          <w:highlight w:val="none"/>
        </w:rPr>
        <w:t>（14）《建筑与市政地基基础通用规范》GB55003-2001;</w:t>
      </w:r>
      <w:bookmarkEnd w:id="199"/>
      <w:bookmarkEnd w:id="200"/>
    </w:p>
    <w:p w14:paraId="585A05C2">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1" w:name="_Toc29669"/>
      <w:bookmarkStart w:id="202" w:name="_Toc17281"/>
      <w:r>
        <w:rPr>
          <w:rFonts w:hint="eastAsia" w:ascii="宋体" w:hAnsi="宋体" w:eastAsia="宋体" w:cs="宋体"/>
          <w:color w:val="auto"/>
          <w:spacing w:val="-2"/>
          <w:sz w:val="24"/>
          <w:szCs w:val="24"/>
          <w:highlight w:val="none"/>
        </w:rPr>
        <w:t>（15）《城市道路照明设计标准》（CJJ45-2015）；</w:t>
      </w:r>
      <w:bookmarkEnd w:id="201"/>
      <w:bookmarkEnd w:id="202"/>
    </w:p>
    <w:p w14:paraId="1F9D3360">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3" w:name="_Toc9161"/>
      <w:bookmarkStart w:id="204" w:name="_Toc31812"/>
      <w:r>
        <w:rPr>
          <w:rFonts w:hint="eastAsia" w:ascii="宋体" w:hAnsi="宋体" w:eastAsia="宋体" w:cs="宋体"/>
          <w:color w:val="auto"/>
          <w:spacing w:val="-2"/>
          <w:sz w:val="24"/>
          <w:szCs w:val="24"/>
          <w:highlight w:val="none"/>
        </w:rPr>
        <w:t>（16）《低压配电设计规范》（GB50054-2011）；</w:t>
      </w:r>
      <w:bookmarkEnd w:id="203"/>
      <w:bookmarkEnd w:id="204"/>
    </w:p>
    <w:p w14:paraId="2235F9F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5" w:name="_Toc18255"/>
      <w:bookmarkStart w:id="206" w:name="_Toc6405"/>
      <w:r>
        <w:rPr>
          <w:rFonts w:hint="eastAsia" w:ascii="宋体" w:hAnsi="宋体" w:eastAsia="宋体" w:cs="宋体"/>
          <w:color w:val="auto"/>
          <w:spacing w:val="-2"/>
          <w:sz w:val="24"/>
          <w:szCs w:val="24"/>
          <w:highlight w:val="none"/>
        </w:rPr>
        <w:t>（17）《城市道路照明工程施工及验收规程》（CJJ89-2012）；</w:t>
      </w:r>
      <w:bookmarkEnd w:id="205"/>
      <w:bookmarkEnd w:id="206"/>
    </w:p>
    <w:p w14:paraId="1133F1A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184B88E">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2C73556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29D152C9">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66D001D5">
      <w:pPr>
        <w:pStyle w:val="6"/>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08F9D645">
      <w:pPr>
        <w:pStyle w:val="6"/>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5896DC22">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07" w:name="_Toc31813"/>
      <w:bookmarkStart w:id="208" w:name="_Toc9200"/>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07"/>
      <w:bookmarkEnd w:id="208"/>
    </w:p>
    <w:p w14:paraId="73CE1445">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2E0DBE7D">
      <w:pPr>
        <w:spacing w:before="78" w:line="219" w:lineRule="auto"/>
        <w:jc w:val="center"/>
        <w:outlineLvl w:val="0"/>
        <w:rPr>
          <w:rFonts w:hint="eastAsia" w:ascii="宋体" w:hAnsi="宋体" w:eastAsia="宋体" w:cs="宋体"/>
          <w:color w:val="auto"/>
          <w:sz w:val="24"/>
          <w:szCs w:val="24"/>
          <w:highlight w:val="none"/>
        </w:rPr>
      </w:pPr>
      <w:bookmarkStart w:id="209" w:name="bookmark146"/>
      <w:bookmarkEnd w:id="209"/>
      <w:bookmarkStart w:id="210" w:name="bookmark100"/>
      <w:bookmarkEnd w:id="210"/>
      <w:bookmarkStart w:id="211" w:name="_Toc21699"/>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11"/>
    </w:p>
    <w:p w14:paraId="426BE3E0">
      <w:pPr>
        <w:pStyle w:val="6"/>
        <w:spacing w:line="283" w:lineRule="auto"/>
        <w:rPr>
          <w:rFonts w:hint="eastAsia" w:ascii="宋体" w:hAnsi="宋体" w:eastAsia="宋体" w:cs="宋体"/>
          <w:color w:val="auto"/>
          <w:highlight w:val="none"/>
        </w:rPr>
      </w:pPr>
    </w:p>
    <w:p w14:paraId="1DD0865A">
      <w:pPr>
        <w:pStyle w:val="6"/>
        <w:spacing w:line="284" w:lineRule="auto"/>
        <w:rPr>
          <w:rFonts w:hint="eastAsia" w:ascii="宋体" w:hAnsi="宋体" w:eastAsia="宋体" w:cs="宋体"/>
          <w:color w:val="auto"/>
          <w:highlight w:val="none"/>
        </w:rPr>
      </w:pPr>
    </w:p>
    <w:p w14:paraId="0E9C9CEB">
      <w:pPr>
        <w:spacing w:before="78" w:line="219" w:lineRule="auto"/>
        <w:ind w:left="106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14:paraId="09616C56">
      <w:pPr>
        <w:pStyle w:val="6"/>
        <w:spacing w:line="265" w:lineRule="auto"/>
        <w:rPr>
          <w:rFonts w:hint="eastAsia" w:ascii="宋体" w:hAnsi="宋体" w:eastAsia="宋体" w:cs="宋体"/>
          <w:color w:val="auto"/>
          <w:highlight w:val="none"/>
        </w:rPr>
      </w:pPr>
    </w:p>
    <w:p w14:paraId="36EE6B98">
      <w:pPr>
        <w:spacing w:before="151" w:line="222" w:lineRule="auto"/>
        <w:ind w:left="715"/>
        <w:outlineLvl w:val="2"/>
        <w:rPr>
          <w:rFonts w:hint="eastAsia" w:ascii="宋体" w:hAnsi="宋体" w:eastAsia="宋体" w:cs="宋体"/>
          <w:color w:val="auto"/>
          <w:sz w:val="24"/>
          <w:szCs w:val="24"/>
          <w:highlight w:val="none"/>
        </w:rPr>
      </w:pPr>
      <w:bookmarkStart w:id="212" w:name="_Toc21706"/>
      <w:bookmarkStart w:id="213" w:name="_Toc2444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12"/>
      <w:bookmarkEnd w:id="213"/>
    </w:p>
    <w:p w14:paraId="770C4D87">
      <w:pPr>
        <w:spacing w:before="150" w:line="330" w:lineRule="auto"/>
        <w:ind w:left="230" w:firstLine="480"/>
        <w:jc w:val="both"/>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本招标文件随文另附施工图（电子文件）一套。</w:t>
      </w:r>
    </w:p>
    <w:p w14:paraId="00038AE1">
      <w:pPr>
        <w:spacing w:before="79" w:line="221" w:lineRule="auto"/>
        <w:ind w:left="705"/>
        <w:outlineLvl w:val="2"/>
        <w:rPr>
          <w:rFonts w:hint="eastAsia" w:ascii="宋体" w:hAnsi="宋体" w:eastAsia="宋体" w:cs="宋体"/>
          <w:color w:val="auto"/>
          <w:sz w:val="24"/>
          <w:szCs w:val="24"/>
          <w:highlight w:val="none"/>
        </w:rPr>
      </w:pPr>
      <w:bookmarkStart w:id="214" w:name="_Toc24419"/>
      <w:bookmarkStart w:id="215" w:name="_Toc9064"/>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14"/>
      <w:bookmarkEnd w:id="215"/>
    </w:p>
    <w:p w14:paraId="66B23E36">
      <w:pPr>
        <w:spacing w:before="117" w:line="312" w:lineRule="auto"/>
        <w:ind w:left="23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color w:val="auto"/>
          <w:spacing w:val="-3"/>
          <w:sz w:val="24"/>
          <w:szCs w:val="24"/>
          <w:highlight w:val="none"/>
        </w:rPr>
        <w:t>本招标文件随文另附</w:t>
      </w:r>
      <w:bookmarkStart w:id="216" w:name="OLE_LINK33"/>
      <w:r>
        <w:rPr>
          <w:rFonts w:hint="eastAsia" w:ascii="宋体" w:hAnsi="宋体" w:eastAsia="宋体" w:cs="宋体"/>
          <w:color w:val="auto"/>
          <w:spacing w:val="-3"/>
          <w:sz w:val="24"/>
          <w:szCs w:val="24"/>
          <w:highlight w:val="none"/>
          <w:u w:val="single"/>
        </w:rPr>
        <w:t>招标工程量清单EXCEL版</w:t>
      </w:r>
      <w:r>
        <w:rPr>
          <w:rFonts w:hint="eastAsia" w:ascii="宋体" w:hAnsi="宋体" w:eastAsia="宋体" w:cs="宋体"/>
          <w:color w:val="auto"/>
          <w:spacing w:val="-3"/>
          <w:sz w:val="24"/>
          <w:szCs w:val="24"/>
          <w:highlight w:val="none"/>
          <w:u w:val="single"/>
          <w:lang w:val="en-US" w:eastAsia="zh-CN"/>
        </w:rPr>
        <w:t>和</w:t>
      </w:r>
      <w:bookmarkEnd w:id="216"/>
      <w:r>
        <w:rPr>
          <w:rFonts w:hint="eastAsia" w:ascii="宋体" w:hAnsi="宋体" w:eastAsia="宋体" w:cs="宋体"/>
          <w:color w:val="auto"/>
          <w:spacing w:val="-3"/>
          <w:sz w:val="24"/>
          <w:szCs w:val="24"/>
          <w:highlight w:val="none"/>
          <w:u w:val="single"/>
          <w:lang w:val="en-US" w:eastAsia="zh-CN"/>
        </w:rPr>
        <w:t>最高投标限价PDF</w:t>
      </w:r>
      <w:r>
        <w:rPr>
          <w:rFonts w:hint="eastAsia" w:ascii="宋体" w:hAnsi="宋体" w:eastAsia="宋体" w:cs="宋体"/>
          <w:color w:val="auto"/>
          <w:spacing w:val="37"/>
          <w:sz w:val="24"/>
          <w:szCs w:val="24"/>
          <w:highlight w:val="none"/>
          <w:u w:val="single"/>
        </w:rPr>
        <w:t xml:space="preserve"> </w:t>
      </w:r>
      <w:r>
        <w:rPr>
          <w:rFonts w:hint="eastAsia" w:ascii="宋体" w:hAnsi="宋体" w:eastAsia="宋体" w:cs="宋体"/>
          <w:color w:val="auto"/>
          <w:spacing w:val="-3"/>
          <w:sz w:val="24"/>
          <w:szCs w:val="24"/>
          <w:highlight w:val="none"/>
        </w:rPr>
        <w:t>电子文件一套。</w:t>
      </w:r>
    </w:p>
    <w:p w14:paraId="7A870555">
      <w:pPr>
        <w:spacing w:before="78" w:line="219" w:lineRule="auto"/>
        <w:ind w:left="478" w:firstLine="239" w:firstLineChars="100"/>
        <w:rPr>
          <w:rFonts w:hint="eastAsia" w:ascii="宋体" w:hAnsi="宋体" w:eastAsia="宋体" w:cs="宋体"/>
          <w:color w:val="auto"/>
          <w:sz w:val="24"/>
          <w:szCs w:val="24"/>
          <w:highlight w:val="none"/>
        </w:rPr>
      </w:pPr>
      <w:bookmarkStart w:id="217" w:name="bookmark147"/>
      <w:bookmarkEnd w:id="217"/>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single"/>
        </w:rPr>
        <w:t>招标工程量清单</w:t>
      </w:r>
      <w:r>
        <w:rPr>
          <w:rFonts w:hint="eastAsia" w:ascii="宋体" w:hAnsi="宋体" w:eastAsia="宋体" w:cs="宋体"/>
          <w:color w:val="auto"/>
          <w:spacing w:val="-1"/>
          <w:sz w:val="24"/>
          <w:szCs w:val="24"/>
          <w:highlight w:val="none"/>
        </w:rPr>
        <w:t>：</w:t>
      </w:r>
    </w:p>
    <w:p w14:paraId="716E56A2">
      <w:pPr>
        <w:spacing w:before="12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4"/>
          <w:sz w:val="24"/>
          <w:szCs w:val="24"/>
          <w:highlight w:val="none"/>
        </w:rPr>
        <w:t>）；</w:t>
      </w:r>
    </w:p>
    <w:p w14:paraId="596C9F0B">
      <w:pPr>
        <w:spacing w:before="115" w:line="299" w:lineRule="auto"/>
        <w:ind w:firstLine="49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8"/>
          <w:sz w:val="24"/>
          <w:szCs w:val="24"/>
          <w:highlight w:val="none"/>
          <w:lang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补充和(或)修改文件。</w:t>
      </w:r>
    </w:p>
    <w:p w14:paraId="46A0A7F1">
      <w:pPr>
        <w:spacing w:before="79" w:line="263" w:lineRule="auto"/>
        <w:ind w:left="2" w:right="2"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597A2C30">
      <w:pPr>
        <w:spacing w:before="118" w:line="265"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（4）投标报价使用的表格格式须按照 GB50500-20</w:t>
      </w:r>
      <w:r>
        <w:rPr>
          <w:rFonts w:hint="eastAsia" w:ascii="宋体" w:hAnsi="宋体" w:eastAsia="宋体" w:cs="宋体"/>
          <w:color w:val="auto"/>
          <w:spacing w:val="-2"/>
          <w:sz w:val="24"/>
          <w:szCs w:val="24"/>
          <w:highlight w:val="none"/>
          <w:lang w:val="en-US" w:eastAsia="zh-CN"/>
        </w:rPr>
        <w:t>24</w:t>
      </w:r>
      <w:r>
        <w:rPr>
          <w:rFonts w:hint="eastAsia" w:ascii="宋体" w:hAnsi="宋体" w:eastAsia="宋体" w:cs="宋体"/>
          <w:color w:val="auto"/>
          <w:spacing w:val="-2"/>
          <w:sz w:val="24"/>
          <w:szCs w:val="24"/>
          <w:highlight w:val="none"/>
        </w:rPr>
        <w:t>《建设工程工程量清单计价</w:t>
      </w:r>
      <w:r>
        <w:rPr>
          <w:rFonts w:hint="eastAsia" w:ascii="宋体" w:hAnsi="宋体" w:eastAsia="宋体" w:cs="宋体"/>
          <w:color w:val="auto"/>
          <w:spacing w:val="-2"/>
          <w:sz w:val="24"/>
          <w:szCs w:val="24"/>
          <w:highlight w:val="none"/>
          <w:lang w:val="en-US" w:eastAsia="zh-CN"/>
        </w:rPr>
        <w:t>标准</w:t>
      </w:r>
      <w:r>
        <w:rPr>
          <w:rFonts w:hint="eastAsia" w:ascii="宋体" w:hAnsi="宋体" w:eastAsia="宋体" w:cs="宋体"/>
          <w:color w:val="auto"/>
          <w:spacing w:val="-6"/>
          <w:sz w:val="24"/>
          <w:szCs w:val="24"/>
          <w:highlight w:val="none"/>
        </w:rPr>
        <w:t>》。</w:t>
      </w:r>
    </w:p>
    <w:p w14:paraId="48E91CD9">
      <w:pPr>
        <w:spacing w:before="107" w:line="286" w:lineRule="auto"/>
        <w:ind w:right="4" w:firstLine="492"/>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6CA88270">
      <w:pPr>
        <w:spacing w:before="146" w:line="221"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479F4C24">
      <w:pPr>
        <w:spacing w:before="153"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43BDEA27">
      <w:pPr>
        <w:spacing w:before="155"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5EE770F4">
      <w:pPr>
        <w:spacing w:before="15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1CEA0427">
      <w:pPr>
        <w:spacing w:line="219" w:lineRule="auto"/>
        <w:rPr>
          <w:rFonts w:hint="eastAsia" w:ascii="宋体" w:hAnsi="宋体" w:eastAsia="宋体" w:cs="宋体"/>
          <w:color w:val="auto"/>
          <w:sz w:val="24"/>
          <w:szCs w:val="24"/>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341BC52A">
      <w:pPr>
        <w:pStyle w:val="6"/>
        <w:spacing w:line="304" w:lineRule="auto"/>
        <w:rPr>
          <w:rFonts w:hint="eastAsia" w:ascii="宋体" w:hAnsi="宋体" w:eastAsia="宋体" w:cs="宋体"/>
          <w:color w:val="auto"/>
          <w:highlight w:val="none"/>
        </w:rPr>
      </w:pPr>
    </w:p>
    <w:p w14:paraId="3841A216">
      <w:pPr>
        <w:spacing w:before="78" w:line="219" w:lineRule="auto"/>
        <w:ind w:left="3357"/>
        <w:outlineLvl w:val="0"/>
        <w:rPr>
          <w:rFonts w:hint="eastAsia" w:ascii="宋体" w:hAnsi="宋体" w:eastAsia="宋体" w:cs="宋体"/>
          <w:color w:val="auto"/>
          <w:sz w:val="24"/>
          <w:szCs w:val="24"/>
          <w:highlight w:val="none"/>
        </w:rPr>
      </w:pPr>
      <w:bookmarkStart w:id="218" w:name="_Toc27130"/>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18"/>
    </w:p>
    <w:p w14:paraId="15B208D3">
      <w:pPr>
        <w:pStyle w:val="6"/>
        <w:spacing w:line="302" w:lineRule="auto"/>
        <w:jc w:val="right"/>
        <w:rPr>
          <w:rFonts w:hint="eastAsia" w:ascii="宋体" w:hAnsi="宋体" w:eastAsia="宋体" w:cs="宋体"/>
          <w:color w:val="auto"/>
          <w:highlight w:val="none"/>
        </w:rPr>
      </w:pPr>
    </w:p>
    <w:p w14:paraId="00706EC0">
      <w:pPr>
        <w:spacing w:before="78" w:line="220" w:lineRule="auto"/>
        <w:outlineLvl w:val="2"/>
        <w:rPr>
          <w:rFonts w:hint="eastAsia" w:ascii="宋体" w:hAnsi="宋体" w:eastAsia="宋体" w:cs="宋体"/>
          <w:color w:val="auto"/>
          <w:sz w:val="24"/>
          <w:szCs w:val="24"/>
          <w:highlight w:val="none"/>
        </w:rPr>
      </w:pPr>
      <w:bookmarkStart w:id="219" w:name="_Toc11203"/>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19"/>
    </w:p>
    <w:p w14:paraId="0DD9B6DB">
      <w:pPr>
        <w:pStyle w:val="6"/>
        <w:spacing w:line="258" w:lineRule="auto"/>
        <w:rPr>
          <w:rFonts w:hint="eastAsia" w:ascii="宋体" w:hAnsi="宋体" w:eastAsia="宋体" w:cs="宋体"/>
          <w:color w:val="auto"/>
          <w:highlight w:val="none"/>
        </w:rPr>
      </w:pPr>
    </w:p>
    <w:p w14:paraId="30B4EFC1">
      <w:pPr>
        <w:pStyle w:val="6"/>
        <w:spacing w:line="259" w:lineRule="auto"/>
        <w:rPr>
          <w:rFonts w:hint="eastAsia" w:ascii="宋体" w:hAnsi="宋体" w:eastAsia="宋体" w:cs="宋体"/>
          <w:color w:val="auto"/>
          <w:highlight w:val="none"/>
        </w:rPr>
      </w:pPr>
    </w:p>
    <w:p w14:paraId="2BA24286">
      <w:pPr>
        <w:pStyle w:val="6"/>
        <w:spacing w:line="259" w:lineRule="auto"/>
        <w:rPr>
          <w:rFonts w:hint="eastAsia" w:ascii="宋体" w:hAnsi="宋体" w:eastAsia="宋体" w:cs="宋体"/>
          <w:color w:val="auto"/>
          <w:highlight w:val="none"/>
        </w:rPr>
      </w:pPr>
    </w:p>
    <w:p w14:paraId="1B97EE3D">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7332F8E4">
      <w:pPr>
        <w:pStyle w:val="6"/>
        <w:spacing w:line="247" w:lineRule="auto"/>
        <w:rPr>
          <w:rFonts w:hint="eastAsia" w:ascii="宋体" w:hAnsi="宋体" w:eastAsia="宋体" w:cs="宋体"/>
          <w:color w:val="auto"/>
          <w:highlight w:val="none"/>
        </w:rPr>
      </w:pPr>
    </w:p>
    <w:p w14:paraId="7ABC2E3D">
      <w:pPr>
        <w:pStyle w:val="6"/>
        <w:spacing w:line="247" w:lineRule="auto"/>
        <w:rPr>
          <w:rFonts w:hint="eastAsia" w:ascii="宋体" w:hAnsi="宋体" w:eastAsia="宋体" w:cs="宋体"/>
          <w:color w:val="auto"/>
          <w:highlight w:val="none"/>
        </w:rPr>
      </w:pPr>
    </w:p>
    <w:p w14:paraId="6E24384B">
      <w:pPr>
        <w:pStyle w:val="6"/>
        <w:spacing w:line="247" w:lineRule="auto"/>
        <w:rPr>
          <w:rFonts w:hint="eastAsia" w:ascii="宋体" w:hAnsi="宋体" w:eastAsia="宋体" w:cs="宋体"/>
          <w:color w:val="auto"/>
          <w:highlight w:val="none"/>
        </w:rPr>
      </w:pPr>
    </w:p>
    <w:p w14:paraId="57625B3E">
      <w:pPr>
        <w:pStyle w:val="6"/>
        <w:spacing w:line="247" w:lineRule="auto"/>
        <w:rPr>
          <w:rFonts w:hint="eastAsia" w:ascii="宋体" w:hAnsi="宋体" w:eastAsia="宋体" w:cs="宋体"/>
          <w:color w:val="auto"/>
          <w:highlight w:val="none"/>
        </w:rPr>
      </w:pPr>
    </w:p>
    <w:p w14:paraId="2E7686F1">
      <w:pPr>
        <w:pStyle w:val="6"/>
        <w:spacing w:line="248" w:lineRule="auto"/>
        <w:rPr>
          <w:rFonts w:hint="eastAsia" w:ascii="宋体" w:hAnsi="宋体" w:eastAsia="宋体" w:cs="宋体"/>
          <w:color w:val="auto"/>
          <w:highlight w:val="none"/>
        </w:rPr>
      </w:pPr>
    </w:p>
    <w:p w14:paraId="46F8403D">
      <w:pP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E547877">
      <w:pPr>
        <w:pStyle w:val="6"/>
        <w:spacing w:line="293" w:lineRule="auto"/>
        <w:rPr>
          <w:rFonts w:hint="eastAsia" w:ascii="宋体" w:hAnsi="宋体" w:eastAsia="宋体" w:cs="宋体"/>
          <w:color w:val="auto"/>
          <w:highlight w:val="none"/>
        </w:rPr>
      </w:pPr>
    </w:p>
    <w:p w14:paraId="056D96BE">
      <w:pPr>
        <w:pStyle w:val="6"/>
        <w:spacing w:line="293" w:lineRule="auto"/>
        <w:rPr>
          <w:rFonts w:hint="eastAsia" w:ascii="宋体" w:hAnsi="宋体" w:eastAsia="宋体" w:cs="宋体"/>
          <w:color w:val="auto"/>
          <w:highlight w:val="none"/>
        </w:rPr>
      </w:pPr>
    </w:p>
    <w:p w14:paraId="31B75796">
      <w:pPr>
        <w:spacing w:before="152" w:line="223" w:lineRule="auto"/>
        <w:jc w:val="center"/>
        <w:rPr>
          <w:rFonts w:hint="eastAsia" w:ascii="宋体" w:hAnsi="宋体" w:eastAsia="宋体" w:cs="宋体"/>
          <w:b/>
          <w:bCs/>
          <w:color w:val="auto"/>
          <w:spacing w:val="2"/>
          <w:sz w:val="40"/>
          <w:szCs w:val="40"/>
          <w:highlight w:val="none"/>
        </w:rPr>
      </w:pPr>
      <w:bookmarkStart w:id="220" w:name="bookmark105"/>
      <w:bookmarkEnd w:id="220"/>
      <w:r>
        <w:rPr>
          <w:rFonts w:hint="eastAsia" w:ascii="宋体" w:hAnsi="宋体" w:eastAsia="宋体" w:cs="宋体"/>
          <w:b/>
          <w:bCs/>
          <w:color w:val="auto"/>
          <w:spacing w:val="2"/>
          <w:sz w:val="40"/>
          <w:szCs w:val="40"/>
          <w:highlight w:val="none"/>
        </w:rPr>
        <w:t>（商务标书／经济标书／施工组织设计</w:t>
      </w:r>
      <w:r>
        <w:rPr>
          <w:rFonts w:hint="eastAsia" w:ascii="宋体" w:hAnsi="宋体" w:eastAsia="宋体" w:cs="宋体"/>
          <w:b/>
          <w:bCs/>
          <w:color w:val="auto"/>
          <w:spacing w:val="2"/>
          <w:sz w:val="40"/>
          <w:szCs w:val="40"/>
          <w:highlight w:val="none"/>
          <w:lang w:val="en-US" w:eastAsia="zh-CN"/>
        </w:rPr>
        <w:t>/定标文件</w:t>
      </w:r>
      <w:r>
        <w:rPr>
          <w:rFonts w:hint="eastAsia" w:ascii="宋体" w:hAnsi="宋体" w:eastAsia="宋体" w:cs="宋体"/>
          <w:b/>
          <w:bCs/>
          <w:color w:val="auto"/>
          <w:spacing w:val="2"/>
          <w:sz w:val="40"/>
          <w:szCs w:val="40"/>
          <w:highlight w:val="none"/>
        </w:rPr>
        <w:t>）</w:t>
      </w:r>
    </w:p>
    <w:p w14:paraId="7B8A7EE1">
      <w:pPr>
        <w:bidi w:val="0"/>
        <w:rPr>
          <w:rFonts w:hint="eastAsia"/>
          <w:color w:val="auto"/>
          <w:highlight w:val="none"/>
        </w:rPr>
      </w:pPr>
    </w:p>
    <w:p w14:paraId="1260FD39">
      <w:pPr>
        <w:bidi w:val="0"/>
        <w:rPr>
          <w:rFonts w:hint="eastAsia"/>
          <w:color w:val="auto"/>
          <w:highlight w:val="none"/>
        </w:rPr>
      </w:pPr>
    </w:p>
    <w:p w14:paraId="6A252881">
      <w:pPr>
        <w:bidi w:val="0"/>
        <w:rPr>
          <w:rFonts w:hint="eastAsia"/>
          <w:color w:val="auto"/>
          <w:highlight w:val="none"/>
        </w:rPr>
      </w:pPr>
    </w:p>
    <w:p w14:paraId="31CDB2AA">
      <w:pPr>
        <w:bidi w:val="0"/>
        <w:rPr>
          <w:rFonts w:hint="eastAsia"/>
          <w:color w:val="auto"/>
          <w:highlight w:val="none"/>
        </w:rPr>
      </w:pPr>
    </w:p>
    <w:p w14:paraId="07041ABC">
      <w:pPr>
        <w:bidi w:val="0"/>
        <w:rPr>
          <w:rFonts w:hint="eastAsia"/>
          <w:color w:val="auto"/>
          <w:highlight w:val="none"/>
        </w:rPr>
      </w:pPr>
    </w:p>
    <w:p w14:paraId="6F4468B5">
      <w:pPr>
        <w:bidi w:val="0"/>
        <w:rPr>
          <w:rFonts w:hint="eastAsia"/>
          <w:color w:val="auto"/>
          <w:highlight w:val="none"/>
        </w:rPr>
      </w:pPr>
    </w:p>
    <w:p w14:paraId="57999A62">
      <w:pPr>
        <w:bidi w:val="0"/>
        <w:rPr>
          <w:rFonts w:hint="eastAsia"/>
          <w:color w:val="auto"/>
          <w:highlight w:val="none"/>
        </w:rPr>
      </w:pPr>
    </w:p>
    <w:p w14:paraId="5D805491">
      <w:pPr>
        <w:bidi w:val="0"/>
        <w:rPr>
          <w:rFonts w:hint="eastAsia"/>
          <w:color w:val="auto"/>
          <w:highlight w:val="none"/>
        </w:rPr>
      </w:pPr>
    </w:p>
    <w:p w14:paraId="72847790">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42CFCC09">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64A740DA">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AC288DB">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2798870D">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0D0A995E">
      <w:pPr>
        <w:pStyle w:val="40"/>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7B263C08">
      <w:pPr>
        <w:pStyle w:val="40"/>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047CB103">
      <w:pPr>
        <w:bidi w:val="0"/>
        <w:rPr>
          <w:rFonts w:hint="eastAsia"/>
          <w:color w:val="auto"/>
          <w:highlight w:val="none"/>
        </w:rPr>
      </w:pPr>
    </w:p>
    <w:p w14:paraId="161DBC52">
      <w:pPr>
        <w:outlineLvl w:val="9"/>
        <w:rPr>
          <w:rFonts w:hint="eastAsia"/>
          <w:color w:val="auto"/>
          <w:highlight w:val="none"/>
        </w:rPr>
      </w:pPr>
    </w:p>
    <w:p w14:paraId="4C360526">
      <w:pPr>
        <w:spacing w:line="223" w:lineRule="auto"/>
        <w:rPr>
          <w:rFonts w:hint="eastAsia" w:ascii="宋体" w:hAnsi="宋体" w:eastAsia="宋体" w:cs="宋体"/>
          <w:color w:val="auto"/>
          <w:sz w:val="47"/>
          <w:szCs w:val="47"/>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3CA7821E">
      <w:pPr>
        <w:spacing w:before="78" w:line="220" w:lineRule="auto"/>
        <w:outlineLvl w:val="2"/>
        <w:rPr>
          <w:rFonts w:hint="eastAsia" w:ascii="宋体" w:hAnsi="宋体" w:eastAsia="宋体" w:cs="宋体"/>
          <w:b/>
          <w:bCs/>
          <w:color w:val="auto"/>
          <w:spacing w:val="-4"/>
          <w:sz w:val="24"/>
          <w:szCs w:val="24"/>
          <w:highlight w:val="none"/>
        </w:rPr>
      </w:pPr>
      <w:bookmarkStart w:id="221" w:name="_Toc24492"/>
      <w:r>
        <w:rPr>
          <w:rFonts w:hint="eastAsia" w:ascii="宋体" w:hAnsi="宋体" w:eastAsia="宋体" w:cs="宋体"/>
          <w:b/>
          <w:bCs/>
          <w:color w:val="auto"/>
          <w:spacing w:val="-4"/>
          <w:sz w:val="24"/>
          <w:szCs w:val="24"/>
          <w:highlight w:val="none"/>
        </w:rPr>
        <w:t>格式二 投标函</w:t>
      </w:r>
      <w:bookmarkEnd w:id="221"/>
    </w:p>
    <w:p w14:paraId="3DF173B2">
      <w:pPr>
        <w:pStyle w:val="6"/>
        <w:spacing w:line="261" w:lineRule="auto"/>
        <w:rPr>
          <w:rFonts w:hint="eastAsia" w:ascii="宋体" w:hAnsi="宋体" w:eastAsia="宋体" w:cs="宋体"/>
          <w:color w:val="auto"/>
          <w:highlight w:val="none"/>
        </w:rPr>
      </w:pPr>
    </w:p>
    <w:p w14:paraId="0BF10E10">
      <w:pPr>
        <w:spacing w:before="97" w:line="221" w:lineRule="auto"/>
        <w:ind w:left="3799"/>
        <w:outlineLvl w:val="9"/>
        <w:rPr>
          <w:rFonts w:hint="eastAsia" w:ascii="宋体" w:hAnsi="宋体" w:eastAsia="宋体" w:cs="宋体"/>
          <w:color w:val="auto"/>
          <w:sz w:val="30"/>
          <w:szCs w:val="30"/>
          <w:highlight w:val="none"/>
        </w:rPr>
      </w:pPr>
      <w:bookmarkStart w:id="222" w:name="bookmark148"/>
      <w:bookmarkEnd w:id="222"/>
      <w:bookmarkStart w:id="223" w:name="_Toc317"/>
      <w:bookmarkStart w:id="224" w:name="_Toc297"/>
      <w:bookmarkStart w:id="225" w:name="_Toc2739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23"/>
      <w:bookmarkEnd w:id="224"/>
      <w:bookmarkEnd w:id="225"/>
    </w:p>
    <w:p w14:paraId="5786DC1E">
      <w:pPr>
        <w:pStyle w:val="6"/>
        <w:spacing w:line="249" w:lineRule="auto"/>
        <w:rPr>
          <w:rFonts w:hint="eastAsia" w:ascii="宋体" w:hAnsi="宋体" w:eastAsia="宋体" w:cs="宋体"/>
          <w:color w:val="auto"/>
          <w:highlight w:val="none"/>
        </w:rPr>
      </w:pPr>
    </w:p>
    <w:p w14:paraId="72CE24CA">
      <w:pPr>
        <w:pStyle w:val="6"/>
        <w:spacing w:line="250" w:lineRule="auto"/>
        <w:rPr>
          <w:rFonts w:hint="eastAsia" w:ascii="宋体" w:hAnsi="宋体" w:eastAsia="宋体" w:cs="宋体"/>
          <w:color w:val="auto"/>
          <w:highlight w:val="none"/>
        </w:rPr>
      </w:pPr>
    </w:p>
    <w:p w14:paraId="168AB820">
      <w:pPr>
        <w:pStyle w:val="6"/>
        <w:spacing w:line="250" w:lineRule="auto"/>
        <w:rPr>
          <w:rFonts w:hint="eastAsia" w:ascii="宋体" w:hAnsi="宋体" w:eastAsia="宋体" w:cs="宋体"/>
          <w:color w:val="auto"/>
          <w:highlight w:val="none"/>
        </w:rPr>
      </w:pPr>
    </w:p>
    <w:p w14:paraId="01F0CE90">
      <w:pPr>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41AD49C9">
      <w:pPr>
        <w:pStyle w:val="6"/>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161A4CD5">
      <w:pPr>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4C81A754">
      <w:pPr>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26" w:name="OLE_LINK34"/>
      <w:r>
        <w:rPr>
          <w:rFonts w:hint="eastAsia" w:ascii="宋体" w:hAnsi="宋体" w:eastAsia="宋体" w:cs="宋体"/>
          <w:color w:val="auto"/>
          <w:sz w:val="24"/>
          <w:szCs w:val="24"/>
          <w:highlight w:val="none"/>
          <w:u w:val="single"/>
          <w:lang w:val="en-US" w:eastAsia="zh-CN"/>
        </w:rPr>
        <w:t xml:space="preserve">     </w:t>
      </w:r>
      <w:bookmarkEnd w:id="226"/>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340342D2">
      <w:pPr>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46E2E000">
      <w:pPr>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1D33063C">
      <w:pPr>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02AEB5D4">
      <w:pPr>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1C092AD2">
      <w:pPr>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3BD0DAFE">
      <w:pPr>
        <w:pStyle w:val="6"/>
        <w:spacing w:line="276" w:lineRule="auto"/>
        <w:rPr>
          <w:rFonts w:hint="eastAsia" w:ascii="宋体" w:hAnsi="宋体" w:eastAsia="宋体" w:cs="宋体"/>
          <w:color w:val="auto"/>
          <w:highlight w:val="none"/>
        </w:rPr>
      </w:pPr>
    </w:p>
    <w:p w14:paraId="3340DC23">
      <w:pPr>
        <w:pStyle w:val="6"/>
        <w:spacing w:line="277" w:lineRule="auto"/>
        <w:rPr>
          <w:rFonts w:hint="eastAsia" w:ascii="宋体" w:hAnsi="宋体" w:eastAsia="宋体" w:cs="宋体"/>
          <w:color w:val="auto"/>
          <w:highlight w:val="none"/>
        </w:rPr>
      </w:pPr>
    </w:p>
    <w:p w14:paraId="6112F4BB">
      <w:pPr>
        <w:pStyle w:val="6"/>
        <w:spacing w:line="277" w:lineRule="auto"/>
        <w:rPr>
          <w:rFonts w:hint="eastAsia" w:ascii="宋体" w:hAnsi="宋体" w:eastAsia="宋体" w:cs="宋体"/>
          <w:color w:val="auto"/>
          <w:highlight w:val="none"/>
        </w:rPr>
      </w:pPr>
    </w:p>
    <w:p w14:paraId="3C3B5068">
      <w:pPr>
        <w:spacing w:before="79" w:line="219" w:lineRule="auto"/>
        <w:ind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1529BCF9">
      <w:pPr>
        <w:pStyle w:val="6"/>
        <w:spacing w:line="256" w:lineRule="auto"/>
        <w:jc w:val="right"/>
        <w:rPr>
          <w:rFonts w:hint="eastAsia" w:ascii="宋体" w:hAnsi="宋体" w:eastAsia="宋体" w:cs="宋体"/>
          <w:color w:val="auto"/>
          <w:highlight w:val="none"/>
        </w:rPr>
      </w:pPr>
    </w:p>
    <w:p w14:paraId="5D5796EA">
      <w:pPr>
        <w:pStyle w:val="6"/>
        <w:spacing w:line="256" w:lineRule="auto"/>
        <w:jc w:val="right"/>
        <w:rPr>
          <w:rFonts w:hint="eastAsia" w:ascii="宋体" w:hAnsi="宋体" w:eastAsia="宋体" w:cs="宋体"/>
          <w:color w:val="auto"/>
          <w:highlight w:val="none"/>
        </w:rPr>
      </w:pPr>
    </w:p>
    <w:p w14:paraId="077AAC23">
      <w:pPr>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E670E0E">
      <w:pPr>
        <w:pStyle w:val="6"/>
        <w:spacing w:line="257" w:lineRule="auto"/>
        <w:rPr>
          <w:rFonts w:hint="eastAsia" w:ascii="宋体" w:hAnsi="宋体" w:eastAsia="宋体" w:cs="宋体"/>
          <w:color w:val="auto"/>
          <w:highlight w:val="none"/>
        </w:rPr>
      </w:pPr>
    </w:p>
    <w:p w14:paraId="3F18B311">
      <w:pPr>
        <w:pStyle w:val="6"/>
        <w:spacing w:line="257" w:lineRule="auto"/>
        <w:rPr>
          <w:rFonts w:hint="eastAsia" w:ascii="宋体" w:hAnsi="宋体" w:eastAsia="宋体" w:cs="宋体"/>
          <w:color w:val="auto"/>
          <w:highlight w:val="none"/>
        </w:rPr>
      </w:pPr>
    </w:p>
    <w:p w14:paraId="159419D8">
      <w:pP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440739B3">
      <w:pPr>
        <w:spacing w:line="220" w:lineRule="auto"/>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3F5E0DE7">
      <w:pPr>
        <w:spacing w:before="78" w:line="220" w:lineRule="auto"/>
        <w:outlineLvl w:val="2"/>
        <w:rPr>
          <w:rFonts w:hint="eastAsia" w:ascii="宋体" w:hAnsi="宋体" w:eastAsia="宋体" w:cs="宋体"/>
          <w:b/>
          <w:bCs/>
          <w:color w:val="auto"/>
          <w:spacing w:val="-4"/>
          <w:sz w:val="24"/>
          <w:szCs w:val="24"/>
          <w:highlight w:val="none"/>
        </w:rPr>
      </w:pPr>
      <w:bookmarkStart w:id="227" w:name="_Toc15958"/>
      <w:r>
        <w:rPr>
          <w:rFonts w:hint="eastAsia" w:ascii="宋体" w:hAnsi="宋体" w:eastAsia="宋体" w:cs="宋体"/>
          <w:b/>
          <w:bCs/>
          <w:color w:val="auto"/>
          <w:spacing w:val="-4"/>
          <w:sz w:val="24"/>
          <w:szCs w:val="24"/>
          <w:highlight w:val="none"/>
        </w:rPr>
        <w:t>格式三 各项承诺一览表</w:t>
      </w:r>
      <w:bookmarkEnd w:id="227"/>
    </w:p>
    <w:p w14:paraId="026AE8D0">
      <w:pPr>
        <w:pStyle w:val="6"/>
        <w:spacing w:line="254" w:lineRule="auto"/>
        <w:rPr>
          <w:rFonts w:hint="eastAsia" w:ascii="宋体" w:hAnsi="宋体" w:eastAsia="宋体" w:cs="宋体"/>
          <w:color w:val="auto"/>
          <w:highlight w:val="none"/>
        </w:rPr>
      </w:pPr>
    </w:p>
    <w:p w14:paraId="40480B0B">
      <w:pPr>
        <w:spacing w:before="98" w:line="220" w:lineRule="auto"/>
        <w:ind w:left="3581"/>
        <w:outlineLvl w:val="9"/>
        <w:rPr>
          <w:rFonts w:hint="eastAsia" w:ascii="宋体" w:hAnsi="宋体" w:eastAsia="宋体" w:cs="宋体"/>
          <w:color w:val="auto"/>
          <w:sz w:val="30"/>
          <w:szCs w:val="30"/>
          <w:highlight w:val="none"/>
        </w:rPr>
      </w:pPr>
      <w:bookmarkStart w:id="228" w:name="bookmark149"/>
      <w:bookmarkEnd w:id="228"/>
      <w:bookmarkStart w:id="229" w:name="_Toc4767"/>
      <w:bookmarkStart w:id="230" w:name="_Toc10326"/>
      <w:bookmarkStart w:id="231" w:name="_Toc2936"/>
      <w:r>
        <w:rPr>
          <w:rFonts w:hint="eastAsia" w:ascii="宋体" w:hAnsi="宋体" w:eastAsia="宋体" w:cs="宋体"/>
          <w:b/>
          <w:bCs/>
          <w:color w:val="auto"/>
          <w:spacing w:val="-5"/>
          <w:sz w:val="30"/>
          <w:szCs w:val="30"/>
          <w:highlight w:val="none"/>
        </w:rPr>
        <w:t>各项承诺一览表</w:t>
      </w:r>
      <w:bookmarkEnd w:id="229"/>
      <w:bookmarkEnd w:id="230"/>
      <w:bookmarkEnd w:id="231"/>
    </w:p>
    <w:p w14:paraId="1019DBE2">
      <w:pPr>
        <w:spacing w:before="6"/>
        <w:rPr>
          <w:rFonts w:hint="eastAsia" w:ascii="宋体" w:hAnsi="宋体" w:eastAsia="宋体" w:cs="宋体"/>
          <w:color w:val="auto"/>
          <w:highlight w:val="none"/>
        </w:rPr>
      </w:pPr>
    </w:p>
    <w:tbl>
      <w:tblPr>
        <w:tblStyle w:val="15"/>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1A644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14BDA62">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24E2BE57">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60AB79B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551DFBEF">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2321D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CB3F03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9FA0C6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5F17FF0">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BF339D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140F332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9EEF9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4D37E14">
            <w:pPr>
              <w:keepNext w:val="0"/>
              <w:keepLines w:val="0"/>
              <w:pageBreakBefore w:val="0"/>
              <w:widowControl/>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top"/>
          </w:tcPr>
          <w:p w14:paraId="4843DD35">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D2370A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57E88BE8">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75D715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7A5045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629315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7FA171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75C41C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F1232F5">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6C3EE17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E1826B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2131ED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0DEF1CA">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top"/>
          </w:tcPr>
          <w:p w14:paraId="5806933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B24B0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3DC0748">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373FA553">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35D8E5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0EF8F2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82C04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A3747C5">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FEA37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39286DF">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6D4F3A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B3E0218">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7908DE5">
            <w:pPr>
              <w:keepNext w:val="0"/>
              <w:keepLines w:val="0"/>
              <w:pageBreakBefore w:val="0"/>
              <w:widowControl/>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24B6EC43">
            <w:pPr>
              <w:keepNext w:val="0"/>
              <w:keepLines w:val="0"/>
              <w:pageBreakBefore w:val="0"/>
              <w:widowControl/>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79AED1DA">
            <w:pPr>
              <w:keepNext w:val="0"/>
              <w:keepLines w:val="0"/>
              <w:pageBreakBefore w:val="0"/>
              <w:widowControl/>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top"/>
          </w:tcPr>
          <w:p w14:paraId="2BB2A63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1E7220">
            <w:pPr>
              <w:keepNext w:val="0"/>
              <w:keepLines w:val="0"/>
              <w:pageBreakBefore w:val="0"/>
              <w:widowControl/>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行为骗取中标。</w:t>
            </w:r>
          </w:p>
        </w:tc>
        <w:tc>
          <w:tcPr>
            <w:tcW w:w="4272" w:type="dxa"/>
            <w:vAlign w:val="top"/>
          </w:tcPr>
          <w:p w14:paraId="26B083FE">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2D9BB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32E4EF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409B33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DB6B00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EF032B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1490C1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3CB086">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215074D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4C634D">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2C168C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08086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AE96CB2">
            <w:pPr>
              <w:keepNext w:val="0"/>
              <w:keepLines w:val="0"/>
              <w:pageBreakBefore w:val="0"/>
              <w:widowControl/>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7"/>
                <w:sz w:val="24"/>
                <w:szCs w:val="24"/>
                <w:highlight w:val="none"/>
              </w:rPr>
              <w:t>任职承诺</w:t>
            </w:r>
          </w:p>
        </w:tc>
        <w:tc>
          <w:tcPr>
            <w:tcW w:w="3107" w:type="dxa"/>
            <w:vAlign w:val="top"/>
          </w:tcPr>
          <w:p w14:paraId="76EFB3E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A627F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5BDC043">
            <w:pPr>
              <w:keepNext w:val="0"/>
              <w:keepLines w:val="0"/>
              <w:pageBreakBefore w:val="0"/>
              <w:widowControl/>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程项目的项目经理。</w:t>
            </w:r>
          </w:p>
        </w:tc>
        <w:tc>
          <w:tcPr>
            <w:tcW w:w="4272" w:type="dxa"/>
            <w:vAlign w:val="top"/>
          </w:tcPr>
          <w:p w14:paraId="5743E675">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标活动期间有担任其他任何在施（包括已中标未开工、已开工未竣工）建设工程项目的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72FB2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4E3D8D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F025A1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6C23F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55EAC14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878D575">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vAlign w:val="top"/>
          </w:tcPr>
          <w:p w14:paraId="1859778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456CE7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5795EA48">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1603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49BD0024">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CCB262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FE2C9E7">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32AB978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3"/>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030C31B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29488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143CB162">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top"/>
          </w:tcPr>
          <w:p w14:paraId="18B580A3">
            <w:pPr>
              <w:keepNext w:val="0"/>
              <w:keepLines w:val="0"/>
              <w:pageBreakBefore w:val="0"/>
              <w:widowControl/>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58689A3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7B63BF6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365EE97">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rPr>
            </w:pPr>
          </w:p>
        </w:tc>
      </w:tr>
      <w:tr w14:paraId="3B05B0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FE4BF02">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599883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BAF5C8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FE97F0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B2A9F3E">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43163C3D">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21584682">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628BCDB">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17B4F23B">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top"/>
          </w:tcPr>
          <w:p w14:paraId="7ED4B132">
            <w:pPr>
              <w:keepNext w:val="0"/>
              <w:keepLines w:val="0"/>
              <w:pageBreakBefore w:val="0"/>
              <w:widowControl/>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45890CD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5F28B8B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D395E9">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940329C">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rPr>
            </w:pPr>
          </w:p>
        </w:tc>
      </w:tr>
      <w:tr w14:paraId="7BD2A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AD56D7">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FE0E6B3">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6F77DE">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1867D0E">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723303EA">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0BBA9BD9">
            <w:pPr>
              <w:pStyle w:val="22"/>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5CC084B4">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top"/>
          </w:tcPr>
          <w:p w14:paraId="7B61A6B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FDB927">
            <w:pPr>
              <w:keepNext w:val="0"/>
              <w:keepLines w:val="0"/>
              <w:pageBreakBefore w:val="0"/>
              <w:widowControl/>
              <w:kinsoku w:val="0"/>
              <w:wordWrap/>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37B7C163">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208D9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0120DE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5046E4C">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ECA051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42F4FA">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D371D4C">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18DB3F26">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59BCC8F">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39A4BC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452B58C">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1"/>
                <w:sz w:val="24"/>
                <w:szCs w:val="24"/>
                <w:highlight w:val="none"/>
              </w:rPr>
              <w:t>的承诺</w:t>
            </w:r>
          </w:p>
        </w:tc>
        <w:tc>
          <w:tcPr>
            <w:tcW w:w="3107" w:type="dxa"/>
            <w:vAlign w:val="top"/>
          </w:tcPr>
          <w:p w14:paraId="745A5CAB">
            <w:pPr>
              <w:pStyle w:val="22"/>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044BA3E">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F95DB8F">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1280BF8E">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2CF50268">
      <w:pPr>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2D917528">
      <w:pPr>
        <w:pStyle w:val="6"/>
        <w:spacing w:line="297" w:lineRule="auto"/>
        <w:jc w:val="right"/>
        <w:rPr>
          <w:rFonts w:hint="eastAsia" w:ascii="宋体" w:hAnsi="宋体" w:eastAsia="宋体" w:cs="宋体"/>
          <w:color w:val="auto"/>
          <w:highlight w:val="none"/>
        </w:rPr>
      </w:pPr>
    </w:p>
    <w:p w14:paraId="6AF2FDE1">
      <w:pP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28353B88">
      <w:pPr>
        <w:outlineLvl w:val="9"/>
        <w:rPr>
          <w:rFonts w:hint="eastAsia"/>
          <w:color w:val="auto"/>
          <w:highlight w:val="none"/>
        </w:rPr>
      </w:pPr>
    </w:p>
    <w:p w14:paraId="4D59FD44">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4DEAF14D">
      <w:pPr>
        <w:spacing w:line="220" w:lineRule="auto"/>
        <w:jc w:val="right"/>
        <w:rPr>
          <w:rFonts w:hint="eastAsia" w:ascii="宋体" w:hAnsi="宋体" w:eastAsia="宋体" w:cs="宋体"/>
          <w:color w:val="auto"/>
          <w:sz w:val="24"/>
          <w:szCs w:val="24"/>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E08E517">
      <w:pPr>
        <w:spacing w:before="78" w:line="220" w:lineRule="auto"/>
        <w:outlineLvl w:val="2"/>
        <w:rPr>
          <w:rFonts w:hint="eastAsia" w:ascii="宋体" w:hAnsi="宋体" w:eastAsia="宋体" w:cs="宋体"/>
          <w:b/>
          <w:bCs/>
          <w:color w:val="auto"/>
          <w:spacing w:val="-4"/>
          <w:sz w:val="24"/>
          <w:szCs w:val="24"/>
          <w:highlight w:val="none"/>
        </w:rPr>
      </w:pPr>
      <w:bookmarkStart w:id="232" w:name="_Toc16537"/>
      <w:r>
        <w:rPr>
          <w:rFonts w:hint="eastAsia" w:ascii="宋体" w:hAnsi="宋体" w:eastAsia="宋体" w:cs="宋体"/>
          <w:b/>
          <w:bCs/>
          <w:color w:val="auto"/>
          <w:spacing w:val="-4"/>
          <w:sz w:val="24"/>
          <w:szCs w:val="24"/>
          <w:highlight w:val="none"/>
        </w:rPr>
        <w:t>格式四 授权委托书</w:t>
      </w:r>
      <w:bookmarkEnd w:id="232"/>
    </w:p>
    <w:p w14:paraId="52D6B1AC">
      <w:pPr>
        <w:pStyle w:val="6"/>
        <w:spacing w:line="351" w:lineRule="auto"/>
        <w:rPr>
          <w:rFonts w:hint="eastAsia" w:ascii="宋体" w:hAnsi="宋体" w:eastAsia="宋体" w:cs="宋体"/>
          <w:color w:val="auto"/>
          <w:highlight w:val="none"/>
        </w:rPr>
      </w:pPr>
    </w:p>
    <w:p w14:paraId="4FF0C18E">
      <w:pPr>
        <w:pStyle w:val="6"/>
        <w:spacing w:line="351" w:lineRule="auto"/>
        <w:rPr>
          <w:rFonts w:hint="eastAsia" w:ascii="宋体" w:hAnsi="宋体" w:eastAsia="宋体" w:cs="宋体"/>
          <w:color w:val="auto"/>
          <w:highlight w:val="none"/>
        </w:rPr>
      </w:pPr>
    </w:p>
    <w:p w14:paraId="392E9734">
      <w:pPr>
        <w:spacing w:before="97" w:line="219" w:lineRule="auto"/>
        <w:ind w:left="3786"/>
        <w:rPr>
          <w:rFonts w:hint="eastAsia" w:ascii="宋体" w:hAnsi="宋体" w:eastAsia="宋体" w:cs="宋体"/>
          <w:color w:val="auto"/>
          <w:sz w:val="30"/>
          <w:szCs w:val="30"/>
          <w:highlight w:val="none"/>
        </w:rPr>
      </w:pPr>
      <w:bookmarkStart w:id="233" w:name="bookmark151"/>
      <w:bookmarkEnd w:id="233"/>
      <w:r>
        <w:rPr>
          <w:rFonts w:hint="eastAsia" w:ascii="宋体" w:hAnsi="宋体" w:eastAsia="宋体" w:cs="宋体"/>
          <w:b/>
          <w:bCs/>
          <w:color w:val="auto"/>
          <w:spacing w:val="-5"/>
          <w:sz w:val="30"/>
          <w:szCs w:val="30"/>
          <w:highlight w:val="none"/>
        </w:rPr>
        <w:t>授权委托书</w:t>
      </w:r>
    </w:p>
    <w:p w14:paraId="04F88440">
      <w:pPr>
        <w:pStyle w:val="6"/>
        <w:spacing w:line="250" w:lineRule="auto"/>
        <w:rPr>
          <w:rFonts w:hint="eastAsia" w:ascii="宋体" w:hAnsi="宋体" w:eastAsia="宋体" w:cs="宋体"/>
          <w:color w:val="auto"/>
          <w:highlight w:val="none"/>
        </w:rPr>
      </w:pPr>
    </w:p>
    <w:p w14:paraId="2017F5C3">
      <w:pPr>
        <w:pStyle w:val="6"/>
        <w:spacing w:line="250" w:lineRule="auto"/>
        <w:rPr>
          <w:rFonts w:hint="eastAsia" w:ascii="宋体" w:hAnsi="宋体" w:eastAsia="宋体" w:cs="宋体"/>
          <w:color w:val="auto"/>
          <w:highlight w:val="none"/>
        </w:rPr>
      </w:pPr>
    </w:p>
    <w:p w14:paraId="05FEBBB4">
      <w:pPr>
        <w:pStyle w:val="6"/>
        <w:spacing w:line="251" w:lineRule="auto"/>
        <w:rPr>
          <w:rFonts w:hint="eastAsia" w:ascii="宋体" w:hAnsi="宋体" w:eastAsia="宋体" w:cs="宋体"/>
          <w:color w:val="auto"/>
          <w:highlight w:val="none"/>
        </w:rPr>
      </w:pPr>
    </w:p>
    <w:p w14:paraId="751DBC02">
      <w:pPr>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投标文件、签订合同和处理有关事宜，其法律后果由我方承担。</w:t>
      </w:r>
    </w:p>
    <w:p w14:paraId="2653EF0D">
      <w:pPr>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7CF2436B">
      <w:pPr>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0C0A40E6">
      <w:pPr>
        <w:pStyle w:val="6"/>
        <w:spacing w:line="276" w:lineRule="auto"/>
        <w:rPr>
          <w:rFonts w:hint="eastAsia" w:ascii="宋体" w:hAnsi="宋体" w:eastAsia="宋体" w:cs="宋体"/>
          <w:color w:val="auto"/>
          <w:highlight w:val="none"/>
        </w:rPr>
      </w:pPr>
    </w:p>
    <w:p w14:paraId="418B1FBB">
      <w:pPr>
        <w:pStyle w:val="6"/>
        <w:spacing w:line="277" w:lineRule="auto"/>
        <w:rPr>
          <w:rFonts w:hint="eastAsia" w:ascii="宋体" w:hAnsi="宋体" w:eastAsia="宋体" w:cs="宋体"/>
          <w:color w:val="auto"/>
          <w:highlight w:val="none"/>
        </w:rPr>
      </w:pPr>
    </w:p>
    <w:p w14:paraId="0ECC62DD">
      <w:pPr>
        <w:pStyle w:val="6"/>
        <w:spacing w:line="277" w:lineRule="auto"/>
        <w:rPr>
          <w:rFonts w:hint="eastAsia" w:ascii="宋体" w:hAnsi="宋体" w:eastAsia="宋体" w:cs="宋体"/>
          <w:color w:val="auto"/>
          <w:highlight w:val="none"/>
        </w:rPr>
      </w:pPr>
    </w:p>
    <w:p w14:paraId="7120C750">
      <w:pPr>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51DF3B0D">
      <w:pPr>
        <w:pStyle w:val="6"/>
        <w:spacing w:line="317" w:lineRule="auto"/>
        <w:jc w:val="right"/>
        <w:rPr>
          <w:rFonts w:hint="eastAsia" w:ascii="宋体" w:hAnsi="宋体" w:eastAsia="宋体" w:cs="宋体"/>
          <w:color w:val="auto"/>
          <w:highlight w:val="none"/>
        </w:rPr>
      </w:pPr>
    </w:p>
    <w:p w14:paraId="387F00A4">
      <w:pPr>
        <w:pStyle w:val="6"/>
        <w:spacing w:line="317" w:lineRule="auto"/>
        <w:jc w:val="right"/>
        <w:rPr>
          <w:rFonts w:hint="eastAsia" w:ascii="宋体" w:hAnsi="宋体" w:eastAsia="宋体" w:cs="宋体"/>
          <w:color w:val="auto"/>
          <w:highlight w:val="none"/>
        </w:rPr>
      </w:pPr>
    </w:p>
    <w:p w14:paraId="1CDD9DC5">
      <w:pPr>
        <w:pStyle w:val="6"/>
        <w:spacing w:line="317" w:lineRule="auto"/>
        <w:jc w:val="right"/>
        <w:rPr>
          <w:rFonts w:hint="eastAsia" w:ascii="宋体" w:hAnsi="宋体" w:eastAsia="宋体" w:cs="宋体"/>
          <w:color w:val="auto"/>
          <w:highlight w:val="none"/>
        </w:rPr>
      </w:pPr>
    </w:p>
    <w:p w14:paraId="65F4BA3B">
      <w:pPr>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596BE95B">
      <w:pPr>
        <w:pStyle w:val="6"/>
        <w:spacing w:line="317" w:lineRule="auto"/>
        <w:jc w:val="right"/>
        <w:rPr>
          <w:rFonts w:hint="eastAsia" w:ascii="宋体" w:hAnsi="宋体" w:eastAsia="宋体" w:cs="宋体"/>
          <w:color w:val="auto"/>
          <w:highlight w:val="none"/>
        </w:rPr>
      </w:pPr>
    </w:p>
    <w:p w14:paraId="19BDFE69">
      <w:pPr>
        <w:pStyle w:val="6"/>
        <w:spacing w:line="317" w:lineRule="auto"/>
        <w:jc w:val="right"/>
        <w:rPr>
          <w:rFonts w:hint="eastAsia" w:ascii="宋体" w:hAnsi="宋体" w:eastAsia="宋体" w:cs="宋体"/>
          <w:color w:val="auto"/>
          <w:highlight w:val="none"/>
        </w:rPr>
      </w:pPr>
    </w:p>
    <w:p w14:paraId="1EA7C1F1">
      <w:pPr>
        <w:pStyle w:val="6"/>
        <w:spacing w:line="317" w:lineRule="auto"/>
        <w:jc w:val="right"/>
        <w:rPr>
          <w:rFonts w:hint="eastAsia" w:ascii="宋体" w:hAnsi="宋体" w:eastAsia="宋体" w:cs="宋体"/>
          <w:color w:val="auto"/>
          <w:highlight w:val="none"/>
        </w:rPr>
      </w:pPr>
    </w:p>
    <w:p w14:paraId="1D10DF0C">
      <w:pPr>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5B063E8A">
      <w:pPr>
        <w:pStyle w:val="6"/>
        <w:spacing w:line="256" w:lineRule="auto"/>
        <w:jc w:val="right"/>
        <w:rPr>
          <w:rFonts w:hint="eastAsia" w:ascii="宋体" w:hAnsi="宋体" w:eastAsia="宋体" w:cs="宋体"/>
          <w:color w:val="auto"/>
          <w:highlight w:val="none"/>
        </w:rPr>
      </w:pPr>
    </w:p>
    <w:p w14:paraId="492E95D9">
      <w:pPr>
        <w:pStyle w:val="6"/>
        <w:spacing w:line="256" w:lineRule="auto"/>
        <w:jc w:val="right"/>
        <w:rPr>
          <w:rFonts w:hint="eastAsia" w:ascii="宋体" w:hAnsi="宋体" w:eastAsia="宋体" w:cs="宋体"/>
          <w:color w:val="auto"/>
          <w:highlight w:val="none"/>
        </w:rPr>
      </w:pPr>
    </w:p>
    <w:p w14:paraId="116EE129">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528954B">
      <w:pPr>
        <w:spacing w:before="78" w:line="220" w:lineRule="auto"/>
        <w:ind w:left="4201"/>
        <w:jc w:val="right"/>
        <w:rPr>
          <w:rFonts w:hint="eastAsia" w:ascii="宋体" w:hAnsi="宋体" w:eastAsia="宋体" w:cs="宋体"/>
          <w:color w:val="auto"/>
          <w:sz w:val="24"/>
          <w:szCs w:val="24"/>
          <w:highlight w:val="none"/>
        </w:rPr>
      </w:pPr>
    </w:p>
    <w:p w14:paraId="6285CC3E">
      <w:pPr>
        <w:spacing w:before="69"/>
        <w:rPr>
          <w:rFonts w:hint="eastAsia" w:ascii="宋体" w:hAnsi="宋体" w:eastAsia="宋体" w:cs="宋体"/>
          <w:color w:val="auto"/>
          <w:highlight w:val="none"/>
        </w:rPr>
      </w:pPr>
    </w:p>
    <w:p w14:paraId="13041B14">
      <w:pPr>
        <w:spacing w:before="69"/>
        <w:rPr>
          <w:rFonts w:hint="eastAsia" w:ascii="宋体" w:hAnsi="宋体" w:eastAsia="宋体" w:cs="宋体"/>
          <w:color w:val="auto"/>
          <w:highlight w:val="none"/>
        </w:rPr>
      </w:pPr>
    </w:p>
    <w:tbl>
      <w:tblPr>
        <w:tblStyle w:val="15"/>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2E62157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570" w:hRule="atLeast"/>
        </w:trPr>
        <w:tc>
          <w:tcPr>
            <w:tcW w:w="5600" w:type="dxa"/>
            <w:vAlign w:val="top"/>
          </w:tcPr>
          <w:p w14:paraId="68BF3639">
            <w:pPr>
              <w:pStyle w:val="22"/>
              <w:spacing w:line="245" w:lineRule="auto"/>
              <w:rPr>
                <w:rFonts w:hint="eastAsia" w:ascii="宋体" w:hAnsi="宋体" w:eastAsia="宋体" w:cs="宋体"/>
                <w:color w:val="auto"/>
                <w:highlight w:val="none"/>
              </w:rPr>
            </w:pPr>
          </w:p>
          <w:p w14:paraId="4B47535F">
            <w:pPr>
              <w:pStyle w:val="22"/>
              <w:spacing w:line="245" w:lineRule="auto"/>
              <w:rPr>
                <w:rFonts w:hint="eastAsia" w:ascii="宋体" w:hAnsi="宋体" w:eastAsia="宋体" w:cs="宋体"/>
                <w:color w:val="auto"/>
                <w:highlight w:val="none"/>
              </w:rPr>
            </w:pPr>
          </w:p>
          <w:p w14:paraId="0C140ADB">
            <w:pPr>
              <w:pStyle w:val="22"/>
              <w:spacing w:line="245" w:lineRule="auto"/>
              <w:rPr>
                <w:rFonts w:hint="eastAsia" w:ascii="宋体" w:hAnsi="宋体" w:eastAsia="宋体" w:cs="宋体"/>
                <w:color w:val="auto"/>
                <w:highlight w:val="none"/>
              </w:rPr>
            </w:pPr>
          </w:p>
          <w:p w14:paraId="37AC5D2F">
            <w:pPr>
              <w:pStyle w:val="22"/>
              <w:spacing w:line="245" w:lineRule="auto"/>
              <w:rPr>
                <w:rFonts w:hint="eastAsia" w:ascii="宋体" w:hAnsi="宋体" w:eastAsia="宋体" w:cs="宋体"/>
                <w:color w:val="auto"/>
                <w:highlight w:val="none"/>
              </w:rPr>
            </w:pPr>
          </w:p>
          <w:p w14:paraId="4D91F07F">
            <w:pPr>
              <w:pStyle w:val="22"/>
              <w:spacing w:line="245" w:lineRule="auto"/>
              <w:rPr>
                <w:rFonts w:hint="eastAsia" w:ascii="宋体" w:hAnsi="宋体" w:eastAsia="宋体" w:cs="宋体"/>
                <w:color w:val="auto"/>
                <w:highlight w:val="none"/>
              </w:rPr>
            </w:pPr>
          </w:p>
          <w:p w14:paraId="51376401">
            <w:pPr>
              <w:pStyle w:val="22"/>
              <w:spacing w:line="245" w:lineRule="auto"/>
              <w:rPr>
                <w:rFonts w:hint="eastAsia" w:ascii="宋体" w:hAnsi="宋体" w:eastAsia="宋体" w:cs="宋体"/>
                <w:color w:val="auto"/>
                <w:highlight w:val="none"/>
              </w:rPr>
            </w:pPr>
          </w:p>
          <w:p w14:paraId="3DA54932">
            <w:pPr>
              <w:pStyle w:val="22"/>
              <w:spacing w:line="246" w:lineRule="auto"/>
              <w:rPr>
                <w:rFonts w:hint="eastAsia" w:ascii="宋体" w:hAnsi="宋体" w:eastAsia="宋体" w:cs="宋体"/>
                <w:color w:val="auto"/>
                <w:highlight w:val="none"/>
              </w:rPr>
            </w:pPr>
          </w:p>
          <w:p w14:paraId="163627A6">
            <w:pPr>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28E282AE">
      <w:pPr>
        <w:pStyle w:val="6"/>
        <w:rPr>
          <w:rFonts w:hint="eastAsia" w:ascii="宋体" w:hAnsi="宋体" w:eastAsia="宋体" w:cs="宋体"/>
          <w:color w:val="auto"/>
          <w:highlight w:val="none"/>
        </w:rPr>
      </w:pPr>
    </w:p>
    <w:p w14:paraId="54CE0BF6">
      <w:pPr>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EDAFA3A">
      <w:pPr>
        <w:spacing w:before="78" w:line="220" w:lineRule="auto"/>
        <w:outlineLvl w:val="2"/>
        <w:rPr>
          <w:rFonts w:hint="eastAsia" w:ascii="宋体" w:hAnsi="宋体" w:eastAsia="宋体" w:cs="宋体"/>
          <w:b/>
          <w:bCs/>
          <w:color w:val="auto"/>
          <w:spacing w:val="-4"/>
          <w:sz w:val="24"/>
          <w:szCs w:val="24"/>
          <w:highlight w:val="none"/>
        </w:rPr>
      </w:pPr>
      <w:bookmarkStart w:id="234" w:name="_Toc30394"/>
      <w:r>
        <w:rPr>
          <w:rFonts w:hint="eastAsia" w:ascii="宋体" w:hAnsi="宋体" w:eastAsia="宋体" w:cs="宋体"/>
          <w:b/>
          <w:bCs/>
          <w:color w:val="auto"/>
          <w:spacing w:val="-4"/>
          <w:sz w:val="24"/>
          <w:szCs w:val="24"/>
          <w:highlight w:val="none"/>
        </w:rPr>
        <w:t>格式五 法定代表人身份证明</w:t>
      </w:r>
      <w:bookmarkEnd w:id="234"/>
    </w:p>
    <w:p w14:paraId="1AD2910A">
      <w:pPr>
        <w:pStyle w:val="6"/>
        <w:spacing w:line="350" w:lineRule="auto"/>
        <w:rPr>
          <w:rFonts w:hint="eastAsia" w:ascii="宋体" w:hAnsi="宋体" w:eastAsia="宋体" w:cs="宋体"/>
          <w:color w:val="auto"/>
          <w:highlight w:val="none"/>
        </w:rPr>
      </w:pPr>
    </w:p>
    <w:p w14:paraId="00B721B3">
      <w:pPr>
        <w:pStyle w:val="6"/>
        <w:spacing w:line="350" w:lineRule="auto"/>
        <w:rPr>
          <w:rFonts w:hint="eastAsia" w:ascii="宋体" w:hAnsi="宋体" w:eastAsia="宋体" w:cs="宋体"/>
          <w:color w:val="auto"/>
          <w:highlight w:val="none"/>
        </w:rPr>
      </w:pPr>
    </w:p>
    <w:p w14:paraId="62C321D1">
      <w:pPr>
        <w:spacing w:before="98" w:line="220" w:lineRule="auto"/>
        <w:ind w:left="3183"/>
        <w:rPr>
          <w:rFonts w:hint="eastAsia" w:ascii="宋体" w:hAnsi="宋体" w:eastAsia="宋体" w:cs="宋体"/>
          <w:color w:val="auto"/>
          <w:sz w:val="30"/>
          <w:szCs w:val="30"/>
          <w:highlight w:val="none"/>
        </w:rPr>
      </w:pPr>
      <w:bookmarkStart w:id="235" w:name="bookmark152"/>
      <w:bookmarkEnd w:id="235"/>
      <w:r>
        <w:rPr>
          <w:rFonts w:hint="eastAsia" w:ascii="宋体" w:hAnsi="宋体" w:eastAsia="宋体" w:cs="宋体"/>
          <w:b/>
          <w:bCs/>
          <w:color w:val="auto"/>
          <w:spacing w:val="-4"/>
          <w:sz w:val="30"/>
          <w:szCs w:val="30"/>
          <w:highlight w:val="none"/>
        </w:rPr>
        <w:t>法定代表人身份证明</w:t>
      </w:r>
    </w:p>
    <w:p w14:paraId="5055A950">
      <w:pPr>
        <w:pStyle w:val="6"/>
        <w:spacing w:line="250" w:lineRule="auto"/>
        <w:rPr>
          <w:rFonts w:hint="eastAsia" w:ascii="宋体" w:hAnsi="宋体" w:eastAsia="宋体" w:cs="宋体"/>
          <w:color w:val="auto"/>
          <w:highlight w:val="none"/>
        </w:rPr>
      </w:pPr>
    </w:p>
    <w:p w14:paraId="705CECB5">
      <w:pPr>
        <w:pStyle w:val="6"/>
        <w:spacing w:line="250" w:lineRule="auto"/>
        <w:rPr>
          <w:rFonts w:hint="eastAsia" w:ascii="宋体" w:hAnsi="宋体" w:eastAsia="宋体" w:cs="宋体"/>
          <w:color w:val="auto"/>
          <w:highlight w:val="none"/>
        </w:rPr>
      </w:pPr>
    </w:p>
    <w:p w14:paraId="0978BEEE">
      <w:pPr>
        <w:pStyle w:val="6"/>
        <w:spacing w:line="251" w:lineRule="auto"/>
        <w:rPr>
          <w:rFonts w:hint="eastAsia" w:ascii="宋体" w:hAnsi="宋体" w:eastAsia="宋体" w:cs="宋体"/>
          <w:color w:val="auto"/>
          <w:highlight w:val="none"/>
        </w:rPr>
      </w:pPr>
    </w:p>
    <w:p w14:paraId="59417B9C">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5CFA1839">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34156ED0">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4052DAC3">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53ADDF35">
      <w:pPr>
        <w:pStyle w:val="6"/>
        <w:spacing w:line="277" w:lineRule="auto"/>
        <w:rPr>
          <w:rFonts w:hint="eastAsia" w:ascii="宋体" w:hAnsi="宋体" w:eastAsia="宋体" w:cs="宋体"/>
          <w:color w:val="auto"/>
          <w:highlight w:val="none"/>
        </w:rPr>
      </w:pPr>
    </w:p>
    <w:p w14:paraId="7F91432D">
      <w:pPr>
        <w:pStyle w:val="6"/>
        <w:spacing w:line="277" w:lineRule="auto"/>
        <w:rPr>
          <w:rFonts w:hint="eastAsia" w:ascii="宋体" w:hAnsi="宋体" w:eastAsia="宋体" w:cs="宋体"/>
          <w:color w:val="auto"/>
          <w:highlight w:val="none"/>
        </w:rPr>
      </w:pPr>
    </w:p>
    <w:p w14:paraId="449CA16E">
      <w:pPr>
        <w:pStyle w:val="6"/>
        <w:spacing w:line="278" w:lineRule="auto"/>
        <w:rPr>
          <w:rFonts w:hint="eastAsia" w:ascii="宋体" w:hAnsi="宋体" w:eastAsia="宋体" w:cs="宋体"/>
          <w:color w:val="auto"/>
          <w:highlight w:val="none"/>
        </w:rPr>
      </w:pPr>
    </w:p>
    <w:p w14:paraId="739A3A69">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09C9B7F3">
      <w:pPr>
        <w:pStyle w:val="6"/>
        <w:spacing w:line="317" w:lineRule="auto"/>
        <w:jc w:val="right"/>
        <w:rPr>
          <w:rFonts w:hint="eastAsia" w:ascii="宋体" w:hAnsi="宋体" w:eastAsia="宋体" w:cs="宋体"/>
          <w:color w:val="auto"/>
          <w:highlight w:val="none"/>
        </w:rPr>
      </w:pPr>
    </w:p>
    <w:p w14:paraId="7ED9322A">
      <w:pPr>
        <w:pStyle w:val="6"/>
        <w:spacing w:line="317" w:lineRule="auto"/>
        <w:jc w:val="right"/>
        <w:rPr>
          <w:rFonts w:hint="eastAsia" w:ascii="宋体" w:hAnsi="宋体" w:eastAsia="宋体" w:cs="宋体"/>
          <w:color w:val="auto"/>
          <w:highlight w:val="none"/>
        </w:rPr>
      </w:pPr>
    </w:p>
    <w:p w14:paraId="2815C601">
      <w:pPr>
        <w:pStyle w:val="6"/>
        <w:spacing w:line="317" w:lineRule="auto"/>
        <w:jc w:val="right"/>
        <w:rPr>
          <w:rFonts w:hint="eastAsia" w:ascii="宋体" w:hAnsi="宋体" w:eastAsia="宋体" w:cs="宋体"/>
          <w:color w:val="auto"/>
          <w:highlight w:val="none"/>
        </w:rPr>
      </w:pPr>
    </w:p>
    <w:p w14:paraId="42180BF6">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3A6063C">
      <w:pPr>
        <w:pStyle w:val="6"/>
        <w:spacing w:line="257" w:lineRule="auto"/>
        <w:jc w:val="right"/>
        <w:rPr>
          <w:rFonts w:hint="eastAsia" w:ascii="宋体" w:hAnsi="宋体" w:eastAsia="宋体" w:cs="宋体"/>
          <w:color w:val="auto"/>
          <w:highlight w:val="none"/>
        </w:rPr>
      </w:pPr>
    </w:p>
    <w:p w14:paraId="018096D8">
      <w:pPr>
        <w:pStyle w:val="6"/>
        <w:spacing w:line="257" w:lineRule="auto"/>
        <w:jc w:val="right"/>
        <w:rPr>
          <w:rFonts w:hint="eastAsia" w:ascii="宋体" w:hAnsi="宋体" w:eastAsia="宋体" w:cs="宋体"/>
          <w:color w:val="auto"/>
          <w:highlight w:val="none"/>
        </w:rPr>
      </w:pPr>
    </w:p>
    <w:p w14:paraId="617EB836">
      <w:pPr>
        <w:pStyle w:val="6"/>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1A090BA">
      <w:pPr>
        <w:pStyle w:val="6"/>
        <w:spacing w:line="254" w:lineRule="auto"/>
        <w:rPr>
          <w:rFonts w:hint="eastAsia" w:ascii="宋体" w:hAnsi="宋体" w:eastAsia="宋体" w:cs="宋体"/>
          <w:color w:val="auto"/>
          <w:highlight w:val="none"/>
        </w:rPr>
      </w:pPr>
    </w:p>
    <w:p w14:paraId="5CEDF64B">
      <w:pPr>
        <w:pStyle w:val="6"/>
        <w:spacing w:line="254" w:lineRule="auto"/>
        <w:rPr>
          <w:rFonts w:hint="eastAsia" w:ascii="宋体" w:hAnsi="宋体" w:eastAsia="宋体" w:cs="宋体"/>
          <w:color w:val="auto"/>
          <w:highlight w:val="none"/>
        </w:rPr>
      </w:pPr>
    </w:p>
    <w:p w14:paraId="37810D14">
      <w:pPr>
        <w:pStyle w:val="6"/>
        <w:spacing w:line="254" w:lineRule="auto"/>
        <w:rPr>
          <w:rFonts w:hint="eastAsia" w:ascii="宋体" w:hAnsi="宋体" w:eastAsia="宋体" w:cs="宋体"/>
          <w:color w:val="auto"/>
          <w:highlight w:val="none"/>
        </w:rPr>
      </w:pPr>
    </w:p>
    <w:p w14:paraId="160B9E44">
      <w:pPr>
        <w:pStyle w:val="6"/>
        <w:spacing w:line="254" w:lineRule="auto"/>
        <w:rPr>
          <w:rFonts w:hint="eastAsia" w:ascii="宋体" w:hAnsi="宋体" w:eastAsia="宋体" w:cs="宋体"/>
          <w:color w:val="auto"/>
          <w:highlight w:val="none"/>
        </w:rPr>
      </w:pPr>
    </w:p>
    <w:p w14:paraId="5A8402FE">
      <w:pPr>
        <w:pStyle w:val="6"/>
        <w:spacing w:line="255" w:lineRule="auto"/>
        <w:rPr>
          <w:rFonts w:hint="eastAsia" w:ascii="宋体" w:hAnsi="宋体" w:eastAsia="宋体" w:cs="宋体"/>
          <w:color w:val="auto"/>
          <w:highlight w:val="none"/>
        </w:rPr>
      </w:pPr>
    </w:p>
    <w:p w14:paraId="0AF113AB">
      <w:pPr>
        <w:pStyle w:val="6"/>
        <w:spacing w:line="255" w:lineRule="auto"/>
        <w:rPr>
          <w:rFonts w:hint="eastAsia" w:ascii="宋体" w:hAnsi="宋体" w:eastAsia="宋体" w:cs="宋体"/>
          <w:color w:val="auto"/>
          <w:highlight w:val="none"/>
        </w:rPr>
      </w:pPr>
    </w:p>
    <w:p w14:paraId="7240EAD7">
      <w:pPr>
        <w:pStyle w:val="6"/>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4"/>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638F7D77">
                              <w:pPr>
                                <w:spacing w:line="249" w:lineRule="auto"/>
                              </w:pPr>
                            </w:p>
                            <w:p w14:paraId="5E375EDF">
                              <w:pPr>
                                <w:spacing w:line="249" w:lineRule="auto"/>
                              </w:pPr>
                            </w:p>
                            <w:p w14:paraId="79DCDDFC">
                              <w:pPr>
                                <w:spacing w:line="249" w:lineRule="auto"/>
                              </w:pPr>
                            </w:p>
                            <w:p w14:paraId="4864DF24">
                              <w:pPr>
                                <w:spacing w:line="249" w:lineRule="auto"/>
                              </w:pPr>
                            </w:p>
                            <w:p w14:paraId="587E985E">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4"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638F7D77">
                        <w:pPr>
                          <w:spacing w:line="249" w:lineRule="auto"/>
                        </w:pPr>
                      </w:p>
                      <w:p w14:paraId="5E375EDF">
                        <w:pPr>
                          <w:spacing w:line="249" w:lineRule="auto"/>
                        </w:pPr>
                      </w:p>
                      <w:p w14:paraId="79DCDDFC">
                        <w:pPr>
                          <w:spacing w:line="249" w:lineRule="auto"/>
                        </w:pPr>
                      </w:p>
                      <w:p w14:paraId="4864DF24">
                        <w:pPr>
                          <w:spacing w:line="249" w:lineRule="auto"/>
                        </w:pPr>
                      </w:p>
                      <w:p w14:paraId="587E985E">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0F3417DC">
      <w:pPr>
        <w:spacing w:line="2510" w:lineRule="exact"/>
        <w:rPr>
          <w:rFonts w:hint="eastAsia" w:ascii="宋体" w:hAnsi="宋体" w:eastAsia="宋体" w:cs="宋体"/>
          <w:color w:val="auto"/>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A3A170">
      <w:pPr>
        <w:spacing w:before="78" w:line="220" w:lineRule="auto"/>
        <w:outlineLvl w:val="2"/>
        <w:rPr>
          <w:rFonts w:hint="eastAsia" w:ascii="宋体" w:hAnsi="宋体" w:eastAsia="宋体" w:cs="宋体"/>
          <w:b/>
          <w:bCs/>
          <w:color w:val="auto"/>
          <w:spacing w:val="-4"/>
          <w:sz w:val="24"/>
          <w:szCs w:val="24"/>
          <w:highlight w:val="none"/>
        </w:rPr>
      </w:pPr>
      <w:bookmarkStart w:id="236" w:name="_Toc5771"/>
      <w:r>
        <w:rPr>
          <w:rFonts w:hint="eastAsia" w:ascii="宋体" w:hAnsi="宋体" w:eastAsia="宋体" w:cs="宋体"/>
          <w:b/>
          <w:bCs/>
          <w:color w:val="auto"/>
          <w:spacing w:val="-4"/>
          <w:sz w:val="24"/>
          <w:szCs w:val="24"/>
          <w:highlight w:val="none"/>
        </w:rPr>
        <w:t>格式六 联合体协议书</w:t>
      </w:r>
      <w:bookmarkEnd w:id="236"/>
    </w:p>
    <w:p w14:paraId="3D9671D8">
      <w:pPr>
        <w:spacing w:before="98" w:line="219" w:lineRule="auto"/>
        <w:ind w:left="3638"/>
        <w:rPr>
          <w:rFonts w:hint="eastAsia" w:ascii="宋体" w:hAnsi="宋体" w:eastAsia="宋体" w:cs="宋体"/>
          <w:color w:val="auto"/>
          <w:sz w:val="30"/>
          <w:szCs w:val="30"/>
          <w:highlight w:val="none"/>
        </w:rPr>
      </w:pPr>
      <w:bookmarkStart w:id="237" w:name="bookmark153"/>
      <w:bookmarkEnd w:id="237"/>
      <w:r>
        <w:rPr>
          <w:rFonts w:hint="eastAsia" w:ascii="宋体" w:hAnsi="宋体" w:eastAsia="宋体" w:cs="宋体"/>
          <w:b/>
          <w:bCs/>
          <w:color w:val="auto"/>
          <w:spacing w:val="-5"/>
          <w:sz w:val="30"/>
          <w:szCs w:val="30"/>
          <w:highlight w:val="none"/>
        </w:rPr>
        <w:t>联合体协议书</w:t>
      </w:r>
    </w:p>
    <w:p w14:paraId="75F1511F">
      <w:pPr>
        <w:pStyle w:val="6"/>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80CB50B">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7BD92AE9">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79AFE5A3">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2D9D8763">
      <w:pPr>
        <w:outlineLvl w:val="9"/>
        <w:rPr>
          <w:rFonts w:hint="eastAsia"/>
          <w:color w:val="auto"/>
          <w:highlight w:val="none"/>
        </w:rPr>
      </w:pPr>
    </w:p>
    <w:p w14:paraId="3419B235">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47C56F7F">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13D1A308">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2D4D3269">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3C7B8779">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合体投标事宜订立如下协议：</w:t>
      </w:r>
    </w:p>
    <w:p w14:paraId="731B67A3">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7D88355E">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的一切事务；联合体中标后，联合体牵头人负责合同订立和合同实施阶段的主办、组织</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和协调工作。</w:t>
      </w:r>
    </w:p>
    <w:p w14:paraId="5409F1B3">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
          <w:sz w:val="24"/>
          <w:szCs w:val="24"/>
          <w:highlight w:val="none"/>
        </w:rPr>
        <w:t>分，承担各自所负的责任和风险，并向招标人承担连带责任。</w:t>
      </w:r>
    </w:p>
    <w:p w14:paraId="36A1D70C">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238" w:name="_Toc5365"/>
      <w:bookmarkStart w:id="239" w:name="_Toc32149"/>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238"/>
      <w:bookmarkEnd w:id="239"/>
    </w:p>
    <w:p w14:paraId="17E97E7A">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40E0DA14">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38B03B8C">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378200D7">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240" w:name="_Toc26708"/>
      <w:bookmarkStart w:id="241" w:name="_Toc22612"/>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240"/>
      <w:bookmarkEnd w:id="241"/>
    </w:p>
    <w:p w14:paraId="24676EC3">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242" w:name="bookmark154"/>
      <w:bookmarkEnd w:id="242"/>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1FF38044">
      <w:pPr>
        <w:pStyle w:val="6"/>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CEAEED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57F4BFEA">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0DBBACEF">
      <w:pPr>
        <w:pStyle w:val="6"/>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45E38371">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05FB342E">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78725DE3">
      <w:pPr>
        <w:pStyle w:val="6"/>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75956A52">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3B8BD5E4">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6817F60">
      <w:pPr>
        <w:spacing w:before="78" w:line="220" w:lineRule="auto"/>
        <w:outlineLvl w:val="2"/>
        <w:rPr>
          <w:rFonts w:hint="eastAsia" w:ascii="宋体" w:hAnsi="宋体" w:eastAsia="宋体" w:cs="宋体"/>
          <w:b/>
          <w:bCs/>
          <w:color w:val="auto"/>
          <w:spacing w:val="-4"/>
          <w:sz w:val="24"/>
          <w:szCs w:val="24"/>
          <w:highlight w:val="none"/>
        </w:rPr>
      </w:pPr>
      <w:bookmarkStart w:id="243" w:name="_Toc17838"/>
      <w:r>
        <w:rPr>
          <w:rFonts w:hint="eastAsia" w:ascii="宋体" w:hAnsi="宋体" w:eastAsia="宋体" w:cs="宋体"/>
          <w:b/>
          <w:bCs/>
          <w:color w:val="auto"/>
          <w:spacing w:val="-4"/>
          <w:sz w:val="24"/>
          <w:szCs w:val="24"/>
          <w:highlight w:val="none"/>
        </w:rPr>
        <w:t>格式七 投标人基本情况表</w:t>
      </w:r>
      <w:bookmarkEnd w:id="243"/>
    </w:p>
    <w:p w14:paraId="14DDA036">
      <w:pPr>
        <w:spacing w:before="333" w:line="219"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32729EED">
      <w:pPr>
        <w:spacing w:line="239" w:lineRule="exact"/>
        <w:rPr>
          <w:rFonts w:hint="eastAsia" w:ascii="宋体" w:hAnsi="宋体" w:eastAsia="宋体" w:cs="宋体"/>
          <w:color w:val="auto"/>
          <w:highlight w:val="none"/>
        </w:rPr>
      </w:pPr>
    </w:p>
    <w:tbl>
      <w:tblPr>
        <w:tblStyle w:val="15"/>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02A72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7D1EE0F5">
            <w:pPr>
              <w:spacing w:before="149" w:line="229" w:lineRule="auto"/>
              <w:ind w:left="22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21519AEE">
            <w:pPr>
              <w:pStyle w:val="22"/>
              <w:rPr>
                <w:rFonts w:hint="eastAsia" w:ascii="宋体" w:hAnsi="宋体" w:eastAsia="宋体" w:cs="宋体"/>
                <w:color w:val="auto"/>
                <w:sz w:val="24"/>
                <w:szCs w:val="24"/>
                <w:highlight w:val="none"/>
              </w:rPr>
            </w:pPr>
          </w:p>
        </w:tc>
      </w:tr>
      <w:tr w14:paraId="3CBAE3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5E142255">
            <w:pPr>
              <w:spacing w:before="144"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27D85F71">
            <w:pPr>
              <w:pStyle w:val="22"/>
              <w:rPr>
                <w:rFonts w:hint="eastAsia" w:ascii="宋体" w:hAnsi="宋体" w:eastAsia="宋体" w:cs="宋体"/>
                <w:color w:val="auto"/>
                <w:sz w:val="24"/>
                <w:szCs w:val="24"/>
                <w:highlight w:val="none"/>
              </w:rPr>
            </w:pPr>
          </w:p>
        </w:tc>
        <w:tc>
          <w:tcPr>
            <w:tcW w:w="1354" w:type="dxa"/>
            <w:gridSpan w:val="2"/>
            <w:vAlign w:val="top"/>
          </w:tcPr>
          <w:p w14:paraId="114BD33C">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33C2FF9E">
            <w:pPr>
              <w:pStyle w:val="22"/>
              <w:rPr>
                <w:rFonts w:hint="eastAsia" w:ascii="宋体" w:hAnsi="宋体" w:eastAsia="宋体" w:cs="宋体"/>
                <w:color w:val="auto"/>
                <w:sz w:val="24"/>
                <w:szCs w:val="24"/>
                <w:highlight w:val="none"/>
              </w:rPr>
            </w:pPr>
          </w:p>
        </w:tc>
      </w:tr>
      <w:tr w14:paraId="487E2A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224BDDF4">
            <w:pPr>
              <w:pStyle w:val="22"/>
              <w:spacing w:line="332" w:lineRule="auto"/>
              <w:rPr>
                <w:rFonts w:hint="eastAsia" w:ascii="宋体" w:hAnsi="宋体" w:eastAsia="宋体" w:cs="宋体"/>
                <w:color w:val="auto"/>
                <w:sz w:val="24"/>
                <w:szCs w:val="24"/>
                <w:highlight w:val="none"/>
              </w:rPr>
            </w:pPr>
          </w:p>
          <w:p w14:paraId="21572833">
            <w:pPr>
              <w:spacing w:before="65" w:line="230" w:lineRule="auto"/>
              <w:ind w:left="3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78B0FA2A">
            <w:pPr>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018023DF">
            <w:pPr>
              <w:pStyle w:val="22"/>
              <w:rPr>
                <w:rFonts w:hint="eastAsia" w:ascii="宋体" w:hAnsi="宋体" w:eastAsia="宋体" w:cs="宋体"/>
                <w:color w:val="auto"/>
                <w:sz w:val="24"/>
                <w:szCs w:val="24"/>
                <w:highlight w:val="none"/>
              </w:rPr>
            </w:pPr>
          </w:p>
        </w:tc>
        <w:tc>
          <w:tcPr>
            <w:tcW w:w="1354" w:type="dxa"/>
            <w:gridSpan w:val="2"/>
            <w:vAlign w:val="top"/>
          </w:tcPr>
          <w:p w14:paraId="126A236B">
            <w:pPr>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459A9DAF">
            <w:pPr>
              <w:pStyle w:val="22"/>
              <w:rPr>
                <w:rFonts w:hint="eastAsia" w:ascii="宋体" w:hAnsi="宋体" w:eastAsia="宋体" w:cs="宋体"/>
                <w:color w:val="auto"/>
                <w:sz w:val="24"/>
                <w:szCs w:val="24"/>
                <w:highlight w:val="none"/>
              </w:rPr>
            </w:pPr>
          </w:p>
        </w:tc>
      </w:tr>
      <w:tr w14:paraId="25D8C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08B2AEE9">
            <w:pPr>
              <w:pStyle w:val="22"/>
              <w:rPr>
                <w:rFonts w:hint="eastAsia" w:ascii="宋体" w:hAnsi="宋体" w:eastAsia="宋体" w:cs="宋体"/>
                <w:color w:val="auto"/>
                <w:sz w:val="24"/>
                <w:szCs w:val="24"/>
                <w:highlight w:val="none"/>
              </w:rPr>
            </w:pPr>
          </w:p>
        </w:tc>
        <w:tc>
          <w:tcPr>
            <w:tcW w:w="975" w:type="dxa"/>
            <w:vAlign w:val="top"/>
          </w:tcPr>
          <w:p w14:paraId="6A4932C0">
            <w:pPr>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6A9B29CC">
            <w:pPr>
              <w:pStyle w:val="22"/>
              <w:rPr>
                <w:rFonts w:hint="eastAsia" w:ascii="宋体" w:hAnsi="宋体" w:eastAsia="宋体" w:cs="宋体"/>
                <w:color w:val="auto"/>
                <w:sz w:val="24"/>
                <w:szCs w:val="24"/>
                <w:highlight w:val="none"/>
              </w:rPr>
            </w:pPr>
          </w:p>
        </w:tc>
        <w:tc>
          <w:tcPr>
            <w:tcW w:w="1354" w:type="dxa"/>
            <w:gridSpan w:val="2"/>
            <w:vAlign w:val="top"/>
          </w:tcPr>
          <w:p w14:paraId="4163A6BA">
            <w:pPr>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53C1B651">
            <w:pPr>
              <w:pStyle w:val="22"/>
              <w:rPr>
                <w:rFonts w:hint="eastAsia" w:ascii="宋体" w:hAnsi="宋体" w:eastAsia="宋体" w:cs="宋体"/>
                <w:color w:val="auto"/>
                <w:sz w:val="24"/>
                <w:szCs w:val="24"/>
                <w:highlight w:val="none"/>
              </w:rPr>
            </w:pPr>
          </w:p>
        </w:tc>
      </w:tr>
      <w:tr w14:paraId="73083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628A515D">
            <w:pPr>
              <w:spacing w:before="14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78C22A91">
            <w:pPr>
              <w:pStyle w:val="22"/>
              <w:rPr>
                <w:rFonts w:hint="eastAsia" w:ascii="宋体" w:hAnsi="宋体" w:eastAsia="宋体" w:cs="宋体"/>
                <w:color w:val="auto"/>
                <w:sz w:val="24"/>
                <w:szCs w:val="24"/>
                <w:highlight w:val="none"/>
              </w:rPr>
            </w:pPr>
          </w:p>
        </w:tc>
      </w:tr>
      <w:tr w14:paraId="19942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EAEFA74">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33E41CE3">
            <w:pPr>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73A0FFE2">
            <w:pPr>
              <w:pStyle w:val="22"/>
              <w:rPr>
                <w:rFonts w:hint="eastAsia" w:ascii="宋体" w:hAnsi="宋体" w:eastAsia="宋体" w:cs="宋体"/>
                <w:color w:val="auto"/>
                <w:sz w:val="24"/>
                <w:szCs w:val="24"/>
                <w:highlight w:val="none"/>
              </w:rPr>
            </w:pPr>
          </w:p>
        </w:tc>
        <w:tc>
          <w:tcPr>
            <w:tcW w:w="1183" w:type="dxa"/>
            <w:gridSpan w:val="2"/>
            <w:vAlign w:val="top"/>
          </w:tcPr>
          <w:p w14:paraId="3F974C18">
            <w:pPr>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4D7CA3C1">
            <w:pPr>
              <w:pStyle w:val="22"/>
              <w:rPr>
                <w:rFonts w:hint="eastAsia" w:ascii="宋体" w:hAnsi="宋体" w:eastAsia="宋体" w:cs="宋体"/>
                <w:color w:val="auto"/>
                <w:sz w:val="24"/>
                <w:szCs w:val="24"/>
                <w:highlight w:val="none"/>
              </w:rPr>
            </w:pPr>
          </w:p>
        </w:tc>
        <w:tc>
          <w:tcPr>
            <w:tcW w:w="770" w:type="dxa"/>
            <w:vAlign w:val="top"/>
          </w:tcPr>
          <w:p w14:paraId="78C62852">
            <w:pPr>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57E9D0E0">
            <w:pPr>
              <w:pStyle w:val="22"/>
              <w:rPr>
                <w:rFonts w:hint="eastAsia" w:ascii="宋体" w:hAnsi="宋体" w:eastAsia="宋体" w:cs="宋体"/>
                <w:color w:val="auto"/>
                <w:sz w:val="24"/>
                <w:szCs w:val="24"/>
                <w:highlight w:val="none"/>
              </w:rPr>
            </w:pPr>
          </w:p>
        </w:tc>
      </w:tr>
      <w:tr w14:paraId="3D745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6064B7FD">
            <w:pPr>
              <w:spacing w:before="145" w:line="230"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61CAEFD6">
            <w:pPr>
              <w:pStyle w:val="22"/>
              <w:rPr>
                <w:rFonts w:hint="eastAsia" w:ascii="宋体" w:hAnsi="宋体" w:eastAsia="宋体" w:cs="宋体"/>
                <w:color w:val="auto"/>
                <w:sz w:val="24"/>
                <w:szCs w:val="24"/>
                <w:highlight w:val="none"/>
              </w:rPr>
            </w:pPr>
          </w:p>
        </w:tc>
        <w:tc>
          <w:tcPr>
            <w:tcW w:w="4827" w:type="dxa"/>
            <w:gridSpan w:val="6"/>
            <w:vAlign w:val="top"/>
          </w:tcPr>
          <w:p w14:paraId="68EE19B6">
            <w:pPr>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4A4B6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3DF6D215">
            <w:pPr>
              <w:spacing w:before="61" w:line="262" w:lineRule="auto"/>
              <w:ind w:right="22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C6CD087">
            <w:pPr>
              <w:pStyle w:val="22"/>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2F74217E">
            <w:pPr>
              <w:pStyle w:val="22"/>
              <w:spacing w:line="254" w:lineRule="auto"/>
              <w:rPr>
                <w:rFonts w:hint="eastAsia" w:ascii="宋体" w:hAnsi="宋体" w:eastAsia="宋体" w:cs="宋体"/>
                <w:color w:val="auto"/>
                <w:sz w:val="24"/>
                <w:szCs w:val="24"/>
                <w:highlight w:val="none"/>
              </w:rPr>
            </w:pPr>
          </w:p>
          <w:p w14:paraId="085FDF22">
            <w:pPr>
              <w:pStyle w:val="22"/>
              <w:spacing w:line="254" w:lineRule="auto"/>
              <w:rPr>
                <w:rFonts w:hint="eastAsia" w:ascii="宋体" w:hAnsi="宋体" w:eastAsia="宋体" w:cs="宋体"/>
                <w:color w:val="auto"/>
                <w:sz w:val="24"/>
                <w:szCs w:val="24"/>
                <w:highlight w:val="none"/>
              </w:rPr>
            </w:pPr>
          </w:p>
          <w:p w14:paraId="0058CF4E">
            <w:pPr>
              <w:pStyle w:val="22"/>
              <w:spacing w:line="254" w:lineRule="auto"/>
              <w:rPr>
                <w:rFonts w:hint="eastAsia" w:ascii="宋体" w:hAnsi="宋体" w:eastAsia="宋体" w:cs="宋体"/>
                <w:color w:val="auto"/>
                <w:sz w:val="24"/>
                <w:szCs w:val="24"/>
                <w:highlight w:val="none"/>
              </w:rPr>
            </w:pPr>
          </w:p>
          <w:p w14:paraId="52D89A9C">
            <w:pPr>
              <w:pStyle w:val="22"/>
              <w:spacing w:line="254" w:lineRule="auto"/>
              <w:rPr>
                <w:rFonts w:hint="eastAsia" w:ascii="宋体" w:hAnsi="宋体" w:eastAsia="宋体" w:cs="宋体"/>
                <w:color w:val="auto"/>
                <w:sz w:val="24"/>
                <w:szCs w:val="24"/>
                <w:highlight w:val="none"/>
              </w:rPr>
            </w:pPr>
          </w:p>
          <w:p w14:paraId="2A9C3BD7">
            <w:pPr>
              <w:pStyle w:val="22"/>
              <w:spacing w:line="255" w:lineRule="auto"/>
              <w:rPr>
                <w:rFonts w:hint="eastAsia" w:ascii="宋体" w:hAnsi="宋体" w:eastAsia="宋体" w:cs="宋体"/>
                <w:color w:val="auto"/>
                <w:sz w:val="24"/>
                <w:szCs w:val="24"/>
                <w:highlight w:val="none"/>
              </w:rPr>
            </w:pPr>
          </w:p>
          <w:p w14:paraId="6CC6EF4A">
            <w:pPr>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2425027A">
            <w:pPr>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0CC078DE">
            <w:pPr>
              <w:pStyle w:val="22"/>
              <w:rPr>
                <w:rFonts w:hint="eastAsia" w:ascii="宋体" w:hAnsi="宋体" w:eastAsia="宋体" w:cs="宋体"/>
                <w:color w:val="auto"/>
                <w:sz w:val="24"/>
                <w:szCs w:val="24"/>
                <w:highlight w:val="none"/>
              </w:rPr>
            </w:pPr>
          </w:p>
        </w:tc>
      </w:tr>
      <w:tr w14:paraId="02597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38A0687A">
            <w:pPr>
              <w:spacing w:before="146" w:line="228" w:lineRule="auto"/>
              <w:ind w:left="23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48DD56DF">
            <w:pPr>
              <w:pStyle w:val="22"/>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7CE88A7F">
            <w:pPr>
              <w:pStyle w:val="22"/>
              <w:rPr>
                <w:rFonts w:hint="eastAsia" w:ascii="宋体" w:hAnsi="宋体" w:eastAsia="宋体" w:cs="宋体"/>
                <w:color w:val="auto"/>
                <w:sz w:val="24"/>
                <w:szCs w:val="24"/>
                <w:highlight w:val="none"/>
              </w:rPr>
            </w:pPr>
          </w:p>
        </w:tc>
        <w:tc>
          <w:tcPr>
            <w:tcW w:w="2096" w:type="dxa"/>
            <w:gridSpan w:val="3"/>
            <w:vAlign w:val="top"/>
          </w:tcPr>
          <w:p w14:paraId="12538A97">
            <w:pPr>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0D96978F">
            <w:pPr>
              <w:pStyle w:val="22"/>
              <w:rPr>
                <w:rFonts w:hint="eastAsia" w:ascii="宋体" w:hAnsi="宋体" w:eastAsia="宋体" w:cs="宋体"/>
                <w:color w:val="auto"/>
                <w:sz w:val="24"/>
                <w:szCs w:val="24"/>
                <w:highlight w:val="none"/>
              </w:rPr>
            </w:pPr>
          </w:p>
        </w:tc>
      </w:tr>
      <w:tr w14:paraId="578F8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7EBB8EC3">
            <w:pPr>
              <w:spacing w:before="146"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60BBB588">
            <w:pPr>
              <w:pStyle w:val="22"/>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42B2402">
            <w:pPr>
              <w:pStyle w:val="22"/>
              <w:rPr>
                <w:rFonts w:hint="eastAsia" w:ascii="宋体" w:hAnsi="宋体" w:eastAsia="宋体" w:cs="宋体"/>
                <w:color w:val="auto"/>
                <w:sz w:val="24"/>
                <w:szCs w:val="24"/>
                <w:highlight w:val="none"/>
              </w:rPr>
            </w:pPr>
          </w:p>
        </w:tc>
        <w:tc>
          <w:tcPr>
            <w:tcW w:w="2096" w:type="dxa"/>
            <w:gridSpan w:val="3"/>
            <w:vAlign w:val="top"/>
          </w:tcPr>
          <w:p w14:paraId="254C5EFF">
            <w:pPr>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0CD349BE">
            <w:pPr>
              <w:pStyle w:val="22"/>
              <w:rPr>
                <w:rFonts w:hint="eastAsia" w:ascii="宋体" w:hAnsi="宋体" w:eastAsia="宋体" w:cs="宋体"/>
                <w:color w:val="auto"/>
                <w:sz w:val="24"/>
                <w:szCs w:val="24"/>
                <w:highlight w:val="none"/>
              </w:rPr>
            </w:pPr>
          </w:p>
        </w:tc>
      </w:tr>
      <w:tr w14:paraId="251D3A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7F05C22D">
            <w:pPr>
              <w:spacing w:before="62" w:line="241"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vAlign w:val="top"/>
          </w:tcPr>
          <w:p w14:paraId="001B5A6A">
            <w:pPr>
              <w:pStyle w:val="22"/>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7E236F6">
            <w:pPr>
              <w:pStyle w:val="22"/>
              <w:rPr>
                <w:rFonts w:hint="eastAsia" w:ascii="宋体" w:hAnsi="宋体" w:eastAsia="宋体" w:cs="宋体"/>
                <w:color w:val="auto"/>
                <w:sz w:val="24"/>
                <w:szCs w:val="24"/>
                <w:highlight w:val="none"/>
              </w:rPr>
            </w:pPr>
          </w:p>
        </w:tc>
        <w:tc>
          <w:tcPr>
            <w:tcW w:w="2096" w:type="dxa"/>
            <w:gridSpan w:val="3"/>
            <w:vAlign w:val="top"/>
          </w:tcPr>
          <w:p w14:paraId="5A14CD2D">
            <w:pPr>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56D27094">
            <w:pPr>
              <w:pStyle w:val="22"/>
              <w:rPr>
                <w:rFonts w:hint="eastAsia" w:ascii="宋体" w:hAnsi="宋体" w:eastAsia="宋体" w:cs="宋体"/>
                <w:color w:val="auto"/>
                <w:sz w:val="24"/>
                <w:szCs w:val="24"/>
                <w:highlight w:val="none"/>
              </w:rPr>
            </w:pPr>
          </w:p>
        </w:tc>
      </w:tr>
      <w:tr w14:paraId="63130E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46DD69AB">
            <w:pPr>
              <w:spacing w:before="62" w:line="259"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vAlign w:val="top"/>
          </w:tcPr>
          <w:p w14:paraId="65CE9325">
            <w:pPr>
              <w:pStyle w:val="22"/>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1DA4FF47">
            <w:pPr>
              <w:pStyle w:val="22"/>
              <w:rPr>
                <w:rFonts w:hint="eastAsia" w:ascii="宋体" w:hAnsi="宋体" w:eastAsia="宋体" w:cs="宋体"/>
                <w:color w:val="auto"/>
                <w:sz w:val="24"/>
                <w:szCs w:val="24"/>
                <w:highlight w:val="none"/>
              </w:rPr>
            </w:pPr>
          </w:p>
        </w:tc>
        <w:tc>
          <w:tcPr>
            <w:tcW w:w="2096" w:type="dxa"/>
            <w:gridSpan w:val="3"/>
            <w:vAlign w:val="top"/>
          </w:tcPr>
          <w:p w14:paraId="71351406">
            <w:pPr>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0D809729">
            <w:pPr>
              <w:pStyle w:val="22"/>
              <w:rPr>
                <w:rFonts w:hint="eastAsia" w:ascii="宋体" w:hAnsi="宋体" w:eastAsia="宋体" w:cs="宋体"/>
                <w:color w:val="auto"/>
                <w:sz w:val="24"/>
                <w:szCs w:val="24"/>
                <w:highlight w:val="none"/>
              </w:rPr>
            </w:pPr>
          </w:p>
        </w:tc>
      </w:tr>
      <w:tr w14:paraId="74295D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6F177D67">
            <w:pPr>
              <w:spacing w:before="6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05F8D88C">
            <w:pPr>
              <w:pStyle w:val="22"/>
              <w:rPr>
                <w:rFonts w:hint="eastAsia" w:ascii="宋体" w:hAnsi="宋体" w:eastAsia="宋体" w:cs="宋体"/>
                <w:color w:val="auto"/>
                <w:sz w:val="24"/>
                <w:szCs w:val="24"/>
                <w:highlight w:val="none"/>
              </w:rPr>
            </w:pPr>
          </w:p>
        </w:tc>
      </w:tr>
      <w:tr w14:paraId="33756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01E6D9DD">
            <w:pPr>
              <w:pStyle w:val="22"/>
              <w:spacing w:line="295" w:lineRule="auto"/>
              <w:rPr>
                <w:rFonts w:hint="eastAsia" w:ascii="宋体" w:hAnsi="宋体" w:eastAsia="宋体" w:cs="宋体"/>
                <w:color w:val="auto"/>
                <w:sz w:val="24"/>
                <w:szCs w:val="24"/>
                <w:highlight w:val="none"/>
              </w:rPr>
            </w:pPr>
          </w:p>
          <w:p w14:paraId="2DD91160">
            <w:pPr>
              <w:pStyle w:val="22"/>
              <w:spacing w:line="296" w:lineRule="auto"/>
              <w:rPr>
                <w:rFonts w:hint="eastAsia" w:ascii="宋体" w:hAnsi="宋体" w:eastAsia="宋体" w:cs="宋体"/>
                <w:color w:val="auto"/>
                <w:sz w:val="24"/>
                <w:szCs w:val="24"/>
                <w:highlight w:val="none"/>
              </w:rPr>
            </w:pPr>
          </w:p>
          <w:p w14:paraId="1E607DF4">
            <w:pPr>
              <w:spacing w:before="65" w:line="229"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ACD1C76">
            <w:pPr>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70295B84">
            <w:pPr>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069BC0F2">
            <w:pPr>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488A58D1">
            <w:pPr>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5AA68D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519A8291">
            <w:pPr>
              <w:spacing w:before="235" w:line="230" w:lineRule="auto"/>
              <w:ind w:left="5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20FD0AE4">
            <w:pPr>
              <w:pStyle w:val="22"/>
              <w:rPr>
                <w:rFonts w:hint="eastAsia" w:ascii="宋体" w:hAnsi="宋体" w:eastAsia="宋体" w:cs="宋体"/>
                <w:color w:val="auto"/>
                <w:sz w:val="24"/>
                <w:szCs w:val="24"/>
                <w:highlight w:val="none"/>
              </w:rPr>
            </w:pPr>
          </w:p>
        </w:tc>
      </w:tr>
    </w:tbl>
    <w:p w14:paraId="2CDDCDA5">
      <w:pPr>
        <w:spacing w:before="140" w:line="228" w:lineRule="auto"/>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3E4045BF">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auto"/>
          <w:spacing w:val="4"/>
          <w:sz w:val="18"/>
          <w:szCs w:val="18"/>
          <w:highlight w:val="none"/>
        </w:rPr>
      </w:pPr>
      <w:bookmarkStart w:id="244" w:name="_Toc14048"/>
      <w:bookmarkStart w:id="245" w:name="_Toc5131"/>
      <w:r>
        <w:rPr>
          <w:rFonts w:hint="eastAsia" w:ascii="宋体" w:hAnsi="宋体" w:eastAsia="宋体" w:cs="宋体"/>
          <w:color w:val="auto"/>
          <w:spacing w:val="4"/>
          <w:sz w:val="18"/>
          <w:szCs w:val="18"/>
          <w:highlight w:val="none"/>
        </w:rPr>
        <w:t>1 ．《投标人基本情况表》后应附以下资料：</w:t>
      </w:r>
      <w:bookmarkEnd w:id="244"/>
      <w:bookmarkEnd w:id="245"/>
    </w:p>
    <w:p w14:paraId="2CEABDBC">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7EFD6D50">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14:paraId="6F0B00EB">
      <w:pPr>
        <w:keepNext w:val="0"/>
        <w:keepLines w:val="0"/>
        <w:pageBreakBefore w:val="0"/>
        <w:widowControl/>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14:paraId="57286EE5">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9"/>
          <w:sz w:val="18"/>
          <w:szCs w:val="18"/>
          <w:highlight w:val="none"/>
        </w:rPr>
        <w:t>2</w:t>
      </w:r>
      <w:r>
        <w:rPr>
          <w:rFonts w:hint="eastAsia" w:ascii="宋体" w:hAnsi="宋体" w:eastAsia="宋体" w:cs="宋体"/>
          <w:color w:val="auto"/>
          <w:spacing w:val="-21"/>
          <w:sz w:val="18"/>
          <w:szCs w:val="18"/>
          <w:highlight w:val="none"/>
        </w:rPr>
        <w:t xml:space="preserve"> </w:t>
      </w:r>
      <w:r>
        <w:rPr>
          <w:rFonts w:hint="eastAsia" w:ascii="宋体" w:hAnsi="宋体" w:eastAsia="宋体" w:cs="宋体"/>
          <w:color w:val="auto"/>
          <w:spacing w:val="9"/>
          <w:sz w:val="18"/>
          <w:szCs w:val="18"/>
          <w:highlight w:val="none"/>
        </w:rPr>
        <w:t>．联合体投标的，联合体成员单位均应填写《投标人基本情况</w:t>
      </w:r>
      <w:r>
        <w:rPr>
          <w:rFonts w:hint="eastAsia" w:ascii="宋体" w:hAnsi="宋体" w:eastAsia="宋体" w:cs="宋体"/>
          <w:color w:val="auto"/>
          <w:spacing w:val="8"/>
          <w:sz w:val="18"/>
          <w:szCs w:val="18"/>
          <w:highlight w:val="none"/>
        </w:rPr>
        <w:t>表》并提供以上所需资料。</w:t>
      </w:r>
    </w:p>
    <w:p w14:paraId="451A766F">
      <w:pPr>
        <w:spacing w:before="78" w:line="220" w:lineRule="auto"/>
        <w:outlineLvl w:val="2"/>
        <w:rPr>
          <w:rFonts w:hint="eastAsia" w:ascii="宋体" w:hAnsi="宋体" w:eastAsia="宋体" w:cs="宋体"/>
          <w:b/>
          <w:bCs/>
          <w:color w:val="auto"/>
          <w:spacing w:val="-4"/>
          <w:sz w:val="24"/>
          <w:szCs w:val="24"/>
          <w:highlight w:val="none"/>
        </w:rPr>
      </w:pPr>
      <w:bookmarkStart w:id="246" w:name="_Toc19699"/>
      <w:r>
        <w:rPr>
          <w:rFonts w:hint="eastAsia" w:ascii="宋体" w:hAnsi="宋体" w:eastAsia="宋体" w:cs="宋体"/>
          <w:b/>
          <w:bCs/>
          <w:color w:val="auto"/>
          <w:spacing w:val="-4"/>
          <w:sz w:val="24"/>
          <w:szCs w:val="24"/>
          <w:highlight w:val="none"/>
        </w:rPr>
        <w:t>格式八 项目经理简历表</w:t>
      </w:r>
      <w:bookmarkEnd w:id="246"/>
    </w:p>
    <w:p w14:paraId="44DC91D3">
      <w:pPr>
        <w:pStyle w:val="6"/>
        <w:spacing w:line="444" w:lineRule="auto"/>
        <w:rPr>
          <w:rFonts w:hint="eastAsia" w:ascii="宋体" w:hAnsi="宋体" w:eastAsia="宋体" w:cs="宋体"/>
          <w:color w:val="auto"/>
          <w:highlight w:val="none"/>
        </w:rPr>
      </w:pPr>
    </w:p>
    <w:p w14:paraId="185D5FD6">
      <w:pPr>
        <w:spacing w:before="97" w:line="219" w:lineRule="auto"/>
        <w:ind w:left="3538"/>
        <w:outlineLvl w:val="9"/>
        <w:rPr>
          <w:rFonts w:hint="eastAsia" w:ascii="宋体" w:hAnsi="宋体" w:eastAsia="宋体" w:cs="宋体"/>
          <w:color w:val="auto"/>
          <w:sz w:val="30"/>
          <w:szCs w:val="30"/>
          <w:highlight w:val="none"/>
        </w:rPr>
      </w:pPr>
      <w:bookmarkStart w:id="247" w:name="bookmark156"/>
      <w:bookmarkEnd w:id="247"/>
      <w:bookmarkStart w:id="248" w:name="bookmark89"/>
      <w:bookmarkEnd w:id="248"/>
      <w:bookmarkStart w:id="249" w:name="_Toc31533"/>
      <w:bookmarkStart w:id="250" w:name="_Toc24489"/>
      <w:r>
        <w:rPr>
          <w:rFonts w:hint="eastAsia" w:ascii="宋体" w:hAnsi="宋体" w:eastAsia="宋体" w:cs="宋体"/>
          <w:b/>
          <w:bCs/>
          <w:color w:val="auto"/>
          <w:spacing w:val="-5"/>
          <w:sz w:val="30"/>
          <w:szCs w:val="30"/>
          <w:highlight w:val="none"/>
        </w:rPr>
        <w:t>项目经理简历表</w:t>
      </w:r>
      <w:bookmarkEnd w:id="249"/>
      <w:bookmarkEnd w:id="250"/>
    </w:p>
    <w:p w14:paraId="7FF3B61F">
      <w:pPr>
        <w:spacing w:line="240" w:lineRule="exact"/>
        <w:rPr>
          <w:rFonts w:hint="eastAsia" w:ascii="宋体" w:hAnsi="宋体" w:eastAsia="宋体" w:cs="宋体"/>
          <w:color w:val="auto"/>
          <w:highlight w:val="none"/>
        </w:rPr>
      </w:pPr>
    </w:p>
    <w:tbl>
      <w:tblPr>
        <w:tblStyle w:val="15"/>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9FDC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6F649E7D">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BE65721">
            <w:pPr>
              <w:pStyle w:val="22"/>
              <w:rPr>
                <w:rFonts w:hint="eastAsia" w:ascii="宋体" w:hAnsi="宋体" w:eastAsia="宋体" w:cs="宋体"/>
                <w:color w:val="auto"/>
                <w:sz w:val="24"/>
                <w:szCs w:val="24"/>
                <w:highlight w:val="none"/>
              </w:rPr>
            </w:pPr>
          </w:p>
        </w:tc>
        <w:tc>
          <w:tcPr>
            <w:tcW w:w="1357" w:type="dxa"/>
            <w:vAlign w:val="top"/>
          </w:tcPr>
          <w:p w14:paraId="6A7A5619">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310E25C0">
            <w:pPr>
              <w:pStyle w:val="22"/>
              <w:rPr>
                <w:rFonts w:hint="eastAsia" w:ascii="宋体" w:hAnsi="宋体" w:eastAsia="宋体" w:cs="宋体"/>
                <w:color w:val="auto"/>
                <w:sz w:val="24"/>
                <w:szCs w:val="24"/>
                <w:highlight w:val="none"/>
              </w:rPr>
            </w:pPr>
          </w:p>
        </w:tc>
        <w:tc>
          <w:tcPr>
            <w:tcW w:w="1798" w:type="dxa"/>
            <w:vAlign w:val="top"/>
          </w:tcPr>
          <w:p w14:paraId="286B13D8">
            <w:pP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92C4AA2">
            <w:pPr>
              <w:pStyle w:val="22"/>
              <w:rPr>
                <w:rFonts w:hint="eastAsia" w:ascii="宋体" w:hAnsi="宋体" w:eastAsia="宋体" w:cs="宋体"/>
                <w:color w:val="auto"/>
                <w:sz w:val="24"/>
                <w:szCs w:val="24"/>
                <w:highlight w:val="none"/>
              </w:rPr>
            </w:pPr>
          </w:p>
        </w:tc>
      </w:tr>
      <w:tr w14:paraId="301DB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700A18F2">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29D98F38">
            <w:pPr>
              <w:pStyle w:val="22"/>
              <w:rPr>
                <w:rFonts w:hint="eastAsia" w:ascii="宋体" w:hAnsi="宋体" w:eastAsia="宋体" w:cs="宋体"/>
                <w:color w:val="auto"/>
                <w:sz w:val="24"/>
                <w:szCs w:val="24"/>
                <w:highlight w:val="none"/>
              </w:rPr>
            </w:pPr>
          </w:p>
        </w:tc>
        <w:tc>
          <w:tcPr>
            <w:tcW w:w="1357" w:type="dxa"/>
            <w:vAlign w:val="top"/>
          </w:tcPr>
          <w:p w14:paraId="06A23A17">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75DF90F2">
            <w:pPr>
              <w:pStyle w:val="22"/>
              <w:rPr>
                <w:rFonts w:hint="eastAsia" w:ascii="宋体" w:hAnsi="宋体" w:eastAsia="宋体" w:cs="宋体"/>
                <w:color w:val="auto"/>
                <w:sz w:val="24"/>
                <w:szCs w:val="24"/>
                <w:highlight w:val="none"/>
              </w:rPr>
            </w:pPr>
          </w:p>
        </w:tc>
        <w:tc>
          <w:tcPr>
            <w:tcW w:w="1798" w:type="dxa"/>
            <w:vAlign w:val="top"/>
          </w:tcPr>
          <w:p w14:paraId="5AA14F90">
            <w:pP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644D24F">
            <w:pPr>
              <w:pStyle w:val="22"/>
              <w:rPr>
                <w:rFonts w:hint="eastAsia" w:ascii="宋体" w:hAnsi="宋体" w:eastAsia="宋体" w:cs="宋体"/>
                <w:color w:val="auto"/>
                <w:sz w:val="24"/>
                <w:szCs w:val="24"/>
                <w:highlight w:val="none"/>
              </w:rPr>
            </w:pPr>
          </w:p>
        </w:tc>
      </w:tr>
      <w:tr w14:paraId="6C391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59A1F6D">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54FDA201">
            <w:pPr>
              <w:pStyle w:val="22"/>
              <w:rPr>
                <w:rFonts w:hint="eastAsia" w:ascii="宋体" w:hAnsi="宋体" w:eastAsia="宋体" w:cs="宋体"/>
                <w:color w:val="auto"/>
                <w:sz w:val="24"/>
                <w:szCs w:val="24"/>
                <w:highlight w:val="none"/>
              </w:rPr>
            </w:pPr>
          </w:p>
        </w:tc>
        <w:tc>
          <w:tcPr>
            <w:tcW w:w="3860" w:type="dxa"/>
            <w:gridSpan w:val="2"/>
            <w:vAlign w:val="top"/>
          </w:tcPr>
          <w:p w14:paraId="1B0D6DD8">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D65D784">
            <w:pPr>
              <w:pStyle w:val="22"/>
              <w:rPr>
                <w:rFonts w:hint="eastAsia" w:ascii="宋体" w:hAnsi="宋体" w:eastAsia="宋体" w:cs="宋体"/>
                <w:color w:val="auto"/>
                <w:sz w:val="24"/>
                <w:szCs w:val="24"/>
                <w:highlight w:val="none"/>
              </w:rPr>
            </w:pPr>
          </w:p>
        </w:tc>
      </w:tr>
      <w:tr w14:paraId="7DF97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67F9A91C">
            <w:pP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3895B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797BF19C">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4007FCA1">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1C4205E1">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4B953E8B">
            <w:pP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703D0BC4">
            <w:pP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66F90DEB">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45236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1487F696">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5BB2977F">
            <w:pPr>
              <w:pStyle w:val="22"/>
              <w:rPr>
                <w:rFonts w:hint="eastAsia" w:ascii="宋体" w:hAnsi="宋体" w:eastAsia="宋体" w:cs="宋体"/>
                <w:color w:val="auto"/>
                <w:sz w:val="24"/>
                <w:szCs w:val="24"/>
                <w:highlight w:val="none"/>
              </w:rPr>
            </w:pPr>
          </w:p>
        </w:tc>
        <w:tc>
          <w:tcPr>
            <w:tcW w:w="2037" w:type="dxa"/>
            <w:gridSpan w:val="2"/>
            <w:vAlign w:val="top"/>
          </w:tcPr>
          <w:p w14:paraId="7E680E92">
            <w:pPr>
              <w:pStyle w:val="22"/>
              <w:rPr>
                <w:rFonts w:hint="eastAsia" w:ascii="宋体" w:hAnsi="宋体" w:eastAsia="宋体" w:cs="宋体"/>
                <w:color w:val="auto"/>
                <w:sz w:val="24"/>
                <w:szCs w:val="24"/>
                <w:highlight w:val="none"/>
              </w:rPr>
            </w:pPr>
          </w:p>
        </w:tc>
        <w:tc>
          <w:tcPr>
            <w:tcW w:w="2062" w:type="dxa"/>
            <w:vAlign w:val="top"/>
          </w:tcPr>
          <w:p w14:paraId="6F8C779D">
            <w:pPr>
              <w:pStyle w:val="22"/>
              <w:rPr>
                <w:rFonts w:hint="eastAsia" w:ascii="宋体" w:hAnsi="宋体" w:eastAsia="宋体" w:cs="宋体"/>
                <w:color w:val="auto"/>
                <w:sz w:val="24"/>
                <w:szCs w:val="24"/>
                <w:highlight w:val="none"/>
              </w:rPr>
            </w:pPr>
          </w:p>
        </w:tc>
        <w:tc>
          <w:tcPr>
            <w:tcW w:w="1798" w:type="dxa"/>
            <w:vAlign w:val="top"/>
          </w:tcPr>
          <w:p w14:paraId="4FB28411">
            <w:pPr>
              <w:pStyle w:val="22"/>
              <w:rPr>
                <w:rFonts w:hint="eastAsia" w:ascii="宋体" w:hAnsi="宋体" w:eastAsia="宋体" w:cs="宋体"/>
                <w:color w:val="auto"/>
                <w:sz w:val="24"/>
                <w:szCs w:val="24"/>
                <w:highlight w:val="none"/>
              </w:rPr>
            </w:pPr>
          </w:p>
        </w:tc>
        <w:tc>
          <w:tcPr>
            <w:tcW w:w="1398" w:type="dxa"/>
            <w:vAlign w:val="top"/>
          </w:tcPr>
          <w:p w14:paraId="07C9E9B4">
            <w:pPr>
              <w:pStyle w:val="22"/>
              <w:rPr>
                <w:rFonts w:hint="eastAsia" w:ascii="宋体" w:hAnsi="宋体" w:eastAsia="宋体" w:cs="宋体"/>
                <w:color w:val="auto"/>
                <w:sz w:val="24"/>
                <w:szCs w:val="24"/>
                <w:highlight w:val="none"/>
              </w:rPr>
            </w:pPr>
          </w:p>
        </w:tc>
      </w:tr>
      <w:tr w14:paraId="02905B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361A5764">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10AD9F7C">
            <w:pPr>
              <w:pStyle w:val="22"/>
              <w:rPr>
                <w:rFonts w:hint="eastAsia" w:ascii="宋体" w:hAnsi="宋体" w:eastAsia="宋体" w:cs="宋体"/>
                <w:color w:val="auto"/>
                <w:sz w:val="24"/>
                <w:szCs w:val="24"/>
                <w:highlight w:val="none"/>
              </w:rPr>
            </w:pPr>
          </w:p>
        </w:tc>
        <w:tc>
          <w:tcPr>
            <w:tcW w:w="2037" w:type="dxa"/>
            <w:gridSpan w:val="2"/>
            <w:vAlign w:val="top"/>
          </w:tcPr>
          <w:p w14:paraId="78BE4EE8">
            <w:pPr>
              <w:pStyle w:val="22"/>
              <w:rPr>
                <w:rFonts w:hint="eastAsia" w:ascii="宋体" w:hAnsi="宋体" w:eastAsia="宋体" w:cs="宋体"/>
                <w:color w:val="auto"/>
                <w:sz w:val="24"/>
                <w:szCs w:val="24"/>
                <w:highlight w:val="none"/>
              </w:rPr>
            </w:pPr>
          </w:p>
        </w:tc>
        <w:tc>
          <w:tcPr>
            <w:tcW w:w="2062" w:type="dxa"/>
            <w:vAlign w:val="top"/>
          </w:tcPr>
          <w:p w14:paraId="202E95FE">
            <w:pPr>
              <w:pStyle w:val="22"/>
              <w:rPr>
                <w:rFonts w:hint="eastAsia" w:ascii="宋体" w:hAnsi="宋体" w:eastAsia="宋体" w:cs="宋体"/>
                <w:color w:val="auto"/>
                <w:sz w:val="24"/>
                <w:szCs w:val="24"/>
                <w:highlight w:val="none"/>
              </w:rPr>
            </w:pPr>
          </w:p>
        </w:tc>
        <w:tc>
          <w:tcPr>
            <w:tcW w:w="1798" w:type="dxa"/>
            <w:vAlign w:val="top"/>
          </w:tcPr>
          <w:p w14:paraId="39BD4C0A">
            <w:pPr>
              <w:pStyle w:val="22"/>
              <w:rPr>
                <w:rFonts w:hint="eastAsia" w:ascii="宋体" w:hAnsi="宋体" w:eastAsia="宋体" w:cs="宋体"/>
                <w:color w:val="auto"/>
                <w:sz w:val="24"/>
                <w:szCs w:val="24"/>
                <w:highlight w:val="none"/>
              </w:rPr>
            </w:pPr>
          </w:p>
        </w:tc>
        <w:tc>
          <w:tcPr>
            <w:tcW w:w="1398" w:type="dxa"/>
            <w:vAlign w:val="top"/>
          </w:tcPr>
          <w:p w14:paraId="3FCA662F">
            <w:pPr>
              <w:pStyle w:val="22"/>
              <w:rPr>
                <w:rFonts w:hint="eastAsia" w:ascii="宋体" w:hAnsi="宋体" w:eastAsia="宋体" w:cs="宋体"/>
                <w:color w:val="auto"/>
                <w:sz w:val="24"/>
                <w:szCs w:val="24"/>
                <w:highlight w:val="none"/>
              </w:rPr>
            </w:pPr>
          </w:p>
        </w:tc>
      </w:tr>
      <w:tr w14:paraId="275B0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3FE5B5C3">
            <w:pP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0F5BFF70">
            <w:pPr>
              <w:pStyle w:val="22"/>
              <w:rPr>
                <w:rFonts w:hint="eastAsia" w:ascii="宋体" w:hAnsi="宋体" w:eastAsia="宋体" w:cs="宋体"/>
                <w:color w:val="auto"/>
                <w:sz w:val="24"/>
                <w:szCs w:val="24"/>
                <w:highlight w:val="none"/>
              </w:rPr>
            </w:pPr>
          </w:p>
        </w:tc>
        <w:tc>
          <w:tcPr>
            <w:tcW w:w="2037" w:type="dxa"/>
            <w:gridSpan w:val="2"/>
            <w:vAlign w:val="top"/>
          </w:tcPr>
          <w:p w14:paraId="37D97746">
            <w:pPr>
              <w:pStyle w:val="22"/>
              <w:rPr>
                <w:rFonts w:hint="eastAsia" w:ascii="宋体" w:hAnsi="宋体" w:eastAsia="宋体" w:cs="宋体"/>
                <w:color w:val="auto"/>
                <w:sz w:val="24"/>
                <w:szCs w:val="24"/>
                <w:highlight w:val="none"/>
              </w:rPr>
            </w:pPr>
          </w:p>
        </w:tc>
        <w:tc>
          <w:tcPr>
            <w:tcW w:w="2062" w:type="dxa"/>
            <w:vAlign w:val="top"/>
          </w:tcPr>
          <w:p w14:paraId="4CDFAAF5">
            <w:pPr>
              <w:pStyle w:val="22"/>
              <w:rPr>
                <w:rFonts w:hint="eastAsia" w:ascii="宋体" w:hAnsi="宋体" w:eastAsia="宋体" w:cs="宋体"/>
                <w:color w:val="auto"/>
                <w:sz w:val="24"/>
                <w:szCs w:val="24"/>
                <w:highlight w:val="none"/>
              </w:rPr>
            </w:pPr>
          </w:p>
        </w:tc>
        <w:tc>
          <w:tcPr>
            <w:tcW w:w="1798" w:type="dxa"/>
            <w:vAlign w:val="top"/>
          </w:tcPr>
          <w:p w14:paraId="26C0B79B">
            <w:pPr>
              <w:pStyle w:val="22"/>
              <w:rPr>
                <w:rFonts w:hint="eastAsia" w:ascii="宋体" w:hAnsi="宋体" w:eastAsia="宋体" w:cs="宋体"/>
                <w:color w:val="auto"/>
                <w:sz w:val="24"/>
                <w:szCs w:val="24"/>
                <w:highlight w:val="none"/>
              </w:rPr>
            </w:pPr>
          </w:p>
        </w:tc>
        <w:tc>
          <w:tcPr>
            <w:tcW w:w="1398" w:type="dxa"/>
            <w:vAlign w:val="top"/>
          </w:tcPr>
          <w:p w14:paraId="2086BBE1">
            <w:pPr>
              <w:pStyle w:val="22"/>
              <w:rPr>
                <w:rFonts w:hint="eastAsia" w:ascii="宋体" w:hAnsi="宋体" w:eastAsia="宋体" w:cs="宋体"/>
                <w:color w:val="auto"/>
                <w:sz w:val="24"/>
                <w:szCs w:val="24"/>
                <w:highlight w:val="none"/>
              </w:rPr>
            </w:pPr>
          </w:p>
        </w:tc>
      </w:tr>
      <w:tr w14:paraId="6E4C84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501E4DE3">
            <w:pP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70071DD">
            <w:pPr>
              <w:pStyle w:val="22"/>
              <w:rPr>
                <w:rFonts w:hint="eastAsia" w:ascii="宋体" w:hAnsi="宋体" w:eastAsia="宋体" w:cs="宋体"/>
                <w:color w:val="auto"/>
                <w:sz w:val="24"/>
                <w:szCs w:val="24"/>
                <w:highlight w:val="none"/>
              </w:rPr>
            </w:pPr>
          </w:p>
        </w:tc>
        <w:tc>
          <w:tcPr>
            <w:tcW w:w="2037" w:type="dxa"/>
            <w:gridSpan w:val="2"/>
            <w:vAlign w:val="top"/>
          </w:tcPr>
          <w:p w14:paraId="1BA39C6C">
            <w:pPr>
              <w:pStyle w:val="22"/>
              <w:rPr>
                <w:rFonts w:hint="eastAsia" w:ascii="宋体" w:hAnsi="宋体" w:eastAsia="宋体" w:cs="宋体"/>
                <w:color w:val="auto"/>
                <w:sz w:val="24"/>
                <w:szCs w:val="24"/>
                <w:highlight w:val="none"/>
              </w:rPr>
            </w:pPr>
          </w:p>
        </w:tc>
        <w:tc>
          <w:tcPr>
            <w:tcW w:w="2062" w:type="dxa"/>
            <w:vAlign w:val="top"/>
          </w:tcPr>
          <w:p w14:paraId="7040D83F">
            <w:pPr>
              <w:pStyle w:val="22"/>
              <w:rPr>
                <w:rFonts w:hint="eastAsia" w:ascii="宋体" w:hAnsi="宋体" w:eastAsia="宋体" w:cs="宋体"/>
                <w:color w:val="auto"/>
                <w:sz w:val="24"/>
                <w:szCs w:val="24"/>
                <w:highlight w:val="none"/>
              </w:rPr>
            </w:pPr>
          </w:p>
        </w:tc>
        <w:tc>
          <w:tcPr>
            <w:tcW w:w="1798" w:type="dxa"/>
            <w:vAlign w:val="top"/>
          </w:tcPr>
          <w:p w14:paraId="62989CF7">
            <w:pPr>
              <w:pStyle w:val="22"/>
              <w:rPr>
                <w:rFonts w:hint="eastAsia" w:ascii="宋体" w:hAnsi="宋体" w:eastAsia="宋体" w:cs="宋体"/>
                <w:color w:val="auto"/>
                <w:sz w:val="24"/>
                <w:szCs w:val="24"/>
                <w:highlight w:val="none"/>
              </w:rPr>
            </w:pPr>
          </w:p>
        </w:tc>
        <w:tc>
          <w:tcPr>
            <w:tcW w:w="1398" w:type="dxa"/>
            <w:vAlign w:val="top"/>
          </w:tcPr>
          <w:p w14:paraId="4044AF0E">
            <w:pPr>
              <w:pStyle w:val="22"/>
              <w:rPr>
                <w:rFonts w:hint="eastAsia" w:ascii="宋体" w:hAnsi="宋体" w:eastAsia="宋体" w:cs="宋体"/>
                <w:color w:val="auto"/>
                <w:sz w:val="24"/>
                <w:szCs w:val="24"/>
                <w:highlight w:val="none"/>
              </w:rPr>
            </w:pPr>
          </w:p>
        </w:tc>
      </w:tr>
    </w:tbl>
    <w:p w14:paraId="72E3EBBA">
      <w:pPr>
        <w:pStyle w:val="6"/>
        <w:spacing w:line="315" w:lineRule="auto"/>
        <w:rPr>
          <w:rFonts w:hint="eastAsia" w:ascii="宋体" w:hAnsi="宋体" w:eastAsia="宋体" w:cs="宋体"/>
          <w:color w:val="auto"/>
          <w:highlight w:val="none"/>
        </w:rPr>
      </w:pPr>
    </w:p>
    <w:p w14:paraId="30968C70">
      <w:pPr>
        <w:spacing w:before="78" w:line="220" w:lineRule="auto"/>
        <w:ind w:left="69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7918B349">
      <w:pPr>
        <w:pStyle w:val="6"/>
        <w:spacing w:line="256" w:lineRule="auto"/>
        <w:rPr>
          <w:rFonts w:hint="eastAsia" w:ascii="宋体" w:hAnsi="宋体" w:eastAsia="宋体" w:cs="宋体"/>
          <w:color w:val="auto"/>
          <w:highlight w:val="none"/>
        </w:rPr>
      </w:pPr>
    </w:p>
    <w:p w14:paraId="70170666">
      <w:pPr>
        <w:pStyle w:val="6"/>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804494D">
      <w:pPr>
        <w:spacing w:before="78" w:line="220" w:lineRule="auto"/>
        <w:ind w:left="4226"/>
        <w:jc w:val="center"/>
        <w:rPr>
          <w:rFonts w:hint="eastAsia" w:ascii="宋体" w:hAnsi="宋体" w:eastAsia="宋体" w:cs="宋体"/>
          <w:color w:val="auto"/>
          <w:highlight w:val="none"/>
        </w:rPr>
      </w:pPr>
    </w:p>
    <w:p w14:paraId="29F18F2D">
      <w:pPr>
        <w:pStyle w:val="6"/>
        <w:spacing w:line="241" w:lineRule="auto"/>
        <w:rPr>
          <w:rFonts w:hint="eastAsia" w:ascii="宋体" w:hAnsi="宋体" w:eastAsia="宋体" w:cs="宋体"/>
          <w:color w:val="auto"/>
          <w:highlight w:val="none"/>
        </w:rPr>
      </w:pPr>
    </w:p>
    <w:p w14:paraId="72DD2BA3">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196B571">
      <w:pPr>
        <w:spacing w:before="152" w:line="228" w:lineRule="auto"/>
        <w:ind w:left="484"/>
        <w:outlineLvl w:val="9"/>
        <w:rPr>
          <w:rFonts w:hint="eastAsia" w:ascii="宋体" w:hAnsi="宋体" w:eastAsia="宋体" w:cs="宋体"/>
          <w:color w:val="auto"/>
          <w:sz w:val="24"/>
          <w:szCs w:val="24"/>
          <w:highlight w:val="none"/>
        </w:rPr>
      </w:pPr>
      <w:bookmarkStart w:id="251" w:name="_Toc1942"/>
      <w:bookmarkStart w:id="252" w:name="_Toc25271"/>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51"/>
      <w:bookmarkEnd w:id="252"/>
    </w:p>
    <w:p w14:paraId="23DC4C02">
      <w:pP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0A694408">
      <w:pP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7"/>
          <w:sz w:val="24"/>
          <w:szCs w:val="24"/>
          <w:highlight w:val="none"/>
        </w:rPr>
        <w:t>核合格信息彩色扫描件；</w:t>
      </w:r>
    </w:p>
    <w:p w14:paraId="3B1B02C0">
      <w:pP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个月，其</w:t>
      </w:r>
      <w:bookmarkStart w:id="253" w:name="OLE_LINK38"/>
      <w:r>
        <w:rPr>
          <w:rFonts w:hint="eastAsia" w:ascii="宋体" w:hAnsi="宋体" w:eastAsia="宋体" w:cs="宋体"/>
          <w:color w:val="auto"/>
          <w:sz w:val="24"/>
          <w:szCs w:val="24"/>
          <w:highlight w:val="none"/>
          <w:lang w:eastAsia="zh-CN"/>
        </w:rPr>
        <w:t>中必须有20</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月</w:t>
      </w:r>
      <w:bookmarkEnd w:id="253"/>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0D3E39AB">
      <w:pP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653B6D5B">
      <w:pPr>
        <w:spacing w:line="300" w:lineRule="auto"/>
        <w:rPr>
          <w:rFonts w:hint="eastAsia" w:ascii="宋体" w:hAnsi="宋体" w:eastAsia="宋体" w:cs="宋体"/>
          <w:color w:val="auto"/>
          <w:sz w:val="20"/>
          <w:szCs w:val="20"/>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3CB8FACF">
      <w:pPr>
        <w:spacing w:before="78" w:line="220" w:lineRule="auto"/>
        <w:outlineLvl w:val="2"/>
        <w:rPr>
          <w:rFonts w:hint="eastAsia" w:ascii="宋体" w:hAnsi="宋体" w:eastAsia="宋体" w:cs="宋体"/>
          <w:b/>
          <w:bCs/>
          <w:color w:val="auto"/>
          <w:spacing w:val="-4"/>
          <w:sz w:val="24"/>
          <w:szCs w:val="24"/>
          <w:highlight w:val="none"/>
        </w:rPr>
      </w:pPr>
      <w:bookmarkStart w:id="254" w:name="_Toc30661"/>
      <w:r>
        <w:rPr>
          <w:rFonts w:hint="eastAsia" w:ascii="宋体" w:hAnsi="宋体" w:eastAsia="宋体" w:cs="宋体"/>
          <w:b/>
          <w:bCs/>
          <w:color w:val="auto"/>
          <w:spacing w:val="-4"/>
          <w:sz w:val="24"/>
          <w:szCs w:val="24"/>
          <w:highlight w:val="none"/>
        </w:rPr>
        <w:t>格式九 项目经理任职声明</w:t>
      </w:r>
      <w:bookmarkEnd w:id="254"/>
    </w:p>
    <w:p w14:paraId="50763957">
      <w:pPr>
        <w:pStyle w:val="6"/>
        <w:spacing w:line="350" w:lineRule="auto"/>
        <w:rPr>
          <w:rFonts w:hint="eastAsia" w:ascii="宋体" w:hAnsi="宋体" w:eastAsia="宋体" w:cs="宋体"/>
          <w:color w:val="auto"/>
          <w:highlight w:val="none"/>
        </w:rPr>
      </w:pPr>
    </w:p>
    <w:p w14:paraId="72B47896">
      <w:pPr>
        <w:pStyle w:val="6"/>
        <w:spacing w:line="350" w:lineRule="auto"/>
        <w:rPr>
          <w:rFonts w:hint="eastAsia" w:ascii="宋体" w:hAnsi="宋体" w:eastAsia="宋体" w:cs="宋体"/>
          <w:color w:val="auto"/>
          <w:highlight w:val="none"/>
        </w:rPr>
      </w:pPr>
    </w:p>
    <w:p w14:paraId="532FA83A">
      <w:pPr>
        <w:spacing w:before="98" w:line="220" w:lineRule="auto"/>
        <w:ind w:left="3338"/>
        <w:rPr>
          <w:rFonts w:hint="eastAsia" w:ascii="宋体" w:hAnsi="宋体" w:eastAsia="宋体" w:cs="宋体"/>
          <w:color w:val="auto"/>
          <w:sz w:val="30"/>
          <w:szCs w:val="30"/>
          <w:highlight w:val="none"/>
        </w:rPr>
      </w:pPr>
      <w:bookmarkStart w:id="255" w:name="bookmark157"/>
      <w:bookmarkEnd w:id="255"/>
      <w:r>
        <w:rPr>
          <w:rFonts w:hint="eastAsia" w:ascii="宋体" w:hAnsi="宋体" w:eastAsia="宋体" w:cs="宋体"/>
          <w:b/>
          <w:bCs/>
          <w:color w:val="auto"/>
          <w:spacing w:val="-5"/>
          <w:sz w:val="30"/>
          <w:szCs w:val="30"/>
          <w:highlight w:val="none"/>
        </w:rPr>
        <w:t>项目经理任职声明</w:t>
      </w:r>
    </w:p>
    <w:p w14:paraId="3B33C0D5">
      <w:pPr>
        <w:pStyle w:val="6"/>
        <w:spacing w:line="250" w:lineRule="auto"/>
        <w:rPr>
          <w:rFonts w:hint="eastAsia" w:ascii="宋体" w:hAnsi="宋体" w:eastAsia="宋体" w:cs="宋体"/>
          <w:color w:val="auto"/>
          <w:highlight w:val="none"/>
        </w:rPr>
      </w:pPr>
    </w:p>
    <w:p w14:paraId="09BEE3C9">
      <w:pPr>
        <w:pStyle w:val="6"/>
        <w:spacing w:line="250" w:lineRule="auto"/>
        <w:rPr>
          <w:rFonts w:hint="eastAsia" w:ascii="宋体" w:hAnsi="宋体" w:eastAsia="宋体" w:cs="宋体"/>
          <w:color w:val="auto"/>
          <w:highlight w:val="none"/>
        </w:rPr>
      </w:pPr>
    </w:p>
    <w:p w14:paraId="0AA4EB6D">
      <w:pPr>
        <w:pStyle w:val="6"/>
        <w:spacing w:line="251" w:lineRule="auto"/>
        <w:rPr>
          <w:rFonts w:hint="eastAsia" w:ascii="宋体" w:hAnsi="宋体" w:eastAsia="宋体" w:cs="宋体"/>
          <w:color w:val="auto"/>
          <w:highlight w:val="none"/>
        </w:rPr>
      </w:pPr>
    </w:p>
    <w:p w14:paraId="3FE5935C">
      <w:pP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1238383B">
      <w:pPr>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03E5EC4A">
      <w:pPr>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CB9C3E7">
      <w:pPr>
        <w:pStyle w:val="6"/>
        <w:spacing w:line="391" w:lineRule="auto"/>
        <w:rPr>
          <w:rFonts w:hint="eastAsia" w:ascii="宋体" w:hAnsi="宋体" w:eastAsia="宋体" w:cs="宋体"/>
          <w:color w:val="auto"/>
          <w:highlight w:val="none"/>
        </w:rPr>
      </w:pPr>
    </w:p>
    <w:p w14:paraId="024308CE">
      <w:pPr>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42159746">
      <w:pPr>
        <w:pStyle w:val="6"/>
        <w:spacing w:line="316" w:lineRule="auto"/>
        <w:rPr>
          <w:rFonts w:hint="eastAsia" w:ascii="宋体" w:hAnsi="宋体" w:eastAsia="宋体" w:cs="宋体"/>
          <w:color w:val="auto"/>
          <w:highlight w:val="none"/>
        </w:rPr>
      </w:pPr>
    </w:p>
    <w:p w14:paraId="4D0D96FE">
      <w:pPr>
        <w:pStyle w:val="6"/>
        <w:spacing w:line="317" w:lineRule="auto"/>
        <w:rPr>
          <w:rFonts w:hint="eastAsia" w:ascii="宋体" w:hAnsi="宋体" w:eastAsia="宋体" w:cs="宋体"/>
          <w:color w:val="auto"/>
          <w:highlight w:val="none"/>
        </w:rPr>
      </w:pPr>
    </w:p>
    <w:p w14:paraId="3A9D0045">
      <w:pPr>
        <w:pStyle w:val="6"/>
        <w:spacing w:line="317" w:lineRule="auto"/>
        <w:rPr>
          <w:rFonts w:hint="eastAsia" w:ascii="宋体" w:hAnsi="宋体" w:eastAsia="宋体" w:cs="宋体"/>
          <w:color w:val="auto"/>
          <w:highlight w:val="none"/>
        </w:rPr>
      </w:pPr>
    </w:p>
    <w:p w14:paraId="4EFCA4D3">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11473C24">
      <w:pPr>
        <w:pStyle w:val="6"/>
        <w:spacing w:line="317" w:lineRule="auto"/>
        <w:rPr>
          <w:rFonts w:hint="eastAsia" w:ascii="宋体" w:hAnsi="宋体" w:eastAsia="宋体" w:cs="宋体"/>
          <w:color w:val="auto"/>
          <w:highlight w:val="none"/>
        </w:rPr>
      </w:pPr>
    </w:p>
    <w:p w14:paraId="542278CE">
      <w:pPr>
        <w:pStyle w:val="6"/>
        <w:spacing w:line="317" w:lineRule="auto"/>
        <w:rPr>
          <w:rFonts w:hint="eastAsia" w:ascii="宋体" w:hAnsi="宋体" w:eastAsia="宋体" w:cs="宋体"/>
          <w:color w:val="auto"/>
          <w:highlight w:val="none"/>
        </w:rPr>
      </w:pPr>
    </w:p>
    <w:p w14:paraId="72A1A21F">
      <w:pPr>
        <w:pStyle w:val="6"/>
        <w:spacing w:line="317" w:lineRule="auto"/>
        <w:rPr>
          <w:rFonts w:hint="eastAsia" w:ascii="宋体" w:hAnsi="宋体" w:eastAsia="宋体" w:cs="宋体"/>
          <w:color w:val="auto"/>
          <w:highlight w:val="none"/>
        </w:rPr>
      </w:pPr>
    </w:p>
    <w:p w14:paraId="78744719">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D5950AE">
      <w:pPr>
        <w:pStyle w:val="6"/>
        <w:spacing w:line="257" w:lineRule="auto"/>
        <w:rPr>
          <w:rFonts w:hint="eastAsia" w:ascii="宋体" w:hAnsi="宋体" w:eastAsia="宋体" w:cs="宋体"/>
          <w:color w:val="auto"/>
          <w:highlight w:val="none"/>
        </w:rPr>
      </w:pPr>
    </w:p>
    <w:p w14:paraId="6A0A2006">
      <w:pPr>
        <w:pStyle w:val="6"/>
        <w:spacing w:line="257" w:lineRule="auto"/>
        <w:rPr>
          <w:rFonts w:hint="eastAsia" w:ascii="宋体" w:hAnsi="宋体" w:eastAsia="宋体" w:cs="宋体"/>
          <w:color w:val="auto"/>
          <w:highlight w:val="none"/>
        </w:rPr>
      </w:pPr>
    </w:p>
    <w:p w14:paraId="129D384D">
      <w:pPr>
        <w:pStyle w:val="6"/>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6DFD9D42">
      <w:pPr>
        <w:spacing w:line="220" w:lineRule="auto"/>
        <w:rPr>
          <w:rFonts w:hint="eastAsia" w:ascii="宋体" w:hAnsi="宋体" w:eastAsia="宋体" w:cs="宋体"/>
          <w:color w:val="auto"/>
          <w:sz w:val="24"/>
          <w:szCs w:val="24"/>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65BFDBC">
      <w:pPr>
        <w:spacing w:before="78" w:line="220" w:lineRule="auto"/>
        <w:outlineLvl w:val="2"/>
        <w:rPr>
          <w:rFonts w:hint="eastAsia" w:ascii="宋体" w:hAnsi="宋体" w:eastAsia="宋体" w:cs="宋体"/>
          <w:b/>
          <w:bCs/>
          <w:color w:val="auto"/>
          <w:spacing w:val="-4"/>
          <w:sz w:val="24"/>
          <w:szCs w:val="24"/>
          <w:highlight w:val="none"/>
        </w:rPr>
      </w:pPr>
      <w:bookmarkStart w:id="256" w:name="_Toc31071"/>
      <w:r>
        <w:rPr>
          <w:rFonts w:hint="eastAsia" w:ascii="宋体" w:hAnsi="宋体" w:eastAsia="宋体" w:cs="宋体"/>
          <w:b/>
          <w:bCs/>
          <w:color w:val="auto"/>
          <w:spacing w:val="-4"/>
          <w:sz w:val="24"/>
          <w:szCs w:val="24"/>
          <w:highlight w:val="none"/>
        </w:rPr>
        <w:t>格式十 项目技术负责人简历表</w:t>
      </w:r>
      <w:bookmarkEnd w:id="256"/>
    </w:p>
    <w:p w14:paraId="2B5EE9D3">
      <w:pPr>
        <w:pStyle w:val="6"/>
        <w:spacing w:line="444" w:lineRule="auto"/>
        <w:rPr>
          <w:rFonts w:hint="eastAsia" w:ascii="宋体" w:hAnsi="宋体" w:eastAsia="宋体" w:cs="宋体"/>
          <w:color w:val="auto"/>
          <w:highlight w:val="none"/>
        </w:rPr>
      </w:pPr>
    </w:p>
    <w:p w14:paraId="660126C7">
      <w:pPr>
        <w:spacing w:before="97" w:line="219" w:lineRule="auto"/>
        <w:ind w:left="3087"/>
        <w:outlineLvl w:val="9"/>
        <w:rPr>
          <w:rFonts w:hint="eastAsia" w:ascii="宋体" w:hAnsi="宋体" w:eastAsia="宋体" w:cs="宋体"/>
          <w:color w:val="auto"/>
          <w:sz w:val="30"/>
          <w:szCs w:val="30"/>
          <w:highlight w:val="none"/>
        </w:rPr>
      </w:pPr>
      <w:bookmarkStart w:id="257" w:name="_Toc1553"/>
      <w:bookmarkStart w:id="258" w:name="_Toc25712"/>
      <w:r>
        <w:rPr>
          <w:rFonts w:hint="eastAsia" w:ascii="宋体" w:hAnsi="宋体" w:eastAsia="宋体" w:cs="宋体"/>
          <w:b/>
          <w:bCs/>
          <w:color w:val="auto"/>
          <w:spacing w:val="-4"/>
          <w:sz w:val="30"/>
          <w:szCs w:val="30"/>
          <w:highlight w:val="none"/>
        </w:rPr>
        <w:t>项目技术负责人简历表</w:t>
      </w:r>
      <w:bookmarkEnd w:id="257"/>
      <w:bookmarkEnd w:id="258"/>
    </w:p>
    <w:p w14:paraId="793853DC">
      <w:pPr>
        <w:spacing w:line="240" w:lineRule="exact"/>
        <w:rPr>
          <w:rFonts w:hint="eastAsia" w:ascii="宋体" w:hAnsi="宋体" w:eastAsia="宋体" w:cs="宋体"/>
          <w:color w:val="auto"/>
          <w:highlight w:val="none"/>
        </w:rPr>
      </w:pPr>
    </w:p>
    <w:tbl>
      <w:tblPr>
        <w:tblStyle w:val="15"/>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16095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1A29E8E9">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61E80740">
            <w:pPr>
              <w:pStyle w:val="22"/>
              <w:rPr>
                <w:rFonts w:hint="eastAsia" w:ascii="宋体" w:hAnsi="宋体" w:eastAsia="宋体" w:cs="宋体"/>
                <w:color w:val="auto"/>
                <w:sz w:val="24"/>
                <w:szCs w:val="24"/>
                <w:highlight w:val="none"/>
              </w:rPr>
            </w:pPr>
          </w:p>
        </w:tc>
        <w:tc>
          <w:tcPr>
            <w:tcW w:w="1346" w:type="dxa"/>
            <w:vAlign w:val="top"/>
          </w:tcPr>
          <w:p w14:paraId="31353E9D">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7598C3B0">
            <w:pPr>
              <w:pStyle w:val="22"/>
              <w:rPr>
                <w:rFonts w:hint="eastAsia" w:ascii="宋体" w:hAnsi="宋体" w:eastAsia="宋体" w:cs="宋体"/>
                <w:color w:val="auto"/>
                <w:sz w:val="24"/>
                <w:szCs w:val="24"/>
                <w:highlight w:val="none"/>
              </w:rPr>
            </w:pPr>
          </w:p>
        </w:tc>
        <w:tc>
          <w:tcPr>
            <w:tcW w:w="1783" w:type="dxa"/>
            <w:vAlign w:val="top"/>
          </w:tcPr>
          <w:p w14:paraId="079602E5">
            <w:pP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5C37597F">
            <w:pPr>
              <w:pStyle w:val="22"/>
              <w:rPr>
                <w:rFonts w:hint="eastAsia" w:ascii="宋体" w:hAnsi="宋体" w:eastAsia="宋体" w:cs="宋体"/>
                <w:color w:val="auto"/>
                <w:sz w:val="24"/>
                <w:szCs w:val="24"/>
                <w:highlight w:val="none"/>
              </w:rPr>
            </w:pPr>
          </w:p>
        </w:tc>
      </w:tr>
      <w:tr w14:paraId="09A412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236887D3">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5FED17BA">
            <w:pPr>
              <w:pStyle w:val="22"/>
              <w:rPr>
                <w:rFonts w:hint="eastAsia" w:ascii="宋体" w:hAnsi="宋体" w:eastAsia="宋体" w:cs="宋体"/>
                <w:color w:val="auto"/>
                <w:sz w:val="24"/>
                <w:szCs w:val="24"/>
                <w:highlight w:val="none"/>
              </w:rPr>
            </w:pPr>
          </w:p>
        </w:tc>
        <w:tc>
          <w:tcPr>
            <w:tcW w:w="1346" w:type="dxa"/>
            <w:vAlign w:val="top"/>
          </w:tcPr>
          <w:p w14:paraId="15CBDD7D">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5CCBF957">
            <w:pPr>
              <w:pStyle w:val="22"/>
              <w:rPr>
                <w:rFonts w:hint="eastAsia" w:ascii="宋体" w:hAnsi="宋体" w:eastAsia="宋体" w:cs="宋体"/>
                <w:color w:val="auto"/>
                <w:sz w:val="24"/>
                <w:szCs w:val="24"/>
                <w:highlight w:val="none"/>
              </w:rPr>
            </w:pPr>
          </w:p>
        </w:tc>
        <w:tc>
          <w:tcPr>
            <w:tcW w:w="1783" w:type="dxa"/>
            <w:vAlign w:val="top"/>
          </w:tcPr>
          <w:p w14:paraId="01085AC3">
            <w:pP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F864FCF">
            <w:pPr>
              <w:pStyle w:val="22"/>
              <w:rPr>
                <w:rFonts w:hint="eastAsia" w:ascii="宋体" w:hAnsi="宋体" w:eastAsia="宋体" w:cs="宋体"/>
                <w:color w:val="auto"/>
                <w:sz w:val="24"/>
                <w:szCs w:val="24"/>
                <w:highlight w:val="none"/>
              </w:rPr>
            </w:pPr>
          </w:p>
        </w:tc>
      </w:tr>
      <w:tr w14:paraId="7CDBF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14018382">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2F2884CD">
            <w:pPr>
              <w:pStyle w:val="22"/>
              <w:rPr>
                <w:rFonts w:hint="eastAsia" w:ascii="宋体" w:hAnsi="宋体" w:eastAsia="宋体" w:cs="宋体"/>
                <w:color w:val="auto"/>
                <w:sz w:val="24"/>
                <w:szCs w:val="24"/>
                <w:highlight w:val="none"/>
              </w:rPr>
            </w:pPr>
          </w:p>
        </w:tc>
        <w:tc>
          <w:tcPr>
            <w:tcW w:w="3830" w:type="dxa"/>
            <w:gridSpan w:val="2"/>
            <w:vAlign w:val="top"/>
          </w:tcPr>
          <w:p w14:paraId="1475BD90">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6C32E237">
            <w:pPr>
              <w:pStyle w:val="22"/>
              <w:rPr>
                <w:rFonts w:hint="eastAsia" w:ascii="宋体" w:hAnsi="宋体" w:eastAsia="宋体" w:cs="宋体"/>
                <w:color w:val="auto"/>
                <w:sz w:val="24"/>
                <w:szCs w:val="24"/>
                <w:highlight w:val="none"/>
              </w:rPr>
            </w:pPr>
          </w:p>
        </w:tc>
      </w:tr>
      <w:tr w14:paraId="488B9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5F95069B">
            <w:pP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1766D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1091015C">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5142899E">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4A3183BC">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67784B04">
            <w:pP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5EE5667">
            <w:pP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447C6AB8">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53E32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72189AA">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62B22E63">
            <w:pPr>
              <w:pStyle w:val="22"/>
              <w:rPr>
                <w:rFonts w:hint="eastAsia" w:ascii="宋体" w:hAnsi="宋体" w:eastAsia="宋体" w:cs="宋体"/>
                <w:color w:val="auto"/>
                <w:sz w:val="24"/>
                <w:szCs w:val="24"/>
                <w:highlight w:val="none"/>
              </w:rPr>
            </w:pPr>
          </w:p>
        </w:tc>
        <w:tc>
          <w:tcPr>
            <w:tcW w:w="2021" w:type="dxa"/>
            <w:gridSpan w:val="2"/>
            <w:vAlign w:val="top"/>
          </w:tcPr>
          <w:p w14:paraId="3F5ED66B">
            <w:pPr>
              <w:pStyle w:val="22"/>
              <w:rPr>
                <w:rFonts w:hint="eastAsia" w:ascii="宋体" w:hAnsi="宋体" w:eastAsia="宋体" w:cs="宋体"/>
                <w:color w:val="auto"/>
                <w:sz w:val="24"/>
                <w:szCs w:val="24"/>
                <w:highlight w:val="none"/>
              </w:rPr>
            </w:pPr>
          </w:p>
        </w:tc>
        <w:tc>
          <w:tcPr>
            <w:tcW w:w="2047" w:type="dxa"/>
            <w:vAlign w:val="top"/>
          </w:tcPr>
          <w:p w14:paraId="75504A0F">
            <w:pPr>
              <w:pStyle w:val="22"/>
              <w:rPr>
                <w:rFonts w:hint="eastAsia" w:ascii="宋体" w:hAnsi="宋体" w:eastAsia="宋体" w:cs="宋体"/>
                <w:color w:val="auto"/>
                <w:sz w:val="24"/>
                <w:szCs w:val="24"/>
                <w:highlight w:val="none"/>
              </w:rPr>
            </w:pPr>
          </w:p>
        </w:tc>
        <w:tc>
          <w:tcPr>
            <w:tcW w:w="1783" w:type="dxa"/>
            <w:vAlign w:val="top"/>
          </w:tcPr>
          <w:p w14:paraId="647437AC">
            <w:pPr>
              <w:pStyle w:val="22"/>
              <w:rPr>
                <w:rFonts w:hint="eastAsia" w:ascii="宋体" w:hAnsi="宋体" w:eastAsia="宋体" w:cs="宋体"/>
                <w:color w:val="auto"/>
                <w:sz w:val="24"/>
                <w:szCs w:val="24"/>
                <w:highlight w:val="none"/>
              </w:rPr>
            </w:pPr>
          </w:p>
        </w:tc>
        <w:tc>
          <w:tcPr>
            <w:tcW w:w="1386" w:type="dxa"/>
            <w:vAlign w:val="top"/>
          </w:tcPr>
          <w:p w14:paraId="5B367338">
            <w:pPr>
              <w:pStyle w:val="22"/>
              <w:rPr>
                <w:rFonts w:hint="eastAsia" w:ascii="宋体" w:hAnsi="宋体" w:eastAsia="宋体" w:cs="宋体"/>
                <w:color w:val="auto"/>
                <w:sz w:val="24"/>
                <w:szCs w:val="24"/>
                <w:highlight w:val="none"/>
              </w:rPr>
            </w:pPr>
          </w:p>
        </w:tc>
      </w:tr>
      <w:tr w14:paraId="1156FD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2909C01B">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51422255">
            <w:pPr>
              <w:pStyle w:val="22"/>
              <w:rPr>
                <w:rFonts w:hint="eastAsia" w:ascii="宋体" w:hAnsi="宋体" w:eastAsia="宋体" w:cs="宋体"/>
                <w:color w:val="auto"/>
                <w:sz w:val="24"/>
                <w:szCs w:val="24"/>
                <w:highlight w:val="none"/>
              </w:rPr>
            </w:pPr>
          </w:p>
        </w:tc>
        <w:tc>
          <w:tcPr>
            <w:tcW w:w="2021" w:type="dxa"/>
            <w:gridSpan w:val="2"/>
            <w:vAlign w:val="top"/>
          </w:tcPr>
          <w:p w14:paraId="4273DA5B">
            <w:pPr>
              <w:pStyle w:val="22"/>
              <w:rPr>
                <w:rFonts w:hint="eastAsia" w:ascii="宋体" w:hAnsi="宋体" w:eastAsia="宋体" w:cs="宋体"/>
                <w:color w:val="auto"/>
                <w:sz w:val="24"/>
                <w:szCs w:val="24"/>
                <w:highlight w:val="none"/>
              </w:rPr>
            </w:pPr>
          </w:p>
        </w:tc>
        <w:tc>
          <w:tcPr>
            <w:tcW w:w="2047" w:type="dxa"/>
            <w:vAlign w:val="top"/>
          </w:tcPr>
          <w:p w14:paraId="1AAF2D51">
            <w:pPr>
              <w:pStyle w:val="22"/>
              <w:rPr>
                <w:rFonts w:hint="eastAsia" w:ascii="宋体" w:hAnsi="宋体" w:eastAsia="宋体" w:cs="宋体"/>
                <w:color w:val="auto"/>
                <w:sz w:val="24"/>
                <w:szCs w:val="24"/>
                <w:highlight w:val="none"/>
              </w:rPr>
            </w:pPr>
          </w:p>
        </w:tc>
        <w:tc>
          <w:tcPr>
            <w:tcW w:w="1783" w:type="dxa"/>
            <w:vAlign w:val="top"/>
          </w:tcPr>
          <w:p w14:paraId="051D15DF">
            <w:pPr>
              <w:pStyle w:val="22"/>
              <w:rPr>
                <w:rFonts w:hint="eastAsia" w:ascii="宋体" w:hAnsi="宋体" w:eastAsia="宋体" w:cs="宋体"/>
                <w:color w:val="auto"/>
                <w:sz w:val="24"/>
                <w:szCs w:val="24"/>
                <w:highlight w:val="none"/>
              </w:rPr>
            </w:pPr>
          </w:p>
        </w:tc>
        <w:tc>
          <w:tcPr>
            <w:tcW w:w="1386" w:type="dxa"/>
            <w:vAlign w:val="top"/>
          </w:tcPr>
          <w:p w14:paraId="4200AD4E">
            <w:pPr>
              <w:pStyle w:val="22"/>
              <w:rPr>
                <w:rFonts w:hint="eastAsia" w:ascii="宋体" w:hAnsi="宋体" w:eastAsia="宋体" w:cs="宋体"/>
                <w:color w:val="auto"/>
                <w:sz w:val="24"/>
                <w:szCs w:val="24"/>
                <w:highlight w:val="none"/>
              </w:rPr>
            </w:pPr>
          </w:p>
        </w:tc>
      </w:tr>
      <w:tr w14:paraId="75E63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6AE3C341">
            <w:pP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5754BBC6">
            <w:pPr>
              <w:pStyle w:val="22"/>
              <w:rPr>
                <w:rFonts w:hint="eastAsia" w:ascii="宋体" w:hAnsi="宋体" w:eastAsia="宋体" w:cs="宋体"/>
                <w:color w:val="auto"/>
                <w:sz w:val="24"/>
                <w:szCs w:val="24"/>
                <w:highlight w:val="none"/>
              </w:rPr>
            </w:pPr>
          </w:p>
        </w:tc>
        <w:tc>
          <w:tcPr>
            <w:tcW w:w="2021" w:type="dxa"/>
            <w:gridSpan w:val="2"/>
            <w:vAlign w:val="top"/>
          </w:tcPr>
          <w:p w14:paraId="72F4C53F">
            <w:pPr>
              <w:pStyle w:val="22"/>
              <w:rPr>
                <w:rFonts w:hint="eastAsia" w:ascii="宋体" w:hAnsi="宋体" w:eastAsia="宋体" w:cs="宋体"/>
                <w:color w:val="auto"/>
                <w:sz w:val="24"/>
                <w:szCs w:val="24"/>
                <w:highlight w:val="none"/>
              </w:rPr>
            </w:pPr>
          </w:p>
        </w:tc>
        <w:tc>
          <w:tcPr>
            <w:tcW w:w="2047" w:type="dxa"/>
            <w:vAlign w:val="top"/>
          </w:tcPr>
          <w:p w14:paraId="0E072B1F">
            <w:pPr>
              <w:pStyle w:val="22"/>
              <w:rPr>
                <w:rFonts w:hint="eastAsia" w:ascii="宋体" w:hAnsi="宋体" w:eastAsia="宋体" w:cs="宋体"/>
                <w:color w:val="auto"/>
                <w:sz w:val="24"/>
                <w:szCs w:val="24"/>
                <w:highlight w:val="none"/>
              </w:rPr>
            </w:pPr>
          </w:p>
        </w:tc>
        <w:tc>
          <w:tcPr>
            <w:tcW w:w="1783" w:type="dxa"/>
            <w:vAlign w:val="top"/>
          </w:tcPr>
          <w:p w14:paraId="2FEEBEC8">
            <w:pPr>
              <w:pStyle w:val="22"/>
              <w:rPr>
                <w:rFonts w:hint="eastAsia" w:ascii="宋体" w:hAnsi="宋体" w:eastAsia="宋体" w:cs="宋体"/>
                <w:color w:val="auto"/>
                <w:sz w:val="24"/>
                <w:szCs w:val="24"/>
                <w:highlight w:val="none"/>
              </w:rPr>
            </w:pPr>
          </w:p>
        </w:tc>
        <w:tc>
          <w:tcPr>
            <w:tcW w:w="1386" w:type="dxa"/>
            <w:vAlign w:val="top"/>
          </w:tcPr>
          <w:p w14:paraId="45AD2BC7">
            <w:pPr>
              <w:pStyle w:val="22"/>
              <w:rPr>
                <w:rFonts w:hint="eastAsia" w:ascii="宋体" w:hAnsi="宋体" w:eastAsia="宋体" w:cs="宋体"/>
                <w:color w:val="auto"/>
                <w:sz w:val="24"/>
                <w:szCs w:val="24"/>
                <w:highlight w:val="none"/>
              </w:rPr>
            </w:pPr>
          </w:p>
        </w:tc>
      </w:tr>
      <w:tr w14:paraId="0E691A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100AE66B">
            <w:pPr>
              <w:pStyle w:val="22"/>
              <w:rPr>
                <w:rFonts w:hint="eastAsia" w:ascii="宋体" w:hAnsi="宋体" w:eastAsia="宋体" w:cs="宋体"/>
                <w:color w:val="auto"/>
                <w:sz w:val="24"/>
                <w:szCs w:val="24"/>
                <w:highlight w:val="none"/>
              </w:rPr>
            </w:pPr>
          </w:p>
        </w:tc>
        <w:tc>
          <w:tcPr>
            <w:tcW w:w="1610" w:type="dxa"/>
            <w:gridSpan w:val="2"/>
            <w:vAlign w:val="top"/>
          </w:tcPr>
          <w:p w14:paraId="3D172603">
            <w:pPr>
              <w:pStyle w:val="22"/>
              <w:rPr>
                <w:rFonts w:hint="eastAsia" w:ascii="宋体" w:hAnsi="宋体" w:eastAsia="宋体" w:cs="宋体"/>
                <w:color w:val="auto"/>
                <w:sz w:val="24"/>
                <w:szCs w:val="24"/>
                <w:highlight w:val="none"/>
              </w:rPr>
            </w:pPr>
          </w:p>
        </w:tc>
        <w:tc>
          <w:tcPr>
            <w:tcW w:w="2021" w:type="dxa"/>
            <w:gridSpan w:val="2"/>
            <w:vAlign w:val="top"/>
          </w:tcPr>
          <w:p w14:paraId="6088B8A2">
            <w:pPr>
              <w:pStyle w:val="22"/>
              <w:rPr>
                <w:rFonts w:hint="eastAsia" w:ascii="宋体" w:hAnsi="宋体" w:eastAsia="宋体" w:cs="宋体"/>
                <w:color w:val="auto"/>
                <w:sz w:val="24"/>
                <w:szCs w:val="24"/>
                <w:highlight w:val="none"/>
              </w:rPr>
            </w:pPr>
          </w:p>
        </w:tc>
        <w:tc>
          <w:tcPr>
            <w:tcW w:w="2047" w:type="dxa"/>
            <w:vAlign w:val="top"/>
          </w:tcPr>
          <w:p w14:paraId="71FA95CE">
            <w:pPr>
              <w:pStyle w:val="22"/>
              <w:rPr>
                <w:rFonts w:hint="eastAsia" w:ascii="宋体" w:hAnsi="宋体" w:eastAsia="宋体" w:cs="宋体"/>
                <w:color w:val="auto"/>
                <w:sz w:val="24"/>
                <w:szCs w:val="24"/>
                <w:highlight w:val="none"/>
              </w:rPr>
            </w:pPr>
          </w:p>
        </w:tc>
        <w:tc>
          <w:tcPr>
            <w:tcW w:w="1783" w:type="dxa"/>
            <w:vAlign w:val="top"/>
          </w:tcPr>
          <w:p w14:paraId="63618EC9">
            <w:pPr>
              <w:pStyle w:val="22"/>
              <w:rPr>
                <w:rFonts w:hint="eastAsia" w:ascii="宋体" w:hAnsi="宋体" w:eastAsia="宋体" w:cs="宋体"/>
                <w:color w:val="auto"/>
                <w:sz w:val="24"/>
                <w:szCs w:val="24"/>
                <w:highlight w:val="none"/>
              </w:rPr>
            </w:pPr>
          </w:p>
        </w:tc>
        <w:tc>
          <w:tcPr>
            <w:tcW w:w="1386" w:type="dxa"/>
            <w:vAlign w:val="top"/>
          </w:tcPr>
          <w:p w14:paraId="5F9677E7">
            <w:pPr>
              <w:pStyle w:val="22"/>
              <w:rPr>
                <w:rFonts w:hint="eastAsia" w:ascii="宋体" w:hAnsi="宋体" w:eastAsia="宋体" w:cs="宋体"/>
                <w:color w:val="auto"/>
                <w:sz w:val="24"/>
                <w:szCs w:val="24"/>
                <w:highlight w:val="none"/>
              </w:rPr>
            </w:pPr>
          </w:p>
        </w:tc>
      </w:tr>
      <w:tr w14:paraId="492D59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7A0A0F26">
            <w:pPr>
              <w:pStyle w:val="22"/>
              <w:rPr>
                <w:rFonts w:hint="eastAsia" w:ascii="宋体" w:hAnsi="宋体" w:eastAsia="宋体" w:cs="宋体"/>
                <w:color w:val="auto"/>
                <w:sz w:val="24"/>
                <w:szCs w:val="24"/>
                <w:highlight w:val="none"/>
              </w:rPr>
            </w:pPr>
          </w:p>
        </w:tc>
        <w:tc>
          <w:tcPr>
            <w:tcW w:w="1610" w:type="dxa"/>
            <w:gridSpan w:val="2"/>
            <w:vAlign w:val="top"/>
          </w:tcPr>
          <w:p w14:paraId="2EA095B3">
            <w:pPr>
              <w:pStyle w:val="22"/>
              <w:rPr>
                <w:rFonts w:hint="eastAsia" w:ascii="宋体" w:hAnsi="宋体" w:eastAsia="宋体" w:cs="宋体"/>
                <w:color w:val="auto"/>
                <w:sz w:val="24"/>
                <w:szCs w:val="24"/>
                <w:highlight w:val="none"/>
              </w:rPr>
            </w:pPr>
          </w:p>
        </w:tc>
        <w:tc>
          <w:tcPr>
            <w:tcW w:w="2021" w:type="dxa"/>
            <w:gridSpan w:val="2"/>
            <w:vAlign w:val="top"/>
          </w:tcPr>
          <w:p w14:paraId="783DB79D">
            <w:pPr>
              <w:pStyle w:val="22"/>
              <w:rPr>
                <w:rFonts w:hint="eastAsia" w:ascii="宋体" w:hAnsi="宋体" w:eastAsia="宋体" w:cs="宋体"/>
                <w:color w:val="auto"/>
                <w:sz w:val="24"/>
                <w:szCs w:val="24"/>
                <w:highlight w:val="none"/>
              </w:rPr>
            </w:pPr>
          </w:p>
        </w:tc>
        <w:tc>
          <w:tcPr>
            <w:tcW w:w="2047" w:type="dxa"/>
            <w:vAlign w:val="top"/>
          </w:tcPr>
          <w:p w14:paraId="707CEA4B">
            <w:pPr>
              <w:pStyle w:val="22"/>
              <w:rPr>
                <w:rFonts w:hint="eastAsia" w:ascii="宋体" w:hAnsi="宋体" w:eastAsia="宋体" w:cs="宋体"/>
                <w:color w:val="auto"/>
                <w:sz w:val="24"/>
                <w:szCs w:val="24"/>
                <w:highlight w:val="none"/>
              </w:rPr>
            </w:pPr>
          </w:p>
        </w:tc>
        <w:tc>
          <w:tcPr>
            <w:tcW w:w="1783" w:type="dxa"/>
            <w:vAlign w:val="top"/>
          </w:tcPr>
          <w:p w14:paraId="6634F4F2">
            <w:pPr>
              <w:pStyle w:val="22"/>
              <w:rPr>
                <w:rFonts w:hint="eastAsia" w:ascii="宋体" w:hAnsi="宋体" w:eastAsia="宋体" w:cs="宋体"/>
                <w:color w:val="auto"/>
                <w:sz w:val="24"/>
                <w:szCs w:val="24"/>
                <w:highlight w:val="none"/>
              </w:rPr>
            </w:pPr>
          </w:p>
        </w:tc>
        <w:tc>
          <w:tcPr>
            <w:tcW w:w="1386" w:type="dxa"/>
            <w:vAlign w:val="top"/>
          </w:tcPr>
          <w:p w14:paraId="79AF8F10">
            <w:pPr>
              <w:pStyle w:val="22"/>
              <w:rPr>
                <w:rFonts w:hint="eastAsia" w:ascii="宋体" w:hAnsi="宋体" w:eastAsia="宋体" w:cs="宋体"/>
                <w:color w:val="auto"/>
                <w:sz w:val="24"/>
                <w:szCs w:val="24"/>
                <w:highlight w:val="none"/>
              </w:rPr>
            </w:pPr>
          </w:p>
        </w:tc>
      </w:tr>
    </w:tbl>
    <w:p w14:paraId="79842BF8">
      <w:pPr>
        <w:pStyle w:val="6"/>
        <w:spacing w:line="314" w:lineRule="auto"/>
        <w:rPr>
          <w:rFonts w:hint="eastAsia" w:ascii="宋体" w:hAnsi="宋体" w:eastAsia="宋体" w:cs="宋体"/>
          <w:color w:val="auto"/>
          <w:sz w:val="24"/>
          <w:szCs w:val="24"/>
          <w:highlight w:val="none"/>
        </w:rPr>
      </w:pPr>
    </w:p>
    <w:p w14:paraId="7F27F6D4">
      <w:pPr>
        <w:pStyle w:val="6"/>
        <w:spacing w:line="315" w:lineRule="auto"/>
        <w:rPr>
          <w:rFonts w:hint="eastAsia" w:ascii="宋体" w:hAnsi="宋体" w:eastAsia="宋体" w:cs="宋体"/>
          <w:color w:val="auto"/>
          <w:sz w:val="24"/>
          <w:szCs w:val="24"/>
          <w:highlight w:val="none"/>
        </w:rPr>
      </w:pPr>
    </w:p>
    <w:p w14:paraId="4C0BB797">
      <w:pPr>
        <w:pStyle w:val="6"/>
        <w:spacing w:line="315" w:lineRule="auto"/>
        <w:rPr>
          <w:rFonts w:hint="eastAsia" w:ascii="宋体" w:hAnsi="宋体" w:eastAsia="宋体" w:cs="宋体"/>
          <w:color w:val="auto"/>
          <w:sz w:val="24"/>
          <w:szCs w:val="24"/>
          <w:highlight w:val="none"/>
        </w:rPr>
      </w:pPr>
    </w:p>
    <w:p w14:paraId="502CE3BE">
      <w:pP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4A98DCFD">
      <w:pPr>
        <w:pStyle w:val="6"/>
        <w:spacing w:line="256" w:lineRule="auto"/>
        <w:jc w:val="right"/>
        <w:rPr>
          <w:rFonts w:hint="eastAsia" w:ascii="宋体" w:hAnsi="宋体" w:eastAsia="宋体" w:cs="宋体"/>
          <w:color w:val="auto"/>
          <w:sz w:val="24"/>
          <w:szCs w:val="24"/>
          <w:highlight w:val="none"/>
        </w:rPr>
      </w:pPr>
    </w:p>
    <w:p w14:paraId="5D66CCAB">
      <w:pPr>
        <w:pStyle w:val="6"/>
        <w:spacing w:line="257" w:lineRule="auto"/>
        <w:jc w:val="right"/>
        <w:rPr>
          <w:rFonts w:hint="eastAsia" w:ascii="宋体" w:hAnsi="宋体" w:eastAsia="宋体" w:cs="宋体"/>
          <w:color w:val="auto"/>
          <w:sz w:val="24"/>
          <w:szCs w:val="24"/>
          <w:highlight w:val="none"/>
        </w:rPr>
      </w:pPr>
    </w:p>
    <w:p w14:paraId="774C3229">
      <w:pPr>
        <w:pStyle w:val="6"/>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74D04C94">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00FF6588">
      <w:pP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06698B75">
      <w:pP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193BA85D">
      <w:pP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w:t>
      </w:r>
      <w:r>
        <w:rPr>
          <w:rFonts w:hint="eastAsia" w:ascii="宋体" w:hAnsi="宋体" w:eastAsia="宋体" w:cs="宋体"/>
          <w:color w:val="auto"/>
          <w:spacing w:val="8"/>
          <w:sz w:val="24"/>
          <w:szCs w:val="24"/>
          <w:highlight w:val="none"/>
        </w:rPr>
        <w:t>，其中必须有</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z w:val="24"/>
          <w:szCs w:val="24"/>
          <w:highlight w:val="none"/>
          <w:lang w:eastAsia="zh-CN"/>
        </w:rPr>
        <w:t>20</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pacing w:val="8"/>
          <w:sz w:val="24"/>
          <w:szCs w:val="24"/>
          <w:highlight w:val="none"/>
        </w:rPr>
        <w:t>年</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00EC7063">
      <w:pP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7A6F11C1">
      <w:pPr>
        <w:spacing w:line="228" w:lineRule="auto"/>
        <w:rPr>
          <w:rFonts w:hint="eastAsia" w:ascii="宋体" w:hAnsi="宋体" w:eastAsia="宋体" w:cs="宋体"/>
          <w:color w:val="auto"/>
          <w:sz w:val="20"/>
          <w:szCs w:val="20"/>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30E6C25C">
      <w:pPr>
        <w:spacing w:before="78" w:line="220" w:lineRule="auto"/>
        <w:outlineLvl w:val="2"/>
        <w:rPr>
          <w:rFonts w:hint="eastAsia" w:ascii="宋体" w:hAnsi="宋体" w:eastAsia="宋体" w:cs="宋体"/>
          <w:b/>
          <w:bCs/>
          <w:color w:val="auto"/>
          <w:spacing w:val="-4"/>
          <w:sz w:val="24"/>
          <w:szCs w:val="24"/>
          <w:highlight w:val="none"/>
        </w:rPr>
      </w:pPr>
      <w:bookmarkStart w:id="259" w:name="_Toc25235"/>
      <w:r>
        <w:rPr>
          <w:rFonts w:hint="eastAsia" w:ascii="宋体" w:hAnsi="宋体" w:eastAsia="宋体" w:cs="宋体"/>
          <w:b/>
          <w:bCs/>
          <w:color w:val="auto"/>
          <w:spacing w:val="-4"/>
          <w:sz w:val="24"/>
          <w:szCs w:val="24"/>
          <w:highlight w:val="none"/>
        </w:rPr>
        <w:t>格式十一 项目管理机构组成表</w:t>
      </w:r>
      <w:bookmarkEnd w:id="259"/>
    </w:p>
    <w:p w14:paraId="2EC5C59E">
      <w:pPr>
        <w:pStyle w:val="6"/>
        <w:spacing w:line="351" w:lineRule="auto"/>
        <w:rPr>
          <w:rFonts w:hint="eastAsia" w:ascii="宋体" w:hAnsi="宋体" w:eastAsia="宋体" w:cs="宋体"/>
          <w:color w:val="auto"/>
          <w:highlight w:val="none"/>
        </w:rPr>
      </w:pPr>
    </w:p>
    <w:p w14:paraId="0156357D">
      <w:pPr>
        <w:pStyle w:val="6"/>
        <w:spacing w:line="351" w:lineRule="auto"/>
        <w:rPr>
          <w:rFonts w:hint="eastAsia" w:ascii="宋体" w:hAnsi="宋体" w:eastAsia="宋体" w:cs="宋体"/>
          <w:color w:val="auto"/>
          <w:highlight w:val="none"/>
        </w:rPr>
      </w:pPr>
    </w:p>
    <w:p w14:paraId="7B0876F5">
      <w:pPr>
        <w:spacing w:before="97" w:line="219" w:lineRule="auto"/>
        <w:ind w:left="3200"/>
        <w:outlineLvl w:val="9"/>
        <w:rPr>
          <w:rFonts w:hint="eastAsia" w:ascii="宋体" w:hAnsi="宋体" w:eastAsia="宋体" w:cs="宋体"/>
          <w:color w:val="auto"/>
          <w:sz w:val="30"/>
          <w:szCs w:val="30"/>
          <w:highlight w:val="none"/>
        </w:rPr>
      </w:pPr>
      <w:bookmarkStart w:id="260" w:name="bookmark158"/>
      <w:bookmarkEnd w:id="260"/>
      <w:bookmarkStart w:id="261" w:name="_Toc19973"/>
      <w:bookmarkStart w:id="262" w:name="_Toc28765"/>
      <w:r>
        <w:rPr>
          <w:rFonts w:hint="eastAsia" w:ascii="宋体" w:hAnsi="宋体" w:eastAsia="宋体" w:cs="宋体"/>
          <w:b/>
          <w:bCs/>
          <w:color w:val="auto"/>
          <w:spacing w:val="-4"/>
          <w:sz w:val="30"/>
          <w:szCs w:val="30"/>
          <w:highlight w:val="none"/>
        </w:rPr>
        <w:t>项目管理机构组成表</w:t>
      </w:r>
      <w:bookmarkEnd w:id="261"/>
      <w:bookmarkEnd w:id="262"/>
    </w:p>
    <w:p w14:paraId="639C8DF8">
      <w:pPr>
        <w:spacing w:before="7"/>
        <w:rPr>
          <w:rFonts w:hint="eastAsia" w:ascii="宋体" w:hAnsi="宋体" w:eastAsia="宋体" w:cs="宋体"/>
          <w:color w:val="auto"/>
          <w:highlight w:val="none"/>
        </w:rPr>
      </w:pPr>
    </w:p>
    <w:tbl>
      <w:tblPr>
        <w:tblStyle w:val="15"/>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73D8C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583861F6">
            <w:pP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2BF4C40B">
            <w:pP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587B57EE">
            <w:pP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77114614">
            <w:pP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780575A7">
            <w:pP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53F5271E">
            <w:pP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1D55D65">
            <w:pP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3CBB8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B6E77B8">
            <w:pP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3CFEC27">
            <w:pP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6337F935">
            <w:pPr>
              <w:pStyle w:val="22"/>
              <w:rPr>
                <w:rFonts w:hint="eastAsia" w:ascii="宋体" w:hAnsi="宋体" w:eastAsia="宋体" w:cs="宋体"/>
                <w:color w:val="auto"/>
                <w:sz w:val="24"/>
                <w:szCs w:val="24"/>
                <w:highlight w:val="none"/>
              </w:rPr>
            </w:pPr>
          </w:p>
        </w:tc>
        <w:tc>
          <w:tcPr>
            <w:tcW w:w="1017" w:type="dxa"/>
            <w:vAlign w:val="top"/>
          </w:tcPr>
          <w:p w14:paraId="215B5DE9">
            <w:pPr>
              <w:pStyle w:val="22"/>
              <w:rPr>
                <w:rFonts w:hint="eastAsia" w:ascii="宋体" w:hAnsi="宋体" w:eastAsia="宋体" w:cs="宋体"/>
                <w:color w:val="auto"/>
                <w:sz w:val="24"/>
                <w:szCs w:val="24"/>
                <w:highlight w:val="none"/>
              </w:rPr>
            </w:pPr>
          </w:p>
        </w:tc>
        <w:tc>
          <w:tcPr>
            <w:tcW w:w="1002" w:type="dxa"/>
            <w:vAlign w:val="top"/>
          </w:tcPr>
          <w:p w14:paraId="386DD35A">
            <w:pPr>
              <w:pStyle w:val="22"/>
              <w:rPr>
                <w:rFonts w:hint="eastAsia" w:ascii="宋体" w:hAnsi="宋体" w:eastAsia="宋体" w:cs="宋体"/>
                <w:color w:val="auto"/>
                <w:sz w:val="24"/>
                <w:szCs w:val="24"/>
                <w:highlight w:val="none"/>
              </w:rPr>
            </w:pPr>
          </w:p>
        </w:tc>
        <w:tc>
          <w:tcPr>
            <w:tcW w:w="1551" w:type="dxa"/>
            <w:vAlign w:val="top"/>
          </w:tcPr>
          <w:p w14:paraId="4C5E1A1C">
            <w:pPr>
              <w:pStyle w:val="22"/>
              <w:rPr>
                <w:rFonts w:hint="eastAsia" w:ascii="宋体" w:hAnsi="宋体" w:eastAsia="宋体" w:cs="宋体"/>
                <w:color w:val="auto"/>
                <w:sz w:val="24"/>
                <w:szCs w:val="24"/>
                <w:highlight w:val="none"/>
              </w:rPr>
            </w:pPr>
          </w:p>
        </w:tc>
        <w:tc>
          <w:tcPr>
            <w:tcW w:w="1926" w:type="dxa"/>
            <w:vAlign w:val="top"/>
          </w:tcPr>
          <w:p w14:paraId="16BC8A53">
            <w:pPr>
              <w:pStyle w:val="22"/>
              <w:rPr>
                <w:rFonts w:hint="eastAsia" w:ascii="宋体" w:hAnsi="宋体" w:eastAsia="宋体" w:cs="宋体"/>
                <w:color w:val="auto"/>
                <w:sz w:val="24"/>
                <w:szCs w:val="24"/>
                <w:highlight w:val="none"/>
              </w:rPr>
            </w:pPr>
          </w:p>
        </w:tc>
      </w:tr>
      <w:tr w14:paraId="3A605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3820C0AB">
            <w:pPr>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3D7EFEAE">
            <w:pP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3E2C0AAF">
            <w:pPr>
              <w:pStyle w:val="22"/>
              <w:rPr>
                <w:rFonts w:hint="eastAsia" w:ascii="宋体" w:hAnsi="宋体" w:eastAsia="宋体" w:cs="宋体"/>
                <w:color w:val="auto"/>
                <w:sz w:val="24"/>
                <w:szCs w:val="24"/>
                <w:highlight w:val="none"/>
              </w:rPr>
            </w:pPr>
          </w:p>
        </w:tc>
        <w:tc>
          <w:tcPr>
            <w:tcW w:w="1017" w:type="dxa"/>
            <w:vAlign w:val="top"/>
          </w:tcPr>
          <w:p w14:paraId="1E67812B">
            <w:pPr>
              <w:pStyle w:val="22"/>
              <w:rPr>
                <w:rFonts w:hint="eastAsia" w:ascii="宋体" w:hAnsi="宋体" w:eastAsia="宋体" w:cs="宋体"/>
                <w:color w:val="auto"/>
                <w:sz w:val="24"/>
                <w:szCs w:val="24"/>
                <w:highlight w:val="none"/>
              </w:rPr>
            </w:pPr>
          </w:p>
        </w:tc>
        <w:tc>
          <w:tcPr>
            <w:tcW w:w="1002" w:type="dxa"/>
            <w:vAlign w:val="top"/>
          </w:tcPr>
          <w:p w14:paraId="26A91E61">
            <w:pPr>
              <w:pStyle w:val="22"/>
              <w:rPr>
                <w:rFonts w:hint="eastAsia" w:ascii="宋体" w:hAnsi="宋体" w:eastAsia="宋体" w:cs="宋体"/>
                <w:color w:val="auto"/>
                <w:sz w:val="24"/>
                <w:szCs w:val="24"/>
                <w:highlight w:val="none"/>
              </w:rPr>
            </w:pPr>
          </w:p>
        </w:tc>
        <w:tc>
          <w:tcPr>
            <w:tcW w:w="1551" w:type="dxa"/>
            <w:vAlign w:val="top"/>
          </w:tcPr>
          <w:p w14:paraId="6BEE9151">
            <w:pPr>
              <w:pStyle w:val="22"/>
              <w:rPr>
                <w:rFonts w:hint="eastAsia" w:ascii="宋体" w:hAnsi="宋体" w:eastAsia="宋体" w:cs="宋体"/>
                <w:color w:val="auto"/>
                <w:sz w:val="24"/>
                <w:szCs w:val="24"/>
                <w:highlight w:val="none"/>
              </w:rPr>
            </w:pPr>
          </w:p>
        </w:tc>
        <w:tc>
          <w:tcPr>
            <w:tcW w:w="1926" w:type="dxa"/>
            <w:vAlign w:val="top"/>
          </w:tcPr>
          <w:p w14:paraId="5EE9AF99">
            <w:pPr>
              <w:pStyle w:val="22"/>
              <w:rPr>
                <w:rFonts w:hint="eastAsia" w:ascii="宋体" w:hAnsi="宋体" w:eastAsia="宋体" w:cs="宋体"/>
                <w:color w:val="auto"/>
                <w:sz w:val="24"/>
                <w:szCs w:val="24"/>
                <w:highlight w:val="none"/>
              </w:rPr>
            </w:pPr>
          </w:p>
        </w:tc>
      </w:tr>
      <w:tr w14:paraId="7376C3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5F91FDBD">
            <w:pP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2D2019FB">
            <w:pP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54F777D2">
            <w:pPr>
              <w:pStyle w:val="22"/>
              <w:rPr>
                <w:rFonts w:hint="eastAsia" w:ascii="宋体" w:hAnsi="宋体" w:eastAsia="宋体" w:cs="宋体"/>
                <w:color w:val="auto"/>
                <w:sz w:val="24"/>
                <w:szCs w:val="24"/>
                <w:highlight w:val="none"/>
              </w:rPr>
            </w:pPr>
          </w:p>
        </w:tc>
        <w:tc>
          <w:tcPr>
            <w:tcW w:w="1017" w:type="dxa"/>
            <w:vAlign w:val="top"/>
          </w:tcPr>
          <w:p w14:paraId="1030E0E6">
            <w:pPr>
              <w:pStyle w:val="22"/>
              <w:rPr>
                <w:rFonts w:hint="eastAsia" w:ascii="宋体" w:hAnsi="宋体" w:eastAsia="宋体" w:cs="宋体"/>
                <w:color w:val="auto"/>
                <w:sz w:val="24"/>
                <w:szCs w:val="24"/>
                <w:highlight w:val="none"/>
              </w:rPr>
            </w:pPr>
          </w:p>
        </w:tc>
        <w:tc>
          <w:tcPr>
            <w:tcW w:w="1002" w:type="dxa"/>
            <w:vAlign w:val="top"/>
          </w:tcPr>
          <w:p w14:paraId="3463FE6D">
            <w:pPr>
              <w:pStyle w:val="22"/>
              <w:rPr>
                <w:rFonts w:hint="eastAsia" w:ascii="宋体" w:hAnsi="宋体" w:eastAsia="宋体" w:cs="宋体"/>
                <w:color w:val="auto"/>
                <w:sz w:val="24"/>
                <w:szCs w:val="24"/>
                <w:highlight w:val="none"/>
              </w:rPr>
            </w:pPr>
          </w:p>
        </w:tc>
        <w:tc>
          <w:tcPr>
            <w:tcW w:w="1551" w:type="dxa"/>
            <w:vAlign w:val="top"/>
          </w:tcPr>
          <w:p w14:paraId="521B8CC1">
            <w:pPr>
              <w:pStyle w:val="22"/>
              <w:rPr>
                <w:rFonts w:hint="eastAsia" w:ascii="宋体" w:hAnsi="宋体" w:eastAsia="宋体" w:cs="宋体"/>
                <w:color w:val="auto"/>
                <w:sz w:val="24"/>
                <w:szCs w:val="24"/>
                <w:highlight w:val="none"/>
              </w:rPr>
            </w:pPr>
          </w:p>
        </w:tc>
        <w:tc>
          <w:tcPr>
            <w:tcW w:w="1926" w:type="dxa"/>
            <w:vAlign w:val="top"/>
          </w:tcPr>
          <w:p w14:paraId="2FCE3AF2">
            <w:pPr>
              <w:pStyle w:val="22"/>
              <w:rPr>
                <w:rFonts w:hint="eastAsia" w:ascii="宋体" w:hAnsi="宋体" w:eastAsia="宋体" w:cs="宋体"/>
                <w:color w:val="auto"/>
                <w:sz w:val="24"/>
                <w:szCs w:val="24"/>
                <w:highlight w:val="none"/>
              </w:rPr>
            </w:pPr>
          </w:p>
        </w:tc>
      </w:tr>
      <w:tr w14:paraId="415847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44F56C77">
            <w:pP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325320BA">
            <w:pP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5002FEB2">
            <w:pPr>
              <w:pStyle w:val="22"/>
              <w:rPr>
                <w:rFonts w:hint="eastAsia" w:ascii="宋体" w:hAnsi="宋体" w:eastAsia="宋体" w:cs="宋体"/>
                <w:color w:val="auto"/>
                <w:sz w:val="24"/>
                <w:szCs w:val="24"/>
                <w:highlight w:val="none"/>
              </w:rPr>
            </w:pPr>
          </w:p>
        </w:tc>
        <w:tc>
          <w:tcPr>
            <w:tcW w:w="1017" w:type="dxa"/>
            <w:vAlign w:val="top"/>
          </w:tcPr>
          <w:p w14:paraId="4508121F">
            <w:pPr>
              <w:pStyle w:val="22"/>
              <w:rPr>
                <w:rFonts w:hint="eastAsia" w:ascii="宋体" w:hAnsi="宋体" w:eastAsia="宋体" w:cs="宋体"/>
                <w:color w:val="auto"/>
                <w:sz w:val="24"/>
                <w:szCs w:val="24"/>
                <w:highlight w:val="none"/>
              </w:rPr>
            </w:pPr>
          </w:p>
        </w:tc>
        <w:tc>
          <w:tcPr>
            <w:tcW w:w="1002" w:type="dxa"/>
            <w:vAlign w:val="top"/>
          </w:tcPr>
          <w:p w14:paraId="2DC0E2D3">
            <w:pPr>
              <w:pStyle w:val="22"/>
              <w:rPr>
                <w:rFonts w:hint="eastAsia" w:ascii="宋体" w:hAnsi="宋体" w:eastAsia="宋体" w:cs="宋体"/>
                <w:color w:val="auto"/>
                <w:sz w:val="24"/>
                <w:szCs w:val="24"/>
                <w:highlight w:val="none"/>
              </w:rPr>
            </w:pPr>
          </w:p>
        </w:tc>
        <w:tc>
          <w:tcPr>
            <w:tcW w:w="1551" w:type="dxa"/>
            <w:vAlign w:val="top"/>
          </w:tcPr>
          <w:p w14:paraId="2D99A1F3">
            <w:pPr>
              <w:pStyle w:val="22"/>
              <w:rPr>
                <w:rFonts w:hint="eastAsia" w:ascii="宋体" w:hAnsi="宋体" w:eastAsia="宋体" w:cs="宋体"/>
                <w:color w:val="auto"/>
                <w:sz w:val="24"/>
                <w:szCs w:val="24"/>
                <w:highlight w:val="none"/>
              </w:rPr>
            </w:pPr>
          </w:p>
        </w:tc>
        <w:tc>
          <w:tcPr>
            <w:tcW w:w="1926" w:type="dxa"/>
            <w:vAlign w:val="top"/>
          </w:tcPr>
          <w:p w14:paraId="71DCF47A">
            <w:pPr>
              <w:pStyle w:val="22"/>
              <w:rPr>
                <w:rFonts w:hint="eastAsia" w:ascii="宋体" w:hAnsi="宋体" w:eastAsia="宋体" w:cs="宋体"/>
                <w:color w:val="auto"/>
                <w:sz w:val="24"/>
                <w:szCs w:val="24"/>
                <w:highlight w:val="none"/>
              </w:rPr>
            </w:pPr>
          </w:p>
        </w:tc>
      </w:tr>
      <w:tr w14:paraId="0D539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257C7341">
            <w:pP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2D145259">
            <w:pP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C414A00">
            <w:pPr>
              <w:pStyle w:val="22"/>
              <w:rPr>
                <w:rFonts w:hint="eastAsia" w:ascii="宋体" w:hAnsi="宋体" w:eastAsia="宋体" w:cs="宋体"/>
                <w:color w:val="auto"/>
                <w:sz w:val="24"/>
                <w:szCs w:val="24"/>
                <w:highlight w:val="none"/>
              </w:rPr>
            </w:pPr>
          </w:p>
        </w:tc>
        <w:tc>
          <w:tcPr>
            <w:tcW w:w="1017" w:type="dxa"/>
            <w:vAlign w:val="top"/>
          </w:tcPr>
          <w:p w14:paraId="0A047E98">
            <w:pPr>
              <w:pStyle w:val="22"/>
              <w:rPr>
                <w:rFonts w:hint="eastAsia" w:ascii="宋体" w:hAnsi="宋体" w:eastAsia="宋体" w:cs="宋体"/>
                <w:color w:val="auto"/>
                <w:sz w:val="24"/>
                <w:szCs w:val="24"/>
                <w:highlight w:val="none"/>
              </w:rPr>
            </w:pPr>
          </w:p>
        </w:tc>
        <w:tc>
          <w:tcPr>
            <w:tcW w:w="1002" w:type="dxa"/>
            <w:vAlign w:val="top"/>
          </w:tcPr>
          <w:p w14:paraId="01946ADC">
            <w:pPr>
              <w:pStyle w:val="22"/>
              <w:rPr>
                <w:rFonts w:hint="eastAsia" w:ascii="宋体" w:hAnsi="宋体" w:eastAsia="宋体" w:cs="宋体"/>
                <w:color w:val="auto"/>
                <w:sz w:val="24"/>
                <w:szCs w:val="24"/>
                <w:highlight w:val="none"/>
              </w:rPr>
            </w:pPr>
          </w:p>
        </w:tc>
        <w:tc>
          <w:tcPr>
            <w:tcW w:w="1551" w:type="dxa"/>
            <w:vAlign w:val="top"/>
          </w:tcPr>
          <w:p w14:paraId="10FAFF09">
            <w:pPr>
              <w:pStyle w:val="22"/>
              <w:rPr>
                <w:rFonts w:hint="eastAsia" w:ascii="宋体" w:hAnsi="宋体" w:eastAsia="宋体" w:cs="宋体"/>
                <w:color w:val="auto"/>
                <w:sz w:val="24"/>
                <w:szCs w:val="24"/>
                <w:highlight w:val="none"/>
              </w:rPr>
            </w:pPr>
          </w:p>
        </w:tc>
        <w:tc>
          <w:tcPr>
            <w:tcW w:w="1926" w:type="dxa"/>
            <w:vAlign w:val="top"/>
          </w:tcPr>
          <w:p w14:paraId="2CAFD4ED">
            <w:pPr>
              <w:pStyle w:val="22"/>
              <w:rPr>
                <w:rFonts w:hint="eastAsia" w:ascii="宋体" w:hAnsi="宋体" w:eastAsia="宋体" w:cs="宋体"/>
                <w:color w:val="auto"/>
                <w:sz w:val="24"/>
                <w:szCs w:val="24"/>
                <w:highlight w:val="none"/>
              </w:rPr>
            </w:pPr>
          </w:p>
        </w:tc>
      </w:tr>
      <w:tr w14:paraId="0B0E1C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0C985D6">
            <w:pP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2B0AD8AD">
            <w:pP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30FD5B99">
            <w:pPr>
              <w:pStyle w:val="22"/>
              <w:rPr>
                <w:rFonts w:hint="eastAsia" w:ascii="宋体" w:hAnsi="宋体" w:eastAsia="宋体" w:cs="宋体"/>
                <w:color w:val="auto"/>
                <w:sz w:val="24"/>
                <w:szCs w:val="24"/>
                <w:highlight w:val="none"/>
              </w:rPr>
            </w:pPr>
          </w:p>
        </w:tc>
        <w:tc>
          <w:tcPr>
            <w:tcW w:w="1017" w:type="dxa"/>
            <w:vAlign w:val="top"/>
          </w:tcPr>
          <w:p w14:paraId="24920843">
            <w:pPr>
              <w:pStyle w:val="22"/>
              <w:rPr>
                <w:rFonts w:hint="eastAsia" w:ascii="宋体" w:hAnsi="宋体" w:eastAsia="宋体" w:cs="宋体"/>
                <w:color w:val="auto"/>
                <w:sz w:val="24"/>
                <w:szCs w:val="24"/>
                <w:highlight w:val="none"/>
              </w:rPr>
            </w:pPr>
          </w:p>
        </w:tc>
        <w:tc>
          <w:tcPr>
            <w:tcW w:w="1002" w:type="dxa"/>
            <w:vAlign w:val="top"/>
          </w:tcPr>
          <w:p w14:paraId="596EC4C2">
            <w:pPr>
              <w:pStyle w:val="22"/>
              <w:rPr>
                <w:rFonts w:hint="eastAsia" w:ascii="宋体" w:hAnsi="宋体" w:eastAsia="宋体" w:cs="宋体"/>
                <w:color w:val="auto"/>
                <w:sz w:val="24"/>
                <w:szCs w:val="24"/>
                <w:highlight w:val="none"/>
              </w:rPr>
            </w:pPr>
          </w:p>
        </w:tc>
        <w:tc>
          <w:tcPr>
            <w:tcW w:w="1551" w:type="dxa"/>
            <w:vAlign w:val="top"/>
          </w:tcPr>
          <w:p w14:paraId="14255466">
            <w:pPr>
              <w:pStyle w:val="22"/>
              <w:rPr>
                <w:rFonts w:hint="eastAsia" w:ascii="宋体" w:hAnsi="宋体" w:eastAsia="宋体" w:cs="宋体"/>
                <w:color w:val="auto"/>
                <w:sz w:val="24"/>
                <w:szCs w:val="24"/>
                <w:highlight w:val="none"/>
              </w:rPr>
            </w:pPr>
          </w:p>
        </w:tc>
        <w:tc>
          <w:tcPr>
            <w:tcW w:w="1926" w:type="dxa"/>
            <w:vAlign w:val="top"/>
          </w:tcPr>
          <w:p w14:paraId="39BF5C26">
            <w:pPr>
              <w:pStyle w:val="22"/>
              <w:rPr>
                <w:rFonts w:hint="eastAsia" w:ascii="宋体" w:hAnsi="宋体" w:eastAsia="宋体" w:cs="宋体"/>
                <w:color w:val="auto"/>
                <w:sz w:val="24"/>
                <w:szCs w:val="24"/>
                <w:highlight w:val="none"/>
              </w:rPr>
            </w:pPr>
          </w:p>
        </w:tc>
      </w:tr>
      <w:tr w14:paraId="3AB329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261E16D5">
            <w:pP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5ABFE278">
            <w:pP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221D5657">
            <w:pPr>
              <w:pStyle w:val="22"/>
              <w:rPr>
                <w:rFonts w:hint="eastAsia" w:ascii="宋体" w:hAnsi="宋体" w:eastAsia="宋体" w:cs="宋体"/>
                <w:color w:val="auto"/>
                <w:sz w:val="24"/>
                <w:szCs w:val="24"/>
                <w:highlight w:val="none"/>
              </w:rPr>
            </w:pPr>
          </w:p>
        </w:tc>
        <w:tc>
          <w:tcPr>
            <w:tcW w:w="1017" w:type="dxa"/>
            <w:vAlign w:val="top"/>
          </w:tcPr>
          <w:p w14:paraId="731B0BB4">
            <w:pPr>
              <w:pStyle w:val="22"/>
              <w:rPr>
                <w:rFonts w:hint="eastAsia" w:ascii="宋体" w:hAnsi="宋体" w:eastAsia="宋体" w:cs="宋体"/>
                <w:color w:val="auto"/>
                <w:sz w:val="24"/>
                <w:szCs w:val="24"/>
                <w:highlight w:val="none"/>
              </w:rPr>
            </w:pPr>
          </w:p>
        </w:tc>
        <w:tc>
          <w:tcPr>
            <w:tcW w:w="1002" w:type="dxa"/>
            <w:vAlign w:val="top"/>
          </w:tcPr>
          <w:p w14:paraId="1CB4F26F">
            <w:pPr>
              <w:pStyle w:val="22"/>
              <w:rPr>
                <w:rFonts w:hint="eastAsia" w:ascii="宋体" w:hAnsi="宋体" w:eastAsia="宋体" w:cs="宋体"/>
                <w:color w:val="auto"/>
                <w:sz w:val="24"/>
                <w:szCs w:val="24"/>
                <w:highlight w:val="none"/>
              </w:rPr>
            </w:pPr>
          </w:p>
        </w:tc>
        <w:tc>
          <w:tcPr>
            <w:tcW w:w="1551" w:type="dxa"/>
            <w:vAlign w:val="top"/>
          </w:tcPr>
          <w:p w14:paraId="62B9287E">
            <w:pPr>
              <w:pStyle w:val="22"/>
              <w:rPr>
                <w:rFonts w:hint="eastAsia" w:ascii="宋体" w:hAnsi="宋体" w:eastAsia="宋体" w:cs="宋体"/>
                <w:color w:val="auto"/>
                <w:sz w:val="24"/>
                <w:szCs w:val="24"/>
                <w:highlight w:val="none"/>
              </w:rPr>
            </w:pPr>
          </w:p>
        </w:tc>
        <w:tc>
          <w:tcPr>
            <w:tcW w:w="1926" w:type="dxa"/>
            <w:vAlign w:val="top"/>
          </w:tcPr>
          <w:p w14:paraId="22A6499B">
            <w:pPr>
              <w:pStyle w:val="22"/>
              <w:rPr>
                <w:rFonts w:hint="eastAsia" w:ascii="宋体" w:hAnsi="宋体" w:eastAsia="宋体" w:cs="宋体"/>
                <w:color w:val="auto"/>
                <w:sz w:val="24"/>
                <w:szCs w:val="24"/>
                <w:highlight w:val="none"/>
              </w:rPr>
            </w:pPr>
          </w:p>
        </w:tc>
      </w:tr>
      <w:tr w14:paraId="4B6ADF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39" w:hRule="atLeast"/>
          <w:jc w:val="center"/>
        </w:trPr>
        <w:tc>
          <w:tcPr>
            <w:tcW w:w="634" w:type="dxa"/>
            <w:vAlign w:val="top"/>
          </w:tcPr>
          <w:p w14:paraId="1F9DE00F">
            <w:pP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75B37302">
            <w:pPr>
              <w:pStyle w:val="22"/>
              <w:rPr>
                <w:rFonts w:hint="eastAsia" w:ascii="宋体" w:hAnsi="宋体" w:eastAsia="宋体" w:cs="宋体"/>
                <w:color w:val="auto"/>
                <w:sz w:val="24"/>
                <w:szCs w:val="24"/>
                <w:highlight w:val="none"/>
              </w:rPr>
            </w:pPr>
          </w:p>
        </w:tc>
        <w:tc>
          <w:tcPr>
            <w:tcW w:w="1567" w:type="dxa"/>
            <w:vAlign w:val="top"/>
          </w:tcPr>
          <w:p w14:paraId="74287E00">
            <w:pPr>
              <w:pStyle w:val="22"/>
              <w:rPr>
                <w:rFonts w:hint="eastAsia" w:ascii="宋体" w:hAnsi="宋体" w:eastAsia="宋体" w:cs="宋体"/>
                <w:color w:val="auto"/>
                <w:sz w:val="24"/>
                <w:szCs w:val="24"/>
                <w:highlight w:val="none"/>
              </w:rPr>
            </w:pPr>
          </w:p>
        </w:tc>
        <w:tc>
          <w:tcPr>
            <w:tcW w:w="1017" w:type="dxa"/>
            <w:vAlign w:val="top"/>
          </w:tcPr>
          <w:p w14:paraId="5804450C">
            <w:pPr>
              <w:pStyle w:val="22"/>
              <w:rPr>
                <w:rFonts w:hint="eastAsia" w:ascii="宋体" w:hAnsi="宋体" w:eastAsia="宋体" w:cs="宋体"/>
                <w:color w:val="auto"/>
                <w:sz w:val="24"/>
                <w:szCs w:val="24"/>
                <w:highlight w:val="none"/>
              </w:rPr>
            </w:pPr>
          </w:p>
        </w:tc>
        <w:tc>
          <w:tcPr>
            <w:tcW w:w="1002" w:type="dxa"/>
            <w:vAlign w:val="top"/>
          </w:tcPr>
          <w:p w14:paraId="7C125147">
            <w:pPr>
              <w:pStyle w:val="22"/>
              <w:rPr>
                <w:rFonts w:hint="eastAsia" w:ascii="宋体" w:hAnsi="宋体" w:eastAsia="宋体" w:cs="宋体"/>
                <w:color w:val="auto"/>
                <w:sz w:val="24"/>
                <w:szCs w:val="24"/>
                <w:highlight w:val="none"/>
              </w:rPr>
            </w:pPr>
          </w:p>
        </w:tc>
        <w:tc>
          <w:tcPr>
            <w:tcW w:w="1551" w:type="dxa"/>
            <w:vAlign w:val="top"/>
          </w:tcPr>
          <w:p w14:paraId="4F54B0AF">
            <w:pPr>
              <w:pStyle w:val="22"/>
              <w:rPr>
                <w:rFonts w:hint="eastAsia" w:ascii="宋体" w:hAnsi="宋体" w:eastAsia="宋体" w:cs="宋体"/>
                <w:color w:val="auto"/>
                <w:sz w:val="24"/>
                <w:szCs w:val="24"/>
                <w:highlight w:val="none"/>
              </w:rPr>
            </w:pPr>
          </w:p>
        </w:tc>
        <w:tc>
          <w:tcPr>
            <w:tcW w:w="1926" w:type="dxa"/>
            <w:vAlign w:val="top"/>
          </w:tcPr>
          <w:p w14:paraId="4FFC9BC0">
            <w:pPr>
              <w:pStyle w:val="22"/>
              <w:rPr>
                <w:rFonts w:hint="eastAsia" w:ascii="宋体" w:hAnsi="宋体" w:eastAsia="宋体" w:cs="宋体"/>
                <w:color w:val="auto"/>
                <w:sz w:val="24"/>
                <w:szCs w:val="24"/>
                <w:highlight w:val="none"/>
              </w:rPr>
            </w:pPr>
          </w:p>
        </w:tc>
      </w:tr>
    </w:tbl>
    <w:p w14:paraId="7732D9E9">
      <w:pPr>
        <w:pStyle w:val="6"/>
        <w:spacing w:line="395" w:lineRule="auto"/>
        <w:rPr>
          <w:rFonts w:hint="eastAsia" w:ascii="宋体" w:hAnsi="宋体" w:eastAsia="宋体" w:cs="宋体"/>
          <w:color w:val="auto"/>
          <w:sz w:val="24"/>
          <w:szCs w:val="24"/>
          <w:highlight w:val="none"/>
        </w:rPr>
      </w:pPr>
    </w:p>
    <w:p w14:paraId="3B1E59B3">
      <w:pPr>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6AA20B55">
      <w:pPr>
        <w:spacing w:before="153" w:line="228"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4B601F95">
      <w:pPr>
        <w:spacing w:before="154" w:line="228" w:lineRule="auto"/>
        <w:ind w:left="448"/>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133F901E">
      <w:pPr>
        <w:spacing w:before="152" w:line="228" w:lineRule="auto"/>
        <w:ind w:left="42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3B3A6E0">
      <w:pPr>
        <w:spacing w:before="153" w:line="299" w:lineRule="auto"/>
        <w:ind w:left="11" w:right="89"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个月</w:t>
      </w:r>
      <w:r>
        <w:rPr>
          <w:rFonts w:hint="eastAsia" w:ascii="宋体" w:hAnsi="宋体" w:eastAsia="宋体" w:cs="宋体"/>
          <w:color w:val="auto"/>
          <w:spacing w:val="9"/>
          <w:sz w:val="24"/>
          <w:szCs w:val="24"/>
          <w:highlight w:val="none"/>
        </w:rPr>
        <w:t>，其中必</w:t>
      </w:r>
      <w:r>
        <w:rPr>
          <w:rFonts w:hint="eastAsia" w:ascii="宋体" w:hAnsi="宋体" w:eastAsia="宋体" w:cs="宋体"/>
          <w:color w:val="auto"/>
          <w:spacing w:val="8"/>
          <w:sz w:val="24"/>
          <w:szCs w:val="24"/>
          <w:highlight w:val="none"/>
        </w:rPr>
        <w:t>须有</w:t>
      </w:r>
      <w:r>
        <w:rPr>
          <w:rFonts w:hint="eastAsia" w:ascii="宋体" w:hAnsi="宋体" w:eastAsia="宋体" w:cs="宋体"/>
          <w:color w:val="auto"/>
          <w:spacing w:val="8"/>
          <w:sz w:val="24"/>
          <w:szCs w:val="24"/>
          <w:highlight w:val="none"/>
          <w:lang w:eastAsia="zh-CN"/>
        </w:rPr>
        <w:t>20</w:t>
      </w:r>
      <w:r>
        <w:rPr>
          <w:rFonts w:hint="eastAsia" w:ascii="宋体" w:hAnsi="宋体" w:eastAsia="宋体" w:cs="宋体"/>
          <w:color w:val="auto"/>
          <w:spacing w:val="8"/>
          <w:sz w:val="24"/>
          <w:szCs w:val="24"/>
          <w:highlight w:val="none"/>
          <w:lang w:val="en-US" w:eastAsia="zh-CN"/>
        </w:rPr>
        <w:t>26</w:t>
      </w:r>
      <w:r>
        <w:rPr>
          <w:rFonts w:hint="eastAsia" w:ascii="宋体" w:hAnsi="宋体" w:eastAsia="宋体" w:cs="宋体"/>
          <w:color w:val="auto"/>
          <w:spacing w:val="8"/>
          <w:sz w:val="24"/>
          <w:szCs w:val="24"/>
          <w:highlight w:val="none"/>
        </w:rPr>
        <w:t>年</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50403043">
      <w:pPr>
        <w:spacing w:before="152" w:line="228" w:lineRule="auto"/>
        <w:ind w:left="0" w:leftChars="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2829D625">
      <w:pPr>
        <w:spacing w:before="153" w:line="299" w:lineRule="auto"/>
        <w:ind w:left="16" w:right="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5069CF15">
      <w:pPr>
        <w:pStyle w:val="6"/>
        <w:spacing w:line="248" w:lineRule="auto"/>
        <w:rPr>
          <w:rFonts w:hint="eastAsia" w:ascii="宋体" w:hAnsi="宋体" w:eastAsia="宋体" w:cs="宋体"/>
          <w:color w:val="auto"/>
          <w:sz w:val="24"/>
          <w:szCs w:val="24"/>
          <w:highlight w:val="none"/>
        </w:rPr>
      </w:pPr>
    </w:p>
    <w:p w14:paraId="6BC18C6E">
      <w:pPr>
        <w:pStyle w:val="6"/>
        <w:spacing w:line="248" w:lineRule="auto"/>
        <w:rPr>
          <w:rFonts w:hint="eastAsia" w:ascii="宋体" w:hAnsi="宋体" w:eastAsia="宋体" w:cs="宋体"/>
          <w:color w:val="auto"/>
          <w:sz w:val="24"/>
          <w:szCs w:val="24"/>
          <w:highlight w:val="none"/>
        </w:rPr>
      </w:pPr>
    </w:p>
    <w:p w14:paraId="176F2752">
      <w:pPr>
        <w:pStyle w:val="6"/>
        <w:spacing w:line="248" w:lineRule="auto"/>
        <w:rPr>
          <w:rFonts w:hint="eastAsia" w:ascii="宋体" w:hAnsi="宋体" w:eastAsia="宋体" w:cs="宋体"/>
          <w:color w:val="auto"/>
          <w:highlight w:val="none"/>
        </w:rPr>
      </w:pPr>
    </w:p>
    <w:p w14:paraId="5D072C9A">
      <w:pPr>
        <w:pStyle w:val="6"/>
        <w:spacing w:line="248" w:lineRule="auto"/>
        <w:rPr>
          <w:rFonts w:hint="eastAsia" w:ascii="宋体" w:hAnsi="宋体" w:eastAsia="宋体" w:cs="宋体"/>
          <w:color w:val="auto"/>
          <w:highlight w:val="none"/>
        </w:rPr>
      </w:pPr>
    </w:p>
    <w:p w14:paraId="3AE49CA0">
      <w:pPr>
        <w:spacing w:before="79" w:line="220" w:lineRule="auto"/>
        <w:rPr>
          <w:rFonts w:hint="eastAsia" w:ascii="宋体" w:hAnsi="宋体" w:eastAsia="宋体" w:cs="宋体"/>
          <w:b/>
          <w:bCs/>
          <w:color w:val="auto"/>
          <w:spacing w:val="-2"/>
          <w:sz w:val="24"/>
          <w:szCs w:val="24"/>
          <w:highlight w:val="none"/>
        </w:rPr>
      </w:pPr>
    </w:p>
    <w:p w14:paraId="64B5E5D2">
      <w:pPr>
        <w:spacing w:before="78" w:line="220" w:lineRule="auto"/>
        <w:outlineLvl w:val="2"/>
        <w:rPr>
          <w:rFonts w:hint="eastAsia" w:ascii="宋体" w:hAnsi="宋体" w:eastAsia="宋体" w:cs="宋体"/>
          <w:b/>
          <w:bCs/>
          <w:color w:val="auto"/>
          <w:spacing w:val="-4"/>
          <w:sz w:val="24"/>
          <w:szCs w:val="24"/>
          <w:highlight w:val="none"/>
        </w:rPr>
      </w:pPr>
      <w:bookmarkStart w:id="263" w:name="_Toc16480"/>
      <w:r>
        <w:rPr>
          <w:rFonts w:hint="eastAsia" w:ascii="宋体" w:hAnsi="宋体" w:eastAsia="宋体" w:cs="宋体"/>
          <w:b/>
          <w:bCs/>
          <w:color w:val="auto"/>
          <w:spacing w:val="-4"/>
          <w:sz w:val="24"/>
          <w:szCs w:val="24"/>
          <w:highlight w:val="none"/>
        </w:rPr>
        <w:t>格式十二 建造师查询页（有效期+建造师签字）</w:t>
      </w:r>
      <w:bookmarkEnd w:id="263"/>
    </w:p>
    <w:p w14:paraId="450E46D9">
      <w:pPr>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5"/>
                    <a:stretch>
                      <a:fillRect/>
                    </a:stretch>
                  </pic:blipFill>
                  <pic:spPr>
                    <a:xfrm>
                      <a:off x="0" y="0"/>
                      <a:ext cx="6239510" cy="8013700"/>
                    </a:xfrm>
                    <a:prstGeom prst="rect">
                      <a:avLst/>
                    </a:prstGeom>
                    <a:noFill/>
                    <a:ln>
                      <a:noFill/>
                    </a:ln>
                  </pic:spPr>
                </pic:pic>
              </a:graphicData>
            </a:graphic>
          </wp:inline>
        </w:drawing>
      </w:r>
    </w:p>
    <w:p w14:paraId="1386CCA3">
      <w:pPr>
        <w:spacing w:line="220" w:lineRule="auto"/>
        <w:rPr>
          <w:rFonts w:hint="eastAsia" w:ascii="宋体" w:hAnsi="宋体" w:eastAsia="宋体" w:cs="宋体"/>
          <w:color w:val="auto"/>
          <w:sz w:val="24"/>
          <w:szCs w:val="24"/>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CEE8513">
      <w:pP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6"/>
                    <a:stretch>
                      <a:fillRect/>
                    </a:stretch>
                  </pic:blipFill>
                  <pic:spPr>
                    <a:xfrm>
                      <a:off x="0" y="0"/>
                      <a:ext cx="6285865" cy="6925310"/>
                    </a:xfrm>
                    <a:prstGeom prst="rect">
                      <a:avLst/>
                    </a:prstGeom>
                    <a:noFill/>
                    <a:ln>
                      <a:noFill/>
                    </a:ln>
                  </pic:spPr>
                </pic:pic>
              </a:graphicData>
            </a:graphic>
          </wp:inline>
        </w:drawing>
      </w:r>
    </w:p>
    <w:p w14:paraId="7813AADB">
      <w:pPr>
        <w:spacing w:line="10744" w:lineRule="exact"/>
        <w:rPr>
          <w:rFonts w:hint="eastAsia" w:ascii="宋体" w:hAnsi="宋体" w:eastAsia="宋体" w:cs="宋体"/>
          <w:color w:val="auto"/>
          <w:highlight w:val="none"/>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D36A69A">
      <w:pPr>
        <w:spacing w:before="78" w:line="220" w:lineRule="auto"/>
        <w:outlineLvl w:val="2"/>
        <w:rPr>
          <w:rFonts w:hint="eastAsia" w:ascii="宋体" w:hAnsi="宋体" w:eastAsia="宋体" w:cs="宋体"/>
          <w:b/>
          <w:bCs/>
          <w:color w:val="auto"/>
          <w:spacing w:val="-4"/>
          <w:sz w:val="24"/>
          <w:szCs w:val="24"/>
          <w:highlight w:val="none"/>
        </w:rPr>
      </w:pPr>
      <w:bookmarkStart w:id="264" w:name="_Toc28779"/>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264"/>
    </w:p>
    <w:p w14:paraId="233B3372">
      <w:pPr>
        <w:pStyle w:val="6"/>
        <w:spacing w:line="269" w:lineRule="auto"/>
        <w:rPr>
          <w:rFonts w:hint="eastAsia" w:ascii="宋体" w:hAnsi="宋体" w:eastAsia="宋体" w:cs="宋体"/>
          <w:color w:val="auto"/>
          <w:highlight w:val="none"/>
        </w:rPr>
      </w:pPr>
    </w:p>
    <w:p w14:paraId="73CEABAE">
      <w:pPr>
        <w:tabs>
          <w:tab w:val="left" w:pos="2940"/>
        </w:tabs>
        <w:spacing w:before="101" w:line="377" w:lineRule="auto"/>
        <w:ind w:left="3179" w:leftChars="0" w:right="41" w:hanging="3133" w:firstLineChars="0"/>
        <w:rPr>
          <w:rFonts w:hint="eastAsia" w:ascii="宋体" w:hAnsi="宋体" w:eastAsia="宋体" w:cs="宋体"/>
          <w:color w:val="auto"/>
          <w:sz w:val="31"/>
          <w:szCs w:val="31"/>
          <w:highlight w:val="none"/>
        </w:rPr>
      </w:pPr>
      <w:bookmarkStart w:id="265" w:name="bookmark160"/>
      <w:bookmarkEnd w:id="265"/>
      <w:bookmarkStart w:id="266" w:name="OLE_LINK41"/>
      <w:r>
        <w:rPr>
          <w:rFonts w:hint="eastAsia" w:ascii="宋体" w:hAnsi="宋体" w:eastAsia="宋体" w:cs="宋体"/>
          <w:b/>
          <w:bCs/>
          <w:color w:val="auto"/>
          <w:spacing w:val="7"/>
          <w:sz w:val="31"/>
          <w:szCs w:val="31"/>
          <w:highlight w:val="none"/>
        </w:rPr>
        <w:t>危险性较大的分部分项工程清单及超过一定规模的危险性较大的</w:t>
      </w:r>
      <w:r>
        <w:rPr>
          <w:rFonts w:hint="eastAsia" w:ascii="宋体" w:hAnsi="宋体" w:eastAsia="宋体" w:cs="宋体"/>
          <w:b/>
          <w:bCs/>
          <w:color w:val="auto"/>
          <w:spacing w:val="5"/>
          <w:sz w:val="31"/>
          <w:szCs w:val="31"/>
          <w:highlight w:val="none"/>
        </w:rPr>
        <w:t>分部分项工程清单</w:t>
      </w:r>
    </w:p>
    <w:bookmarkEnd w:id="266"/>
    <w:p w14:paraId="5733B35F">
      <w:pPr>
        <w:spacing w:before="6" w:line="326" w:lineRule="auto"/>
        <w:ind w:left="5"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明确相应的安全管理措施。</w:t>
      </w:r>
    </w:p>
    <w:p w14:paraId="1BA34EDA">
      <w:pPr>
        <w:spacing w:before="208" w:line="326" w:lineRule="auto"/>
        <w:ind w:left="1"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14:paraId="1F8B397A">
      <w:pPr>
        <w:spacing w:before="209" w:line="299" w:lineRule="auto"/>
        <w:ind w:left="3" w:right="72" w:firstLine="48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w:t>
      </w:r>
      <w:r>
        <w:rPr>
          <w:rFonts w:hint="eastAsia" w:ascii="宋体" w:hAnsi="宋体" w:eastAsia="宋体" w:cs="宋体"/>
          <w:color w:val="auto"/>
          <w:spacing w:val="-1"/>
          <w:sz w:val="24"/>
          <w:szCs w:val="24"/>
          <w:highlight w:val="none"/>
        </w:rPr>
        <w:t>投标文件中提供相应的安全管理措施。</w:t>
      </w:r>
    </w:p>
    <w:p w14:paraId="7869C183">
      <w:pPr>
        <w:spacing w:before="208" w:line="299" w:lineRule="auto"/>
        <w:ind w:left="2" w:right="72"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”标识，并与投标</w:t>
      </w:r>
      <w:r>
        <w:rPr>
          <w:rFonts w:hint="eastAsia" w:ascii="宋体" w:hAnsi="宋体" w:eastAsia="宋体" w:cs="宋体"/>
          <w:color w:val="auto"/>
          <w:spacing w:val="-1"/>
          <w:sz w:val="24"/>
          <w:szCs w:val="24"/>
          <w:highlight w:val="none"/>
        </w:rPr>
        <w:t>文件中提供相应的安全管理措施。</w:t>
      </w:r>
    </w:p>
    <w:p w14:paraId="5AF6072E">
      <w:pPr>
        <w:spacing w:before="210" w:line="300" w:lineRule="auto"/>
        <w:ind w:right="72" w:firstLine="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14:paraId="1CD3BDFD">
      <w:pPr>
        <w:spacing w:before="207" w:line="371" w:lineRule="auto"/>
        <w:ind w:firstLine="48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rPr>
        <w:t>3、投标单位应当在投标时根据招标人提供的下述第5点清单，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14:paraId="6A389843">
      <w:pPr>
        <w:spacing w:before="33" w:line="326" w:lineRule="auto"/>
        <w:ind w:left="1"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14:paraId="60957CC1">
      <w:pPr>
        <w:spacing w:before="208" w:line="301" w:lineRule="auto"/>
        <w:ind w:firstLine="484"/>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5、危险性较大的分部分项工程清单及超过一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p w14:paraId="59A3F64C">
      <w:pPr>
        <w:spacing w:before="40"/>
        <w:rPr>
          <w:rFonts w:hint="eastAsia" w:ascii="宋体" w:hAnsi="宋体" w:eastAsia="宋体" w:cs="宋体"/>
          <w:color w:val="auto"/>
          <w:highlight w:val="none"/>
        </w:rPr>
      </w:pPr>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078"/>
        <w:gridCol w:w="1353"/>
        <w:gridCol w:w="1353"/>
        <w:gridCol w:w="1057"/>
      </w:tblGrid>
      <w:tr w14:paraId="24A22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center"/>
          </w:tcPr>
          <w:p w14:paraId="52064E2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color w:val="auto"/>
                <w:highlight w:val="none"/>
                <w:lang w:val="en-US"/>
              </w:rPr>
            </w:pPr>
            <w:r>
              <w:rPr>
                <w:rFonts w:hint="eastAsia" w:ascii="宋体" w:hAnsi="宋体" w:eastAsia="宋体" w:cs="宋体"/>
                <w:b/>
                <w:bCs w:val="0"/>
                <w:color w:val="auto"/>
                <w:kern w:val="2"/>
                <w:sz w:val="24"/>
                <w:szCs w:val="24"/>
                <w:highlight w:val="none"/>
                <w:lang w:val="en-US" w:eastAsia="zh-CN" w:bidi="ar"/>
              </w:rPr>
              <w:t>一、危险性较大的分部分项工程清单</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CA0593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rPr>
            </w:pPr>
            <w:r>
              <w:rPr>
                <w:rFonts w:hint="eastAsia" w:ascii="宋体" w:hAnsi="宋体" w:eastAsia="宋体" w:cs="宋体"/>
                <w:color w:val="auto"/>
                <w:kern w:val="2"/>
                <w:sz w:val="24"/>
                <w:szCs w:val="24"/>
                <w:highlight w:val="none"/>
                <w:lang w:val="en-US" w:eastAsia="zh-CN" w:bidi="ar"/>
              </w:rPr>
              <w:t>建设单位</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14C33E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color w:val="auto"/>
                <w:highlight w:val="none"/>
                <w:lang w:val="en-US"/>
              </w:rPr>
            </w:pPr>
            <w:r>
              <w:rPr>
                <w:rFonts w:hint="eastAsia" w:ascii="宋体" w:hAnsi="宋体" w:eastAsia="宋体" w:cs="宋体"/>
                <w:b/>
                <w:bCs w:val="0"/>
                <w:color w:val="auto"/>
                <w:kern w:val="2"/>
                <w:sz w:val="24"/>
                <w:szCs w:val="24"/>
                <w:highlight w:val="none"/>
                <w:lang w:val="en-US" w:eastAsia="zh-CN" w:bidi="ar"/>
              </w:rPr>
              <w:t>投标单位</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9B85025">
            <w:pPr>
              <w:keepNext w:val="0"/>
              <w:keepLines w:val="0"/>
              <w:widowControl w:val="0"/>
              <w:suppressLineNumbers w:val="0"/>
              <w:spacing w:before="0" w:beforeAutospacing="0" w:after="0" w:afterAutospacing="0" w:line="360" w:lineRule="auto"/>
              <w:ind w:left="0" w:right="0" w:firstLine="240" w:firstLineChars="100"/>
              <w:jc w:val="both"/>
              <w:rPr>
                <w:rFonts w:hint="eastAsia" w:ascii="宋体" w:hAnsi="宋体" w:eastAsia="宋体" w:cs="宋体"/>
                <w:color w:val="auto"/>
                <w:highlight w:val="none"/>
              </w:rPr>
            </w:pPr>
            <w:r>
              <w:rPr>
                <w:rFonts w:hint="eastAsia" w:ascii="宋体" w:hAnsi="宋体" w:eastAsia="宋体" w:cs="宋体"/>
                <w:color w:val="auto"/>
                <w:kern w:val="2"/>
                <w:sz w:val="24"/>
                <w:szCs w:val="24"/>
                <w:highlight w:val="none"/>
                <w:lang w:val="en-US" w:eastAsia="zh-CN" w:bidi="ar"/>
              </w:rPr>
              <w:t>备注</w:t>
            </w:r>
          </w:p>
        </w:tc>
      </w:tr>
      <w:tr w14:paraId="2C6FF6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EF31349">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一、基坑支护</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096555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69213A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5CE1449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182BA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3CDA00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（一）开挖深度超过3m（含3m）的基坑（槽）的土方开挖、支护、降水工程。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D8559E1">
            <w:pPr>
              <w:keepNext w:val="0"/>
              <w:keepLines w:val="0"/>
              <w:widowControl w:val="0"/>
              <w:suppressLineNumbers w:val="0"/>
              <w:spacing w:before="0" w:beforeAutospacing="0" w:after="0" w:afterAutospacing="0" w:line="360" w:lineRule="auto"/>
              <w:ind w:left="0" w:right="0" w:firstLine="240" w:firstLineChars="100"/>
              <w:jc w:val="both"/>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w:t>
            </w:r>
            <w:r>
              <w:rPr>
                <w:rFonts w:hint="eastAsia" w:ascii="宋体" w:hAnsi="宋体" w:cs="宋体"/>
                <w:color w:val="auto"/>
                <w:kern w:val="2"/>
                <w:sz w:val="24"/>
                <w:szCs w:val="24"/>
                <w:highlight w:val="none"/>
                <w:lang w:val="en-US" w:eastAsia="zh-CN" w:bidi="ar"/>
              </w:rPr>
              <w:t xml:space="preserve">  √ </w:t>
            </w:r>
            <w:r>
              <w:rPr>
                <w:rFonts w:hint="eastAsia" w:ascii="宋体" w:hAnsi="宋体" w:eastAsia="宋体" w:cs="宋体"/>
                <w:color w:val="auto"/>
                <w:kern w:val="2"/>
                <w:sz w:val="24"/>
                <w:szCs w:val="24"/>
                <w:highlight w:val="none"/>
                <w:lang w:val="en-US" w:eastAsia="zh-CN" w:bidi="ar"/>
              </w:rPr>
              <w:t>)</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3B99E6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5811240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D671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A2CD7F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（二）开挖深度虽未超过3m，但地质条件、周围环境和地下管线复杂，或影响毗邻建、构筑物安全的基坑（槽）的土方开挖、支护、降水工程。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C9058C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044CCB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30516D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74AAC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D071E7D">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二、模板工程及支撑体系</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D7605F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0AF1A4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139E55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FE6A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540F8FD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（一）各类工具式模板工程：包括滑模、爬模、飞模、隧道模等工程。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D80C73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199B7E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42CA43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F568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93810F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混凝土模板支撑工程：搭设高度5m及以上，或搭设跨度10m及以上，或施工总荷载（荷载效应基本组合的设计值，以下简称设计值）10kN/m2及以上，或集中线荷载（设计值）15kN/m及以上，或高度大于支撑水平投影宽度且相对独立无联系构件的混凝土模板支撑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0102F4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88DCB2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050A98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3BE2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1BD1078">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（三）承重支撑体系：用于钢结构安装等满堂支撑体系。</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A169E5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CFFDFD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1404881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F81B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493709A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三、起重吊装及起重机械安装拆卸工程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60771B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B75E30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71CC0F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12578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8F35B6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（一）采用非常规起重设备、方法，且单件起吊重量在10kN及以上的起重吊装工程。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78A9E1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DF5B2D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04EB40F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3142C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6D2980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（二）采用起重机械进行安装的工程。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91DD57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F94659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DD935E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369618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07E028D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（三）起重机械安装和拆卸工程。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F8F1E4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454DF7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565F51C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81F1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64B920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四、脚手架工程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28177C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B70566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1107F32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17E4D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A7D49D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（一）搭设高度24m及以上的落地式钢管脚手架工程（包括采光井、电梯井脚手架）。</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432575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7ACD29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19199F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EA78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071C562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（二）附着式升降脚手架工程。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56D2EA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71FBFB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14DFB9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7C934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7C480C6">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（三）悬挑式脚手架工程。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7BDEEA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5CF3CF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87A4D2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40FEF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1931556">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（四）高处作业吊篮。</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305C47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3CB783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A767E6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504D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43FC8C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（五）卸料平台、操作平台工程。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339DB6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695BC0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136DCE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72EBC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8DB6A5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（六）异型脚手架工程。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C15A8C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FBEE47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2828E8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8856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502C9D7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五、拆除工程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E4B82F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F7EDD3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0B615F2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569A2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A8E4CC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可能影响行人、交通、电力设施、通讯设施或其他建、构筑物安全的拆除工程。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25C276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D74563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ED7C75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36745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37ED460">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六、暗挖工程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733DCE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769F67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154CF4C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E8E9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340CF7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采用矿山法、盾构法、顶管法施工的隧道、洞室工程。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09830C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964970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4BCD2E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A70D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D8FA98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七、其他</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BE8B96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58C4E2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B671EB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1C3F58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55933CC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（一）建筑幕墙安装工程。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A1D054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B513EA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80525C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CF92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CDD636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（二）钢结构、网架和索膜结构安装工程。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E902F9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3BD9F6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41060D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132F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EC45BD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（三）人工挖孔桩工程。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48F710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1E8C12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5B831DF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4CFCE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54DF3A3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（四）水下作业工程。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58D976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9F7E50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4EF11F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6BC8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13B6C2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（五）装配式建筑混凝土预制构件安装工程。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71883F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50BB9C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E8FEB4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C050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429FBF1">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（六）采用新技术、新工艺、新材料、新设备可能影响工程施工安全，尚无国家、行业及地方技术标准的分部分项工程。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07C95D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8029A8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5EECAAF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436E3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center"/>
          </w:tcPr>
          <w:p w14:paraId="1024276D">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color w:val="auto"/>
                <w:highlight w:val="none"/>
                <w:lang w:val="en-US"/>
              </w:rPr>
            </w:pPr>
            <w:r>
              <w:rPr>
                <w:rFonts w:hint="eastAsia" w:ascii="宋体" w:hAnsi="宋体" w:eastAsia="宋体" w:cs="宋体"/>
                <w:b/>
                <w:bCs/>
                <w:color w:val="auto"/>
                <w:kern w:val="2"/>
                <w:sz w:val="24"/>
                <w:szCs w:val="24"/>
                <w:highlight w:val="none"/>
                <w:lang w:val="en-US" w:eastAsia="zh-CN" w:bidi="ar"/>
              </w:rPr>
              <w:t>二、超过一定规模的危险性较大的分部分项工程清单</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0F564B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color w:val="auto"/>
                <w:highlight w:val="none"/>
                <w:lang w:val="en-US"/>
              </w:rPr>
            </w:pPr>
            <w:r>
              <w:rPr>
                <w:rFonts w:hint="eastAsia" w:ascii="宋体" w:hAnsi="宋体" w:eastAsia="宋体" w:cs="宋体"/>
                <w:color w:val="auto"/>
                <w:kern w:val="2"/>
                <w:sz w:val="24"/>
                <w:szCs w:val="24"/>
                <w:highlight w:val="none"/>
                <w:lang w:val="en-US" w:eastAsia="zh-CN" w:bidi="ar"/>
              </w:rPr>
              <w:t>建设单位</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A50B2AD">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color w:val="auto"/>
                <w:highlight w:val="none"/>
                <w:lang w:val="en-US"/>
              </w:rPr>
            </w:pPr>
            <w:r>
              <w:rPr>
                <w:rFonts w:hint="eastAsia" w:ascii="宋体" w:hAnsi="宋体" w:eastAsia="宋体" w:cs="宋体"/>
                <w:b/>
                <w:bCs w:val="0"/>
                <w:color w:val="auto"/>
                <w:kern w:val="2"/>
                <w:sz w:val="24"/>
                <w:szCs w:val="24"/>
                <w:highlight w:val="none"/>
                <w:lang w:val="en-US" w:eastAsia="zh-CN" w:bidi="ar"/>
              </w:rPr>
              <w:t>投标单位</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9CC200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color w:val="auto"/>
                <w:highlight w:val="none"/>
                <w:lang w:val="en-US"/>
              </w:rPr>
            </w:pPr>
            <w:r>
              <w:rPr>
                <w:rFonts w:hint="eastAsia" w:ascii="宋体" w:hAnsi="宋体" w:eastAsia="宋体" w:cs="宋体"/>
                <w:color w:val="auto"/>
                <w:kern w:val="2"/>
                <w:sz w:val="24"/>
                <w:szCs w:val="24"/>
                <w:highlight w:val="none"/>
                <w:lang w:val="en-US" w:eastAsia="zh-CN" w:bidi="ar"/>
              </w:rPr>
              <w:t>备注</w:t>
            </w:r>
          </w:p>
        </w:tc>
      </w:tr>
      <w:tr w14:paraId="51DD2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012A6E0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一、深基坑工程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7D8783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C019B0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CF2B37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E6CA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27257F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开挖深度超过5m（含5m）的基坑（槽）的土方开挖、支护、降水工程。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323B92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w:t>
            </w:r>
            <w:r>
              <w:rPr>
                <w:rFonts w:hint="eastAsia" w:ascii="宋体" w:hAnsi="宋体" w:cs="宋体"/>
                <w:color w:val="auto"/>
                <w:kern w:val="2"/>
                <w:sz w:val="24"/>
                <w:szCs w:val="24"/>
                <w:highlight w:val="none"/>
                <w:lang w:val="en-US" w:eastAsia="zh-CN" w:bidi="ar"/>
              </w:rPr>
              <w:t xml:space="preserve">  √ </w:t>
            </w:r>
            <w:r>
              <w:rPr>
                <w:rFonts w:hint="eastAsia" w:ascii="宋体" w:hAnsi="宋体" w:eastAsia="宋体" w:cs="宋体"/>
                <w:color w:val="auto"/>
                <w:kern w:val="2"/>
                <w:sz w:val="24"/>
                <w:szCs w:val="24"/>
                <w:highlight w:val="none"/>
                <w:lang w:val="en-US" w:eastAsia="zh-CN" w:bidi="ar"/>
              </w:rPr>
              <w:t>)</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1E4E2C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CC60A7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59F2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019CCA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二、模板工程及支撑体系</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10B7C5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1F3C23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09BD54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58E41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5BBE85D2">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（一）各类工具式模板工程：包括滑模、爬模、飞模、隧道模等工程。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4D5D1C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32AD2D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8BF00A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314C3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0AEF5224">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（二）混凝土模板支撑工程：搭设高度8m及以上，或搭设跨度18m及以上，或施工总荷载（设计值）15kN/m2及以上，或集中线荷载（设计值）20kN/m及以上。</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1D6246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F6F955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0C1E73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29DE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D614055">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（三）承重支撑体系：用于钢结构安装等满堂支撑体系，承受单点集中荷载7kN及以上。</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2A01EB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B25E89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0123000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5170C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1597B3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三、起重吊装及起重机械安装拆卸工程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C91CE5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A3E22E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71267F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BD14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3C5DFB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（一）采用非常规起重设备、方法，且单件起吊重量在100kN及以上的起重吊装工程。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A009B7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134508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1A4CEFA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94F2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0CAAE0F">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（二）起重量300kN及以上，或搭设总高度200m及以上，或搭设基础标高在200m及以上的起重机械安装和拆卸工程。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A727C5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2DD421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76BD93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DBF3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5289F0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四、脚手架工程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281E53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38C0CD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519F2E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661A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4FA31E71">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（一）搭设高度50m及以上的落地式钢管脚手架工程。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C7B51B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7CBB0D8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A8A51B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5D0A5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220E80E9">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（二）提升高度在150m及以上的附着式升降脚手架工程或附着式升降操作平台工程。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0ED336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7F0FAF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7DEE5E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42CC9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4EFA1A8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（三）分段架体搭设高度20m及以上的悬挑式脚手架工程。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63CECA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86AEC3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0B0412C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12B4B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4AACBE0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五、拆除工程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CAC399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4094B3E">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E5BF9B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32EC9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0F8FE36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（一）码头、桥梁、高架、烟囱、水塔或拆除中容易引起有毒有害气（液）体或粉尘扩散、易燃易爆事故发生的特殊建、构筑物的拆除工程。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6BED96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EF6E8B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406241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A65C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4BA8701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（二）文物保护建筑、优秀历史建筑或历史文化风貌区影响范围内的拆除工程。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78597E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D6C54A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204FBB8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0DF3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3" w:hRule="atLeast"/>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1A39E69">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六、暗挖工程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74E55E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DD9E6C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C4A7583">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482A8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0097A604">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采用矿山法、盾构法、顶管法施工的隧道、洞室工程。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CB6F39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C050BF8">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46C64A1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9471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8" w:hRule="atLeast"/>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0322D263">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七、其他</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2CA7C0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F693AD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767D9A0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99F4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1F20E64">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（一）施工高度50m及以上的建筑幕墙安装工程。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E651EA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8FF624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87A948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2E4EF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7229F0B7">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（二）跨度36m及以上的钢结构安装工程，或跨度60m及以上的网架和索膜结构安装工程。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D83554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19DCB5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62409F5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432A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0D12BFEC">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（三）开挖深度16m及以上的人工挖孔桩工程。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1756CE9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621B9772">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55C1309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67F86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1E3C5FBA">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（四）水下作业工程。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5076D45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23ABBCE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5E3ED7D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098520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31C7F3FE">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（五）重量1000kN及以上的大型结构整体顶升、平移、转体等施工工艺。</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40909875">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405D470">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059CBF7B">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r w14:paraId="71A55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078" w:type="dxa"/>
            <w:tcBorders>
              <w:top w:val="single" w:color="000000" w:sz="4" w:space="0"/>
              <w:left w:val="single" w:color="000000" w:sz="4" w:space="0"/>
              <w:bottom w:val="single" w:color="000000" w:sz="4" w:space="0"/>
              <w:right w:val="single" w:color="000000" w:sz="4" w:space="0"/>
            </w:tcBorders>
            <w:noWrap w:val="0"/>
            <w:vAlign w:val="top"/>
          </w:tcPr>
          <w:p w14:paraId="6179E25B">
            <w:pPr>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（六）采用新技术、新工艺、新材料、新设备可能影响工程施工安全，尚无国家、行业及地方技术标准的分部分项工程。</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0E5D7884">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353" w:type="dxa"/>
            <w:tcBorders>
              <w:top w:val="single" w:color="000000" w:sz="4" w:space="0"/>
              <w:left w:val="single" w:color="000000" w:sz="4" w:space="0"/>
              <w:bottom w:val="single" w:color="000000" w:sz="4" w:space="0"/>
              <w:right w:val="single" w:color="000000" w:sz="4" w:space="0"/>
            </w:tcBorders>
            <w:noWrap w:val="0"/>
            <w:vAlign w:val="center"/>
          </w:tcPr>
          <w:p w14:paraId="3DF8922A">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r>
              <w:rPr>
                <w:rFonts w:hint="eastAsia" w:ascii="宋体" w:hAnsi="宋体" w:eastAsia="宋体" w:cs="宋体"/>
                <w:color w:val="auto"/>
                <w:kern w:val="2"/>
                <w:sz w:val="24"/>
                <w:szCs w:val="24"/>
                <w:highlight w:val="none"/>
                <w:lang w:val="en-US" w:eastAsia="zh-CN" w:bidi="ar"/>
              </w:rPr>
              <w:t>(    )</w:t>
            </w:r>
          </w:p>
        </w:tc>
        <w:tc>
          <w:tcPr>
            <w:tcW w:w="1057" w:type="dxa"/>
            <w:tcBorders>
              <w:top w:val="single" w:color="000000" w:sz="4" w:space="0"/>
              <w:left w:val="single" w:color="000000" w:sz="4" w:space="0"/>
              <w:bottom w:val="single" w:color="000000" w:sz="4" w:space="0"/>
              <w:right w:val="single" w:color="000000" w:sz="4" w:space="0"/>
            </w:tcBorders>
            <w:noWrap w:val="0"/>
            <w:vAlign w:val="center"/>
          </w:tcPr>
          <w:p w14:paraId="3A544ABC">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auto"/>
                <w:highlight w:val="none"/>
                <w:lang w:val="en-US"/>
              </w:rPr>
            </w:pPr>
          </w:p>
        </w:tc>
      </w:tr>
    </w:tbl>
    <w:p w14:paraId="00A9CD31">
      <w:pPr>
        <w:pStyle w:val="6"/>
        <w:spacing w:line="288" w:lineRule="auto"/>
        <w:rPr>
          <w:rFonts w:hint="eastAsia" w:ascii="宋体" w:hAnsi="宋体" w:eastAsia="宋体" w:cs="宋体"/>
          <w:color w:val="auto"/>
          <w:highlight w:val="none"/>
        </w:rPr>
      </w:pPr>
    </w:p>
    <w:p w14:paraId="44E6AB1E">
      <w:pPr>
        <w:pStyle w:val="6"/>
        <w:spacing w:line="288" w:lineRule="auto"/>
        <w:rPr>
          <w:rFonts w:hint="eastAsia" w:ascii="宋体" w:hAnsi="宋体" w:eastAsia="宋体" w:cs="宋体"/>
          <w:color w:val="auto"/>
          <w:highlight w:val="none"/>
        </w:rPr>
      </w:pPr>
    </w:p>
    <w:p w14:paraId="53809DE3">
      <w:pPr>
        <w:spacing w:before="21" w:line="376" w:lineRule="exact"/>
        <w:ind w:firstLine="520"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5CF1F685">
      <w:pPr>
        <w:spacing w:before="21" w:line="376" w:lineRule="exact"/>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2407D028">
      <w:pPr>
        <w:spacing w:before="28" w:line="228" w:lineRule="auto"/>
        <w:ind w:left="553" w:leftChars="244" w:hanging="41" w:hangingChars="16"/>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52D3F718">
      <w:pPr>
        <w:rPr>
          <w:color w:val="auto"/>
          <w:highlight w:val="none"/>
        </w:rPr>
      </w:pPr>
    </w:p>
    <w:p w14:paraId="77B667EE">
      <w:pPr>
        <w:pStyle w:val="14"/>
        <w:rPr>
          <w:rFonts w:hint="eastAsia" w:ascii="宋体" w:hAnsi="宋体" w:eastAsia="宋体" w:cs="宋体"/>
          <w:b/>
          <w:bCs/>
          <w:color w:val="auto"/>
          <w:spacing w:val="-4"/>
          <w:sz w:val="24"/>
          <w:szCs w:val="24"/>
          <w:highlight w:val="none"/>
        </w:rPr>
      </w:pPr>
    </w:p>
    <w:p w14:paraId="7353CEAB">
      <w:pPr>
        <w:pStyle w:val="14"/>
        <w:rPr>
          <w:rFonts w:hint="eastAsia" w:ascii="宋体" w:hAnsi="宋体" w:eastAsia="宋体" w:cs="宋体"/>
          <w:b/>
          <w:bCs/>
          <w:color w:val="auto"/>
          <w:spacing w:val="-4"/>
          <w:sz w:val="24"/>
          <w:szCs w:val="24"/>
          <w:highlight w:val="none"/>
        </w:rPr>
      </w:pPr>
    </w:p>
    <w:p w14:paraId="7BC0F757">
      <w:pPr>
        <w:pStyle w:val="14"/>
        <w:rPr>
          <w:rFonts w:hint="eastAsia" w:ascii="宋体" w:hAnsi="宋体" w:eastAsia="宋体" w:cs="宋体"/>
          <w:b/>
          <w:bCs/>
          <w:color w:val="auto"/>
          <w:spacing w:val="-4"/>
          <w:sz w:val="24"/>
          <w:szCs w:val="24"/>
          <w:highlight w:val="none"/>
        </w:rPr>
      </w:pPr>
    </w:p>
    <w:p w14:paraId="25244F8F">
      <w:pPr>
        <w:pStyle w:val="14"/>
        <w:rPr>
          <w:rFonts w:hint="eastAsia" w:ascii="宋体" w:hAnsi="宋体" w:eastAsia="宋体" w:cs="宋体"/>
          <w:b/>
          <w:bCs/>
          <w:color w:val="auto"/>
          <w:spacing w:val="-4"/>
          <w:sz w:val="24"/>
          <w:szCs w:val="24"/>
          <w:highlight w:val="none"/>
        </w:rPr>
      </w:pPr>
    </w:p>
    <w:p w14:paraId="2099144E">
      <w:pPr>
        <w:pStyle w:val="14"/>
        <w:rPr>
          <w:rFonts w:hint="eastAsia" w:ascii="宋体" w:hAnsi="宋体" w:eastAsia="宋体" w:cs="宋体"/>
          <w:b/>
          <w:bCs/>
          <w:color w:val="auto"/>
          <w:spacing w:val="-4"/>
          <w:sz w:val="24"/>
          <w:szCs w:val="24"/>
          <w:highlight w:val="none"/>
        </w:rPr>
      </w:pPr>
    </w:p>
    <w:p w14:paraId="3EA8987A">
      <w:pPr>
        <w:pStyle w:val="14"/>
        <w:ind w:left="0" w:leftChars="0" w:firstLine="0" w:firstLineChars="0"/>
        <w:rPr>
          <w:rFonts w:hint="eastAsia" w:ascii="宋体" w:hAnsi="宋体" w:eastAsia="宋体" w:cs="宋体"/>
          <w:b/>
          <w:bCs/>
          <w:color w:val="auto"/>
          <w:spacing w:val="-4"/>
          <w:sz w:val="24"/>
          <w:szCs w:val="24"/>
          <w:highlight w:val="none"/>
        </w:rPr>
      </w:pPr>
    </w:p>
    <w:p w14:paraId="103650DD">
      <w:pPr>
        <w:spacing w:before="78" w:line="220" w:lineRule="auto"/>
        <w:jc w:val="left"/>
        <w:outlineLvl w:val="9"/>
        <w:rPr>
          <w:rFonts w:hint="eastAsia" w:ascii="宋体" w:hAnsi="宋体" w:eastAsia="宋体" w:cs="宋体"/>
          <w:b/>
          <w:bCs/>
          <w:color w:val="auto"/>
          <w:spacing w:val="-4"/>
          <w:sz w:val="24"/>
          <w:szCs w:val="24"/>
          <w:highlight w:val="none"/>
        </w:rPr>
      </w:pPr>
    </w:p>
    <w:p w14:paraId="6C9A6F64">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4E112B74">
      <w:pPr>
        <w:spacing w:before="78" w:line="220" w:lineRule="auto"/>
        <w:jc w:val="both"/>
        <w:outlineLvl w:val="2"/>
        <w:rPr>
          <w:rFonts w:hint="default" w:ascii="宋体" w:hAnsi="宋体" w:eastAsia="宋体" w:cs="宋体"/>
          <w:b/>
          <w:bCs/>
          <w:color w:val="auto"/>
          <w:spacing w:val="-4"/>
          <w:sz w:val="24"/>
          <w:szCs w:val="24"/>
          <w:highlight w:val="none"/>
          <w:lang w:val="en-US" w:eastAsia="zh-CN"/>
        </w:rPr>
      </w:pPr>
      <w:bookmarkStart w:id="267" w:name="_Toc738"/>
      <w:r>
        <w:rPr>
          <w:rFonts w:hint="eastAsia" w:ascii="宋体" w:hAnsi="宋体" w:eastAsia="宋体" w:cs="宋体"/>
          <w:b/>
          <w:bCs/>
          <w:color w:val="auto"/>
          <w:spacing w:val="-4"/>
          <w:sz w:val="24"/>
          <w:szCs w:val="24"/>
          <w:highlight w:val="none"/>
        </w:rPr>
        <w:t>格式十四</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position w:val="3"/>
          <w:sz w:val="21"/>
          <w:szCs w:val="21"/>
          <w:highlight w:val="none"/>
        </w:rPr>
        <w:t>投标保证金信用承诺函</w:t>
      </w:r>
      <w:bookmarkEnd w:id="267"/>
    </w:p>
    <w:p w14:paraId="20478BA2">
      <w:pPr>
        <w:spacing w:before="140" w:line="604" w:lineRule="exact"/>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position w:val="3"/>
          <w:sz w:val="28"/>
          <w:szCs w:val="28"/>
          <w:highlight w:val="none"/>
        </w:rPr>
        <w:t>投标保证金信用承诺函</w:t>
      </w:r>
    </w:p>
    <w:p w14:paraId="06CA68F3">
      <w:pPr>
        <w:pStyle w:val="6"/>
        <w:spacing w:line="408" w:lineRule="auto"/>
        <w:rPr>
          <w:rFonts w:hint="eastAsia" w:ascii="宋体" w:hAnsi="宋体" w:eastAsia="宋体" w:cs="宋体"/>
          <w:color w:val="auto"/>
          <w:highlight w:val="none"/>
        </w:rPr>
      </w:pPr>
    </w:p>
    <w:p w14:paraId="6190CB97">
      <w:pPr>
        <w:spacing w:before="101" w:line="257" w:lineRule="auto"/>
        <w:ind w:left="3" w:firstLine="96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一、</w:t>
      </w:r>
      <w:r>
        <w:rPr>
          <w:rFonts w:hint="eastAsia" w:ascii="宋体" w:hAnsi="宋体" w:eastAsia="宋体" w:cs="宋体"/>
          <w:color w:val="auto"/>
          <w:spacing w:val="7"/>
          <w:sz w:val="24"/>
          <w:szCs w:val="24"/>
          <w:highlight w:val="none"/>
        </w:rPr>
        <w:t>我单位参加</w:t>
      </w:r>
      <w:r>
        <w:rPr>
          <w:rFonts w:hint="eastAsia" w:ascii="宋体" w:hAnsi="宋体" w:eastAsia="宋体" w:cs="宋体"/>
          <w:color w:val="auto"/>
          <w:spacing w:val="7"/>
          <w:sz w:val="24"/>
          <w:szCs w:val="24"/>
          <w:highlight w:val="none"/>
          <w:u w:val="single"/>
        </w:rPr>
        <w:t xml:space="preserve">  （工程项目名称）  </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7"/>
          <w:sz w:val="24"/>
          <w:szCs w:val="24"/>
          <w:highlight w:val="none"/>
        </w:rPr>
        <w:t>的投标活动，</w:t>
      </w:r>
      <w:r>
        <w:rPr>
          <w:rFonts w:hint="eastAsia" w:ascii="宋体" w:hAnsi="宋体" w:eastAsia="宋体" w:cs="宋体"/>
          <w:color w:val="auto"/>
          <w:spacing w:val="6"/>
          <w:sz w:val="24"/>
          <w:szCs w:val="24"/>
          <w:highlight w:val="none"/>
        </w:rPr>
        <w:t>现承</w:t>
      </w:r>
      <w:r>
        <w:rPr>
          <w:rFonts w:hint="eastAsia" w:ascii="宋体" w:hAnsi="宋体" w:eastAsia="宋体" w:cs="宋体"/>
          <w:color w:val="auto"/>
          <w:spacing w:val="9"/>
          <w:sz w:val="24"/>
          <w:szCs w:val="24"/>
          <w:highlight w:val="none"/>
        </w:rPr>
        <w:t>诺：将严格按照法律法规规定参与交易活动，按照招标文件要求</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依法履行投标人义务；我方若出现违反《中华人民共和国招标投</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标法》、《中华人民共和国招标投标法实施条例》、《电子招标</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投标办法》等有关法律法规的行为，将于投标有效期内全额付清</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7"/>
          <w:sz w:val="24"/>
          <w:szCs w:val="24"/>
          <w:highlight w:val="none"/>
        </w:rPr>
        <w:t>招标文件规定的投标保证金</w:t>
      </w:r>
      <w:r>
        <w:rPr>
          <w:rFonts w:hint="eastAsia" w:ascii="宋体" w:hAnsi="宋体" w:eastAsia="宋体" w:cs="宋体"/>
          <w:color w:val="auto"/>
          <w:spacing w:val="-153"/>
          <w:sz w:val="24"/>
          <w:szCs w:val="24"/>
          <w:highlight w:val="none"/>
        </w:rPr>
        <w:t xml:space="preserve"> </w:t>
      </w:r>
      <w:r>
        <w:rPr>
          <w:rFonts w:hint="eastAsia"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138"/>
          <w:sz w:val="24"/>
          <w:szCs w:val="24"/>
          <w:highlight w:val="none"/>
        </w:rPr>
        <w:t xml:space="preserve"> </w:t>
      </w:r>
      <w:r>
        <w:rPr>
          <w:rFonts w:hint="eastAsia" w:ascii="宋体" w:hAnsi="宋体" w:eastAsia="宋体" w:cs="宋体"/>
          <w:color w:val="auto"/>
          <w:spacing w:val="7"/>
          <w:sz w:val="24"/>
          <w:szCs w:val="24"/>
          <w:highlight w:val="none"/>
        </w:rPr>
        <w:t>元。</w:t>
      </w:r>
    </w:p>
    <w:p w14:paraId="2A1A631F">
      <w:pPr>
        <w:spacing w:before="48" w:line="252" w:lineRule="auto"/>
        <w:ind w:left="1" w:firstLine="64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台公布的信用等级为</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5"/>
          <w:sz w:val="24"/>
          <w:szCs w:val="24"/>
          <w:highlight w:val="none"/>
        </w:rPr>
        <w:t>B</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级、C</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级、D</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级的企业。</w:t>
      </w:r>
    </w:p>
    <w:p w14:paraId="77797558">
      <w:pPr>
        <w:spacing w:before="52" w:line="247" w:lineRule="auto"/>
        <w:ind w:left="6" w:right="2" w:firstLine="63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本企业对以上承诺和声明负责。如有虚假，愿接受行政主管</w:t>
      </w:r>
      <w:r>
        <w:rPr>
          <w:rFonts w:hint="eastAsia" w:ascii="宋体" w:hAnsi="宋体" w:eastAsia="宋体" w:cs="宋体"/>
          <w:color w:val="auto"/>
          <w:spacing w:val="8"/>
          <w:sz w:val="24"/>
          <w:szCs w:val="24"/>
          <w:highlight w:val="none"/>
        </w:rPr>
        <w:t>部门作出的处罚，并承担以下后果：</w:t>
      </w:r>
    </w:p>
    <w:p w14:paraId="6FDADFEA">
      <w:pPr>
        <w:spacing w:before="48"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（一）取消本单位在本项目中的投标资格或中标资格；</w:t>
      </w:r>
    </w:p>
    <w:p w14:paraId="2E4988C1">
      <w:pPr>
        <w:spacing w:before="64"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（二）将本单位不良行为纳入信用信息管理系统；</w:t>
      </w:r>
    </w:p>
    <w:p w14:paraId="2BE0B852">
      <w:pPr>
        <w:spacing w:before="60" w:line="244" w:lineRule="auto"/>
        <w:ind w:left="41" w:right="2" w:firstLine="6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（三）主动在产生不良行为所在的各县（市、区）行</w:t>
      </w:r>
      <w:r>
        <w:rPr>
          <w:rFonts w:hint="eastAsia" w:ascii="宋体" w:hAnsi="宋体" w:eastAsia="宋体" w:cs="宋体"/>
          <w:color w:val="auto"/>
          <w:spacing w:val="8"/>
          <w:sz w:val="24"/>
          <w:szCs w:val="24"/>
          <w:highlight w:val="none"/>
        </w:rPr>
        <w:t>政区域</w:t>
      </w:r>
      <w:r>
        <w:rPr>
          <w:rFonts w:hint="eastAsia" w:ascii="宋体" w:hAnsi="宋体" w:eastAsia="宋体" w:cs="宋体"/>
          <w:color w:val="auto"/>
          <w:spacing w:val="6"/>
          <w:sz w:val="24"/>
          <w:szCs w:val="24"/>
          <w:highlight w:val="none"/>
        </w:rPr>
        <w:t>内不参加房建市政工程项目的投标活动一年；</w:t>
      </w:r>
    </w:p>
    <w:p w14:paraId="2977FF7D">
      <w:pPr>
        <w:spacing w:before="63"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（四）应付的赔偿责任和相应法律责任。</w:t>
      </w:r>
    </w:p>
    <w:p w14:paraId="6935A407">
      <w:pPr>
        <w:pStyle w:val="6"/>
        <w:spacing w:line="329" w:lineRule="auto"/>
        <w:rPr>
          <w:rFonts w:hint="eastAsia" w:ascii="宋体" w:hAnsi="宋体" w:eastAsia="宋体" w:cs="宋体"/>
          <w:color w:val="auto"/>
          <w:sz w:val="24"/>
          <w:szCs w:val="24"/>
          <w:highlight w:val="none"/>
        </w:rPr>
      </w:pPr>
    </w:p>
    <w:p w14:paraId="28791B82">
      <w:pPr>
        <w:spacing w:before="102" w:line="225" w:lineRule="auto"/>
        <w:ind w:left="8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单位名称（公章</w:t>
      </w:r>
      <w:r>
        <w:rPr>
          <w:rFonts w:hint="eastAsia" w:ascii="宋体" w:hAnsi="宋体" w:eastAsia="宋体" w:cs="宋体"/>
          <w:color w:val="auto"/>
          <w:spacing w:val="1"/>
          <w:sz w:val="24"/>
          <w:szCs w:val="24"/>
          <w:highlight w:val="none"/>
        </w:rPr>
        <w:t>）：</w:t>
      </w:r>
    </w:p>
    <w:p w14:paraId="251FED33">
      <w:pPr>
        <w:pStyle w:val="6"/>
        <w:spacing w:line="457" w:lineRule="auto"/>
        <w:rPr>
          <w:rFonts w:hint="eastAsia" w:ascii="宋体" w:hAnsi="宋体" w:eastAsia="宋体" w:cs="宋体"/>
          <w:color w:val="auto"/>
          <w:sz w:val="24"/>
          <w:szCs w:val="24"/>
          <w:highlight w:val="none"/>
        </w:rPr>
      </w:pPr>
    </w:p>
    <w:p w14:paraId="74661644">
      <w:pPr>
        <w:spacing w:before="100" w:line="225" w:lineRule="auto"/>
        <w:ind w:left="85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统一社会信用代码：</w:t>
      </w:r>
    </w:p>
    <w:p w14:paraId="433913F6">
      <w:pPr>
        <w:pStyle w:val="6"/>
        <w:spacing w:line="457" w:lineRule="auto"/>
        <w:rPr>
          <w:rFonts w:hint="eastAsia" w:ascii="宋体" w:hAnsi="宋体" w:eastAsia="宋体" w:cs="宋体"/>
          <w:color w:val="auto"/>
          <w:sz w:val="24"/>
          <w:szCs w:val="24"/>
          <w:highlight w:val="none"/>
        </w:rPr>
      </w:pPr>
    </w:p>
    <w:p w14:paraId="12B0B2E7">
      <w:pPr>
        <w:spacing w:before="102" w:line="543" w:lineRule="auto"/>
        <w:ind w:left="844" w:right="5000"/>
        <w:rPr>
          <w:rFonts w:hint="eastAsia" w:ascii="宋体" w:hAnsi="宋体" w:eastAsia="宋体" w:cs="宋体"/>
          <w:color w:val="auto"/>
          <w:spacing w:val="-29"/>
          <w:sz w:val="24"/>
          <w:szCs w:val="24"/>
          <w:highlight w:val="none"/>
        </w:rPr>
      </w:pPr>
      <w:r>
        <w:rPr>
          <w:rFonts w:hint="eastAsia" w:ascii="宋体" w:hAnsi="宋体" w:eastAsia="宋体" w:cs="宋体"/>
          <w:color w:val="auto"/>
          <w:spacing w:val="8"/>
          <w:sz w:val="24"/>
          <w:szCs w:val="24"/>
          <w:highlight w:val="none"/>
        </w:rPr>
        <w:t>法定代表人（签字</w:t>
      </w:r>
      <w:r>
        <w:rPr>
          <w:rFonts w:hint="eastAsia" w:ascii="宋体" w:hAnsi="宋体" w:eastAsia="宋体" w:cs="宋体"/>
          <w:color w:val="auto"/>
          <w:spacing w:val="-29"/>
          <w:sz w:val="24"/>
          <w:szCs w:val="24"/>
          <w:highlight w:val="none"/>
        </w:rPr>
        <w:t>）：</w:t>
      </w:r>
    </w:p>
    <w:p w14:paraId="4DA818FA">
      <w:pPr>
        <w:spacing w:before="102" w:line="543" w:lineRule="auto"/>
        <w:ind w:left="844" w:right="5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年</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6"/>
          <w:sz w:val="24"/>
          <w:szCs w:val="24"/>
          <w:highlight w:val="none"/>
        </w:rPr>
        <w:t>月</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39"/>
          <w:sz w:val="24"/>
          <w:szCs w:val="24"/>
          <w:highlight w:val="none"/>
          <w:lang w:val="en-US" w:eastAsia="zh-CN"/>
        </w:rPr>
        <w:t xml:space="preserve">  </w:t>
      </w:r>
      <w:r>
        <w:rPr>
          <w:rFonts w:hint="eastAsia" w:ascii="宋体" w:hAnsi="宋体" w:eastAsia="宋体" w:cs="宋体"/>
          <w:color w:val="auto"/>
          <w:spacing w:val="-6"/>
          <w:sz w:val="24"/>
          <w:szCs w:val="24"/>
          <w:highlight w:val="none"/>
        </w:rPr>
        <w:t>日</w:t>
      </w:r>
    </w:p>
    <w:p w14:paraId="364BC4A7">
      <w:pPr>
        <w:pStyle w:val="14"/>
        <w:rPr>
          <w:rFonts w:hint="eastAsia" w:ascii="宋体" w:hAnsi="宋体" w:eastAsia="宋体" w:cs="宋体"/>
          <w:color w:val="auto"/>
          <w:highlight w:val="none"/>
        </w:rPr>
      </w:pPr>
    </w:p>
    <w:p w14:paraId="473A10BB">
      <w:pPr>
        <w:pStyle w:val="14"/>
        <w:rPr>
          <w:rFonts w:hint="eastAsia" w:ascii="宋体" w:hAnsi="宋体" w:eastAsia="宋体" w:cs="宋体"/>
          <w:color w:val="auto"/>
          <w:spacing w:val="8"/>
          <w:sz w:val="24"/>
          <w:szCs w:val="24"/>
          <w:highlight w:val="none"/>
          <w:lang w:eastAsia="zh-CN"/>
        </w:rPr>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68C9B33">
      <w:pPr>
        <w:spacing w:before="78" w:line="220" w:lineRule="auto"/>
        <w:outlineLvl w:val="2"/>
        <w:rPr>
          <w:rFonts w:hint="eastAsia" w:ascii="宋体" w:hAnsi="宋体" w:eastAsia="宋体" w:cs="宋体"/>
          <w:b/>
          <w:bCs/>
          <w:color w:val="auto"/>
          <w:spacing w:val="-4"/>
          <w:sz w:val="24"/>
          <w:szCs w:val="24"/>
          <w:highlight w:val="none"/>
        </w:rPr>
      </w:pPr>
      <w:bookmarkStart w:id="268" w:name="_Toc9960"/>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五</w:t>
      </w:r>
      <w:r>
        <w:rPr>
          <w:rFonts w:hint="eastAsia" w:ascii="宋体" w:hAnsi="宋体" w:eastAsia="宋体" w:cs="宋体"/>
          <w:b/>
          <w:bCs/>
          <w:color w:val="auto"/>
          <w:spacing w:val="-4"/>
          <w:sz w:val="24"/>
          <w:szCs w:val="24"/>
          <w:highlight w:val="none"/>
        </w:rPr>
        <w:t xml:space="preserve">  原件一览表</w:t>
      </w:r>
      <w:bookmarkEnd w:id="268"/>
    </w:p>
    <w:tbl>
      <w:tblPr>
        <w:tblStyle w:val="15"/>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096EF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1C6E7B85">
            <w:pPr>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59C97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295EBC76">
            <w:pPr>
              <w:pStyle w:val="22"/>
              <w:spacing w:line="253" w:lineRule="auto"/>
              <w:rPr>
                <w:rFonts w:hint="eastAsia" w:ascii="宋体" w:hAnsi="宋体" w:eastAsia="宋体" w:cs="宋体"/>
                <w:color w:val="auto"/>
                <w:sz w:val="24"/>
                <w:szCs w:val="24"/>
                <w:highlight w:val="none"/>
              </w:rPr>
            </w:pPr>
          </w:p>
          <w:p w14:paraId="47396859">
            <w:pPr>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14:paraId="7B225A4B">
            <w:pPr>
              <w:pStyle w:val="22"/>
              <w:rPr>
                <w:rFonts w:hint="eastAsia" w:ascii="宋体" w:hAnsi="宋体" w:eastAsia="宋体" w:cs="宋体"/>
                <w:color w:val="auto"/>
                <w:sz w:val="24"/>
                <w:szCs w:val="24"/>
                <w:highlight w:val="none"/>
              </w:rPr>
            </w:pPr>
          </w:p>
        </w:tc>
      </w:tr>
      <w:tr w14:paraId="7AE460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4265B267">
            <w:pPr>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461DE122">
            <w:pPr>
              <w:pStyle w:val="22"/>
              <w:rPr>
                <w:rFonts w:hint="eastAsia" w:ascii="宋体" w:hAnsi="宋体" w:eastAsia="宋体" w:cs="宋体"/>
                <w:color w:val="auto"/>
                <w:sz w:val="24"/>
                <w:szCs w:val="24"/>
                <w:highlight w:val="none"/>
              </w:rPr>
            </w:pPr>
          </w:p>
        </w:tc>
      </w:tr>
      <w:tr w14:paraId="36A18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75E2154B">
            <w:pPr>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578C1669">
            <w:pPr>
              <w:pStyle w:val="22"/>
              <w:rPr>
                <w:rFonts w:hint="eastAsia" w:ascii="宋体" w:hAnsi="宋体" w:eastAsia="宋体" w:cs="宋体"/>
                <w:color w:val="auto"/>
                <w:sz w:val="24"/>
                <w:szCs w:val="24"/>
                <w:highlight w:val="none"/>
              </w:rPr>
            </w:pPr>
          </w:p>
        </w:tc>
        <w:tc>
          <w:tcPr>
            <w:tcW w:w="1499" w:type="dxa"/>
            <w:gridSpan w:val="2"/>
            <w:vAlign w:val="top"/>
          </w:tcPr>
          <w:p w14:paraId="01659EE4">
            <w:pPr>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128A2057">
            <w:pPr>
              <w:pStyle w:val="22"/>
              <w:rPr>
                <w:rFonts w:hint="eastAsia" w:ascii="宋体" w:hAnsi="宋体" w:eastAsia="宋体" w:cs="宋体"/>
                <w:color w:val="auto"/>
                <w:sz w:val="24"/>
                <w:szCs w:val="24"/>
                <w:highlight w:val="none"/>
              </w:rPr>
            </w:pPr>
          </w:p>
        </w:tc>
      </w:tr>
      <w:tr w14:paraId="651110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166D45BA">
            <w:pPr>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6A6F2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07314B8A">
            <w:pPr>
              <w:pStyle w:val="22"/>
              <w:spacing w:line="257" w:lineRule="auto"/>
              <w:rPr>
                <w:rFonts w:hint="eastAsia" w:ascii="宋体" w:hAnsi="宋体" w:eastAsia="宋体" w:cs="宋体"/>
                <w:color w:val="auto"/>
                <w:sz w:val="24"/>
                <w:szCs w:val="24"/>
                <w:highlight w:val="none"/>
              </w:rPr>
            </w:pPr>
          </w:p>
          <w:p w14:paraId="5581F312">
            <w:pPr>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6E8FCB44">
            <w:pPr>
              <w:pStyle w:val="22"/>
              <w:spacing w:line="257" w:lineRule="auto"/>
              <w:rPr>
                <w:rFonts w:hint="eastAsia" w:ascii="宋体" w:hAnsi="宋体" w:eastAsia="宋体" w:cs="宋体"/>
                <w:color w:val="auto"/>
                <w:sz w:val="24"/>
                <w:szCs w:val="24"/>
                <w:highlight w:val="none"/>
              </w:rPr>
            </w:pPr>
          </w:p>
          <w:p w14:paraId="5B666611">
            <w:pPr>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7C34E44A">
            <w:pPr>
              <w:pStyle w:val="22"/>
              <w:spacing w:line="256" w:lineRule="auto"/>
              <w:rPr>
                <w:rFonts w:hint="eastAsia" w:ascii="宋体" w:hAnsi="宋体" w:eastAsia="宋体" w:cs="宋体"/>
                <w:color w:val="auto"/>
                <w:sz w:val="24"/>
                <w:szCs w:val="24"/>
                <w:highlight w:val="none"/>
              </w:rPr>
            </w:pPr>
          </w:p>
          <w:p w14:paraId="7FF59202">
            <w:pPr>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73A683D8">
            <w:pPr>
              <w:pStyle w:val="22"/>
              <w:spacing w:line="256" w:lineRule="auto"/>
              <w:rPr>
                <w:rFonts w:hint="eastAsia" w:ascii="宋体" w:hAnsi="宋体" w:eastAsia="宋体" w:cs="宋体"/>
                <w:color w:val="auto"/>
                <w:sz w:val="24"/>
                <w:szCs w:val="24"/>
                <w:highlight w:val="none"/>
              </w:rPr>
            </w:pPr>
          </w:p>
          <w:p w14:paraId="66B6886C">
            <w:pPr>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5F8F8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7911FA08">
            <w:pPr>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39E65176">
            <w:pPr>
              <w:pStyle w:val="22"/>
              <w:rPr>
                <w:rFonts w:hint="eastAsia" w:ascii="宋体" w:hAnsi="宋体" w:eastAsia="宋体" w:cs="宋体"/>
                <w:color w:val="auto"/>
                <w:sz w:val="24"/>
                <w:szCs w:val="24"/>
                <w:highlight w:val="none"/>
              </w:rPr>
            </w:pPr>
          </w:p>
        </w:tc>
        <w:tc>
          <w:tcPr>
            <w:tcW w:w="1771" w:type="dxa"/>
            <w:gridSpan w:val="2"/>
            <w:vAlign w:val="top"/>
          </w:tcPr>
          <w:p w14:paraId="7168FCC1">
            <w:pPr>
              <w:pStyle w:val="22"/>
              <w:rPr>
                <w:rFonts w:hint="eastAsia" w:ascii="宋体" w:hAnsi="宋体" w:eastAsia="宋体" w:cs="宋体"/>
                <w:color w:val="auto"/>
                <w:sz w:val="24"/>
                <w:szCs w:val="24"/>
                <w:highlight w:val="none"/>
              </w:rPr>
            </w:pPr>
          </w:p>
        </w:tc>
        <w:tc>
          <w:tcPr>
            <w:tcW w:w="1637" w:type="dxa"/>
            <w:vAlign w:val="top"/>
          </w:tcPr>
          <w:p w14:paraId="0A86B06F">
            <w:pPr>
              <w:pStyle w:val="22"/>
              <w:rPr>
                <w:rFonts w:hint="eastAsia" w:ascii="宋体" w:hAnsi="宋体" w:eastAsia="宋体" w:cs="宋体"/>
                <w:color w:val="auto"/>
                <w:sz w:val="24"/>
                <w:szCs w:val="24"/>
                <w:highlight w:val="none"/>
              </w:rPr>
            </w:pPr>
          </w:p>
        </w:tc>
      </w:tr>
      <w:tr w14:paraId="5A16A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0BE3C710">
            <w:pPr>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04A8B72A">
            <w:pPr>
              <w:pStyle w:val="22"/>
              <w:rPr>
                <w:rFonts w:hint="eastAsia" w:ascii="宋体" w:hAnsi="宋体" w:eastAsia="宋体" w:cs="宋体"/>
                <w:color w:val="auto"/>
                <w:sz w:val="24"/>
                <w:szCs w:val="24"/>
                <w:highlight w:val="none"/>
              </w:rPr>
            </w:pPr>
          </w:p>
        </w:tc>
        <w:tc>
          <w:tcPr>
            <w:tcW w:w="1771" w:type="dxa"/>
            <w:gridSpan w:val="2"/>
            <w:vAlign w:val="top"/>
          </w:tcPr>
          <w:p w14:paraId="7BD1D335">
            <w:pPr>
              <w:pStyle w:val="22"/>
              <w:rPr>
                <w:rFonts w:hint="eastAsia" w:ascii="宋体" w:hAnsi="宋体" w:eastAsia="宋体" w:cs="宋体"/>
                <w:color w:val="auto"/>
                <w:sz w:val="24"/>
                <w:szCs w:val="24"/>
                <w:highlight w:val="none"/>
              </w:rPr>
            </w:pPr>
          </w:p>
        </w:tc>
        <w:tc>
          <w:tcPr>
            <w:tcW w:w="1637" w:type="dxa"/>
            <w:vAlign w:val="top"/>
          </w:tcPr>
          <w:p w14:paraId="74734796">
            <w:pPr>
              <w:pStyle w:val="22"/>
              <w:rPr>
                <w:rFonts w:hint="eastAsia" w:ascii="宋体" w:hAnsi="宋体" w:eastAsia="宋体" w:cs="宋体"/>
                <w:color w:val="auto"/>
                <w:sz w:val="24"/>
                <w:szCs w:val="24"/>
                <w:highlight w:val="none"/>
              </w:rPr>
            </w:pPr>
          </w:p>
        </w:tc>
      </w:tr>
      <w:tr w14:paraId="621D61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F346157">
            <w:pPr>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6D49235F">
            <w:pPr>
              <w:pStyle w:val="22"/>
              <w:rPr>
                <w:rFonts w:hint="eastAsia" w:ascii="宋体" w:hAnsi="宋体" w:eastAsia="宋体" w:cs="宋体"/>
                <w:color w:val="auto"/>
                <w:sz w:val="24"/>
                <w:szCs w:val="24"/>
                <w:highlight w:val="none"/>
              </w:rPr>
            </w:pPr>
          </w:p>
        </w:tc>
        <w:tc>
          <w:tcPr>
            <w:tcW w:w="1771" w:type="dxa"/>
            <w:gridSpan w:val="2"/>
            <w:vAlign w:val="top"/>
          </w:tcPr>
          <w:p w14:paraId="02FF66A5">
            <w:pPr>
              <w:pStyle w:val="22"/>
              <w:rPr>
                <w:rFonts w:hint="eastAsia" w:ascii="宋体" w:hAnsi="宋体" w:eastAsia="宋体" w:cs="宋体"/>
                <w:color w:val="auto"/>
                <w:sz w:val="24"/>
                <w:szCs w:val="24"/>
                <w:highlight w:val="none"/>
              </w:rPr>
            </w:pPr>
          </w:p>
        </w:tc>
        <w:tc>
          <w:tcPr>
            <w:tcW w:w="1637" w:type="dxa"/>
            <w:vAlign w:val="top"/>
          </w:tcPr>
          <w:p w14:paraId="177B8CBE">
            <w:pPr>
              <w:pStyle w:val="22"/>
              <w:rPr>
                <w:rFonts w:hint="eastAsia" w:ascii="宋体" w:hAnsi="宋体" w:eastAsia="宋体" w:cs="宋体"/>
                <w:color w:val="auto"/>
                <w:sz w:val="24"/>
                <w:szCs w:val="24"/>
                <w:highlight w:val="none"/>
              </w:rPr>
            </w:pPr>
          </w:p>
        </w:tc>
      </w:tr>
      <w:tr w14:paraId="793EC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61D3A">
            <w:pPr>
              <w:pStyle w:val="22"/>
              <w:spacing w:line="348" w:lineRule="auto"/>
              <w:rPr>
                <w:rFonts w:hint="eastAsia" w:ascii="宋体" w:hAnsi="宋体" w:eastAsia="宋体" w:cs="宋体"/>
                <w:color w:val="auto"/>
                <w:sz w:val="24"/>
                <w:szCs w:val="24"/>
                <w:highlight w:val="none"/>
              </w:rPr>
            </w:pPr>
          </w:p>
          <w:p w14:paraId="02E200D6">
            <w:pPr>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536D7121">
            <w:pPr>
              <w:pStyle w:val="22"/>
              <w:rPr>
                <w:rFonts w:hint="eastAsia" w:ascii="宋体" w:hAnsi="宋体" w:eastAsia="宋体" w:cs="宋体"/>
                <w:color w:val="auto"/>
                <w:sz w:val="24"/>
                <w:szCs w:val="24"/>
                <w:highlight w:val="none"/>
              </w:rPr>
            </w:pPr>
          </w:p>
        </w:tc>
        <w:tc>
          <w:tcPr>
            <w:tcW w:w="1771" w:type="dxa"/>
            <w:gridSpan w:val="2"/>
            <w:vAlign w:val="top"/>
          </w:tcPr>
          <w:p w14:paraId="0DCF009C">
            <w:pPr>
              <w:pStyle w:val="22"/>
              <w:rPr>
                <w:rFonts w:hint="eastAsia" w:ascii="宋体" w:hAnsi="宋体" w:eastAsia="宋体" w:cs="宋体"/>
                <w:color w:val="auto"/>
                <w:sz w:val="24"/>
                <w:szCs w:val="24"/>
                <w:highlight w:val="none"/>
              </w:rPr>
            </w:pPr>
          </w:p>
        </w:tc>
        <w:tc>
          <w:tcPr>
            <w:tcW w:w="1637" w:type="dxa"/>
            <w:vAlign w:val="top"/>
          </w:tcPr>
          <w:p w14:paraId="685D7DF6">
            <w:pPr>
              <w:pStyle w:val="22"/>
              <w:rPr>
                <w:rFonts w:hint="eastAsia" w:ascii="宋体" w:hAnsi="宋体" w:eastAsia="宋体" w:cs="宋体"/>
                <w:color w:val="auto"/>
                <w:sz w:val="24"/>
                <w:szCs w:val="24"/>
                <w:highlight w:val="none"/>
              </w:rPr>
            </w:pPr>
          </w:p>
        </w:tc>
      </w:tr>
      <w:tr w14:paraId="324E4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04F8D1F1">
            <w:pPr>
              <w:pStyle w:val="22"/>
              <w:spacing w:line="274" w:lineRule="auto"/>
              <w:rPr>
                <w:rFonts w:hint="eastAsia" w:ascii="宋体" w:hAnsi="宋体" w:eastAsia="宋体" w:cs="宋体"/>
                <w:color w:val="auto"/>
                <w:sz w:val="24"/>
                <w:szCs w:val="24"/>
                <w:highlight w:val="none"/>
              </w:rPr>
            </w:pPr>
          </w:p>
          <w:p w14:paraId="7C7AA007">
            <w:pPr>
              <w:pStyle w:val="22"/>
              <w:spacing w:line="275" w:lineRule="auto"/>
              <w:rPr>
                <w:rFonts w:hint="eastAsia" w:ascii="宋体" w:hAnsi="宋体" w:eastAsia="宋体" w:cs="宋体"/>
                <w:color w:val="auto"/>
                <w:sz w:val="24"/>
                <w:szCs w:val="24"/>
                <w:highlight w:val="none"/>
              </w:rPr>
            </w:pPr>
          </w:p>
          <w:p w14:paraId="25B22B5E">
            <w:pPr>
              <w:pStyle w:val="22"/>
              <w:spacing w:line="275" w:lineRule="auto"/>
              <w:rPr>
                <w:rFonts w:hint="eastAsia" w:ascii="宋体" w:hAnsi="宋体" w:eastAsia="宋体" w:cs="宋体"/>
                <w:color w:val="auto"/>
                <w:sz w:val="24"/>
                <w:szCs w:val="24"/>
                <w:highlight w:val="none"/>
              </w:rPr>
            </w:pPr>
          </w:p>
          <w:p w14:paraId="78D89547">
            <w:pPr>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18C3922D">
            <w:pPr>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5BABE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1D2BB987">
            <w:pPr>
              <w:pStyle w:val="22"/>
              <w:spacing w:line="240" w:lineRule="auto"/>
              <w:rPr>
                <w:rFonts w:hint="eastAsia" w:ascii="宋体" w:hAnsi="宋体" w:eastAsia="宋体" w:cs="宋体"/>
                <w:color w:val="auto"/>
                <w:sz w:val="24"/>
                <w:szCs w:val="24"/>
                <w:highlight w:val="none"/>
              </w:rPr>
            </w:pPr>
          </w:p>
          <w:p w14:paraId="14A5F96A">
            <w:pPr>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4E9EC2D8">
            <w:pPr>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30D94A7C">
            <w:pPr>
              <w:pStyle w:val="22"/>
              <w:rPr>
                <w:rFonts w:hint="eastAsia" w:ascii="宋体" w:hAnsi="宋体" w:eastAsia="宋体" w:cs="宋体"/>
                <w:color w:val="auto"/>
                <w:sz w:val="24"/>
                <w:szCs w:val="24"/>
                <w:highlight w:val="none"/>
              </w:rPr>
            </w:pPr>
          </w:p>
        </w:tc>
        <w:tc>
          <w:tcPr>
            <w:tcW w:w="1683" w:type="dxa"/>
            <w:gridSpan w:val="2"/>
            <w:vAlign w:val="top"/>
          </w:tcPr>
          <w:p w14:paraId="76A44D1C">
            <w:pPr>
              <w:pStyle w:val="22"/>
              <w:spacing w:line="288" w:lineRule="auto"/>
              <w:rPr>
                <w:rFonts w:hint="eastAsia" w:ascii="宋体" w:hAnsi="宋体" w:eastAsia="宋体" w:cs="宋体"/>
                <w:color w:val="auto"/>
                <w:sz w:val="24"/>
                <w:szCs w:val="24"/>
                <w:highlight w:val="none"/>
              </w:rPr>
            </w:pPr>
          </w:p>
          <w:p w14:paraId="5BD3A69A">
            <w:pPr>
              <w:pStyle w:val="22"/>
              <w:spacing w:line="289" w:lineRule="auto"/>
              <w:rPr>
                <w:rFonts w:hint="eastAsia" w:ascii="宋体" w:hAnsi="宋体" w:eastAsia="宋体" w:cs="宋体"/>
                <w:color w:val="auto"/>
                <w:sz w:val="24"/>
                <w:szCs w:val="24"/>
                <w:highlight w:val="none"/>
              </w:rPr>
            </w:pPr>
          </w:p>
          <w:p w14:paraId="42A3A6F8">
            <w:pPr>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0C366FD6">
            <w:pPr>
              <w:pStyle w:val="22"/>
              <w:spacing w:line="288" w:lineRule="auto"/>
              <w:rPr>
                <w:rFonts w:hint="eastAsia" w:ascii="宋体" w:hAnsi="宋体" w:eastAsia="宋体" w:cs="宋体"/>
                <w:color w:val="auto"/>
                <w:sz w:val="24"/>
                <w:szCs w:val="24"/>
                <w:highlight w:val="none"/>
              </w:rPr>
            </w:pPr>
          </w:p>
          <w:p w14:paraId="7E762E7A">
            <w:pPr>
              <w:pStyle w:val="22"/>
              <w:spacing w:line="289" w:lineRule="auto"/>
              <w:rPr>
                <w:rFonts w:hint="eastAsia" w:ascii="宋体" w:hAnsi="宋体" w:eastAsia="宋体" w:cs="宋体"/>
                <w:color w:val="auto"/>
                <w:sz w:val="24"/>
                <w:szCs w:val="24"/>
                <w:highlight w:val="none"/>
              </w:rPr>
            </w:pPr>
          </w:p>
          <w:p w14:paraId="77DFBA6D">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05C4BD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75D870FC">
            <w:pPr>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19E3EA06">
            <w:pPr>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2FBC4ECD">
            <w:pPr>
              <w:pStyle w:val="22"/>
              <w:rPr>
                <w:rFonts w:hint="eastAsia" w:ascii="宋体" w:hAnsi="宋体" w:eastAsia="宋体" w:cs="宋体"/>
                <w:color w:val="auto"/>
                <w:sz w:val="24"/>
                <w:szCs w:val="24"/>
                <w:highlight w:val="none"/>
              </w:rPr>
            </w:pPr>
          </w:p>
        </w:tc>
        <w:tc>
          <w:tcPr>
            <w:tcW w:w="1683" w:type="dxa"/>
            <w:gridSpan w:val="2"/>
            <w:vAlign w:val="top"/>
          </w:tcPr>
          <w:p w14:paraId="0B4C8580">
            <w:pPr>
              <w:pStyle w:val="22"/>
              <w:spacing w:line="336" w:lineRule="auto"/>
              <w:rPr>
                <w:rFonts w:hint="eastAsia" w:ascii="宋体" w:hAnsi="宋体" w:eastAsia="宋体" w:cs="宋体"/>
                <w:color w:val="auto"/>
                <w:sz w:val="24"/>
                <w:szCs w:val="24"/>
                <w:highlight w:val="none"/>
              </w:rPr>
            </w:pPr>
          </w:p>
          <w:p w14:paraId="3906D1A1">
            <w:pPr>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36714926">
            <w:pPr>
              <w:pStyle w:val="22"/>
              <w:spacing w:line="335" w:lineRule="auto"/>
              <w:rPr>
                <w:rFonts w:hint="eastAsia" w:ascii="宋体" w:hAnsi="宋体" w:eastAsia="宋体" w:cs="宋体"/>
                <w:color w:val="auto"/>
                <w:sz w:val="24"/>
                <w:szCs w:val="24"/>
                <w:highlight w:val="none"/>
              </w:rPr>
            </w:pPr>
          </w:p>
          <w:p w14:paraId="2538A7C2">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7C4C967F">
      <w:pPr>
        <w:rPr>
          <w:rFonts w:hint="eastAsia" w:ascii="宋体" w:hAnsi="宋体" w:eastAsia="宋体" w:cs="宋体"/>
          <w:b/>
          <w:bCs/>
          <w:color w:val="auto"/>
          <w:spacing w:val="-3"/>
          <w:sz w:val="24"/>
          <w:szCs w:val="24"/>
          <w:highlight w:val="none"/>
        </w:rPr>
      </w:pPr>
      <w:bookmarkStart w:id="269" w:name="bookmark107"/>
      <w:bookmarkEnd w:id="269"/>
      <w:r>
        <w:rPr>
          <w:rFonts w:hint="eastAsia" w:ascii="宋体" w:hAnsi="宋体" w:eastAsia="宋体" w:cs="宋体"/>
          <w:b/>
          <w:bCs/>
          <w:color w:val="auto"/>
          <w:spacing w:val="-3"/>
          <w:sz w:val="24"/>
          <w:szCs w:val="24"/>
          <w:highlight w:val="none"/>
        </w:rPr>
        <w:br w:type="page"/>
      </w:r>
    </w:p>
    <w:p w14:paraId="7680BC03">
      <w:pPr>
        <w:pStyle w:val="46"/>
        <w:snapToGrid w:val="0"/>
        <w:spacing w:line="440" w:lineRule="exact"/>
        <w:outlineLvl w:val="1"/>
        <w:rPr>
          <w:rStyle w:val="21"/>
          <w:rFonts w:hint="eastAsia" w:ascii="Times New Roman" w:hAnsi="宋体" w:eastAsia="宋体" w:cs="Times New Roman"/>
          <w:b/>
          <w:bCs/>
          <w:color w:val="auto"/>
          <w:sz w:val="21"/>
          <w:szCs w:val="21"/>
          <w:highlight w:val="none"/>
          <w:lang w:val="en-US" w:eastAsia="zh-CN"/>
        </w:rPr>
      </w:pPr>
      <w:bookmarkStart w:id="270" w:name="_Toc26911"/>
      <w:bookmarkStart w:id="271" w:name="_Toc26323"/>
      <w:r>
        <w:rPr>
          <w:rStyle w:val="21"/>
          <w:rFonts w:hint="eastAsia" w:ascii="Times New Roman" w:hAnsi="宋体" w:eastAsia="宋体" w:cs="Times New Roman"/>
          <w:b/>
          <w:bCs/>
          <w:color w:val="auto"/>
          <w:sz w:val="21"/>
          <w:szCs w:val="21"/>
          <w:highlight w:val="none"/>
          <w:lang w:eastAsia="zh-CN"/>
        </w:rPr>
        <w:t>格式十</w:t>
      </w:r>
      <w:r>
        <w:rPr>
          <w:rStyle w:val="21"/>
          <w:rFonts w:hint="eastAsia" w:ascii="Times New Roman" w:hAnsi="宋体" w:cs="Times New Roman"/>
          <w:b/>
          <w:bCs/>
          <w:color w:val="auto"/>
          <w:sz w:val="21"/>
          <w:szCs w:val="21"/>
          <w:highlight w:val="none"/>
          <w:lang w:val="en-US" w:eastAsia="zh-CN"/>
        </w:rPr>
        <w:t xml:space="preserve">六  </w:t>
      </w:r>
      <w:r>
        <w:rPr>
          <w:rStyle w:val="21"/>
          <w:rFonts w:hint="eastAsia" w:ascii="Times New Roman" w:hAnsi="宋体" w:eastAsia="宋体" w:cs="Times New Roman"/>
          <w:b/>
          <w:bCs/>
          <w:color w:val="auto"/>
          <w:sz w:val="21"/>
          <w:szCs w:val="21"/>
          <w:highlight w:val="none"/>
          <w:lang w:val="en-US" w:eastAsia="zh-CN"/>
        </w:rPr>
        <w:t>定标因素评审资料</w:t>
      </w:r>
      <w:bookmarkEnd w:id="270"/>
      <w:bookmarkEnd w:id="271"/>
    </w:p>
    <w:p w14:paraId="2D4CC842">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7F172C61">
      <w:pPr>
        <w:jc w:val="left"/>
        <w:rPr>
          <w:rFonts w:hint="eastAsia" w:ascii="宋体" w:hAnsi="宋体" w:eastAsia="宋体" w:cs="宋体"/>
          <w:color w:val="auto"/>
          <w:sz w:val="24"/>
          <w:highlight w:val="none"/>
          <w:lang w:eastAsia="zh-CN"/>
        </w:rPr>
      </w:pPr>
    </w:p>
    <w:p w14:paraId="726A3E52">
      <w:pPr>
        <w:pStyle w:val="40"/>
        <w:ind w:left="0" w:leftChars="0" w:firstLine="0" w:firstLineChars="0"/>
        <w:rPr>
          <w:rStyle w:val="44"/>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章 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节 定标</w:t>
      </w:r>
      <w:r>
        <w:rPr>
          <w:rFonts w:hint="eastAsia" w:ascii="宋体" w:hAnsi="宋体" w:eastAsia="宋体" w:cs="宋体"/>
          <w:b/>
          <w:bCs/>
          <w:color w:val="auto"/>
          <w:sz w:val="24"/>
          <w:szCs w:val="24"/>
          <w:highlight w:val="none"/>
          <w:lang w:eastAsia="zh-CN"/>
        </w:rPr>
        <w:t>规定</w:t>
      </w:r>
      <w:r>
        <w:rPr>
          <w:rFonts w:hint="eastAsia" w:ascii="宋体" w:hAnsi="宋体" w:eastAsia="宋体" w:cs="宋体"/>
          <w:b/>
          <w:bCs/>
          <w:color w:val="auto"/>
          <w:sz w:val="24"/>
          <w:szCs w:val="24"/>
          <w:highlight w:val="none"/>
          <w:lang w:val="en-US" w:eastAsia="zh-CN"/>
        </w:rPr>
        <w:t>及细则”载明的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p>
    <w:p w14:paraId="388AC736">
      <w:pPr>
        <w:spacing w:before="78" w:line="219" w:lineRule="auto"/>
        <w:jc w:val="center"/>
        <w:outlineLvl w:val="1"/>
        <w:rPr>
          <w:rFonts w:hint="eastAsia" w:ascii="宋体" w:hAnsi="宋体" w:eastAsia="宋体" w:cs="宋体"/>
          <w:b/>
          <w:bCs/>
          <w:color w:val="auto"/>
          <w:spacing w:val="-3"/>
          <w:sz w:val="24"/>
          <w:szCs w:val="24"/>
          <w:highlight w:val="none"/>
        </w:rPr>
      </w:pPr>
    </w:p>
    <w:p w14:paraId="5D94E8E4">
      <w:pPr>
        <w:spacing w:before="78" w:line="219" w:lineRule="auto"/>
        <w:jc w:val="center"/>
        <w:outlineLvl w:val="1"/>
        <w:rPr>
          <w:rFonts w:hint="eastAsia" w:ascii="宋体" w:hAnsi="宋体" w:eastAsia="宋体" w:cs="宋体"/>
          <w:b/>
          <w:bCs/>
          <w:color w:val="auto"/>
          <w:spacing w:val="-3"/>
          <w:sz w:val="24"/>
          <w:szCs w:val="24"/>
          <w:highlight w:val="none"/>
        </w:rPr>
      </w:pPr>
    </w:p>
    <w:p w14:paraId="25987E99">
      <w:pPr>
        <w:spacing w:before="78" w:line="219" w:lineRule="auto"/>
        <w:jc w:val="center"/>
        <w:outlineLvl w:val="1"/>
        <w:rPr>
          <w:rFonts w:hint="eastAsia" w:ascii="宋体" w:hAnsi="宋体" w:eastAsia="宋体" w:cs="宋体"/>
          <w:b/>
          <w:bCs/>
          <w:color w:val="auto"/>
          <w:spacing w:val="-3"/>
          <w:sz w:val="24"/>
          <w:szCs w:val="24"/>
          <w:highlight w:val="none"/>
        </w:rPr>
      </w:pPr>
    </w:p>
    <w:p w14:paraId="1386DFE3">
      <w:pPr>
        <w:spacing w:before="78" w:line="219" w:lineRule="auto"/>
        <w:jc w:val="center"/>
        <w:outlineLvl w:val="1"/>
        <w:rPr>
          <w:rFonts w:hint="eastAsia" w:ascii="宋体" w:hAnsi="宋体" w:eastAsia="宋体" w:cs="宋体"/>
          <w:b/>
          <w:bCs/>
          <w:color w:val="auto"/>
          <w:spacing w:val="-3"/>
          <w:sz w:val="24"/>
          <w:szCs w:val="24"/>
          <w:highlight w:val="none"/>
        </w:rPr>
      </w:pPr>
    </w:p>
    <w:p w14:paraId="3CF95731">
      <w:pPr>
        <w:spacing w:before="78" w:line="219" w:lineRule="auto"/>
        <w:jc w:val="center"/>
        <w:outlineLvl w:val="1"/>
        <w:rPr>
          <w:rFonts w:hint="eastAsia" w:ascii="宋体" w:hAnsi="宋体" w:eastAsia="宋体" w:cs="宋体"/>
          <w:b/>
          <w:bCs/>
          <w:color w:val="auto"/>
          <w:spacing w:val="-3"/>
          <w:sz w:val="24"/>
          <w:szCs w:val="24"/>
          <w:highlight w:val="none"/>
        </w:rPr>
      </w:pPr>
    </w:p>
    <w:p w14:paraId="7C26BAA4">
      <w:pPr>
        <w:spacing w:before="78" w:line="219" w:lineRule="auto"/>
        <w:jc w:val="center"/>
        <w:outlineLvl w:val="1"/>
        <w:rPr>
          <w:rFonts w:hint="eastAsia" w:ascii="宋体" w:hAnsi="宋体" w:eastAsia="宋体" w:cs="宋体"/>
          <w:b/>
          <w:bCs/>
          <w:color w:val="auto"/>
          <w:spacing w:val="-3"/>
          <w:sz w:val="24"/>
          <w:szCs w:val="24"/>
          <w:highlight w:val="none"/>
        </w:rPr>
      </w:pPr>
    </w:p>
    <w:p w14:paraId="6031DE05">
      <w:pPr>
        <w:spacing w:before="78" w:line="219" w:lineRule="auto"/>
        <w:jc w:val="center"/>
        <w:outlineLvl w:val="1"/>
        <w:rPr>
          <w:rFonts w:hint="eastAsia" w:ascii="宋体" w:hAnsi="宋体" w:eastAsia="宋体" w:cs="宋体"/>
          <w:b/>
          <w:bCs/>
          <w:color w:val="auto"/>
          <w:spacing w:val="-3"/>
          <w:sz w:val="24"/>
          <w:szCs w:val="24"/>
          <w:highlight w:val="none"/>
        </w:rPr>
      </w:pPr>
    </w:p>
    <w:p w14:paraId="64CD36A6">
      <w:pPr>
        <w:spacing w:before="78" w:line="219" w:lineRule="auto"/>
        <w:jc w:val="center"/>
        <w:outlineLvl w:val="1"/>
        <w:rPr>
          <w:rFonts w:hint="eastAsia" w:ascii="宋体" w:hAnsi="宋体" w:eastAsia="宋体" w:cs="宋体"/>
          <w:b/>
          <w:bCs/>
          <w:color w:val="auto"/>
          <w:spacing w:val="-3"/>
          <w:sz w:val="24"/>
          <w:szCs w:val="24"/>
          <w:highlight w:val="none"/>
        </w:rPr>
      </w:pPr>
    </w:p>
    <w:p w14:paraId="574E0CC1">
      <w:pPr>
        <w:spacing w:before="78" w:line="219" w:lineRule="auto"/>
        <w:jc w:val="center"/>
        <w:outlineLvl w:val="1"/>
        <w:rPr>
          <w:rFonts w:hint="eastAsia" w:ascii="宋体" w:hAnsi="宋体" w:eastAsia="宋体" w:cs="宋体"/>
          <w:b/>
          <w:bCs/>
          <w:color w:val="auto"/>
          <w:spacing w:val="-3"/>
          <w:sz w:val="24"/>
          <w:szCs w:val="24"/>
          <w:highlight w:val="none"/>
        </w:rPr>
      </w:pPr>
    </w:p>
    <w:p w14:paraId="06A23923">
      <w:pPr>
        <w:spacing w:before="78" w:line="219" w:lineRule="auto"/>
        <w:jc w:val="center"/>
        <w:outlineLvl w:val="1"/>
        <w:rPr>
          <w:rFonts w:hint="eastAsia" w:ascii="宋体" w:hAnsi="宋体" w:eastAsia="宋体" w:cs="宋体"/>
          <w:b/>
          <w:bCs/>
          <w:color w:val="auto"/>
          <w:spacing w:val="-3"/>
          <w:sz w:val="24"/>
          <w:szCs w:val="24"/>
          <w:highlight w:val="none"/>
        </w:rPr>
      </w:pPr>
    </w:p>
    <w:p w14:paraId="50F27CC9">
      <w:pPr>
        <w:spacing w:before="78" w:line="219" w:lineRule="auto"/>
        <w:jc w:val="center"/>
        <w:outlineLvl w:val="1"/>
        <w:rPr>
          <w:rFonts w:hint="eastAsia" w:ascii="宋体" w:hAnsi="宋体" w:eastAsia="宋体" w:cs="宋体"/>
          <w:b/>
          <w:bCs/>
          <w:color w:val="auto"/>
          <w:spacing w:val="-3"/>
          <w:sz w:val="24"/>
          <w:szCs w:val="24"/>
          <w:highlight w:val="none"/>
        </w:rPr>
      </w:pPr>
    </w:p>
    <w:p w14:paraId="205EA7EB">
      <w:pPr>
        <w:spacing w:before="78" w:line="219" w:lineRule="auto"/>
        <w:jc w:val="center"/>
        <w:outlineLvl w:val="1"/>
        <w:rPr>
          <w:rFonts w:hint="eastAsia" w:ascii="宋体" w:hAnsi="宋体" w:eastAsia="宋体" w:cs="宋体"/>
          <w:b/>
          <w:bCs/>
          <w:color w:val="auto"/>
          <w:spacing w:val="-3"/>
          <w:sz w:val="24"/>
          <w:szCs w:val="24"/>
          <w:highlight w:val="none"/>
        </w:rPr>
      </w:pPr>
    </w:p>
    <w:p w14:paraId="7C6D4CC9">
      <w:pPr>
        <w:spacing w:before="78" w:line="219" w:lineRule="auto"/>
        <w:jc w:val="center"/>
        <w:outlineLvl w:val="1"/>
        <w:rPr>
          <w:rFonts w:hint="eastAsia" w:ascii="宋体" w:hAnsi="宋体" w:eastAsia="宋体" w:cs="宋体"/>
          <w:b/>
          <w:bCs/>
          <w:color w:val="auto"/>
          <w:spacing w:val="-3"/>
          <w:sz w:val="24"/>
          <w:szCs w:val="24"/>
          <w:highlight w:val="none"/>
        </w:rPr>
      </w:pPr>
    </w:p>
    <w:p w14:paraId="30193241">
      <w:pPr>
        <w:spacing w:before="78" w:line="219" w:lineRule="auto"/>
        <w:jc w:val="center"/>
        <w:outlineLvl w:val="1"/>
        <w:rPr>
          <w:rFonts w:hint="eastAsia" w:ascii="宋体" w:hAnsi="宋体" w:eastAsia="宋体" w:cs="宋体"/>
          <w:b/>
          <w:bCs/>
          <w:color w:val="auto"/>
          <w:spacing w:val="-3"/>
          <w:sz w:val="24"/>
          <w:szCs w:val="24"/>
          <w:highlight w:val="none"/>
        </w:rPr>
      </w:pPr>
    </w:p>
    <w:p w14:paraId="20D40A6B">
      <w:pPr>
        <w:spacing w:before="78" w:line="219" w:lineRule="auto"/>
        <w:jc w:val="center"/>
        <w:outlineLvl w:val="1"/>
        <w:rPr>
          <w:rFonts w:hint="eastAsia" w:ascii="宋体" w:hAnsi="宋体" w:eastAsia="宋体" w:cs="宋体"/>
          <w:b/>
          <w:bCs/>
          <w:color w:val="auto"/>
          <w:spacing w:val="-3"/>
          <w:sz w:val="24"/>
          <w:szCs w:val="24"/>
          <w:highlight w:val="none"/>
        </w:rPr>
      </w:pPr>
    </w:p>
    <w:p w14:paraId="2C3333F2">
      <w:pPr>
        <w:spacing w:before="78" w:line="219" w:lineRule="auto"/>
        <w:jc w:val="center"/>
        <w:outlineLvl w:val="1"/>
        <w:rPr>
          <w:rFonts w:hint="eastAsia" w:ascii="宋体" w:hAnsi="宋体" w:eastAsia="宋体" w:cs="宋体"/>
          <w:b/>
          <w:bCs/>
          <w:color w:val="auto"/>
          <w:spacing w:val="-3"/>
          <w:sz w:val="24"/>
          <w:szCs w:val="24"/>
          <w:highlight w:val="none"/>
        </w:rPr>
      </w:pPr>
    </w:p>
    <w:p w14:paraId="6D622BC9">
      <w:pPr>
        <w:spacing w:before="78" w:line="219" w:lineRule="auto"/>
        <w:jc w:val="center"/>
        <w:outlineLvl w:val="1"/>
        <w:rPr>
          <w:rFonts w:hint="eastAsia" w:ascii="宋体" w:hAnsi="宋体" w:eastAsia="宋体" w:cs="宋体"/>
          <w:b/>
          <w:bCs/>
          <w:color w:val="auto"/>
          <w:spacing w:val="-3"/>
          <w:sz w:val="24"/>
          <w:szCs w:val="24"/>
          <w:highlight w:val="none"/>
        </w:rPr>
      </w:pPr>
    </w:p>
    <w:p w14:paraId="45D785F6">
      <w:pPr>
        <w:spacing w:before="78" w:line="219" w:lineRule="auto"/>
        <w:jc w:val="center"/>
        <w:outlineLvl w:val="1"/>
        <w:rPr>
          <w:rFonts w:hint="eastAsia" w:ascii="宋体" w:hAnsi="宋体" w:eastAsia="宋体" w:cs="宋体"/>
          <w:b/>
          <w:bCs/>
          <w:color w:val="auto"/>
          <w:spacing w:val="-3"/>
          <w:sz w:val="24"/>
          <w:szCs w:val="24"/>
          <w:highlight w:val="none"/>
        </w:rPr>
      </w:pPr>
    </w:p>
    <w:p w14:paraId="1A798D0E">
      <w:pPr>
        <w:spacing w:before="78" w:line="219" w:lineRule="auto"/>
        <w:jc w:val="center"/>
        <w:outlineLvl w:val="1"/>
        <w:rPr>
          <w:rFonts w:hint="eastAsia" w:ascii="宋体" w:hAnsi="宋体" w:eastAsia="宋体" w:cs="宋体"/>
          <w:b/>
          <w:bCs/>
          <w:color w:val="auto"/>
          <w:spacing w:val="-3"/>
          <w:sz w:val="24"/>
          <w:szCs w:val="24"/>
          <w:highlight w:val="none"/>
        </w:rPr>
      </w:pPr>
    </w:p>
    <w:p w14:paraId="7253BFBB">
      <w:pPr>
        <w:spacing w:before="78" w:line="219" w:lineRule="auto"/>
        <w:jc w:val="center"/>
        <w:outlineLvl w:val="1"/>
        <w:rPr>
          <w:rFonts w:hint="eastAsia" w:ascii="宋体" w:hAnsi="宋体" w:eastAsia="宋体" w:cs="宋体"/>
          <w:b/>
          <w:bCs/>
          <w:color w:val="auto"/>
          <w:spacing w:val="-3"/>
          <w:sz w:val="24"/>
          <w:szCs w:val="24"/>
          <w:highlight w:val="none"/>
        </w:rPr>
      </w:pPr>
    </w:p>
    <w:p w14:paraId="1BA659E5">
      <w:pPr>
        <w:spacing w:before="78" w:line="219" w:lineRule="auto"/>
        <w:jc w:val="center"/>
        <w:outlineLvl w:val="1"/>
        <w:rPr>
          <w:rFonts w:hint="eastAsia" w:ascii="宋体" w:hAnsi="宋体" w:eastAsia="宋体" w:cs="宋体"/>
          <w:b/>
          <w:bCs/>
          <w:color w:val="auto"/>
          <w:spacing w:val="-3"/>
          <w:sz w:val="24"/>
          <w:szCs w:val="24"/>
          <w:highlight w:val="none"/>
        </w:rPr>
      </w:pPr>
    </w:p>
    <w:p w14:paraId="44FDDF06">
      <w:pPr>
        <w:spacing w:before="78" w:line="219" w:lineRule="auto"/>
        <w:jc w:val="center"/>
        <w:outlineLvl w:val="1"/>
        <w:rPr>
          <w:rFonts w:hint="eastAsia" w:ascii="宋体" w:hAnsi="宋体" w:eastAsia="宋体" w:cs="宋体"/>
          <w:b/>
          <w:bCs/>
          <w:color w:val="auto"/>
          <w:spacing w:val="-3"/>
          <w:sz w:val="24"/>
          <w:szCs w:val="24"/>
          <w:highlight w:val="none"/>
        </w:rPr>
      </w:pPr>
    </w:p>
    <w:p w14:paraId="6A814535">
      <w:pPr>
        <w:spacing w:before="78" w:line="219" w:lineRule="auto"/>
        <w:jc w:val="center"/>
        <w:outlineLvl w:val="1"/>
        <w:rPr>
          <w:rFonts w:hint="eastAsia" w:ascii="宋体" w:hAnsi="宋体" w:eastAsia="宋体" w:cs="宋体"/>
          <w:b/>
          <w:bCs/>
          <w:color w:val="auto"/>
          <w:spacing w:val="-3"/>
          <w:sz w:val="24"/>
          <w:szCs w:val="24"/>
          <w:highlight w:val="none"/>
        </w:rPr>
      </w:pPr>
    </w:p>
    <w:p w14:paraId="2C84FF1B">
      <w:pPr>
        <w:spacing w:before="78" w:line="219" w:lineRule="auto"/>
        <w:jc w:val="center"/>
        <w:outlineLvl w:val="1"/>
        <w:rPr>
          <w:rFonts w:hint="eastAsia" w:ascii="宋体" w:hAnsi="宋体" w:eastAsia="宋体" w:cs="宋体"/>
          <w:b/>
          <w:bCs/>
          <w:color w:val="auto"/>
          <w:spacing w:val="-3"/>
          <w:sz w:val="24"/>
          <w:szCs w:val="24"/>
          <w:highlight w:val="none"/>
        </w:rPr>
      </w:pPr>
    </w:p>
    <w:p w14:paraId="2B712078">
      <w:pPr>
        <w:spacing w:before="78" w:line="219" w:lineRule="auto"/>
        <w:jc w:val="center"/>
        <w:outlineLvl w:val="1"/>
        <w:rPr>
          <w:rFonts w:hint="eastAsia" w:ascii="宋体" w:hAnsi="宋体" w:eastAsia="宋体" w:cs="宋体"/>
          <w:b/>
          <w:bCs/>
          <w:color w:val="auto"/>
          <w:spacing w:val="-3"/>
          <w:sz w:val="24"/>
          <w:szCs w:val="24"/>
          <w:highlight w:val="none"/>
        </w:rPr>
      </w:pPr>
    </w:p>
    <w:p w14:paraId="2C719281">
      <w:pPr>
        <w:spacing w:before="78" w:line="219" w:lineRule="auto"/>
        <w:jc w:val="center"/>
        <w:outlineLvl w:val="1"/>
        <w:rPr>
          <w:rFonts w:hint="eastAsia" w:ascii="宋体" w:hAnsi="宋体" w:eastAsia="宋体" w:cs="宋体"/>
          <w:b/>
          <w:bCs/>
          <w:color w:val="auto"/>
          <w:spacing w:val="-3"/>
          <w:sz w:val="24"/>
          <w:szCs w:val="24"/>
          <w:highlight w:val="none"/>
        </w:rPr>
      </w:pPr>
    </w:p>
    <w:p w14:paraId="1A6F67AB">
      <w:pPr>
        <w:spacing w:before="78" w:line="219" w:lineRule="auto"/>
        <w:jc w:val="center"/>
        <w:outlineLvl w:val="1"/>
        <w:rPr>
          <w:rFonts w:hint="eastAsia" w:ascii="宋体" w:hAnsi="宋体" w:eastAsia="宋体" w:cs="宋体"/>
          <w:b/>
          <w:bCs/>
          <w:color w:val="auto"/>
          <w:spacing w:val="-3"/>
          <w:sz w:val="24"/>
          <w:szCs w:val="24"/>
          <w:highlight w:val="none"/>
        </w:rPr>
      </w:pPr>
    </w:p>
    <w:p w14:paraId="7B9B4278">
      <w:pPr>
        <w:spacing w:before="78" w:line="219" w:lineRule="auto"/>
        <w:jc w:val="center"/>
        <w:outlineLvl w:val="1"/>
        <w:rPr>
          <w:rFonts w:hint="eastAsia" w:ascii="宋体" w:hAnsi="宋体" w:eastAsia="宋体" w:cs="宋体"/>
          <w:b/>
          <w:bCs/>
          <w:color w:val="auto"/>
          <w:spacing w:val="-3"/>
          <w:sz w:val="24"/>
          <w:szCs w:val="24"/>
          <w:highlight w:val="none"/>
        </w:rPr>
      </w:pPr>
    </w:p>
    <w:p w14:paraId="6F09FB96">
      <w:pPr>
        <w:spacing w:before="78" w:line="219" w:lineRule="auto"/>
        <w:jc w:val="center"/>
        <w:outlineLvl w:val="1"/>
        <w:rPr>
          <w:rFonts w:hint="eastAsia" w:ascii="宋体" w:hAnsi="宋体" w:eastAsia="宋体" w:cs="宋体"/>
          <w:b/>
          <w:bCs/>
          <w:color w:val="auto"/>
          <w:spacing w:val="-3"/>
          <w:sz w:val="24"/>
          <w:szCs w:val="24"/>
          <w:highlight w:val="none"/>
        </w:rPr>
      </w:pPr>
    </w:p>
    <w:p w14:paraId="3C47F80F">
      <w:pPr>
        <w:spacing w:before="78" w:line="219" w:lineRule="auto"/>
        <w:jc w:val="center"/>
        <w:outlineLvl w:val="1"/>
        <w:rPr>
          <w:rFonts w:hint="eastAsia" w:ascii="宋体" w:hAnsi="宋体" w:eastAsia="宋体" w:cs="宋体"/>
          <w:b/>
          <w:bCs/>
          <w:color w:val="auto"/>
          <w:spacing w:val="-3"/>
          <w:sz w:val="24"/>
          <w:szCs w:val="24"/>
          <w:highlight w:val="none"/>
        </w:rPr>
      </w:pPr>
    </w:p>
    <w:p w14:paraId="272AC14D">
      <w:pPr>
        <w:spacing w:before="78" w:line="219" w:lineRule="auto"/>
        <w:jc w:val="center"/>
        <w:outlineLvl w:val="1"/>
        <w:rPr>
          <w:rFonts w:hint="eastAsia" w:ascii="宋体" w:hAnsi="宋体" w:eastAsia="宋体" w:cs="宋体"/>
          <w:b/>
          <w:bCs/>
          <w:color w:val="auto"/>
          <w:spacing w:val="-3"/>
          <w:sz w:val="24"/>
          <w:szCs w:val="24"/>
          <w:highlight w:val="none"/>
        </w:rPr>
      </w:pPr>
    </w:p>
    <w:p w14:paraId="054924C2">
      <w:pPr>
        <w:spacing w:before="78" w:line="219" w:lineRule="auto"/>
        <w:jc w:val="center"/>
        <w:outlineLvl w:val="1"/>
        <w:rPr>
          <w:rFonts w:hint="eastAsia" w:ascii="宋体" w:hAnsi="宋体" w:eastAsia="宋体" w:cs="宋体"/>
          <w:b/>
          <w:bCs/>
          <w:color w:val="auto"/>
          <w:spacing w:val="-3"/>
          <w:sz w:val="24"/>
          <w:szCs w:val="24"/>
          <w:highlight w:val="none"/>
        </w:rPr>
      </w:pPr>
    </w:p>
    <w:p w14:paraId="3A4ECF1E">
      <w:pPr>
        <w:spacing w:before="78" w:line="219" w:lineRule="auto"/>
        <w:jc w:val="center"/>
        <w:outlineLvl w:val="1"/>
        <w:rPr>
          <w:rFonts w:hint="eastAsia" w:ascii="宋体" w:hAnsi="宋体" w:eastAsia="宋体" w:cs="宋体"/>
          <w:b/>
          <w:bCs/>
          <w:color w:val="auto"/>
          <w:spacing w:val="-3"/>
          <w:sz w:val="24"/>
          <w:szCs w:val="24"/>
          <w:highlight w:val="none"/>
        </w:rPr>
      </w:pPr>
    </w:p>
    <w:p w14:paraId="40F38C4C">
      <w:pPr>
        <w:spacing w:before="78" w:line="219" w:lineRule="auto"/>
        <w:jc w:val="center"/>
        <w:outlineLvl w:val="1"/>
        <w:rPr>
          <w:rFonts w:hint="eastAsia" w:ascii="宋体" w:hAnsi="宋体" w:eastAsia="宋体" w:cs="宋体"/>
          <w:color w:val="auto"/>
          <w:highlight w:val="none"/>
        </w:rPr>
      </w:pPr>
      <w:bookmarkStart w:id="272" w:name="_Toc10482"/>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72"/>
    </w:p>
    <w:p w14:paraId="4F8929F7">
      <w:pPr>
        <w:pStyle w:val="6"/>
        <w:spacing w:line="257" w:lineRule="auto"/>
        <w:rPr>
          <w:rFonts w:hint="eastAsia" w:ascii="宋体" w:hAnsi="宋体" w:eastAsia="宋体" w:cs="宋体"/>
          <w:color w:val="auto"/>
          <w:highlight w:val="none"/>
        </w:rPr>
      </w:pPr>
    </w:p>
    <w:p w14:paraId="0A77C2EA">
      <w:pPr>
        <w:spacing w:before="78" w:line="324" w:lineRule="auto"/>
        <w:ind w:firstLine="480"/>
        <w:rPr>
          <w:rFonts w:hint="eastAsia" w:ascii="宋体" w:hAnsi="宋体" w:eastAsia="宋体" w:cs="宋体"/>
          <w:color w:val="auto"/>
          <w:spacing w:val="-1"/>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w:t>
      </w:r>
      <w:r>
        <w:rPr>
          <w:rFonts w:hint="eastAsia" w:ascii="宋体" w:hAnsi="宋体" w:eastAsia="宋体" w:cs="宋体"/>
          <w:color w:val="auto"/>
          <w:spacing w:val="-1"/>
          <w:sz w:val="24"/>
          <w:szCs w:val="24"/>
          <w:highlight w:val="none"/>
          <w:lang w:val="en-US" w:eastAsia="zh-CN"/>
        </w:rPr>
        <w:t>或《建设工程施工合同示范文本（房屋建筑和市政工程）》（WJ-2026-0227）</w:t>
      </w:r>
      <w:r>
        <w:rPr>
          <w:rFonts w:hint="eastAsia" w:ascii="宋体" w:hAnsi="宋体" w:eastAsia="宋体" w:cs="宋体"/>
          <w:color w:val="auto"/>
          <w:spacing w:val="-1"/>
          <w:sz w:val="24"/>
          <w:szCs w:val="24"/>
          <w:highlight w:val="none"/>
        </w:rPr>
        <w:t>执行。</w:t>
      </w:r>
    </w:p>
    <w:p w14:paraId="131B8557">
      <w:pPr>
        <w:spacing w:before="78" w:line="324" w:lineRule="auto"/>
        <w:ind w:firstLine="480"/>
        <w:rPr>
          <w:rFonts w:hint="eastAsia" w:ascii="宋体" w:hAnsi="宋体" w:eastAsia="宋体" w:cs="宋体"/>
          <w:color w:val="auto"/>
          <w:sz w:val="24"/>
          <w:szCs w:val="24"/>
          <w:highlight w:val="none"/>
        </w:rPr>
      </w:pPr>
    </w:p>
    <w:p w14:paraId="44640A2C">
      <w:pPr>
        <w:rPr>
          <w:rFonts w:hint="eastAsia" w:ascii="宋体" w:hAnsi="宋体" w:eastAsia="宋体" w:cs="宋体"/>
          <w:color w:val="auto"/>
          <w:highlight w:val="none"/>
        </w:rPr>
      </w:pPr>
    </w:p>
    <w:sectPr>
      <w:footerReference r:id="rId2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90F74">
    <w:pPr>
      <w:pStyle w:val="9"/>
    </w:pPr>
    <w:r>
      <w:rPr>
        <w:sz w:val="18"/>
      </w:rPr>
      <mc:AlternateContent>
        <mc:Choice Requires="wps">
          <w:drawing>
            <wp:anchor distT="0" distB="0" distL="114300" distR="114300" simplePos="0" relativeHeight="251679744"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7AA0AA63">
                          <w:pPr>
                            <w:pStyle w:val="9"/>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79744;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e/Q19kAAAALAQAADwAAAAAAAAABACAAAAAiAAAAZHJzL2Rvd25yZXYueG1sUEsB&#10;AhQAFAAAAAgAh07iQPACNNW7AQAAcwMAAA4AAAAAAAAAAQAgAAAAKAEAAGRycy9lMm9Eb2MueG1s&#10;UEsFBgAAAAAGAAYAWQEAAFUFAAAAAA==&#10;">
              <v:fill on="f" focussize="0,0"/>
              <v:stroke on="f"/>
              <v:imagedata o:title=""/>
              <o:lock v:ext="edit" aspectratio="f"/>
              <v:textbox inset="0mm,0mm,0mm,0mm">
                <w:txbxContent>
                  <w:p w14:paraId="7AA0AA6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A3D31">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069A84">
                          <w:pPr>
                            <w:pStyle w:val="9"/>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6069A84">
                    <w:pPr>
                      <w:pStyle w:val="9"/>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59BBD">
    <w:pPr>
      <w:pStyle w:val="9"/>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E5FDE4">
                          <w:pPr>
                            <w:pStyle w:val="9"/>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27E5FDE4">
                    <w:pPr>
                      <w:pStyle w:val="9"/>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254D5">
    <w:pPr>
      <w:pStyle w:val="9"/>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328BA0">
                          <w:pPr>
                            <w:pStyle w:val="9"/>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32328BA0">
                    <w:pPr>
                      <w:pStyle w:val="9"/>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F7A28">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548F88">
                          <w:pPr>
                            <w:pStyle w:val="9"/>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4F548F88">
                    <w:pPr>
                      <w:pStyle w:val="9"/>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972CD">
    <w:pPr>
      <w:pStyle w:val="9"/>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204562">
                          <w:pPr>
                            <w:pStyle w:val="9"/>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E204562">
                    <w:pPr>
                      <w:pStyle w:val="9"/>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94C7B">
    <w:pPr>
      <w:pStyle w:val="9"/>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20FD3A">
                          <w:pPr>
                            <w:pStyle w:val="9"/>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1F20FD3A">
                    <w:pPr>
                      <w:pStyle w:val="9"/>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855E9">
    <w:pPr>
      <w:pStyle w:val="9"/>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BC4325">
                          <w:pPr>
                            <w:pStyle w:val="9"/>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07BC4325">
                    <w:pPr>
                      <w:pStyle w:val="9"/>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4A1DD">
    <w:pPr>
      <w:pStyle w:val="9"/>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72AC83">
                          <w:pPr>
                            <w:pStyle w:val="9"/>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5772AC83">
                    <w:pPr>
                      <w:pStyle w:val="9"/>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03678">
    <w:pPr>
      <w:pStyle w:val="9"/>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8BDFEE">
                          <w:pPr>
                            <w:pStyle w:val="9"/>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3C8BDFEE">
                    <w:pPr>
                      <w:pStyle w:val="9"/>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A54D5">
    <w:pPr>
      <w:pStyle w:val="9"/>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04257B">
                          <w:pPr>
                            <w:pStyle w:val="9"/>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D04257B">
                    <w:pPr>
                      <w:pStyle w:val="9"/>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E2A57">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ACD18E">
                          <w:pPr>
                            <w:pStyle w:val="9"/>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5FACD18E">
                    <w:pPr>
                      <w:pStyle w:val="9"/>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D6CE7">
    <w:pPr>
      <w:pStyle w:val="9"/>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F08575">
                          <w:pPr>
                            <w:pStyle w:val="9"/>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68+0co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v68+0coBAACbAwAADgAAAAAAAAABACAAAAAeAQAAZHJzL2Uyb0Rv&#10;Yy54bWxQSwUGAAAAAAYABgBZAQAAWgUAAAAA&#10;">
              <v:fill on="f" focussize="0,0"/>
              <v:stroke on="f"/>
              <v:imagedata o:title=""/>
              <o:lock v:ext="edit" aspectratio="f"/>
              <v:textbox inset="0mm,0mm,0mm,0mm" style="mso-fit-shape-to-text:t;">
                <w:txbxContent>
                  <w:p w14:paraId="73F08575">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C0874">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F4D2CA">
                          <w:pPr>
                            <w:pStyle w:val="9"/>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08F4D2CA">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C97F4">
    <w:pPr>
      <w:pStyle w:val="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975851">
                          <w:pPr>
                            <w:pStyle w:val="9"/>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27975851">
                    <w:pPr>
                      <w:pStyle w:val="9"/>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8B9A4">
    <w:pPr>
      <w:pStyle w:val="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7BA269">
                          <w:pPr>
                            <w:pStyle w:val="9"/>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17BA269">
                    <w:pPr>
                      <w:pStyle w:val="9"/>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7F7C8">
    <w:pPr>
      <w:pStyle w:val="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300860">
                          <w:pPr>
                            <w:pStyle w:val="9"/>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51300860">
                    <w:pPr>
                      <w:pStyle w:val="9"/>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30E49">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550D8BE">
                          <w:pPr>
                            <w:pStyle w:val="9"/>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6550D8BE">
                    <w:pPr>
                      <w:pStyle w:val="9"/>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53E50">
    <w:pPr>
      <w:pStyle w:val="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EBCA68">
                          <w:pPr>
                            <w:pStyle w:val="9"/>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49EBCA68">
                    <w:pPr>
                      <w:pStyle w:val="9"/>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20278">
    <w:pPr>
      <w:pStyle w:val="6"/>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EAB8B">
    <w:pPr>
      <w:pStyle w:val="6"/>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BFFF4">
    <w:pPr>
      <w:pStyle w:val="6"/>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E52E4">
    <w:pPr>
      <w:pStyle w:val="6"/>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1BF32">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1DFFD4"/>
    <w:multiLevelType w:val="singleLevel"/>
    <w:tmpl w:val="B21DFFD4"/>
    <w:lvl w:ilvl="0" w:tentative="0">
      <w:start w:val="1"/>
      <w:numFmt w:val="decimal"/>
      <w:suff w:val="nothing"/>
      <w:lvlText w:val="%1．"/>
      <w:lvlJc w:val="left"/>
    </w:lvl>
  </w:abstractNum>
  <w:abstractNum w:abstractNumId="1">
    <w:nsid w:val="E6C9BDCA"/>
    <w:multiLevelType w:val="singleLevel"/>
    <w:tmpl w:val="E6C9BDCA"/>
    <w:lvl w:ilvl="0" w:tentative="0">
      <w:start w:val="1"/>
      <w:numFmt w:val="decimal"/>
      <w:suff w:val="nothing"/>
      <w:lvlText w:val="（%1）"/>
      <w:lvlJc w:val="left"/>
    </w:lvl>
  </w:abstractNum>
  <w:abstractNum w:abstractNumId="2">
    <w:nsid w:val="3AB1A774"/>
    <w:multiLevelType w:val="singleLevel"/>
    <w:tmpl w:val="3AB1A774"/>
    <w:lvl w:ilvl="0" w:tentative="0">
      <w:start w:val="1"/>
      <w:numFmt w:val="decimal"/>
      <w:suff w:val="space"/>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mYWJjODQxYTJmZGUwYjQ3M2QwYzM4MWUxMzIyZTMifQ=="/>
  </w:docVars>
  <w:rsids>
    <w:rsidRoot w:val="4F582EF7"/>
    <w:rsid w:val="00072C34"/>
    <w:rsid w:val="00473031"/>
    <w:rsid w:val="007A3406"/>
    <w:rsid w:val="00824069"/>
    <w:rsid w:val="00D61DC8"/>
    <w:rsid w:val="01276505"/>
    <w:rsid w:val="013F232E"/>
    <w:rsid w:val="014C6B51"/>
    <w:rsid w:val="018B7D8A"/>
    <w:rsid w:val="01B6213A"/>
    <w:rsid w:val="01BE1198"/>
    <w:rsid w:val="01D33421"/>
    <w:rsid w:val="01E25ABE"/>
    <w:rsid w:val="01EE7C08"/>
    <w:rsid w:val="01FD63CC"/>
    <w:rsid w:val="02337D11"/>
    <w:rsid w:val="023B3D55"/>
    <w:rsid w:val="024978A8"/>
    <w:rsid w:val="024F6BF1"/>
    <w:rsid w:val="02BF0C55"/>
    <w:rsid w:val="02F13018"/>
    <w:rsid w:val="03044E9C"/>
    <w:rsid w:val="03103BAE"/>
    <w:rsid w:val="031418F0"/>
    <w:rsid w:val="0358304C"/>
    <w:rsid w:val="035F488B"/>
    <w:rsid w:val="03661A20"/>
    <w:rsid w:val="03884133"/>
    <w:rsid w:val="039E06FB"/>
    <w:rsid w:val="04021749"/>
    <w:rsid w:val="040D352F"/>
    <w:rsid w:val="04225756"/>
    <w:rsid w:val="043520BC"/>
    <w:rsid w:val="04B67F25"/>
    <w:rsid w:val="04BA3A86"/>
    <w:rsid w:val="04BF763A"/>
    <w:rsid w:val="04E2157A"/>
    <w:rsid w:val="04EF43C3"/>
    <w:rsid w:val="055E6E53"/>
    <w:rsid w:val="056C5F91"/>
    <w:rsid w:val="059A3EA8"/>
    <w:rsid w:val="05D4768F"/>
    <w:rsid w:val="05E67124"/>
    <w:rsid w:val="05E732EC"/>
    <w:rsid w:val="05EC614B"/>
    <w:rsid w:val="062235DD"/>
    <w:rsid w:val="063C112F"/>
    <w:rsid w:val="067B1C86"/>
    <w:rsid w:val="06856661"/>
    <w:rsid w:val="069B537E"/>
    <w:rsid w:val="06C70A28"/>
    <w:rsid w:val="06C929F2"/>
    <w:rsid w:val="06CA23DC"/>
    <w:rsid w:val="06D05B2E"/>
    <w:rsid w:val="06DD024B"/>
    <w:rsid w:val="07001B9F"/>
    <w:rsid w:val="07133987"/>
    <w:rsid w:val="07520C39"/>
    <w:rsid w:val="07A1396F"/>
    <w:rsid w:val="07A71DAB"/>
    <w:rsid w:val="07DE24CD"/>
    <w:rsid w:val="08103ADB"/>
    <w:rsid w:val="086230FE"/>
    <w:rsid w:val="087C3598"/>
    <w:rsid w:val="088C763C"/>
    <w:rsid w:val="089718A3"/>
    <w:rsid w:val="08CD7283"/>
    <w:rsid w:val="08D062B9"/>
    <w:rsid w:val="08E41D65"/>
    <w:rsid w:val="08EB6C4F"/>
    <w:rsid w:val="092D5890"/>
    <w:rsid w:val="0963211F"/>
    <w:rsid w:val="098E2AFB"/>
    <w:rsid w:val="09C807D3"/>
    <w:rsid w:val="09F06AB0"/>
    <w:rsid w:val="09FA34EB"/>
    <w:rsid w:val="09FF4A68"/>
    <w:rsid w:val="0A3C3AB5"/>
    <w:rsid w:val="0A62467A"/>
    <w:rsid w:val="0A7D4664"/>
    <w:rsid w:val="0A8235E3"/>
    <w:rsid w:val="0A87732E"/>
    <w:rsid w:val="0AD33307"/>
    <w:rsid w:val="0AE05E8C"/>
    <w:rsid w:val="0AF3628F"/>
    <w:rsid w:val="0B3866B7"/>
    <w:rsid w:val="0B41524D"/>
    <w:rsid w:val="0B9E41C6"/>
    <w:rsid w:val="0BC6217A"/>
    <w:rsid w:val="0BD240F7"/>
    <w:rsid w:val="0BE5207C"/>
    <w:rsid w:val="0BF41F06"/>
    <w:rsid w:val="0C120997"/>
    <w:rsid w:val="0C2A7A8F"/>
    <w:rsid w:val="0C2B1A59"/>
    <w:rsid w:val="0C4153D2"/>
    <w:rsid w:val="0C49746F"/>
    <w:rsid w:val="0C597D15"/>
    <w:rsid w:val="0CA07D76"/>
    <w:rsid w:val="0CA27F6D"/>
    <w:rsid w:val="0CC0489C"/>
    <w:rsid w:val="0CD128FC"/>
    <w:rsid w:val="0CF14A50"/>
    <w:rsid w:val="0D03679A"/>
    <w:rsid w:val="0D181D64"/>
    <w:rsid w:val="0D3B3F1D"/>
    <w:rsid w:val="0DCB0DFD"/>
    <w:rsid w:val="0DCE22AF"/>
    <w:rsid w:val="0DF525DE"/>
    <w:rsid w:val="0DF61CE0"/>
    <w:rsid w:val="0DF86616"/>
    <w:rsid w:val="0E1E1875"/>
    <w:rsid w:val="0E460DCC"/>
    <w:rsid w:val="0E684952"/>
    <w:rsid w:val="0E86353F"/>
    <w:rsid w:val="0E8E37ED"/>
    <w:rsid w:val="0EAF2E14"/>
    <w:rsid w:val="0EDB59B8"/>
    <w:rsid w:val="0F1C2D99"/>
    <w:rsid w:val="0F363986"/>
    <w:rsid w:val="0F6F04DC"/>
    <w:rsid w:val="0FAB0EE6"/>
    <w:rsid w:val="105858FC"/>
    <w:rsid w:val="106C3AC2"/>
    <w:rsid w:val="108403E2"/>
    <w:rsid w:val="109275A9"/>
    <w:rsid w:val="10C15734"/>
    <w:rsid w:val="10C44237"/>
    <w:rsid w:val="11164A85"/>
    <w:rsid w:val="1122342A"/>
    <w:rsid w:val="11533574"/>
    <w:rsid w:val="11785740"/>
    <w:rsid w:val="117A3266"/>
    <w:rsid w:val="11862732"/>
    <w:rsid w:val="118F278E"/>
    <w:rsid w:val="119D4F21"/>
    <w:rsid w:val="11A47985"/>
    <w:rsid w:val="11C67A56"/>
    <w:rsid w:val="11D80D88"/>
    <w:rsid w:val="12474DCB"/>
    <w:rsid w:val="12527641"/>
    <w:rsid w:val="126805E3"/>
    <w:rsid w:val="12E7492B"/>
    <w:rsid w:val="12E74FC1"/>
    <w:rsid w:val="12F27F6E"/>
    <w:rsid w:val="13566096"/>
    <w:rsid w:val="13612AFD"/>
    <w:rsid w:val="14141B79"/>
    <w:rsid w:val="1457788F"/>
    <w:rsid w:val="14760C96"/>
    <w:rsid w:val="14882C02"/>
    <w:rsid w:val="14CB3DD9"/>
    <w:rsid w:val="14D013EF"/>
    <w:rsid w:val="150A2744"/>
    <w:rsid w:val="150D2643"/>
    <w:rsid w:val="15115C90"/>
    <w:rsid w:val="1557566D"/>
    <w:rsid w:val="15763D45"/>
    <w:rsid w:val="15853F88"/>
    <w:rsid w:val="15A45AE5"/>
    <w:rsid w:val="15D97B34"/>
    <w:rsid w:val="15DC13FE"/>
    <w:rsid w:val="15E038B4"/>
    <w:rsid w:val="16005D04"/>
    <w:rsid w:val="160E0085"/>
    <w:rsid w:val="162E6E4D"/>
    <w:rsid w:val="16443E43"/>
    <w:rsid w:val="165D1EF2"/>
    <w:rsid w:val="16737FC1"/>
    <w:rsid w:val="16C17241"/>
    <w:rsid w:val="16CB4A2F"/>
    <w:rsid w:val="17051824"/>
    <w:rsid w:val="1722468F"/>
    <w:rsid w:val="173C4B1A"/>
    <w:rsid w:val="17560191"/>
    <w:rsid w:val="17726DD2"/>
    <w:rsid w:val="17C50FB3"/>
    <w:rsid w:val="17DD454F"/>
    <w:rsid w:val="18226406"/>
    <w:rsid w:val="182A472E"/>
    <w:rsid w:val="18602A8A"/>
    <w:rsid w:val="190B3062"/>
    <w:rsid w:val="1963464B"/>
    <w:rsid w:val="197764F6"/>
    <w:rsid w:val="19BC1F42"/>
    <w:rsid w:val="19C04161"/>
    <w:rsid w:val="1A3A6836"/>
    <w:rsid w:val="1A584D7E"/>
    <w:rsid w:val="1A5B5BFF"/>
    <w:rsid w:val="1A5D1977"/>
    <w:rsid w:val="1AC50DC4"/>
    <w:rsid w:val="1AE57555"/>
    <w:rsid w:val="1B0A266C"/>
    <w:rsid w:val="1B656D35"/>
    <w:rsid w:val="1B6A170F"/>
    <w:rsid w:val="1B745FC1"/>
    <w:rsid w:val="1B7E3953"/>
    <w:rsid w:val="1BAC43B0"/>
    <w:rsid w:val="1BE35EAC"/>
    <w:rsid w:val="1BEC4D61"/>
    <w:rsid w:val="1C185B56"/>
    <w:rsid w:val="1C2A3ADB"/>
    <w:rsid w:val="1C2D7127"/>
    <w:rsid w:val="1C324211"/>
    <w:rsid w:val="1C370023"/>
    <w:rsid w:val="1C396CE8"/>
    <w:rsid w:val="1C512E14"/>
    <w:rsid w:val="1C7F3E27"/>
    <w:rsid w:val="1D880AB9"/>
    <w:rsid w:val="1DA27862"/>
    <w:rsid w:val="1DE11B57"/>
    <w:rsid w:val="1E206F43"/>
    <w:rsid w:val="1E2A7432"/>
    <w:rsid w:val="1E3B5B2B"/>
    <w:rsid w:val="1E491296"/>
    <w:rsid w:val="1E4F7829"/>
    <w:rsid w:val="1E5D49E3"/>
    <w:rsid w:val="1E994221"/>
    <w:rsid w:val="1ED336BB"/>
    <w:rsid w:val="1EDA5344"/>
    <w:rsid w:val="1EE13915"/>
    <w:rsid w:val="1EE461C3"/>
    <w:rsid w:val="1F2307F8"/>
    <w:rsid w:val="1F2C3EC6"/>
    <w:rsid w:val="1F30765A"/>
    <w:rsid w:val="1F487665"/>
    <w:rsid w:val="1F683A66"/>
    <w:rsid w:val="1F875754"/>
    <w:rsid w:val="1FA95F4C"/>
    <w:rsid w:val="1FFE32B4"/>
    <w:rsid w:val="2020237A"/>
    <w:rsid w:val="203A3726"/>
    <w:rsid w:val="20515ADA"/>
    <w:rsid w:val="20801F1B"/>
    <w:rsid w:val="208952ED"/>
    <w:rsid w:val="208A4B48"/>
    <w:rsid w:val="209669C5"/>
    <w:rsid w:val="20B16579"/>
    <w:rsid w:val="20C37337"/>
    <w:rsid w:val="20CB1F07"/>
    <w:rsid w:val="20F6072B"/>
    <w:rsid w:val="21090925"/>
    <w:rsid w:val="21244F9D"/>
    <w:rsid w:val="213D3171"/>
    <w:rsid w:val="21584C46"/>
    <w:rsid w:val="216B0B49"/>
    <w:rsid w:val="219739C1"/>
    <w:rsid w:val="222C2B90"/>
    <w:rsid w:val="22457E73"/>
    <w:rsid w:val="22596EC8"/>
    <w:rsid w:val="22837AA1"/>
    <w:rsid w:val="22884FD6"/>
    <w:rsid w:val="22941CAE"/>
    <w:rsid w:val="22F866E1"/>
    <w:rsid w:val="23213C5D"/>
    <w:rsid w:val="232C2DD6"/>
    <w:rsid w:val="2331574F"/>
    <w:rsid w:val="233953DA"/>
    <w:rsid w:val="235B72E4"/>
    <w:rsid w:val="23931F66"/>
    <w:rsid w:val="23C465C3"/>
    <w:rsid w:val="23D25D19"/>
    <w:rsid w:val="24262DDA"/>
    <w:rsid w:val="2446643F"/>
    <w:rsid w:val="245A2A83"/>
    <w:rsid w:val="246102B6"/>
    <w:rsid w:val="24782AD4"/>
    <w:rsid w:val="24793672"/>
    <w:rsid w:val="248726E0"/>
    <w:rsid w:val="249C3951"/>
    <w:rsid w:val="24DB3BC4"/>
    <w:rsid w:val="24FA6740"/>
    <w:rsid w:val="25004979"/>
    <w:rsid w:val="25243F0A"/>
    <w:rsid w:val="253A7C36"/>
    <w:rsid w:val="254C2D14"/>
    <w:rsid w:val="256D06AE"/>
    <w:rsid w:val="2582242A"/>
    <w:rsid w:val="259D2ECD"/>
    <w:rsid w:val="25A55F80"/>
    <w:rsid w:val="25B20381"/>
    <w:rsid w:val="25E62821"/>
    <w:rsid w:val="25F25669"/>
    <w:rsid w:val="260B04D9"/>
    <w:rsid w:val="264763B7"/>
    <w:rsid w:val="2672726E"/>
    <w:rsid w:val="26734FA1"/>
    <w:rsid w:val="26881A92"/>
    <w:rsid w:val="268B2A3A"/>
    <w:rsid w:val="268B3DAD"/>
    <w:rsid w:val="26962499"/>
    <w:rsid w:val="269F111B"/>
    <w:rsid w:val="26A61FB0"/>
    <w:rsid w:val="27035E88"/>
    <w:rsid w:val="27415C62"/>
    <w:rsid w:val="27A83832"/>
    <w:rsid w:val="27AC35F6"/>
    <w:rsid w:val="27B65EBB"/>
    <w:rsid w:val="27BD1CA7"/>
    <w:rsid w:val="27CA47C6"/>
    <w:rsid w:val="28182C62"/>
    <w:rsid w:val="282B4E63"/>
    <w:rsid w:val="28884FF7"/>
    <w:rsid w:val="289A5B44"/>
    <w:rsid w:val="289F315B"/>
    <w:rsid w:val="28AC626B"/>
    <w:rsid w:val="28C84027"/>
    <w:rsid w:val="28D472A8"/>
    <w:rsid w:val="29017971"/>
    <w:rsid w:val="290F389D"/>
    <w:rsid w:val="29600B3C"/>
    <w:rsid w:val="2962542C"/>
    <w:rsid w:val="299E36C0"/>
    <w:rsid w:val="29B33362"/>
    <w:rsid w:val="2B367172"/>
    <w:rsid w:val="2B7314CC"/>
    <w:rsid w:val="2B744CBB"/>
    <w:rsid w:val="2B784A6E"/>
    <w:rsid w:val="2B9A7B07"/>
    <w:rsid w:val="2BA07916"/>
    <w:rsid w:val="2BAE2033"/>
    <w:rsid w:val="2BB37649"/>
    <w:rsid w:val="2BB440A0"/>
    <w:rsid w:val="2BC9037C"/>
    <w:rsid w:val="2BE47802"/>
    <w:rsid w:val="2BFD3113"/>
    <w:rsid w:val="2C0003B4"/>
    <w:rsid w:val="2C0D2669"/>
    <w:rsid w:val="2C1005F7"/>
    <w:rsid w:val="2C15160E"/>
    <w:rsid w:val="2C44430E"/>
    <w:rsid w:val="2C4F172C"/>
    <w:rsid w:val="2C9C00DD"/>
    <w:rsid w:val="2CA156F3"/>
    <w:rsid w:val="2D03015C"/>
    <w:rsid w:val="2D906B09"/>
    <w:rsid w:val="2D9C13E5"/>
    <w:rsid w:val="2D9C5EBB"/>
    <w:rsid w:val="2DD973AC"/>
    <w:rsid w:val="2DFB1659"/>
    <w:rsid w:val="2E0221C2"/>
    <w:rsid w:val="2E611B70"/>
    <w:rsid w:val="2E9A689E"/>
    <w:rsid w:val="2EBD258D"/>
    <w:rsid w:val="2ECB6A58"/>
    <w:rsid w:val="2EDD4BB1"/>
    <w:rsid w:val="2F01185F"/>
    <w:rsid w:val="2F0410A6"/>
    <w:rsid w:val="2F2729AC"/>
    <w:rsid w:val="2F3C0F4C"/>
    <w:rsid w:val="2FA94990"/>
    <w:rsid w:val="2FAA4950"/>
    <w:rsid w:val="2FB82F9F"/>
    <w:rsid w:val="2FC33BD3"/>
    <w:rsid w:val="2FE418AC"/>
    <w:rsid w:val="2FE5383E"/>
    <w:rsid w:val="2FEA4C7F"/>
    <w:rsid w:val="30330D58"/>
    <w:rsid w:val="3037089D"/>
    <w:rsid w:val="308948D8"/>
    <w:rsid w:val="30EA3353"/>
    <w:rsid w:val="31013C49"/>
    <w:rsid w:val="312319EF"/>
    <w:rsid w:val="313C778B"/>
    <w:rsid w:val="318F6462"/>
    <w:rsid w:val="31C559E0"/>
    <w:rsid w:val="321A2D0F"/>
    <w:rsid w:val="322D02E9"/>
    <w:rsid w:val="32382656"/>
    <w:rsid w:val="324D664C"/>
    <w:rsid w:val="32503341"/>
    <w:rsid w:val="3267118D"/>
    <w:rsid w:val="32870EE7"/>
    <w:rsid w:val="32B65BD7"/>
    <w:rsid w:val="32BE6EB2"/>
    <w:rsid w:val="32C7154E"/>
    <w:rsid w:val="33156D5E"/>
    <w:rsid w:val="3317207A"/>
    <w:rsid w:val="331A6B7B"/>
    <w:rsid w:val="331D184C"/>
    <w:rsid w:val="331F2052"/>
    <w:rsid w:val="333554DB"/>
    <w:rsid w:val="33396D39"/>
    <w:rsid w:val="334E5EA9"/>
    <w:rsid w:val="33643EF5"/>
    <w:rsid w:val="33D80BF4"/>
    <w:rsid w:val="33F77F81"/>
    <w:rsid w:val="34254482"/>
    <w:rsid w:val="343A12C2"/>
    <w:rsid w:val="34445D20"/>
    <w:rsid w:val="346F257B"/>
    <w:rsid w:val="348C4EDB"/>
    <w:rsid w:val="348F605A"/>
    <w:rsid w:val="34E716B6"/>
    <w:rsid w:val="34EE16F2"/>
    <w:rsid w:val="3505113E"/>
    <w:rsid w:val="350B22A4"/>
    <w:rsid w:val="35233259"/>
    <w:rsid w:val="35357321"/>
    <w:rsid w:val="355115AF"/>
    <w:rsid w:val="359F2BE0"/>
    <w:rsid w:val="35AE6CC5"/>
    <w:rsid w:val="35C23876"/>
    <w:rsid w:val="35FC399A"/>
    <w:rsid w:val="36150400"/>
    <w:rsid w:val="362A675A"/>
    <w:rsid w:val="36670714"/>
    <w:rsid w:val="36B60605"/>
    <w:rsid w:val="36DB3EF8"/>
    <w:rsid w:val="36DB7A54"/>
    <w:rsid w:val="36EC39E0"/>
    <w:rsid w:val="37482CF9"/>
    <w:rsid w:val="37525FC5"/>
    <w:rsid w:val="37647A49"/>
    <w:rsid w:val="37704A11"/>
    <w:rsid w:val="37C45ACE"/>
    <w:rsid w:val="37DA5F5D"/>
    <w:rsid w:val="37DF2D89"/>
    <w:rsid w:val="37E335F2"/>
    <w:rsid w:val="380D7A3D"/>
    <w:rsid w:val="3835053A"/>
    <w:rsid w:val="386B727B"/>
    <w:rsid w:val="38BE1535"/>
    <w:rsid w:val="39194863"/>
    <w:rsid w:val="391D7376"/>
    <w:rsid w:val="39403E21"/>
    <w:rsid w:val="397A7B42"/>
    <w:rsid w:val="399A1E48"/>
    <w:rsid w:val="39B4157B"/>
    <w:rsid w:val="39D55A01"/>
    <w:rsid w:val="39DF5AAD"/>
    <w:rsid w:val="3A104D75"/>
    <w:rsid w:val="3A4C2C68"/>
    <w:rsid w:val="3A4D1A2B"/>
    <w:rsid w:val="3A5E69D2"/>
    <w:rsid w:val="3B2C2F74"/>
    <w:rsid w:val="3B3415C4"/>
    <w:rsid w:val="3B345984"/>
    <w:rsid w:val="3B351E28"/>
    <w:rsid w:val="3B4F53C1"/>
    <w:rsid w:val="3B605CFC"/>
    <w:rsid w:val="3B626996"/>
    <w:rsid w:val="3B6C6BA3"/>
    <w:rsid w:val="3B78218B"/>
    <w:rsid w:val="3B930424"/>
    <w:rsid w:val="3BAE3989"/>
    <w:rsid w:val="3BB15227"/>
    <w:rsid w:val="3BB56AC5"/>
    <w:rsid w:val="3BC82C9D"/>
    <w:rsid w:val="3BF02721"/>
    <w:rsid w:val="3BFA0A8A"/>
    <w:rsid w:val="3C222894"/>
    <w:rsid w:val="3C242530"/>
    <w:rsid w:val="3C4165AB"/>
    <w:rsid w:val="3C875FEC"/>
    <w:rsid w:val="3CCA02B2"/>
    <w:rsid w:val="3CD613E9"/>
    <w:rsid w:val="3CE62383"/>
    <w:rsid w:val="3CEC7A2A"/>
    <w:rsid w:val="3CFE68F9"/>
    <w:rsid w:val="3D0433A8"/>
    <w:rsid w:val="3D0F69B6"/>
    <w:rsid w:val="3D2959BD"/>
    <w:rsid w:val="3D3219D3"/>
    <w:rsid w:val="3D3474F8"/>
    <w:rsid w:val="3D621A0D"/>
    <w:rsid w:val="3D785FFC"/>
    <w:rsid w:val="3D874292"/>
    <w:rsid w:val="3D970405"/>
    <w:rsid w:val="3DCE35B6"/>
    <w:rsid w:val="3DD136B5"/>
    <w:rsid w:val="3DD5344F"/>
    <w:rsid w:val="3DFA6213"/>
    <w:rsid w:val="3E0F3EB7"/>
    <w:rsid w:val="3E2609B2"/>
    <w:rsid w:val="3E76426F"/>
    <w:rsid w:val="3E7F6463"/>
    <w:rsid w:val="3E962D65"/>
    <w:rsid w:val="3ECB4852"/>
    <w:rsid w:val="3EEB0292"/>
    <w:rsid w:val="3EFE2742"/>
    <w:rsid w:val="3F281B00"/>
    <w:rsid w:val="3F6A7BC7"/>
    <w:rsid w:val="3F930BE9"/>
    <w:rsid w:val="3F952DC8"/>
    <w:rsid w:val="3F962053"/>
    <w:rsid w:val="3FE15005"/>
    <w:rsid w:val="3FE77469"/>
    <w:rsid w:val="3FF04570"/>
    <w:rsid w:val="400E2C48"/>
    <w:rsid w:val="40450DDC"/>
    <w:rsid w:val="40B26A7A"/>
    <w:rsid w:val="40ED6D01"/>
    <w:rsid w:val="41216845"/>
    <w:rsid w:val="413A36FE"/>
    <w:rsid w:val="4213220D"/>
    <w:rsid w:val="4235270E"/>
    <w:rsid w:val="423F17DF"/>
    <w:rsid w:val="42461BF0"/>
    <w:rsid w:val="424C7A58"/>
    <w:rsid w:val="427179B7"/>
    <w:rsid w:val="428D039F"/>
    <w:rsid w:val="429E2362"/>
    <w:rsid w:val="42C65C3F"/>
    <w:rsid w:val="42FC0E58"/>
    <w:rsid w:val="43077F25"/>
    <w:rsid w:val="4310792B"/>
    <w:rsid w:val="43621354"/>
    <w:rsid w:val="436D5ED7"/>
    <w:rsid w:val="437454B8"/>
    <w:rsid w:val="43750C3B"/>
    <w:rsid w:val="438945E6"/>
    <w:rsid w:val="43947908"/>
    <w:rsid w:val="43962512"/>
    <w:rsid w:val="43AA0EDA"/>
    <w:rsid w:val="43D25E53"/>
    <w:rsid w:val="43E25FC1"/>
    <w:rsid w:val="440138A0"/>
    <w:rsid w:val="44246EDE"/>
    <w:rsid w:val="44692B43"/>
    <w:rsid w:val="447C65C0"/>
    <w:rsid w:val="4487121B"/>
    <w:rsid w:val="448742A8"/>
    <w:rsid w:val="44983428"/>
    <w:rsid w:val="44C47D79"/>
    <w:rsid w:val="451A208F"/>
    <w:rsid w:val="45433394"/>
    <w:rsid w:val="45877724"/>
    <w:rsid w:val="458A0FC3"/>
    <w:rsid w:val="458D2861"/>
    <w:rsid w:val="45BB3260"/>
    <w:rsid w:val="46092999"/>
    <w:rsid w:val="4612476D"/>
    <w:rsid w:val="464D7AE1"/>
    <w:rsid w:val="468F5CB4"/>
    <w:rsid w:val="46957C1F"/>
    <w:rsid w:val="46B53E1D"/>
    <w:rsid w:val="46C027C2"/>
    <w:rsid w:val="4743767B"/>
    <w:rsid w:val="474820C5"/>
    <w:rsid w:val="475B13E7"/>
    <w:rsid w:val="476768EC"/>
    <w:rsid w:val="47777325"/>
    <w:rsid w:val="47C557D7"/>
    <w:rsid w:val="47DD7AD0"/>
    <w:rsid w:val="47E70FBB"/>
    <w:rsid w:val="47F02414"/>
    <w:rsid w:val="481D611E"/>
    <w:rsid w:val="48221986"/>
    <w:rsid w:val="48232C90"/>
    <w:rsid w:val="48540005"/>
    <w:rsid w:val="486E6250"/>
    <w:rsid w:val="48B545A9"/>
    <w:rsid w:val="48BF3FF2"/>
    <w:rsid w:val="48D34790"/>
    <w:rsid w:val="48DD58AD"/>
    <w:rsid w:val="48ED18F0"/>
    <w:rsid w:val="48F826E7"/>
    <w:rsid w:val="4929464F"/>
    <w:rsid w:val="49321B41"/>
    <w:rsid w:val="494C6C0E"/>
    <w:rsid w:val="4955379A"/>
    <w:rsid w:val="498C348F"/>
    <w:rsid w:val="49C34AA3"/>
    <w:rsid w:val="49DA3B9B"/>
    <w:rsid w:val="49DA528B"/>
    <w:rsid w:val="49FA4012"/>
    <w:rsid w:val="49FA5FEB"/>
    <w:rsid w:val="4A4F4589"/>
    <w:rsid w:val="4A5573E4"/>
    <w:rsid w:val="4A62606A"/>
    <w:rsid w:val="4A712751"/>
    <w:rsid w:val="4A9D2E1F"/>
    <w:rsid w:val="4AF87271"/>
    <w:rsid w:val="4B380D6F"/>
    <w:rsid w:val="4B3A1029"/>
    <w:rsid w:val="4B555BCF"/>
    <w:rsid w:val="4B6E0A3F"/>
    <w:rsid w:val="4B771FE9"/>
    <w:rsid w:val="4BBC29D4"/>
    <w:rsid w:val="4C443C2D"/>
    <w:rsid w:val="4C560DCF"/>
    <w:rsid w:val="4C723258"/>
    <w:rsid w:val="4C812F78"/>
    <w:rsid w:val="4CB608EF"/>
    <w:rsid w:val="4D0E072B"/>
    <w:rsid w:val="4D0F1621"/>
    <w:rsid w:val="4D1F6318"/>
    <w:rsid w:val="4D24354A"/>
    <w:rsid w:val="4D4E6D7A"/>
    <w:rsid w:val="4D666D38"/>
    <w:rsid w:val="4D9A1FBF"/>
    <w:rsid w:val="4DCE1F8B"/>
    <w:rsid w:val="4DF94F37"/>
    <w:rsid w:val="4E0D2791"/>
    <w:rsid w:val="4E2A6045"/>
    <w:rsid w:val="4E437F61"/>
    <w:rsid w:val="4E4E19C6"/>
    <w:rsid w:val="4E6F6FA8"/>
    <w:rsid w:val="4EB40E5E"/>
    <w:rsid w:val="4F1A33B7"/>
    <w:rsid w:val="4F3F52E7"/>
    <w:rsid w:val="4F411EB6"/>
    <w:rsid w:val="4F582EF7"/>
    <w:rsid w:val="4F8528F9"/>
    <w:rsid w:val="4FBA24A4"/>
    <w:rsid w:val="4FBB7FCB"/>
    <w:rsid w:val="50100316"/>
    <w:rsid w:val="502A41CA"/>
    <w:rsid w:val="502B6EFE"/>
    <w:rsid w:val="50983373"/>
    <w:rsid w:val="50AB5953"/>
    <w:rsid w:val="50D60C20"/>
    <w:rsid w:val="51183927"/>
    <w:rsid w:val="5135755A"/>
    <w:rsid w:val="51574F11"/>
    <w:rsid w:val="517B73AD"/>
    <w:rsid w:val="518A5306"/>
    <w:rsid w:val="51983548"/>
    <w:rsid w:val="51AB3D3B"/>
    <w:rsid w:val="51BD3D23"/>
    <w:rsid w:val="51D04201"/>
    <w:rsid w:val="51DA0BDC"/>
    <w:rsid w:val="51DC4954"/>
    <w:rsid w:val="51FD1EA1"/>
    <w:rsid w:val="521A27DD"/>
    <w:rsid w:val="52534816"/>
    <w:rsid w:val="52634928"/>
    <w:rsid w:val="52A0414F"/>
    <w:rsid w:val="53277999"/>
    <w:rsid w:val="5328255F"/>
    <w:rsid w:val="53987EBC"/>
    <w:rsid w:val="53A35FB7"/>
    <w:rsid w:val="53E24E44"/>
    <w:rsid w:val="53F94527"/>
    <w:rsid w:val="54014B46"/>
    <w:rsid w:val="541C3178"/>
    <w:rsid w:val="54297BF9"/>
    <w:rsid w:val="5472334E"/>
    <w:rsid w:val="5488180C"/>
    <w:rsid w:val="548E0C37"/>
    <w:rsid w:val="54DB5397"/>
    <w:rsid w:val="550348EE"/>
    <w:rsid w:val="55142657"/>
    <w:rsid w:val="555D5DAC"/>
    <w:rsid w:val="5563097D"/>
    <w:rsid w:val="556F4EE2"/>
    <w:rsid w:val="55BA31FE"/>
    <w:rsid w:val="55D21BD3"/>
    <w:rsid w:val="55E9246E"/>
    <w:rsid w:val="56312D95"/>
    <w:rsid w:val="564725B8"/>
    <w:rsid w:val="56507F87"/>
    <w:rsid w:val="56652099"/>
    <w:rsid w:val="56680EAC"/>
    <w:rsid w:val="56843C9F"/>
    <w:rsid w:val="569B3338"/>
    <w:rsid w:val="56A40209"/>
    <w:rsid w:val="56DA7D27"/>
    <w:rsid w:val="56F5281F"/>
    <w:rsid w:val="573A49B9"/>
    <w:rsid w:val="573E766F"/>
    <w:rsid w:val="5765355C"/>
    <w:rsid w:val="57690BD0"/>
    <w:rsid w:val="576F0018"/>
    <w:rsid w:val="57914433"/>
    <w:rsid w:val="57C15E41"/>
    <w:rsid w:val="57CA1153"/>
    <w:rsid w:val="57E207EA"/>
    <w:rsid w:val="57E44562"/>
    <w:rsid w:val="57E46E53"/>
    <w:rsid w:val="580118E9"/>
    <w:rsid w:val="580E253F"/>
    <w:rsid w:val="58254B7B"/>
    <w:rsid w:val="584A495B"/>
    <w:rsid w:val="5892758E"/>
    <w:rsid w:val="58947716"/>
    <w:rsid w:val="58A65CBC"/>
    <w:rsid w:val="58B66C06"/>
    <w:rsid w:val="58C779E0"/>
    <w:rsid w:val="58E81E30"/>
    <w:rsid w:val="5909228A"/>
    <w:rsid w:val="59154BEF"/>
    <w:rsid w:val="59433AAE"/>
    <w:rsid w:val="59CA7788"/>
    <w:rsid w:val="5A1B6236"/>
    <w:rsid w:val="5A2E712E"/>
    <w:rsid w:val="5A2F2D66"/>
    <w:rsid w:val="5A440992"/>
    <w:rsid w:val="5A6C562B"/>
    <w:rsid w:val="5A6D6164"/>
    <w:rsid w:val="5A86004F"/>
    <w:rsid w:val="5A8938AD"/>
    <w:rsid w:val="5AAE69DB"/>
    <w:rsid w:val="5AD40392"/>
    <w:rsid w:val="5AF0582F"/>
    <w:rsid w:val="5AF947C9"/>
    <w:rsid w:val="5B1B6AA6"/>
    <w:rsid w:val="5B224E28"/>
    <w:rsid w:val="5B606CBC"/>
    <w:rsid w:val="5B7D7A78"/>
    <w:rsid w:val="5BAF7B56"/>
    <w:rsid w:val="5BD91F04"/>
    <w:rsid w:val="5BDB5C7C"/>
    <w:rsid w:val="5BE2525D"/>
    <w:rsid w:val="5BE56AFB"/>
    <w:rsid w:val="5BF611E3"/>
    <w:rsid w:val="5C0E6052"/>
    <w:rsid w:val="5C313AEE"/>
    <w:rsid w:val="5C86208C"/>
    <w:rsid w:val="5C8F6A67"/>
    <w:rsid w:val="5CAC7619"/>
    <w:rsid w:val="5D131446"/>
    <w:rsid w:val="5D2E3846"/>
    <w:rsid w:val="5D6D6DA8"/>
    <w:rsid w:val="5D7C18C6"/>
    <w:rsid w:val="5DA14CA4"/>
    <w:rsid w:val="5DA779D9"/>
    <w:rsid w:val="5DC84953"/>
    <w:rsid w:val="5DDC3F2E"/>
    <w:rsid w:val="5E0C01F1"/>
    <w:rsid w:val="5E9D051F"/>
    <w:rsid w:val="5EAC56AE"/>
    <w:rsid w:val="5EDA0A8B"/>
    <w:rsid w:val="5F0537AA"/>
    <w:rsid w:val="5F162912"/>
    <w:rsid w:val="5F20072A"/>
    <w:rsid w:val="5F2117F1"/>
    <w:rsid w:val="5F27754A"/>
    <w:rsid w:val="5F2B3E04"/>
    <w:rsid w:val="5F3A625B"/>
    <w:rsid w:val="5F760F40"/>
    <w:rsid w:val="5FF3691B"/>
    <w:rsid w:val="5FFF5CB2"/>
    <w:rsid w:val="60161979"/>
    <w:rsid w:val="60673F83"/>
    <w:rsid w:val="606E1F64"/>
    <w:rsid w:val="607B7A2E"/>
    <w:rsid w:val="609E5FA7"/>
    <w:rsid w:val="60C253E7"/>
    <w:rsid w:val="60CE0B25"/>
    <w:rsid w:val="61441636"/>
    <w:rsid w:val="61555832"/>
    <w:rsid w:val="61A30FEA"/>
    <w:rsid w:val="61C83B89"/>
    <w:rsid w:val="61D5316E"/>
    <w:rsid w:val="61D67CE4"/>
    <w:rsid w:val="61DB6D9C"/>
    <w:rsid w:val="61EF4230"/>
    <w:rsid w:val="6200643D"/>
    <w:rsid w:val="623C3CCB"/>
    <w:rsid w:val="6277131B"/>
    <w:rsid w:val="62894736"/>
    <w:rsid w:val="62A46F2F"/>
    <w:rsid w:val="62EC69C1"/>
    <w:rsid w:val="6304220F"/>
    <w:rsid w:val="632514A5"/>
    <w:rsid w:val="63520F1A"/>
    <w:rsid w:val="636E0BBA"/>
    <w:rsid w:val="63964B41"/>
    <w:rsid w:val="63994A58"/>
    <w:rsid w:val="63EA124B"/>
    <w:rsid w:val="640026DC"/>
    <w:rsid w:val="640C1F5B"/>
    <w:rsid w:val="646C600B"/>
    <w:rsid w:val="647C3D75"/>
    <w:rsid w:val="6493641A"/>
    <w:rsid w:val="64A526D7"/>
    <w:rsid w:val="64B27796"/>
    <w:rsid w:val="64B86C5F"/>
    <w:rsid w:val="64CC5E52"/>
    <w:rsid w:val="64DA0DFC"/>
    <w:rsid w:val="64FD5E87"/>
    <w:rsid w:val="65785BCE"/>
    <w:rsid w:val="658C3A08"/>
    <w:rsid w:val="658D4138"/>
    <w:rsid w:val="65B768E4"/>
    <w:rsid w:val="66043DF1"/>
    <w:rsid w:val="661D46CA"/>
    <w:rsid w:val="66887A48"/>
    <w:rsid w:val="66B94E0C"/>
    <w:rsid w:val="66BB1AFB"/>
    <w:rsid w:val="66CF7EED"/>
    <w:rsid w:val="66E83943"/>
    <w:rsid w:val="66ED7428"/>
    <w:rsid w:val="670F317A"/>
    <w:rsid w:val="673D6A15"/>
    <w:rsid w:val="67627252"/>
    <w:rsid w:val="676A4610"/>
    <w:rsid w:val="67960780"/>
    <w:rsid w:val="67AD40A3"/>
    <w:rsid w:val="682E5386"/>
    <w:rsid w:val="683726A5"/>
    <w:rsid w:val="684B23DC"/>
    <w:rsid w:val="68576EF7"/>
    <w:rsid w:val="6874548F"/>
    <w:rsid w:val="68817FE2"/>
    <w:rsid w:val="688D47A2"/>
    <w:rsid w:val="68AA5354"/>
    <w:rsid w:val="68CD623B"/>
    <w:rsid w:val="68DB72BC"/>
    <w:rsid w:val="68FD36D6"/>
    <w:rsid w:val="690164B5"/>
    <w:rsid w:val="69337C0B"/>
    <w:rsid w:val="69562DE6"/>
    <w:rsid w:val="695E105C"/>
    <w:rsid w:val="696012B6"/>
    <w:rsid w:val="69642093"/>
    <w:rsid w:val="69B239D8"/>
    <w:rsid w:val="69C02956"/>
    <w:rsid w:val="69CA6B08"/>
    <w:rsid w:val="6A042666"/>
    <w:rsid w:val="6A38073E"/>
    <w:rsid w:val="6A9736F0"/>
    <w:rsid w:val="6A987B4F"/>
    <w:rsid w:val="6ACE0724"/>
    <w:rsid w:val="6AF830B1"/>
    <w:rsid w:val="6B1715B7"/>
    <w:rsid w:val="6B2C2051"/>
    <w:rsid w:val="6B3233DF"/>
    <w:rsid w:val="6B680BAF"/>
    <w:rsid w:val="6B6C68F1"/>
    <w:rsid w:val="6BA17D14"/>
    <w:rsid w:val="6BAA7419"/>
    <w:rsid w:val="6BB42FE3"/>
    <w:rsid w:val="6BBB33D4"/>
    <w:rsid w:val="6BCC55E2"/>
    <w:rsid w:val="6BEA8026"/>
    <w:rsid w:val="6C0320AF"/>
    <w:rsid w:val="6C0C5BDB"/>
    <w:rsid w:val="6C6770B8"/>
    <w:rsid w:val="6C757A27"/>
    <w:rsid w:val="6C845EBC"/>
    <w:rsid w:val="6CA41CC8"/>
    <w:rsid w:val="6CC20E82"/>
    <w:rsid w:val="6CD26C28"/>
    <w:rsid w:val="6CF3436B"/>
    <w:rsid w:val="6D04612D"/>
    <w:rsid w:val="6D056FFD"/>
    <w:rsid w:val="6D3F3B91"/>
    <w:rsid w:val="6D443964"/>
    <w:rsid w:val="6D5B6316"/>
    <w:rsid w:val="6D7C6B93"/>
    <w:rsid w:val="6D9143ED"/>
    <w:rsid w:val="6DC74A88"/>
    <w:rsid w:val="6DD724DA"/>
    <w:rsid w:val="6DDC0B81"/>
    <w:rsid w:val="6DEA2117"/>
    <w:rsid w:val="6DF13E21"/>
    <w:rsid w:val="6E041063"/>
    <w:rsid w:val="6E0C6BA8"/>
    <w:rsid w:val="6E4C538F"/>
    <w:rsid w:val="6E8C1058"/>
    <w:rsid w:val="6EBF142E"/>
    <w:rsid w:val="6ED722D3"/>
    <w:rsid w:val="6EE175F6"/>
    <w:rsid w:val="6F7C2E7B"/>
    <w:rsid w:val="6FC36D9E"/>
    <w:rsid w:val="6FE70C3C"/>
    <w:rsid w:val="70076BE8"/>
    <w:rsid w:val="70512559"/>
    <w:rsid w:val="70852D97"/>
    <w:rsid w:val="70A47AAD"/>
    <w:rsid w:val="70AE40C7"/>
    <w:rsid w:val="70C25205"/>
    <w:rsid w:val="70DA254F"/>
    <w:rsid w:val="70E51DA8"/>
    <w:rsid w:val="70F20FE3"/>
    <w:rsid w:val="71174B27"/>
    <w:rsid w:val="71946BA2"/>
    <w:rsid w:val="71A843FB"/>
    <w:rsid w:val="71C97895"/>
    <w:rsid w:val="71CA0962"/>
    <w:rsid w:val="72030E1E"/>
    <w:rsid w:val="721E450C"/>
    <w:rsid w:val="7256750B"/>
    <w:rsid w:val="7262278F"/>
    <w:rsid w:val="72C13278"/>
    <w:rsid w:val="72C6062B"/>
    <w:rsid w:val="72D73D3D"/>
    <w:rsid w:val="733633B7"/>
    <w:rsid w:val="73394BB6"/>
    <w:rsid w:val="73397A01"/>
    <w:rsid w:val="736A253A"/>
    <w:rsid w:val="73A429A0"/>
    <w:rsid w:val="73AC2D59"/>
    <w:rsid w:val="73BE1CB4"/>
    <w:rsid w:val="73EC5B91"/>
    <w:rsid w:val="73FC458A"/>
    <w:rsid w:val="742E7E7F"/>
    <w:rsid w:val="743012D6"/>
    <w:rsid w:val="747B5DF7"/>
    <w:rsid w:val="74850A24"/>
    <w:rsid w:val="74C002E8"/>
    <w:rsid w:val="74CF1255"/>
    <w:rsid w:val="74E7523A"/>
    <w:rsid w:val="74EB6CBD"/>
    <w:rsid w:val="74FB54A4"/>
    <w:rsid w:val="751A7B05"/>
    <w:rsid w:val="75220020"/>
    <w:rsid w:val="754D1541"/>
    <w:rsid w:val="755522F8"/>
    <w:rsid w:val="755E2DEF"/>
    <w:rsid w:val="75611CC1"/>
    <w:rsid w:val="758F08AE"/>
    <w:rsid w:val="75A03D67"/>
    <w:rsid w:val="75DD731F"/>
    <w:rsid w:val="7621652A"/>
    <w:rsid w:val="76265AC6"/>
    <w:rsid w:val="763A2EF5"/>
    <w:rsid w:val="7643312E"/>
    <w:rsid w:val="76642085"/>
    <w:rsid w:val="768014A2"/>
    <w:rsid w:val="7682438C"/>
    <w:rsid w:val="768857E3"/>
    <w:rsid w:val="768D4B1F"/>
    <w:rsid w:val="769D2054"/>
    <w:rsid w:val="76C31EDD"/>
    <w:rsid w:val="76EC2FDC"/>
    <w:rsid w:val="77060EB2"/>
    <w:rsid w:val="77120FDD"/>
    <w:rsid w:val="775C2950"/>
    <w:rsid w:val="77610F13"/>
    <w:rsid w:val="778C37F8"/>
    <w:rsid w:val="779C230C"/>
    <w:rsid w:val="779D7E32"/>
    <w:rsid w:val="77B12E34"/>
    <w:rsid w:val="77D46CD2"/>
    <w:rsid w:val="77D83D50"/>
    <w:rsid w:val="781D0CC1"/>
    <w:rsid w:val="7823193A"/>
    <w:rsid w:val="782E61C7"/>
    <w:rsid w:val="78342545"/>
    <w:rsid w:val="783B33E4"/>
    <w:rsid w:val="7844130F"/>
    <w:rsid w:val="78534B66"/>
    <w:rsid w:val="78537A1F"/>
    <w:rsid w:val="785B3F75"/>
    <w:rsid w:val="787B0197"/>
    <w:rsid w:val="787E1A12"/>
    <w:rsid w:val="78B04CEF"/>
    <w:rsid w:val="78BE10F6"/>
    <w:rsid w:val="78CA4C57"/>
    <w:rsid w:val="78D43D28"/>
    <w:rsid w:val="78DD2BDC"/>
    <w:rsid w:val="79435553"/>
    <w:rsid w:val="794672BF"/>
    <w:rsid w:val="79CB512B"/>
    <w:rsid w:val="79E263BE"/>
    <w:rsid w:val="7A064282"/>
    <w:rsid w:val="7A164D8B"/>
    <w:rsid w:val="7A3C1D44"/>
    <w:rsid w:val="7A9E283F"/>
    <w:rsid w:val="7ACB4CB6"/>
    <w:rsid w:val="7ADD5362"/>
    <w:rsid w:val="7B036E36"/>
    <w:rsid w:val="7B0E3521"/>
    <w:rsid w:val="7B1A0118"/>
    <w:rsid w:val="7B31160A"/>
    <w:rsid w:val="7B4E023F"/>
    <w:rsid w:val="7B551150"/>
    <w:rsid w:val="7B62386D"/>
    <w:rsid w:val="7B6E2211"/>
    <w:rsid w:val="7BAB4A6E"/>
    <w:rsid w:val="7BAD0A4E"/>
    <w:rsid w:val="7BB00E61"/>
    <w:rsid w:val="7BD227A0"/>
    <w:rsid w:val="7BEE3352"/>
    <w:rsid w:val="7C1822AA"/>
    <w:rsid w:val="7C2E19A1"/>
    <w:rsid w:val="7C3F5A2C"/>
    <w:rsid w:val="7C85264B"/>
    <w:rsid w:val="7CA06753"/>
    <w:rsid w:val="7CB43242"/>
    <w:rsid w:val="7CB61824"/>
    <w:rsid w:val="7CBD69D7"/>
    <w:rsid w:val="7CC76395"/>
    <w:rsid w:val="7CEF2EDE"/>
    <w:rsid w:val="7D1961AD"/>
    <w:rsid w:val="7D4F7E21"/>
    <w:rsid w:val="7D7A30EF"/>
    <w:rsid w:val="7D9D293A"/>
    <w:rsid w:val="7DA51A4B"/>
    <w:rsid w:val="7E0B01EB"/>
    <w:rsid w:val="7E1E7F1F"/>
    <w:rsid w:val="7E321E60"/>
    <w:rsid w:val="7E390B0F"/>
    <w:rsid w:val="7E493D4F"/>
    <w:rsid w:val="7E5356EF"/>
    <w:rsid w:val="7E881DA7"/>
    <w:rsid w:val="7E894498"/>
    <w:rsid w:val="7E9B65C0"/>
    <w:rsid w:val="7F060C17"/>
    <w:rsid w:val="7F0C421B"/>
    <w:rsid w:val="7F2F766E"/>
    <w:rsid w:val="7F3D58B7"/>
    <w:rsid w:val="7F6B3277"/>
    <w:rsid w:val="7F7C3A97"/>
    <w:rsid w:val="7F9051D5"/>
    <w:rsid w:val="7F9C372F"/>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autoSpaceDE w:val="0"/>
      <w:autoSpaceDN w:val="0"/>
      <w:adjustRightInd w:val="0"/>
      <w:jc w:val="left"/>
      <w:outlineLvl w:val="0"/>
    </w:pPr>
    <w:rPr>
      <w:rFonts w:ascii="Times New Roman" w:hAnsi="Times New Roman" w:eastAsia="宋体" w:cs="Times New Roman"/>
      <w:kern w:val="0"/>
      <w:sz w:val="30"/>
    </w:rPr>
  </w:style>
  <w:style w:type="paragraph" w:styleId="3">
    <w:name w:val="heading 2"/>
    <w:basedOn w:val="1"/>
    <w:next w:val="1"/>
    <w:link w:val="44"/>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4"/>
    <w:basedOn w:val="1"/>
    <w:next w:val="1"/>
    <w:qFormat/>
    <w:uiPriority w:val="0"/>
    <w:pPr>
      <w:keepNext/>
      <w:keepLines/>
      <w:spacing w:line="374" w:lineRule="auto"/>
      <w:outlineLvl w:val="3"/>
    </w:pPr>
    <w:rPr>
      <w:rFonts w:ascii="Arial" w:hAnsi="Arial"/>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annotation text"/>
    <w:basedOn w:val="1"/>
    <w:next w:val="1"/>
    <w:qFormat/>
    <w:uiPriority w:val="0"/>
    <w:pPr>
      <w:adjustRightInd w:val="0"/>
      <w:spacing w:line="360" w:lineRule="atLeast"/>
      <w:jc w:val="left"/>
      <w:textAlignment w:val="baseline"/>
    </w:pPr>
    <w:rPr>
      <w:kern w:val="0"/>
    </w:r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toc 3"/>
    <w:basedOn w:val="1"/>
    <w:next w:val="1"/>
    <w:qFormat/>
    <w:uiPriority w:val="0"/>
    <w:pPr>
      <w:ind w:left="840" w:leftChars="400"/>
    </w:pPr>
  </w:style>
  <w:style w:type="paragraph" w:styleId="8">
    <w:name w:val="Plain Text"/>
    <w:basedOn w:val="1"/>
    <w:qFormat/>
    <w:uiPriority w:val="0"/>
    <w:rPr>
      <w:rFonts w:ascii="宋体" w:hAnsi="Courier New"/>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Body Text 2"/>
    <w:basedOn w:val="1"/>
    <w:qFormat/>
    <w:uiPriority w:val="0"/>
    <w:pPr>
      <w:spacing w:line="500" w:lineRule="exact"/>
    </w:pPr>
    <w:rPr>
      <w:rFonts w:ascii="宋体" w:hAnsi="Times New Roman" w:eastAsia="宋体" w:cs="Times New Roman"/>
      <w:sz w:val="24"/>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Body Text First Indent"/>
    <w:basedOn w:val="6"/>
    <w:qFormat/>
    <w:uiPriority w:val="99"/>
    <w:pPr>
      <w:spacing w:line="240" w:lineRule="auto"/>
      <w:ind w:firstLine="420" w:firstLineChars="100"/>
    </w:pPr>
    <w:rPr>
      <w:rFonts w:ascii="Times New Roman" w:cs="Times New Roman"/>
      <w:sz w:val="20"/>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Emphasis"/>
    <w:basedOn w:val="17"/>
    <w:qFormat/>
    <w:uiPriority w:val="0"/>
    <w:rPr>
      <w:i/>
    </w:rPr>
  </w:style>
  <w:style w:type="paragraph" w:customStyle="1" w:styleId="19">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20">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1">
    <w:name w:val="NormalCharacter"/>
    <w:qFormat/>
    <w:uiPriority w:val="99"/>
  </w:style>
  <w:style w:type="paragraph" w:customStyle="1" w:styleId="22">
    <w:name w:val="Table Text"/>
    <w:basedOn w:val="1"/>
    <w:semiHidden/>
    <w:qFormat/>
    <w:uiPriority w:val="0"/>
    <w:rPr>
      <w:rFonts w:ascii="Arial" w:hAnsi="Arial" w:eastAsia="Arial" w:cs="Arial"/>
      <w:sz w:val="21"/>
      <w:szCs w:val="21"/>
      <w:lang w:val="en-US" w:eastAsia="en-US" w:bidi="ar-SA"/>
    </w:rPr>
  </w:style>
  <w:style w:type="paragraph" w:customStyle="1" w:styleId="2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
    <w:name w:val="正文缩进1"/>
    <w:basedOn w:val="1"/>
    <w:qFormat/>
    <w:uiPriority w:val="0"/>
    <w:pPr>
      <w:widowControl/>
      <w:ind w:firstLine="420"/>
      <w:jc w:val="left"/>
    </w:pPr>
    <w:rPr>
      <w:kern w:val="0"/>
    </w:rPr>
  </w:style>
  <w:style w:type="paragraph" w:customStyle="1" w:styleId="25">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6">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0">
    <w:name w:val="Heading2"/>
    <w:basedOn w:val="1"/>
    <w:next w:val="1"/>
    <w:qFormat/>
    <w:uiPriority w:val="99"/>
    <w:pPr>
      <w:jc w:val="left"/>
    </w:pPr>
    <w:rPr>
      <w:kern w:val="0"/>
    </w:rPr>
  </w:style>
  <w:style w:type="paragraph" w:customStyle="1" w:styleId="31">
    <w:name w:val="AnnotationText"/>
    <w:basedOn w:val="1"/>
    <w:qFormat/>
    <w:uiPriority w:val="99"/>
    <w:pPr>
      <w:spacing w:line="360" w:lineRule="atLeast"/>
      <w:jc w:val="left"/>
    </w:pPr>
    <w:rPr>
      <w:kern w:val="0"/>
    </w:rPr>
  </w:style>
  <w:style w:type="paragraph" w:customStyle="1" w:styleId="32">
    <w:name w:val="UserStyle_44"/>
    <w:basedOn w:val="33"/>
    <w:qFormat/>
    <w:uiPriority w:val="99"/>
    <w:rPr>
      <w:sz w:val="24"/>
      <w:szCs w:val="24"/>
    </w:rPr>
  </w:style>
  <w:style w:type="paragraph" w:customStyle="1" w:styleId="33">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4">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5">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6">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7">
    <w:name w:val="BodyText"/>
    <w:basedOn w:val="1"/>
    <w:next w:val="38"/>
    <w:qFormat/>
    <w:uiPriority w:val="99"/>
    <w:pPr>
      <w:spacing w:after="120"/>
    </w:pPr>
  </w:style>
  <w:style w:type="paragraph" w:customStyle="1" w:styleId="38">
    <w:name w:val="BodyText2"/>
    <w:basedOn w:val="1"/>
    <w:qFormat/>
    <w:uiPriority w:val="99"/>
    <w:pPr>
      <w:spacing w:line="500" w:lineRule="exact"/>
    </w:pPr>
  </w:style>
  <w:style w:type="paragraph" w:customStyle="1" w:styleId="39">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0">
    <w:name w:val="正文缩进 New"/>
    <w:basedOn w:val="41"/>
    <w:qFormat/>
    <w:uiPriority w:val="0"/>
    <w:pPr>
      <w:widowControl/>
      <w:ind w:firstLine="420"/>
      <w:jc w:val="left"/>
    </w:pPr>
    <w:rPr>
      <w:kern w:val="0"/>
      <w:sz w:val="20"/>
    </w:rPr>
  </w:style>
  <w:style w:type="paragraph" w:customStyle="1" w:styleId="41">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2">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3">
    <w:name w:val="正文文本 (2) + 间距 0 pt3"/>
    <w:basedOn w:val="17"/>
    <w:qFormat/>
    <w:uiPriority w:val="0"/>
    <w:rPr>
      <w:rFonts w:ascii="MingLiU" w:hAnsi="Times New Roman" w:eastAsia="MingLiU" w:cs="MingLiU"/>
      <w:spacing w:val="0"/>
      <w:sz w:val="22"/>
      <w:szCs w:val="22"/>
      <w:u w:val="none"/>
    </w:rPr>
  </w:style>
  <w:style w:type="character" w:customStyle="1" w:styleId="44">
    <w:name w:val="标题 2 字符"/>
    <w:link w:val="3"/>
    <w:qFormat/>
    <w:uiPriority w:val="0"/>
    <w:rPr>
      <w:rFonts w:hint="eastAsia" w:ascii="宋体" w:hAnsi="宋体" w:eastAsia="宋体" w:cs="宋体"/>
      <w:b/>
      <w:bCs/>
      <w:kern w:val="0"/>
      <w:sz w:val="36"/>
      <w:szCs w:val="36"/>
      <w:lang w:val="en-US" w:eastAsia="zh-CN" w:bidi="ar"/>
    </w:rPr>
  </w:style>
  <w:style w:type="paragraph" w:customStyle="1" w:styleId="45">
    <w:name w:val="标题 3 New New"/>
    <w:basedOn w:val="40"/>
    <w:next w:val="40"/>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6">
    <w:name w:val="UserStyle_76"/>
    <w:basedOn w:val="47"/>
    <w:qFormat/>
    <w:uiPriority w:val="99"/>
    <w:pPr>
      <w:ind w:firstLine="420"/>
      <w:jc w:val="left"/>
    </w:pPr>
    <w:rPr>
      <w:kern w:val="0"/>
      <w:sz w:val="20"/>
      <w:szCs w:val="20"/>
    </w:rPr>
  </w:style>
  <w:style w:type="paragraph" w:customStyle="1" w:styleId="47">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8">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9">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17.png"/><Relationship Id="rId55" Type="http://schemas.openxmlformats.org/officeDocument/2006/relationships/image" Target="media/image16.jpeg"/><Relationship Id="rId54" Type="http://schemas.openxmlformats.org/officeDocument/2006/relationships/image" Target="media/image15.png"/><Relationship Id="rId53" Type="http://schemas.openxmlformats.org/officeDocument/2006/relationships/image" Target="media/image14.png"/><Relationship Id="rId52" Type="http://schemas.openxmlformats.org/officeDocument/2006/relationships/image" Target="media/image13.wmf"/><Relationship Id="rId51" Type="http://schemas.openxmlformats.org/officeDocument/2006/relationships/oleObject" Target="embeddings/oleObject12.bin"/><Relationship Id="rId50" Type="http://schemas.openxmlformats.org/officeDocument/2006/relationships/image" Target="media/image12.wmf"/><Relationship Id="rId5" Type="http://schemas.openxmlformats.org/officeDocument/2006/relationships/footer" Target="footer1.xml"/><Relationship Id="rId49" Type="http://schemas.openxmlformats.org/officeDocument/2006/relationships/oleObject" Target="embeddings/oleObject11.bin"/><Relationship Id="rId48" Type="http://schemas.openxmlformats.org/officeDocument/2006/relationships/image" Target="media/image11.wmf"/><Relationship Id="rId47" Type="http://schemas.openxmlformats.org/officeDocument/2006/relationships/oleObject" Target="embeddings/oleObject10.bin"/><Relationship Id="rId46" Type="http://schemas.openxmlformats.org/officeDocument/2006/relationships/image" Target="media/image10.wmf"/><Relationship Id="rId45" Type="http://schemas.openxmlformats.org/officeDocument/2006/relationships/oleObject" Target="embeddings/oleObject9.bin"/><Relationship Id="rId44" Type="http://schemas.openxmlformats.org/officeDocument/2006/relationships/image" Target="media/image9.wmf"/><Relationship Id="rId43" Type="http://schemas.openxmlformats.org/officeDocument/2006/relationships/oleObject" Target="embeddings/oleObject8.bin"/><Relationship Id="rId42" Type="http://schemas.openxmlformats.org/officeDocument/2006/relationships/image" Target="media/image8.wmf"/><Relationship Id="rId41" Type="http://schemas.openxmlformats.org/officeDocument/2006/relationships/oleObject" Target="embeddings/oleObject7.bin"/><Relationship Id="rId40" Type="http://schemas.openxmlformats.org/officeDocument/2006/relationships/image" Target="media/image7.wmf"/><Relationship Id="rId4" Type="http://schemas.openxmlformats.org/officeDocument/2006/relationships/header" Target="header2.xml"/><Relationship Id="rId39" Type="http://schemas.openxmlformats.org/officeDocument/2006/relationships/oleObject" Target="embeddings/oleObject6.bin"/><Relationship Id="rId38" Type="http://schemas.openxmlformats.org/officeDocument/2006/relationships/image" Target="media/image6.wmf"/><Relationship Id="rId37" Type="http://schemas.openxmlformats.org/officeDocument/2006/relationships/oleObject" Target="embeddings/oleObject5.bin"/><Relationship Id="rId36" Type="http://schemas.openxmlformats.org/officeDocument/2006/relationships/image" Target="media/image5.wmf"/><Relationship Id="rId35" Type="http://schemas.openxmlformats.org/officeDocument/2006/relationships/oleObject" Target="embeddings/oleObject4.bin"/><Relationship Id="rId34" Type="http://schemas.openxmlformats.org/officeDocument/2006/relationships/image" Target="media/image4.wmf"/><Relationship Id="rId33" Type="http://schemas.openxmlformats.org/officeDocument/2006/relationships/oleObject" Target="embeddings/oleObject3.bin"/><Relationship Id="rId32" Type="http://schemas.openxmlformats.org/officeDocument/2006/relationships/image" Target="media/image3.wmf"/><Relationship Id="rId31" Type="http://schemas.openxmlformats.org/officeDocument/2006/relationships/oleObject" Target="embeddings/oleObject2.bin"/><Relationship Id="rId30" Type="http://schemas.openxmlformats.org/officeDocument/2006/relationships/image" Target="media/image2.w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footer" Target="footer19.xml"/><Relationship Id="rId25" Type="http://schemas.openxmlformats.org/officeDocument/2006/relationships/footer" Target="footer18.xml"/><Relationship Id="rId24" Type="http://schemas.openxmlformats.org/officeDocument/2006/relationships/footer" Target="footer17.xml"/><Relationship Id="rId23" Type="http://schemas.openxmlformats.org/officeDocument/2006/relationships/footer" Target="footer16.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93</Pages>
  <Words>13666</Words>
  <Characters>14861</Characters>
  <Lines>0</Lines>
  <Paragraphs>0</Paragraphs>
  <TotalTime>59</TotalTime>
  <ScaleCrop>false</ScaleCrop>
  <LinksUpToDate>false</LinksUpToDate>
  <CharactersWithSpaces>15494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何海涛✨ </cp:lastModifiedBy>
  <cp:lastPrinted>2026-06-16T10:27:00Z</cp:lastPrinted>
  <dcterms:modified xsi:type="dcterms:W3CDTF">2026-06-17T07:44:59Z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8884865174324F5AA0A4CC38415B9FE0_13</vt:lpwstr>
  </property>
  <property fmtid="{D5CDD505-2E9C-101B-9397-08002B2CF9AE}" pid="4" name="KSOTemplateDocerSaveRecord">
    <vt:lpwstr>eyJoZGlkIjoiYjY2YjhlODFmNDRkY2E4NDYxYWYzNDUzNTdjZDJkYjAiLCJ1c2VySWQiOiIyOTExNDg2NzEifQ==</vt:lpwstr>
  </property>
</Properties>
</file>