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12318">
      <w:pP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rPr>
        <w:drawing>
          <wp:anchor distT="0" distB="0" distL="114300" distR="114300" simplePos="0" relativeHeight="251659264" behindDoc="0" locked="0" layoutInCell="1" allowOverlap="1">
            <wp:simplePos x="0" y="0"/>
            <wp:positionH relativeFrom="column">
              <wp:posOffset>-951865</wp:posOffset>
            </wp:positionH>
            <wp:positionV relativeFrom="paragraph">
              <wp:posOffset>-832485</wp:posOffset>
            </wp:positionV>
            <wp:extent cx="7693660" cy="10749280"/>
            <wp:effectExtent l="0" t="0" r="2540" b="13970"/>
            <wp:wrapNone/>
            <wp:docPr id="2" name="图片 2" descr="SKM_C3682605222004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KM_C36826052220041_01"/>
                    <pic:cNvPicPr>
                      <a:picLocks noChangeAspect="1"/>
                    </pic:cNvPicPr>
                  </pic:nvPicPr>
                  <pic:blipFill>
                    <a:blip r:embed="rId8"/>
                    <a:stretch>
                      <a:fillRect/>
                    </a:stretch>
                  </pic:blipFill>
                  <pic:spPr>
                    <a:xfrm>
                      <a:off x="0" y="0"/>
                      <a:ext cx="7693660" cy="10749280"/>
                    </a:xfrm>
                    <a:prstGeom prst="rect">
                      <a:avLst/>
                    </a:prstGeom>
                  </pic:spPr>
                </pic:pic>
              </a:graphicData>
            </a:graphic>
          </wp:anchor>
        </w:drawing>
      </w:r>
    </w:p>
    <w:p w14:paraId="7FB4D391">
      <w:pPr>
        <w:spacing w:line="360" w:lineRule="auto"/>
        <w:jc w:val="center"/>
        <w:rPr>
          <w:rFonts w:hint="eastAsia" w:ascii="宋体" w:hAnsi="宋体" w:eastAsia="宋体" w:cs="宋体"/>
          <w:b/>
          <w:color w:val="auto"/>
          <w:sz w:val="72"/>
          <w:szCs w:val="72"/>
          <w:highlight w:val="none"/>
          <w:lang w:eastAsia="zh-CN"/>
        </w:rPr>
      </w:pPr>
      <w:r>
        <w:rPr>
          <w:rFonts w:hint="eastAsia" w:ascii="宋体" w:hAnsi="宋体" w:eastAsia="宋体" w:cs="宋体"/>
          <w:b/>
          <w:color w:val="auto"/>
          <w:sz w:val="72"/>
          <w:szCs w:val="72"/>
          <w:highlight w:val="none"/>
          <w:lang w:eastAsia="zh-CN"/>
        </w:rPr>
        <w:t>韶关市武江区养老服务中心（一期）委托运营管理项目</w:t>
      </w:r>
    </w:p>
    <w:p w14:paraId="101F99CA">
      <w:pPr>
        <w:pStyle w:val="9"/>
        <w:rPr>
          <w:rFonts w:hint="eastAsia" w:ascii="宋体" w:hAnsi="宋体" w:eastAsia="宋体" w:cs="宋体"/>
          <w:color w:val="auto"/>
          <w:sz w:val="72"/>
          <w:szCs w:val="72"/>
          <w:highlight w:val="none"/>
        </w:rPr>
      </w:pPr>
    </w:p>
    <w:p w14:paraId="61584750">
      <w:pPr>
        <w:rPr>
          <w:rFonts w:hint="eastAsia" w:ascii="宋体" w:hAnsi="宋体" w:eastAsia="宋体" w:cs="宋体"/>
          <w:color w:val="auto"/>
          <w:sz w:val="72"/>
          <w:szCs w:val="72"/>
          <w:highlight w:val="none"/>
          <w:lang w:eastAsia="zh-CN"/>
        </w:rPr>
      </w:pPr>
    </w:p>
    <w:p w14:paraId="3D1CE8E0">
      <w:pPr>
        <w:spacing w:line="360" w:lineRule="auto"/>
        <w:jc w:val="center"/>
        <w:rPr>
          <w:rFonts w:hint="eastAsia" w:ascii="宋体" w:hAnsi="宋体" w:eastAsia="宋体" w:cs="宋体"/>
          <w:b/>
          <w:color w:val="auto"/>
          <w:sz w:val="72"/>
          <w:szCs w:val="72"/>
          <w:highlight w:val="none"/>
        </w:rPr>
      </w:pPr>
      <w:r>
        <w:rPr>
          <w:rFonts w:hint="eastAsia" w:ascii="宋体" w:hAnsi="宋体" w:eastAsia="宋体" w:cs="宋体"/>
          <w:b/>
          <w:color w:val="auto"/>
          <w:sz w:val="72"/>
          <w:szCs w:val="72"/>
          <w:highlight w:val="none"/>
        </w:rPr>
        <w:t>公开招标文件</w:t>
      </w:r>
    </w:p>
    <w:p w14:paraId="4CF4D0DB">
      <w:pPr>
        <w:rPr>
          <w:rFonts w:hint="eastAsia" w:ascii="宋体" w:hAnsi="宋体" w:eastAsia="宋体" w:cs="宋体"/>
          <w:color w:val="auto"/>
          <w:highlight w:val="none"/>
          <w:lang w:eastAsia="zh-CN"/>
        </w:rPr>
      </w:pPr>
    </w:p>
    <w:p w14:paraId="37092F5E">
      <w:pPr>
        <w:rPr>
          <w:rFonts w:hint="eastAsia" w:ascii="宋体" w:hAnsi="宋体" w:eastAsia="宋体" w:cs="宋体"/>
          <w:color w:val="auto"/>
          <w:highlight w:val="none"/>
          <w:lang w:eastAsia="zh-CN"/>
        </w:rPr>
      </w:pPr>
    </w:p>
    <w:p w14:paraId="2C6B455E">
      <w:pPr>
        <w:pStyle w:val="26"/>
        <w:ind w:left="0" w:leftChars="0" w:firstLine="0" w:firstLineChars="0"/>
        <w:rPr>
          <w:rFonts w:hint="eastAsia" w:ascii="宋体" w:hAnsi="宋体" w:eastAsia="宋体" w:cs="宋体"/>
          <w:color w:val="auto"/>
          <w:highlight w:val="none"/>
          <w:lang w:eastAsia="zh-CN"/>
        </w:rPr>
      </w:pPr>
    </w:p>
    <w:p w14:paraId="1E444075">
      <w:pPr>
        <w:spacing w:line="360" w:lineRule="auto"/>
        <w:ind w:left="2630" w:leftChars="1104" w:right="-92" w:rightChars="-44" w:hanging="312" w:hangingChars="97"/>
        <w:jc w:val="both"/>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eastAsia="zh-CN"/>
        </w:rPr>
        <w:t>项目编号</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val="en-US" w:eastAsia="zh-CN"/>
        </w:rPr>
        <w:t xml:space="preserve">CQZB260014 </w:t>
      </w:r>
    </w:p>
    <w:p w14:paraId="254F3322">
      <w:pPr>
        <w:pStyle w:val="2"/>
        <w:rPr>
          <w:rFonts w:hint="eastAsia" w:ascii="宋体" w:hAnsi="宋体" w:eastAsia="宋体" w:cs="宋体"/>
          <w:b/>
          <w:color w:val="auto"/>
          <w:sz w:val="32"/>
          <w:szCs w:val="32"/>
          <w:highlight w:val="none"/>
          <w:lang w:val="en-US" w:eastAsia="zh-CN"/>
        </w:rPr>
      </w:pPr>
    </w:p>
    <w:p w14:paraId="5DC1041D">
      <w:pPr>
        <w:pStyle w:val="26"/>
        <w:rPr>
          <w:rFonts w:hint="eastAsia" w:ascii="宋体" w:hAnsi="宋体" w:eastAsia="宋体" w:cs="宋体"/>
          <w:color w:val="auto"/>
          <w:sz w:val="32"/>
          <w:szCs w:val="32"/>
          <w:highlight w:val="none"/>
        </w:rPr>
      </w:pPr>
    </w:p>
    <w:p w14:paraId="7923C673">
      <w:pPr>
        <w:pStyle w:val="26"/>
        <w:rPr>
          <w:rFonts w:hint="eastAsia" w:ascii="宋体" w:hAnsi="宋体" w:eastAsia="宋体" w:cs="宋体"/>
          <w:color w:val="auto"/>
          <w:sz w:val="32"/>
          <w:szCs w:val="32"/>
          <w:highlight w:val="none"/>
        </w:rPr>
      </w:pPr>
    </w:p>
    <w:p w14:paraId="53F9391D">
      <w:pPr>
        <w:keepNext w:val="0"/>
        <w:keepLines w:val="0"/>
        <w:pageBreakBefore w:val="0"/>
        <w:widowControl w:val="0"/>
        <w:kinsoku/>
        <w:wordWrap/>
        <w:overflowPunct/>
        <w:topLinePunct w:val="0"/>
        <w:autoSpaceDE/>
        <w:autoSpaceDN/>
        <w:bidi w:val="0"/>
        <w:adjustRightInd/>
        <w:snapToGrid/>
        <w:spacing w:line="600" w:lineRule="auto"/>
        <w:ind w:right="0" w:rightChars="0" w:firstLine="0" w:firstLineChars="0"/>
        <w:jc w:val="center"/>
        <w:textAlignment w:val="auto"/>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招标</w:t>
      </w:r>
      <w:r>
        <w:rPr>
          <w:rFonts w:hint="eastAsia" w:ascii="宋体" w:hAnsi="宋体" w:eastAsia="宋体" w:cs="宋体"/>
          <w:b/>
          <w:color w:val="auto"/>
          <w:sz w:val="32"/>
          <w:szCs w:val="32"/>
          <w:highlight w:val="none"/>
        </w:rPr>
        <w:t>人：</w:t>
      </w:r>
      <w:r>
        <w:rPr>
          <w:rFonts w:hint="eastAsia" w:ascii="宋体" w:hAnsi="宋体" w:eastAsia="宋体" w:cs="宋体"/>
          <w:b/>
          <w:color w:val="auto"/>
          <w:sz w:val="32"/>
          <w:szCs w:val="32"/>
          <w:highlight w:val="none"/>
          <w:lang w:eastAsia="zh-CN"/>
        </w:rPr>
        <w:t>韶关市武江区国有投资集团有限公司</w:t>
      </w:r>
    </w:p>
    <w:p w14:paraId="012553DD">
      <w:pPr>
        <w:keepNext w:val="0"/>
        <w:keepLines w:val="0"/>
        <w:pageBreakBefore w:val="0"/>
        <w:widowControl w:val="0"/>
        <w:kinsoku/>
        <w:wordWrap/>
        <w:overflowPunct/>
        <w:topLinePunct w:val="0"/>
        <w:autoSpaceDE/>
        <w:autoSpaceDN/>
        <w:bidi w:val="0"/>
        <w:adjustRightInd/>
        <w:snapToGrid/>
        <w:spacing w:line="600" w:lineRule="auto"/>
        <w:ind w:right="0" w:rightChars="0" w:firstLine="0" w:firstLineChars="0"/>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招标</w:t>
      </w:r>
      <w:r>
        <w:rPr>
          <w:rFonts w:hint="eastAsia" w:ascii="宋体" w:hAnsi="宋体" w:eastAsia="宋体" w:cs="宋体"/>
          <w:b/>
          <w:color w:val="auto"/>
          <w:sz w:val="32"/>
          <w:szCs w:val="32"/>
          <w:highlight w:val="none"/>
        </w:rPr>
        <w:t>代理机构：</w:t>
      </w:r>
      <w:r>
        <w:rPr>
          <w:rFonts w:hint="eastAsia" w:ascii="宋体" w:hAnsi="宋体" w:eastAsia="宋体" w:cs="宋体"/>
          <w:b/>
          <w:color w:val="auto"/>
          <w:sz w:val="32"/>
          <w:szCs w:val="32"/>
          <w:highlight w:val="none"/>
          <w:lang w:eastAsia="zh-CN"/>
        </w:rPr>
        <w:t>广东合正项目管理有限公司</w:t>
      </w:r>
    </w:p>
    <w:p w14:paraId="09745852">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202</w:t>
      </w:r>
      <w:r>
        <w:rPr>
          <w:rFonts w:hint="eastAsia" w:ascii="宋体" w:hAnsi="宋体" w:eastAsia="宋体" w:cs="宋体"/>
          <w:b/>
          <w:color w:val="auto"/>
          <w:sz w:val="32"/>
          <w:szCs w:val="32"/>
          <w:highlight w:val="none"/>
          <w:lang w:val="en-US" w:eastAsia="zh-CN"/>
        </w:rPr>
        <w:t>6</w:t>
      </w:r>
      <w:r>
        <w:rPr>
          <w:rFonts w:hint="eastAsia" w:ascii="宋体" w:hAnsi="宋体" w:eastAsia="宋体" w:cs="宋体"/>
          <w:b/>
          <w:color w:val="auto"/>
          <w:sz w:val="32"/>
          <w:szCs w:val="32"/>
          <w:highlight w:val="none"/>
          <w:lang w:eastAsia="zh-CN"/>
        </w:rPr>
        <w:t>年</w:t>
      </w:r>
      <w:r>
        <w:rPr>
          <w:rFonts w:hint="eastAsia" w:ascii="宋体" w:hAnsi="宋体" w:eastAsia="宋体" w:cs="宋体"/>
          <w:b/>
          <w:color w:val="auto"/>
          <w:sz w:val="32"/>
          <w:szCs w:val="32"/>
          <w:highlight w:val="none"/>
          <w:lang w:val="en-US" w:eastAsia="zh-CN"/>
        </w:rPr>
        <w:t>05</w:t>
      </w:r>
      <w:r>
        <w:rPr>
          <w:rFonts w:hint="eastAsia" w:ascii="宋体" w:hAnsi="宋体" w:eastAsia="宋体" w:cs="宋体"/>
          <w:b/>
          <w:color w:val="auto"/>
          <w:sz w:val="32"/>
          <w:szCs w:val="32"/>
          <w:highlight w:val="none"/>
        </w:rPr>
        <w:t>月</w:t>
      </w:r>
      <w:r>
        <w:rPr>
          <w:rFonts w:hint="eastAsia" w:ascii="宋体" w:hAnsi="宋体" w:eastAsia="宋体" w:cs="宋体"/>
          <w:b/>
          <w:color w:val="auto"/>
          <w:sz w:val="32"/>
          <w:szCs w:val="32"/>
          <w:highlight w:val="none"/>
          <w:lang w:val="en-US" w:eastAsia="zh-CN"/>
        </w:rPr>
        <w:t>22</w:t>
      </w:r>
      <w:r>
        <w:rPr>
          <w:rFonts w:hint="eastAsia" w:ascii="宋体" w:hAnsi="宋体" w:eastAsia="宋体" w:cs="宋体"/>
          <w:b/>
          <w:color w:val="auto"/>
          <w:sz w:val="32"/>
          <w:szCs w:val="32"/>
          <w:highlight w:val="none"/>
        </w:rPr>
        <w:t>日</w:t>
      </w:r>
    </w:p>
    <w:p w14:paraId="0FEBA535">
      <w:pPr>
        <w:pStyle w:val="2"/>
        <w:rPr>
          <w:rFonts w:hint="eastAsia" w:asciiTheme="minorEastAsia" w:hAnsiTheme="minorEastAsia" w:eastAsiaTheme="minorEastAsia" w:cstheme="minorEastAsia"/>
          <w:b/>
          <w:color w:val="auto"/>
          <w:sz w:val="32"/>
          <w:szCs w:val="32"/>
          <w:highlight w:val="none"/>
        </w:rPr>
      </w:pPr>
    </w:p>
    <w:p w14:paraId="4C975E9A">
      <w:pPr>
        <w:pStyle w:val="2"/>
        <w:rPr>
          <w:rFonts w:hint="eastAsia" w:asciiTheme="minorEastAsia" w:hAnsiTheme="minorEastAsia" w:eastAsiaTheme="minorEastAsia" w:cstheme="minorEastAsia"/>
          <w:b/>
          <w:color w:val="auto"/>
          <w:sz w:val="32"/>
          <w:szCs w:val="32"/>
          <w:highlight w:val="none"/>
        </w:rPr>
      </w:pPr>
    </w:p>
    <w:p w14:paraId="520A4774">
      <w:pPr>
        <w:spacing w:line="360" w:lineRule="auto"/>
        <w:ind w:left="0" w:leftChars="0" w:firstLine="0" w:firstLineChars="0"/>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目  录</w:t>
      </w:r>
    </w:p>
    <w:p w14:paraId="76364D56">
      <w:pPr>
        <w:pStyle w:val="90"/>
        <w:tabs>
          <w:tab w:val="right" w:leader="dot" w:pos="8306"/>
        </w:tabs>
        <w:spacing w:line="600" w:lineRule="exact"/>
        <w:jc w:val="center"/>
        <w:rPr>
          <w:rFonts w:hint="eastAsia" w:ascii="宋体" w:hAnsi="宋体" w:eastAsia="宋体" w:cs="宋体"/>
          <w:color w:val="auto"/>
          <w:sz w:val="32"/>
          <w:szCs w:val="32"/>
          <w:highlight w:val="none"/>
        </w:rPr>
      </w:pPr>
    </w:p>
    <w:p w14:paraId="518B3FEA">
      <w:pPr>
        <w:pStyle w:val="90"/>
        <w:tabs>
          <w:tab w:val="right" w:leader="dot" w:pos="8306"/>
        </w:tabs>
        <w:spacing w:line="600" w:lineRule="exact"/>
        <w:ind w:left="1058" w:leftChars="50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招标公告</w:t>
      </w:r>
    </w:p>
    <w:p w14:paraId="4DAF9D73">
      <w:pPr>
        <w:pStyle w:val="90"/>
        <w:tabs>
          <w:tab w:val="right" w:leader="dot" w:pos="8306"/>
        </w:tabs>
        <w:spacing w:line="600" w:lineRule="exact"/>
        <w:ind w:left="1058" w:leftChars="50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第一章 投标人须知</w:t>
      </w:r>
    </w:p>
    <w:p w14:paraId="3A33D34E">
      <w:pPr>
        <w:pStyle w:val="90"/>
        <w:tabs>
          <w:tab w:val="right" w:leader="dot" w:pos="8306"/>
        </w:tabs>
        <w:spacing w:line="600" w:lineRule="exact"/>
        <w:ind w:left="1058" w:leftChars="50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第二章 投标文件内容及格式</w:t>
      </w:r>
    </w:p>
    <w:p w14:paraId="6ACEB54B">
      <w:pPr>
        <w:pStyle w:val="90"/>
        <w:tabs>
          <w:tab w:val="right" w:leader="dot" w:pos="8306"/>
        </w:tabs>
        <w:spacing w:line="600" w:lineRule="exact"/>
        <w:ind w:left="1058" w:leftChars="504"/>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rPr>
        <w:t xml:space="preserve">第三章 </w:t>
      </w:r>
      <w:r>
        <w:rPr>
          <w:rFonts w:hint="eastAsia" w:ascii="宋体" w:hAnsi="宋体" w:eastAsia="宋体" w:cs="宋体"/>
          <w:color w:val="auto"/>
          <w:sz w:val="32"/>
          <w:szCs w:val="32"/>
          <w:highlight w:val="none"/>
          <w:lang w:eastAsia="zh-CN"/>
        </w:rPr>
        <w:t>采购需求</w:t>
      </w:r>
    </w:p>
    <w:p w14:paraId="52FC4406">
      <w:pPr>
        <w:pStyle w:val="90"/>
        <w:tabs>
          <w:tab w:val="right" w:leader="dot" w:pos="8306"/>
        </w:tabs>
        <w:spacing w:line="600" w:lineRule="exact"/>
        <w:ind w:left="1058" w:leftChars="50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第四章 评标方法</w:t>
      </w:r>
    </w:p>
    <w:p w14:paraId="4880CD40">
      <w:pPr>
        <w:pStyle w:val="90"/>
        <w:tabs>
          <w:tab w:val="right" w:leader="dot" w:pos="8306"/>
        </w:tabs>
        <w:spacing w:line="600" w:lineRule="exact"/>
        <w:ind w:left="1058" w:leftChars="50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第五章 采购合同条款及格式</w:t>
      </w:r>
    </w:p>
    <w:p w14:paraId="72B63A83">
      <w:pPr>
        <w:pStyle w:val="90"/>
        <w:tabs>
          <w:tab w:val="right" w:leader="dot" w:pos="8306"/>
        </w:tabs>
        <w:spacing w:line="240" w:lineRule="auto"/>
        <w:rPr>
          <w:rFonts w:hint="eastAsia" w:ascii="宋体" w:hAnsi="宋体" w:eastAsia="宋体" w:cs="宋体"/>
          <w:b/>
          <w:bCs/>
          <w:color w:val="auto"/>
          <w:highlight w:val="none"/>
          <w:lang w:eastAsia="zh-CN"/>
        </w:rPr>
      </w:pPr>
    </w:p>
    <w:p w14:paraId="44C54061">
      <w:pPr>
        <w:pStyle w:val="3"/>
        <w:rPr>
          <w:rFonts w:hint="eastAsia" w:ascii="宋体" w:hAnsi="宋体" w:eastAsia="宋体" w:cs="宋体"/>
          <w:color w:val="auto"/>
          <w:highlight w:val="none"/>
        </w:rPr>
      </w:pPr>
      <w:r>
        <w:rPr>
          <w:rFonts w:ascii="宋体" w:hAnsi="宋体" w:eastAsia="宋体" w:cs="宋体"/>
          <w:color w:val="auto"/>
          <w:highlight w:val="none"/>
        </w:rPr>
        <w:br w:type="page"/>
      </w:r>
      <w:r>
        <w:rPr>
          <w:rFonts w:hint="eastAsia" w:ascii="宋体" w:hAnsi="宋体" w:eastAsia="宋体" w:cs="宋体"/>
          <w:color w:val="auto"/>
          <w:highlight w:val="none"/>
        </w:rPr>
        <w:t>招标公告</w:t>
      </w:r>
    </w:p>
    <w:p w14:paraId="4D64089C">
      <w:pPr>
        <w:pBdr>
          <w:top w:val="single" w:color="auto" w:sz="4" w:space="1"/>
          <w:left w:val="single" w:color="auto" w:sz="4" w:space="4"/>
          <w:bottom w:val="single" w:color="auto" w:sz="4" w:space="1"/>
          <w:right w:val="single" w:color="auto" w:sz="4" w:space="4"/>
        </w:pBd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项目概况</w:t>
      </w:r>
    </w:p>
    <w:p w14:paraId="4FAD2F2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韶关市武江区养老服务中心（一期）委托运营管理项目  </w:t>
      </w:r>
      <w:r>
        <w:rPr>
          <w:rFonts w:hint="eastAsia" w:ascii="宋体" w:hAnsi="宋体" w:eastAsia="宋体" w:cs="宋体"/>
          <w:color w:val="auto"/>
          <w:sz w:val="21"/>
          <w:szCs w:val="21"/>
          <w:highlight w:val="none"/>
        </w:rPr>
        <w:t>招标项目的潜在投标人应在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广东省公共资源交易平台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韶关市</w:t>
      </w:r>
      <w:r>
        <w:rPr>
          <w:rFonts w:hint="eastAsia" w:ascii="宋体" w:hAnsi="宋体" w:eastAsia="宋体" w:cs="宋体"/>
          <w:color w:val="auto"/>
          <w:sz w:val="21"/>
          <w:szCs w:val="21"/>
          <w:highlight w:val="none"/>
          <w:u w:val="single"/>
          <w:lang w:eastAsia="zh-CN"/>
        </w:rPr>
        <w:t>）（https://ygp.gdzwfw.gov.cn/ggzy-portal/#/440200/index）、</w:t>
      </w:r>
      <w:r>
        <w:rPr>
          <w:rFonts w:hint="eastAsia" w:ascii="宋体" w:hAnsi="宋体" w:eastAsia="宋体" w:cs="宋体"/>
          <w:color w:val="auto"/>
          <w:sz w:val="21"/>
          <w:szCs w:val="21"/>
          <w:highlight w:val="none"/>
          <w:u w:val="single"/>
        </w:rPr>
        <w:t>韶关市公共资源交易一体化平台（http://portal.ythpt.sg.gov.cn/）</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rPr>
        <w:t>获取招标文件，并于</w:t>
      </w:r>
      <w:r>
        <w:rPr>
          <w:rFonts w:hint="eastAsia" w:ascii="宋体" w:hAnsi="宋体" w:eastAsia="宋体" w:cs="宋体"/>
          <w:color w:val="auto"/>
          <w:sz w:val="21"/>
          <w:szCs w:val="21"/>
          <w:highlight w:val="none"/>
          <w:u w:val="none"/>
          <w:lang w:val="en-US" w:eastAsia="zh-CN"/>
        </w:rPr>
        <w:t>2026</w:t>
      </w:r>
      <w:r>
        <w:rPr>
          <w:rFonts w:hint="eastAsia" w:ascii="宋体" w:hAnsi="宋体" w:eastAsia="宋体" w:cs="宋体"/>
          <w:bCs/>
          <w:color w:val="auto"/>
          <w:sz w:val="21"/>
          <w:szCs w:val="21"/>
          <w:highlight w:val="none"/>
          <w:u w:val="none"/>
        </w:rPr>
        <w:t>年</w:t>
      </w:r>
      <w:r>
        <w:rPr>
          <w:rFonts w:hint="eastAsia" w:ascii="宋体" w:hAnsi="宋体" w:eastAsia="宋体" w:cs="宋体"/>
          <w:bCs/>
          <w:color w:val="auto"/>
          <w:sz w:val="21"/>
          <w:szCs w:val="21"/>
          <w:highlight w:val="none"/>
          <w:u w:val="none"/>
          <w:lang w:val="en-US" w:eastAsia="zh-CN"/>
        </w:rPr>
        <w:t>06</w:t>
      </w:r>
      <w:r>
        <w:rPr>
          <w:rFonts w:hint="eastAsia" w:ascii="宋体" w:hAnsi="宋体" w:eastAsia="宋体" w:cs="宋体"/>
          <w:bCs/>
          <w:color w:val="auto"/>
          <w:sz w:val="21"/>
          <w:szCs w:val="21"/>
          <w:highlight w:val="none"/>
          <w:u w:val="none"/>
        </w:rPr>
        <w:t>月</w:t>
      </w:r>
      <w:r>
        <w:rPr>
          <w:rFonts w:hint="eastAsia" w:ascii="宋体" w:hAnsi="宋体" w:eastAsia="宋体" w:cs="宋体"/>
          <w:bCs/>
          <w:color w:val="auto"/>
          <w:sz w:val="21"/>
          <w:szCs w:val="21"/>
          <w:highlight w:val="none"/>
          <w:u w:val="none"/>
          <w:lang w:val="en-US" w:eastAsia="zh-CN"/>
        </w:rPr>
        <w:t>12</w:t>
      </w:r>
      <w:r>
        <w:rPr>
          <w:rFonts w:hint="eastAsia" w:ascii="宋体" w:hAnsi="宋体" w:eastAsia="宋体" w:cs="宋体"/>
          <w:bCs/>
          <w:color w:val="auto"/>
          <w:sz w:val="21"/>
          <w:szCs w:val="21"/>
          <w:highlight w:val="none"/>
          <w:u w:val="none"/>
        </w:rPr>
        <w:t>日</w:t>
      </w:r>
      <w:r>
        <w:rPr>
          <w:rFonts w:hint="eastAsia" w:ascii="宋体" w:hAnsi="宋体" w:eastAsia="宋体" w:cs="宋体"/>
          <w:bCs/>
          <w:color w:val="auto"/>
          <w:sz w:val="21"/>
          <w:szCs w:val="21"/>
          <w:highlight w:val="none"/>
          <w:u w:val="none"/>
          <w:lang w:val="en-US" w:eastAsia="zh-CN"/>
        </w:rPr>
        <w:t>9点30</w:t>
      </w:r>
      <w:r>
        <w:rPr>
          <w:rFonts w:hint="eastAsia" w:ascii="宋体" w:hAnsi="宋体" w:eastAsia="宋体" w:cs="宋体"/>
          <w:bCs/>
          <w:color w:val="auto"/>
          <w:sz w:val="21"/>
          <w:szCs w:val="21"/>
          <w:highlight w:val="none"/>
          <w:u w:val="none"/>
        </w:rPr>
        <w:t>分（北</w:t>
      </w:r>
      <w:r>
        <w:rPr>
          <w:rFonts w:hint="eastAsia" w:ascii="宋体" w:hAnsi="宋体" w:eastAsia="宋体" w:cs="宋体"/>
          <w:bCs/>
          <w:color w:val="auto"/>
          <w:sz w:val="21"/>
          <w:szCs w:val="21"/>
          <w:highlight w:val="none"/>
        </w:rPr>
        <w:t>京时间）前递交投标文件</w:t>
      </w:r>
      <w:r>
        <w:rPr>
          <w:rFonts w:hint="eastAsia" w:ascii="宋体" w:hAnsi="宋体" w:eastAsia="宋体" w:cs="宋体"/>
          <w:color w:val="auto"/>
          <w:sz w:val="21"/>
          <w:szCs w:val="21"/>
          <w:highlight w:val="none"/>
        </w:rPr>
        <w:t>。</w:t>
      </w:r>
    </w:p>
    <w:p w14:paraId="65B29A64">
      <w:pPr>
        <w:keepNext/>
        <w:keepLines/>
        <w:pageBreakBefore w:val="0"/>
        <w:widowControl w:val="0"/>
        <w:kinsoku/>
        <w:wordWrap/>
        <w:overflowPunct/>
        <w:topLinePunct w:val="0"/>
        <w:autoSpaceDE/>
        <w:autoSpaceDN/>
        <w:bidi w:val="0"/>
        <w:adjustRightInd/>
        <w:snapToGrid/>
        <w:spacing w:after="0" w:line="360" w:lineRule="auto"/>
        <w:jc w:val="left"/>
        <w:textAlignment w:val="auto"/>
        <w:outlineLvl w:val="9"/>
        <w:rPr>
          <w:rFonts w:hint="eastAsia" w:ascii="宋体" w:hAnsi="宋体" w:eastAsia="宋体" w:cs="宋体"/>
          <w:b/>
          <w:bCs w:val="0"/>
          <w:color w:val="auto"/>
          <w:sz w:val="21"/>
          <w:szCs w:val="21"/>
          <w:highlight w:val="none"/>
        </w:rPr>
      </w:pPr>
      <w:bookmarkStart w:id="0" w:name="_Toc35393621"/>
      <w:bookmarkStart w:id="1" w:name="_Toc35393790"/>
      <w:bookmarkStart w:id="2" w:name="_Toc28359002"/>
      <w:bookmarkStart w:id="3" w:name="_Toc28359079"/>
      <w:bookmarkStart w:id="4" w:name="_Hlk24379207"/>
      <w:r>
        <w:rPr>
          <w:rFonts w:hint="eastAsia" w:ascii="宋体" w:hAnsi="宋体" w:eastAsia="宋体" w:cs="宋体"/>
          <w:b/>
          <w:bCs w:val="0"/>
          <w:color w:val="auto"/>
          <w:sz w:val="21"/>
          <w:szCs w:val="21"/>
          <w:highlight w:val="none"/>
        </w:rPr>
        <w:t>一、项目基本情况</w:t>
      </w:r>
      <w:bookmarkEnd w:id="0"/>
      <w:bookmarkEnd w:id="1"/>
      <w:bookmarkEnd w:id="2"/>
      <w:bookmarkEnd w:id="3"/>
    </w:p>
    <w:p w14:paraId="5DB76E27">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val="en-US" w:eastAsia="zh-CN"/>
        </w:rPr>
        <w:t>CQZB260014</w:t>
      </w:r>
    </w:p>
    <w:p w14:paraId="6894ADC0">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bookmarkEnd w:id="4"/>
      <w:r>
        <w:rPr>
          <w:rFonts w:hint="eastAsia" w:ascii="宋体" w:hAnsi="宋体" w:eastAsia="宋体" w:cs="宋体"/>
          <w:color w:val="auto"/>
          <w:sz w:val="21"/>
          <w:szCs w:val="21"/>
          <w:highlight w:val="none"/>
          <w:lang w:eastAsia="zh-CN"/>
        </w:rPr>
        <w:t>韶关市武江区养老服务中心（一期）委托运营管理项目</w:t>
      </w:r>
    </w:p>
    <w:p w14:paraId="43AE64D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采购需求：(包括但不限于标的的名称、数量、简要技术需求或服务要求等)</w:t>
      </w:r>
    </w:p>
    <w:p w14:paraId="5EB8C9B3">
      <w:pPr>
        <w:numPr>
          <w:ilvl w:val="0"/>
          <w:numId w:val="0"/>
        </w:num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标的名称：</w:t>
      </w:r>
      <w:r>
        <w:rPr>
          <w:rFonts w:hint="eastAsia" w:ascii="宋体" w:hAnsi="宋体" w:eastAsia="宋体" w:cs="宋体"/>
          <w:color w:val="auto"/>
          <w:sz w:val="21"/>
          <w:szCs w:val="21"/>
          <w:highlight w:val="none"/>
          <w:lang w:eastAsia="zh-CN"/>
        </w:rPr>
        <w:t>韶关市武江区养老服务中心（一期）委托运营管理项目</w:t>
      </w:r>
    </w:p>
    <w:p w14:paraId="4AE70FC3">
      <w:pPr>
        <w:numPr>
          <w:ilvl w:val="0"/>
          <w:numId w:val="0"/>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标的数量：1项</w:t>
      </w:r>
    </w:p>
    <w:p w14:paraId="2003C02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简要技术需求或服务要求：</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3048"/>
        <w:gridCol w:w="763"/>
        <w:gridCol w:w="2401"/>
        <w:gridCol w:w="2660"/>
      </w:tblGrid>
      <w:tr w14:paraId="40ED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2" w:hRule="atLeast"/>
          <w:jc w:val="center"/>
        </w:trPr>
        <w:tc>
          <w:tcPr>
            <w:tcW w:w="308" w:type="pct"/>
            <w:noWrap/>
            <w:vAlign w:val="center"/>
          </w:tcPr>
          <w:p w14:paraId="5B95CBEC">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611" w:type="pct"/>
            <w:noWrap/>
            <w:vAlign w:val="center"/>
          </w:tcPr>
          <w:p w14:paraId="2267CC8A">
            <w:pPr>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采购</w:t>
            </w:r>
            <w:r>
              <w:rPr>
                <w:rFonts w:hint="eastAsia" w:ascii="宋体" w:hAnsi="宋体" w:eastAsia="宋体" w:cs="宋体"/>
                <w:b/>
                <w:bCs/>
                <w:color w:val="auto"/>
                <w:sz w:val="21"/>
                <w:szCs w:val="21"/>
                <w:highlight w:val="none"/>
                <w:lang w:val="en-US" w:eastAsia="zh-CN"/>
              </w:rPr>
              <w:t>内容</w:t>
            </w:r>
          </w:p>
        </w:tc>
        <w:tc>
          <w:tcPr>
            <w:tcW w:w="403" w:type="pct"/>
            <w:noWrap/>
            <w:vAlign w:val="center"/>
          </w:tcPr>
          <w:p w14:paraId="36F251C4">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69" w:type="pct"/>
            <w:noWrap/>
            <w:vAlign w:val="center"/>
          </w:tcPr>
          <w:p w14:paraId="42F27389">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主要技术要求</w:t>
            </w:r>
          </w:p>
        </w:tc>
        <w:tc>
          <w:tcPr>
            <w:tcW w:w="1406" w:type="pct"/>
            <w:noWrap/>
            <w:vAlign w:val="center"/>
          </w:tcPr>
          <w:p w14:paraId="66CDF170">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shd w:val="clear" w:color="auto" w:fill="auto"/>
              </w:rPr>
              <w:t>服务期</w:t>
            </w:r>
          </w:p>
        </w:tc>
      </w:tr>
      <w:tr w14:paraId="009D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308" w:type="pct"/>
            <w:noWrap/>
            <w:vAlign w:val="center"/>
          </w:tcPr>
          <w:p w14:paraId="4C80D0F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11" w:type="pct"/>
            <w:noWrap/>
            <w:vAlign w:val="center"/>
          </w:tcPr>
          <w:p w14:paraId="6FC8E92C">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韶关市武江区养老服务中心（一期）委托运营管理项目</w:t>
            </w:r>
          </w:p>
        </w:tc>
        <w:tc>
          <w:tcPr>
            <w:tcW w:w="403" w:type="pct"/>
            <w:noWrap/>
            <w:vAlign w:val="center"/>
          </w:tcPr>
          <w:p w14:paraId="48BD13E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1269" w:type="pct"/>
            <w:noWrap/>
            <w:vAlign w:val="center"/>
          </w:tcPr>
          <w:p w14:paraId="089A15D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详见本项目《招标文件》第三章：采购需求</w:t>
            </w:r>
          </w:p>
        </w:tc>
        <w:tc>
          <w:tcPr>
            <w:tcW w:w="1406" w:type="pct"/>
            <w:noWrap/>
            <w:vAlign w:val="center"/>
          </w:tcPr>
          <w:p w14:paraId="1EFC22DC">
            <w:pPr>
              <w:spacing w:line="360" w:lineRule="auto"/>
              <w:jc w:val="center"/>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自合同签订之日起20年</w:t>
            </w:r>
          </w:p>
        </w:tc>
      </w:tr>
    </w:tbl>
    <w:p w14:paraId="2786969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其他：无</w:t>
      </w:r>
    </w:p>
    <w:p w14:paraId="02375B1F">
      <w:pPr>
        <w:spacing w:line="360" w:lineRule="auto"/>
        <w:ind w:firstLine="420" w:firstLineChars="200"/>
        <w:rPr>
          <w:rFonts w:hint="eastAsia" w:ascii="宋体" w:hAnsi="宋体" w:eastAsia="宋体" w:cs="宋体"/>
          <w:color w:val="auto"/>
          <w:kern w:val="16"/>
          <w:sz w:val="21"/>
          <w:szCs w:val="21"/>
          <w:highlight w:val="none"/>
          <w:shd w:val="clear" w:color="auto" w:fill="auto"/>
          <w:lang w:eastAsia="zh-CN"/>
        </w:rPr>
      </w:pPr>
      <w:r>
        <w:rPr>
          <w:rFonts w:hint="eastAsia" w:ascii="宋体" w:hAnsi="宋体" w:eastAsia="宋体" w:cs="宋体"/>
          <w:color w:val="auto"/>
          <w:sz w:val="21"/>
          <w:szCs w:val="21"/>
          <w:highlight w:val="none"/>
        </w:rPr>
        <w:t>合同履行期限：</w:t>
      </w:r>
      <w:bookmarkStart w:id="5" w:name="_Toc28359003"/>
      <w:bookmarkStart w:id="6" w:name="_Toc28359080"/>
      <w:bookmarkStart w:id="7" w:name="_Toc35393791"/>
      <w:bookmarkStart w:id="8" w:name="_Toc35393622"/>
      <w:r>
        <w:rPr>
          <w:rFonts w:hint="eastAsia" w:ascii="宋体" w:hAnsi="宋体" w:eastAsia="宋体" w:cs="宋体"/>
          <w:color w:val="auto"/>
          <w:kern w:val="16"/>
          <w:sz w:val="21"/>
          <w:szCs w:val="21"/>
          <w:highlight w:val="none"/>
          <w:shd w:val="clear" w:color="auto" w:fill="auto"/>
          <w:lang w:eastAsia="zh-CN"/>
        </w:rPr>
        <w:t>自合同签订之日起20年。</w:t>
      </w:r>
    </w:p>
    <w:p w14:paraId="0E7CAD1C">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16"/>
          <w:sz w:val="21"/>
          <w:szCs w:val="21"/>
          <w:highlight w:val="none"/>
          <w:shd w:val="clear" w:color="auto" w:fill="auto"/>
          <w:lang w:val="en-US" w:eastAsia="zh-CN"/>
        </w:rPr>
        <w:t>5.</w:t>
      </w:r>
      <w:r>
        <w:rPr>
          <w:rFonts w:hint="eastAsia" w:ascii="宋体" w:hAnsi="宋体" w:eastAsia="宋体" w:cs="宋体"/>
          <w:color w:val="auto"/>
          <w:sz w:val="21"/>
          <w:szCs w:val="21"/>
          <w:highlight w:val="none"/>
          <w:lang w:val="en-US" w:eastAsia="zh-CN"/>
        </w:rPr>
        <w:t>本项目不接受联合体投标。</w:t>
      </w:r>
    </w:p>
    <w:p w14:paraId="342CA9C3">
      <w:pPr>
        <w:keepNext/>
        <w:keepLines/>
        <w:pageBreakBefore w:val="0"/>
        <w:widowControl w:val="0"/>
        <w:kinsoku/>
        <w:wordWrap/>
        <w:overflowPunct/>
        <w:topLinePunct w:val="0"/>
        <w:autoSpaceDE/>
        <w:autoSpaceDN/>
        <w:bidi w:val="0"/>
        <w:adjustRightInd/>
        <w:snapToGrid/>
        <w:spacing w:after="0" w:line="360" w:lineRule="auto"/>
        <w:jc w:val="left"/>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二、申请人的资格要求</w:t>
      </w:r>
      <w:bookmarkEnd w:id="5"/>
      <w:bookmarkEnd w:id="6"/>
      <w:bookmarkEnd w:id="7"/>
      <w:bookmarkEnd w:id="8"/>
    </w:p>
    <w:p w14:paraId="1CCA16D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1.投标人应具备以下规定；</w:t>
      </w:r>
    </w:p>
    <w:tbl>
      <w:tblPr>
        <w:tblStyle w:val="18"/>
        <w:tblW w:w="9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0"/>
      </w:tblGrid>
      <w:tr w14:paraId="7096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90" w:type="dxa"/>
            <w:noWrap w:val="0"/>
            <w:vAlign w:val="top"/>
          </w:tcPr>
          <w:p w14:paraId="14D8B253">
            <w:pPr>
              <w:keepNext w:val="0"/>
              <w:keepLines w:val="0"/>
              <w:pageBreakBefore w:val="0"/>
              <w:kinsoku/>
              <w:wordWrap/>
              <w:overflowPunct/>
              <w:topLinePunct w:val="0"/>
              <w:bidi w:val="0"/>
              <w:spacing w:afterAutospacing="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（1）投标人必须是具有独立承担民事责任能力的在中华人民共和国境内注册的法人、其他组织或自然人（营业执照或事业单位法人证书或执业许可证等证明文件或自然人的身份证明）。</w:t>
            </w:r>
          </w:p>
          <w:p w14:paraId="1F755A8F">
            <w:pPr>
              <w:keepNext w:val="0"/>
              <w:keepLines w:val="0"/>
              <w:pageBreakBefore w:val="0"/>
              <w:kinsoku/>
              <w:wordWrap/>
              <w:overflowPunct/>
              <w:topLinePunct w:val="0"/>
              <w:bidi w:val="0"/>
              <w:spacing w:afterAutospacing="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（2）投标人必须具有良好的商业信誉和健全的财务会计制度（投标文件中提供《资格条件承诺函》）。</w:t>
            </w:r>
          </w:p>
          <w:p w14:paraId="66AD19D5">
            <w:pPr>
              <w:keepNext w:val="0"/>
              <w:keepLines w:val="0"/>
              <w:pageBreakBefore w:val="0"/>
              <w:kinsoku/>
              <w:wordWrap/>
              <w:overflowPunct/>
              <w:topLinePunct w:val="0"/>
              <w:bidi w:val="0"/>
              <w:spacing w:afterAutospacing="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（3）有依法缴纳税收和社会保障资金的良好记录（投标文件中提供《资格条件承诺函》）。</w:t>
            </w:r>
          </w:p>
          <w:p w14:paraId="754F63AF">
            <w:pPr>
              <w:keepNext w:val="0"/>
              <w:keepLines w:val="0"/>
              <w:pageBreakBefore w:val="0"/>
              <w:kinsoku/>
              <w:wordWrap/>
              <w:overflowPunct/>
              <w:topLinePunct w:val="0"/>
              <w:bidi w:val="0"/>
              <w:spacing w:afterAutospacing="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（4）具备履行合同所必需的设备和专业技术能力（投标文件中提供《资格条件承诺函》）。</w:t>
            </w:r>
          </w:p>
          <w:p w14:paraId="6CA69924">
            <w:pPr>
              <w:keepNext w:val="0"/>
              <w:keepLines w:val="0"/>
              <w:pageBreakBefore w:val="0"/>
              <w:kinsoku/>
              <w:wordWrap/>
              <w:overflowPunct/>
              <w:topLinePunct w:val="0"/>
              <w:bidi w:val="0"/>
              <w:spacing w:afterAutospacing="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投标人参加招标采购活动前三年内，在经营活动中没有重大违法记录（投标文件中提供《资格条件承诺函》）。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bl>
    <w:p w14:paraId="6FBCE681">
      <w:pPr>
        <w:pStyle w:val="7"/>
        <w:rPr>
          <w:rFonts w:hint="eastAsia" w:ascii="宋体" w:hAnsi="宋体" w:eastAsia="宋体" w:cs="宋体"/>
          <w:color w:val="auto"/>
          <w:sz w:val="21"/>
          <w:szCs w:val="21"/>
          <w:highlight w:val="none"/>
        </w:rPr>
      </w:pPr>
    </w:p>
    <w:p w14:paraId="753D026D">
      <w:pPr>
        <w:spacing w:line="360" w:lineRule="auto"/>
        <w:ind w:firstLine="420" w:firstLineChars="200"/>
        <w:rPr>
          <w:rFonts w:hint="eastAsia" w:ascii="宋体" w:hAnsi="宋体" w:eastAsia="宋体" w:cs="宋体"/>
          <w:color w:val="auto"/>
          <w:sz w:val="21"/>
          <w:szCs w:val="21"/>
          <w:highlight w:val="none"/>
        </w:rPr>
      </w:pPr>
      <w:bookmarkStart w:id="9" w:name="_Toc28359081"/>
      <w:bookmarkStart w:id="10" w:name="_Toc28359004"/>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.本项目的特定资格要求：</w:t>
      </w:r>
    </w:p>
    <w:tbl>
      <w:tblPr>
        <w:tblStyle w:val="17"/>
        <w:tblW w:w="9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0"/>
      </w:tblGrid>
      <w:tr w14:paraId="3CB3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390" w:type="dxa"/>
            <w:noWrap w:val="0"/>
            <w:vAlign w:val="top"/>
          </w:tcPr>
          <w:p w14:paraId="69578D5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投标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招标代理机构于投标截止日当天在“信用中国”网站（www.creditchina.gov.cn）及中国政府采购网（http://www.ccgp.gov.cn/）查询结果为准，如相关失信记录已失效，投标人需提供相关证明资料）。</w:t>
            </w:r>
          </w:p>
          <w:p w14:paraId="17306D8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（2）单位负责人为同一人或者存在直接控股、 管理关系的不同投标人，不得同时参加本招标项目投标。为本项目提供整体设计、规范编制或者项目管理、监理、检测等服务的投标人，不得再参与本项目投标。（投标时提供承诺函，格式自拟）</w:t>
            </w:r>
          </w:p>
          <w:p w14:paraId="707DACA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（3）已登记报名并获取本项目招标文件。</w:t>
            </w:r>
          </w:p>
        </w:tc>
      </w:tr>
    </w:tbl>
    <w:p w14:paraId="64798B55">
      <w:pPr>
        <w:keepNext/>
        <w:keepLines/>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宋体" w:hAnsi="宋体" w:eastAsia="宋体" w:cs="宋体"/>
          <w:b/>
          <w:bCs w:val="0"/>
          <w:color w:val="auto"/>
          <w:sz w:val="21"/>
          <w:szCs w:val="21"/>
          <w:highlight w:val="none"/>
        </w:rPr>
      </w:pPr>
      <w:bookmarkStart w:id="11" w:name="_Toc35393792"/>
      <w:bookmarkStart w:id="12" w:name="_Toc35393623"/>
      <w:r>
        <w:rPr>
          <w:rFonts w:hint="eastAsia" w:ascii="宋体" w:hAnsi="宋体" w:eastAsia="宋体" w:cs="宋体"/>
          <w:b/>
          <w:bCs w:val="0"/>
          <w:color w:val="auto"/>
          <w:sz w:val="21"/>
          <w:szCs w:val="21"/>
          <w:highlight w:val="none"/>
        </w:rPr>
        <w:t>三、获取招标文件</w:t>
      </w:r>
      <w:bookmarkEnd w:id="9"/>
      <w:bookmarkEnd w:id="10"/>
      <w:bookmarkEnd w:id="11"/>
      <w:bookmarkEnd w:id="12"/>
    </w:p>
    <w:p w14:paraId="76D7DE5A">
      <w:pPr>
        <w:spacing w:line="360" w:lineRule="auto"/>
        <w:ind w:firstLine="54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:00起至202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:00（提供期限自本公告发布之日起不得少于5个工作日,北京时间，法定节假日除外）</w:t>
      </w:r>
      <w:r>
        <w:rPr>
          <w:rFonts w:hint="eastAsia" w:ascii="宋体" w:hAnsi="宋体" w:eastAsia="宋体" w:cs="宋体"/>
          <w:color w:val="auto"/>
          <w:sz w:val="21"/>
          <w:szCs w:val="21"/>
          <w:highlight w:val="none"/>
          <w:lang w:eastAsia="zh-CN"/>
        </w:rPr>
        <w:t>。</w:t>
      </w:r>
    </w:p>
    <w:p w14:paraId="5A377B43">
      <w:pPr>
        <w:spacing w:line="360" w:lineRule="auto"/>
        <w:ind w:firstLine="540"/>
        <w:rPr>
          <w:rFonts w:hint="eastAsia" w:ascii="宋体" w:hAnsi="宋体" w:eastAsia="宋体" w:cs="宋体"/>
          <w:color w:val="auto"/>
          <w:sz w:val="21"/>
          <w:szCs w:val="21"/>
          <w:highlight w:val="none"/>
          <w:u w:val="single"/>
          <w:lang w:eastAsia="zh-CN"/>
        </w:rPr>
      </w:pPr>
      <w:bookmarkStart w:id="13" w:name="_Toc28359082"/>
      <w:bookmarkStart w:id="14" w:name="_Toc28359005"/>
      <w:bookmarkStart w:id="15" w:name="_Toc35393793"/>
      <w:bookmarkStart w:id="16" w:name="_Toc35393624"/>
      <w:r>
        <w:rPr>
          <w:rFonts w:hint="eastAsia" w:ascii="宋体" w:hAnsi="宋体" w:eastAsia="宋体" w:cs="宋体"/>
          <w:color w:val="auto"/>
          <w:sz w:val="21"/>
          <w:szCs w:val="21"/>
          <w:highlight w:val="none"/>
        </w:rPr>
        <w:t>地点：本项目采用韶关市公共资源交易一体化平台“产权招标交易系统”进行网上报名，详见“六、其他补充事宜”</w:t>
      </w:r>
      <w:r>
        <w:rPr>
          <w:rFonts w:hint="eastAsia" w:ascii="宋体" w:hAnsi="宋体" w:eastAsia="宋体" w:cs="宋体"/>
          <w:color w:val="auto"/>
          <w:sz w:val="21"/>
          <w:szCs w:val="21"/>
          <w:highlight w:val="none"/>
          <w:lang w:eastAsia="zh-CN"/>
        </w:rPr>
        <w:t>。</w:t>
      </w:r>
      <w:bookmarkStart w:id="33" w:name="_GoBack"/>
      <w:bookmarkEnd w:id="33"/>
    </w:p>
    <w:p w14:paraId="75A730AE">
      <w:pPr>
        <w:spacing w:line="360" w:lineRule="auto"/>
        <w:ind w:firstLine="540"/>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方式：</w:t>
      </w:r>
      <w:r>
        <w:rPr>
          <w:rFonts w:hint="eastAsia" w:ascii="宋体" w:hAnsi="宋体" w:eastAsia="宋体" w:cs="宋体"/>
          <w:color w:val="auto"/>
          <w:sz w:val="21"/>
          <w:szCs w:val="21"/>
          <w:highlight w:val="none"/>
          <w:lang w:val="en-US" w:eastAsia="zh-CN"/>
        </w:rPr>
        <w:t>网上</w:t>
      </w:r>
      <w:r>
        <w:rPr>
          <w:rFonts w:hint="eastAsia" w:ascii="宋体" w:hAnsi="宋体" w:eastAsia="宋体" w:cs="宋体"/>
          <w:color w:val="auto"/>
          <w:sz w:val="21"/>
          <w:szCs w:val="21"/>
          <w:highlight w:val="none"/>
        </w:rPr>
        <w:t>报名</w:t>
      </w:r>
    </w:p>
    <w:p w14:paraId="030BA54C">
      <w:pPr>
        <w:spacing w:line="360" w:lineRule="auto"/>
        <w:ind w:firstLine="54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售价（元）：</w:t>
      </w:r>
      <w:r>
        <w:rPr>
          <w:rFonts w:hint="eastAsia" w:ascii="宋体" w:hAnsi="宋体" w:eastAsia="宋体" w:cs="宋体"/>
          <w:color w:val="auto"/>
          <w:sz w:val="21"/>
          <w:szCs w:val="21"/>
          <w:highlight w:val="none"/>
          <w:lang w:val="en-US" w:eastAsia="zh-CN"/>
        </w:rPr>
        <w:t>0.00</w:t>
      </w:r>
    </w:p>
    <w:p w14:paraId="0A06E625">
      <w:pPr>
        <w:keepNext/>
        <w:keepLines/>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四、提交投标文件</w:t>
      </w:r>
      <w:bookmarkEnd w:id="13"/>
      <w:bookmarkEnd w:id="14"/>
      <w:r>
        <w:rPr>
          <w:rFonts w:hint="eastAsia" w:ascii="宋体" w:hAnsi="宋体" w:eastAsia="宋体" w:cs="宋体"/>
          <w:b/>
          <w:bCs w:val="0"/>
          <w:color w:val="auto"/>
          <w:sz w:val="21"/>
          <w:szCs w:val="21"/>
          <w:highlight w:val="none"/>
        </w:rPr>
        <w:t>截止时间、开标时间和地点</w:t>
      </w:r>
      <w:bookmarkEnd w:id="15"/>
      <w:bookmarkEnd w:id="16"/>
    </w:p>
    <w:p w14:paraId="4FCF0A3F">
      <w:pPr>
        <w:pStyle w:val="4"/>
        <w:keepNext/>
        <w:keepLines/>
        <w:pageBreakBefore w:val="0"/>
        <w:widowControl w:val="0"/>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 xml:space="preserve">1.电子投标截止时间:2026年06月12日 09 点 30 分（北京时间） </w:t>
      </w:r>
    </w:p>
    <w:p w14:paraId="5E4E52B6">
      <w:pPr>
        <w:pStyle w:val="4"/>
        <w:keepNext/>
        <w:keepLines/>
        <w:pageBreakBefore w:val="0"/>
        <w:widowControl w:val="0"/>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2.纸质投标文件递交截止时间:2026年06月12日 09 点 30 分（北京时间）</w:t>
      </w:r>
    </w:p>
    <w:p w14:paraId="12464085">
      <w:pPr>
        <w:pStyle w:val="4"/>
        <w:keepNext/>
        <w:keepLines/>
        <w:pageBreakBefore w:val="0"/>
        <w:widowControl w:val="0"/>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地点：广东省韶关市武江区西联镇韶关市公共资源交易中心，具体开标室以当日现场通知为准。</w:t>
      </w:r>
    </w:p>
    <w:p w14:paraId="0753002D">
      <w:pPr>
        <w:spacing w:line="360" w:lineRule="auto"/>
        <w:rPr>
          <w:rFonts w:hint="eastAsia"/>
          <w:color w:val="auto"/>
          <w:highlight w:val="none"/>
          <w:lang w:val="en-US" w:eastAsia="zh-CN"/>
        </w:rPr>
      </w:pPr>
      <w:r>
        <w:rPr>
          <w:rFonts w:hint="eastAsia" w:ascii="宋体" w:hAnsi="宋体" w:eastAsia="宋体" w:cs="宋体"/>
          <w:b/>
          <w:bCs w:val="0"/>
          <w:color w:val="auto"/>
          <w:sz w:val="21"/>
          <w:szCs w:val="21"/>
          <w:highlight w:val="none"/>
          <w:lang w:val="en-US" w:eastAsia="zh-CN"/>
        </w:rPr>
        <w:t>五</w:t>
      </w: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公告期限</w:t>
      </w:r>
    </w:p>
    <w:p w14:paraId="205A93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自本公告发布之日起5个工作日。</w:t>
      </w:r>
      <w:bookmarkStart w:id="17" w:name="_Toc35393626"/>
      <w:bookmarkStart w:id="18" w:name="_Toc35393795"/>
    </w:p>
    <w:p w14:paraId="79D09E2A">
      <w:pPr>
        <w:keepNext/>
        <w:keepLines/>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六、其他补充事宜</w:t>
      </w:r>
      <w:bookmarkEnd w:id="17"/>
      <w:bookmarkEnd w:id="18"/>
    </w:p>
    <w:tbl>
      <w:tblPr>
        <w:tblStyle w:val="17"/>
        <w:tblW w:w="9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5"/>
      </w:tblGrid>
      <w:tr w14:paraId="5F21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5" w:type="dxa"/>
            <w:noWrap w:val="0"/>
            <w:vAlign w:val="top"/>
          </w:tcPr>
          <w:p w14:paraId="78168524">
            <w:pPr>
              <w:pStyle w:val="86"/>
              <w:keepNext w:val="0"/>
              <w:keepLines w:val="0"/>
              <w:pageBreakBefore w:val="0"/>
              <w:kinsoku/>
              <w:overflowPunct/>
              <w:topLinePunct w:val="0"/>
              <w:autoSpaceDE/>
              <w:autoSpaceDN/>
              <w:bidi w:val="0"/>
              <w:adjustRightInd/>
              <w:snapToGrid w:val="0"/>
              <w:spacing w:line="360" w:lineRule="auto"/>
              <w:ind w:firstLine="422" w:firstLineChars="200"/>
              <w:textAlignment w:val="auto"/>
              <w:outlineLvl w:val="9"/>
              <w:rPr>
                <w:rFonts w:hint="eastAsia" w:ascii="宋体" w:hAnsi="宋体" w:eastAsia="宋体" w:cs="宋体"/>
                <w:b/>
                <w:bCs/>
                <w:color w:val="auto"/>
                <w:kern w:val="16"/>
                <w:sz w:val="21"/>
                <w:szCs w:val="21"/>
                <w:highlight w:val="none"/>
                <w:lang w:eastAsia="zh-CN"/>
              </w:rPr>
            </w:pPr>
            <w:r>
              <w:rPr>
                <w:rFonts w:hint="eastAsia" w:ascii="宋体" w:hAnsi="宋体" w:eastAsia="宋体" w:cs="宋体"/>
                <w:b/>
                <w:bCs/>
                <w:color w:val="auto"/>
                <w:kern w:val="16"/>
                <w:sz w:val="21"/>
                <w:szCs w:val="21"/>
                <w:highlight w:val="none"/>
                <w:lang w:eastAsia="zh-CN"/>
              </w:rPr>
              <w:t>(一）采购项目注意事项</w:t>
            </w:r>
          </w:p>
          <w:p w14:paraId="51DCD93F">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w:t>
            </w:r>
            <w:r>
              <w:rPr>
                <w:rFonts w:hint="eastAsia" w:cs="宋体"/>
                <w:b w:val="0"/>
                <w:bCs w:val="0"/>
                <w:color w:val="auto"/>
                <w:kern w:val="0"/>
                <w:sz w:val="21"/>
                <w:szCs w:val="21"/>
                <w:highlight w:val="none"/>
                <w:lang w:val="en-US" w:eastAsia="zh-CN" w:bidi="ar-SA"/>
              </w:rPr>
              <w:t>.</w:t>
            </w:r>
            <w:r>
              <w:rPr>
                <w:rFonts w:hint="eastAsia" w:ascii="宋体" w:hAnsi="宋体" w:eastAsia="宋体" w:cs="宋体"/>
                <w:b w:val="0"/>
                <w:bCs w:val="0"/>
                <w:color w:val="auto"/>
                <w:kern w:val="0"/>
                <w:sz w:val="21"/>
                <w:szCs w:val="21"/>
                <w:highlight w:val="none"/>
                <w:lang w:val="en-US" w:eastAsia="zh-CN" w:bidi="ar-SA"/>
              </w:rPr>
              <w:t>参与本项目的投标人须采用“产权招标交易系统”进行网上报名</w:t>
            </w:r>
            <w:r>
              <w:rPr>
                <w:rFonts w:hint="eastAsia" w:ascii="宋体" w:hAnsi="宋体" w:eastAsia="宋体" w:cs="宋体"/>
                <w:color w:val="auto"/>
                <w:kern w:val="16"/>
                <w:sz w:val="21"/>
                <w:szCs w:val="21"/>
                <w:highlight w:val="none"/>
                <w:lang w:eastAsia="zh-CN"/>
              </w:rPr>
              <w:t>、交纳投标保证金。</w:t>
            </w:r>
          </w:p>
          <w:p w14:paraId="60FFE521">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cs="宋体"/>
                <w:b w:val="0"/>
                <w:bCs w:val="0"/>
                <w:color w:val="auto"/>
                <w:kern w:val="0"/>
                <w:sz w:val="21"/>
                <w:szCs w:val="21"/>
                <w:highlight w:val="none"/>
                <w:lang w:val="en-US" w:eastAsia="zh-CN" w:bidi="ar-SA"/>
              </w:rPr>
              <w:t>2.</w:t>
            </w:r>
            <w:r>
              <w:rPr>
                <w:rFonts w:hint="eastAsia" w:ascii="宋体" w:hAnsi="宋体" w:eastAsia="宋体" w:cs="宋体"/>
                <w:b w:val="0"/>
                <w:bCs w:val="0"/>
                <w:color w:val="auto"/>
                <w:kern w:val="0"/>
                <w:sz w:val="21"/>
                <w:szCs w:val="21"/>
                <w:highlight w:val="none"/>
                <w:lang w:val="en-US" w:eastAsia="zh-CN" w:bidi="ar-SA"/>
              </w:rPr>
              <w:t>报名事宜</w:t>
            </w:r>
          </w:p>
          <w:p w14:paraId="5923AF35">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cs="宋体"/>
                <w:b w:val="0"/>
                <w:bCs w:val="0"/>
                <w:color w:val="auto"/>
                <w:kern w:val="0"/>
                <w:sz w:val="21"/>
                <w:szCs w:val="21"/>
                <w:highlight w:val="none"/>
                <w:lang w:val="en-US" w:eastAsia="zh-CN" w:bidi="ar-SA"/>
              </w:rPr>
              <w:t>（1）</w:t>
            </w:r>
            <w:r>
              <w:rPr>
                <w:rFonts w:hint="eastAsia" w:ascii="宋体" w:hAnsi="宋体" w:eastAsia="宋体" w:cs="宋体"/>
                <w:b w:val="0"/>
                <w:bCs w:val="0"/>
                <w:color w:val="auto"/>
                <w:kern w:val="0"/>
                <w:sz w:val="21"/>
                <w:szCs w:val="21"/>
                <w:highlight w:val="none"/>
                <w:lang w:val="en-US" w:eastAsia="zh-CN" w:bidi="ar-SA"/>
              </w:rPr>
              <w:t>报名流程：投标人必须在报名时间内登录广东省公共资源交易平台（韶关市）（https://ygp.gdzwfw.gov.cn/ggzy-portal/#/440200/index），韶关市公共资源交易一体化平台（</w:t>
            </w:r>
            <w:r>
              <w:rPr>
                <w:rFonts w:hint="eastAsia" w:eastAsia="宋体" w:cs="宋体"/>
                <w:b w:val="0"/>
                <w:bCs w:val="0"/>
                <w:color w:val="auto"/>
                <w:kern w:val="0"/>
                <w:sz w:val="21"/>
                <w:szCs w:val="21"/>
                <w:highlight w:val="none"/>
                <w:lang w:val="en-US" w:eastAsia="zh-CN" w:bidi="ar-SA"/>
              </w:rPr>
              <w:t>http://ythpt.sg.gov.cn/</w:t>
            </w:r>
            <w:r>
              <w:rPr>
                <w:rFonts w:hint="eastAsia" w:ascii="宋体" w:hAnsi="宋体" w:eastAsia="宋体" w:cs="宋体"/>
                <w:b w:val="0"/>
                <w:bCs w:val="0"/>
                <w:color w:val="auto"/>
                <w:kern w:val="0"/>
                <w:sz w:val="21"/>
                <w:szCs w:val="21"/>
                <w:highlight w:val="none"/>
                <w:lang w:val="en-US" w:eastAsia="zh-CN" w:bidi="ar-SA"/>
              </w:rPr>
              <w:t>），在用户登录窗口登录。登录成功后，点击“产权招标交易系统”进入产权招标交易系统，点击“系统功能菜单”中的“投标报名 &gt; 项目列表”查看可报名的项目，选择需参与的项目分包，点击“报名”，输入联系人、联系电话，输入Pin码验证成功后，点击“确认”即可。在“已报项目”栏中看到已报项目，即为报名成功。</w:t>
            </w:r>
          </w:p>
          <w:p w14:paraId="0611BDFE">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cs="宋体"/>
                <w:b w:val="0"/>
                <w:bCs w:val="0"/>
                <w:color w:val="auto"/>
                <w:kern w:val="0"/>
                <w:sz w:val="21"/>
                <w:szCs w:val="21"/>
                <w:highlight w:val="none"/>
                <w:lang w:val="en-US" w:eastAsia="zh-CN" w:bidi="ar-SA"/>
              </w:rPr>
              <w:t>（2）</w:t>
            </w:r>
            <w:r>
              <w:rPr>
                <w:rFonts w:hint="eastAsia" w:ascii="宋体" w:hAnsi="宋体" w:eastAsia="宋体" w:cs="宋体"/>
                <w:b w:val="0"/>
                <w:bCs w:val="0"/>
                <w:color w:val="auto"/>
                <w:kern w:val="0"/>
                <w:sz w:val="21"/>
                <w:szCs w:val="21"/>
                <w:highlight w:val="none"/>
                <w:lang w:val="en-US" w:eastAsia="zh-CN" w:bidi="ar-SA"/>
              </w:rPr>
              <w:t>未在韶关市公共资源交易中心办理韶关市电子交易平台数字证书和产权招标交易系统</w:t>
            </w:r>
            <w:r>
              <w:rPr>
                <w:rFonts w:hint="eastAsia" w:cs="宋体"/>
                <w:b w:val="0"/>
                <w:bCs w:val="0"/>
                <w:color w:val="auto"/>
                <w:kern w:val="0"/>
                <w:sz w:val="21"/>
                <w:szCs w:val="21"/>
                <w:highlight w:val="none"/>
                <w:lang w:val="en-US" w:eastAsia="zh-CN" w:bidi="ar-SA"/>
              </w:rPr>
              <w:t>投标人</w:t>
            </w:r>
            <w:r>
              <w:rPr>
                <w:rFonts w:hint="eastAsia" w:ascii="宋体" w:hAnsi="宋体" w:eastAsia="宋体" w:cs="宋体"/>
                <w:b w:val="0"/>
                <w:bCs w:val="0"/>
                <w:color w:val="auto"/>
                <w:kern w:val="0"/>
                <w:sz w:val="21"/>
                <w:szCs w:val="21"/>
                <w:highlight w:val="none"/>
                <w:lang w:val="en-US" w:eastAsia="zh-CN" w:bidi="ar-SA"/>
              </w:rPr>
              <w:t>入库手续的，投标人应当登录广东省公共资源交易平台（韶关市）（https://ygp.gdzwfw.gov.cn/ggzy-portal/#/440200/index）、韶关市公共资源交易一体化平台（</w:t>
            </w:r>
            <w:r>
              <w:rPr>
                <w:rFonts w:hint="eastAsia" w:eastAsia="宋体" w:cs="宋体"/>
                <w:b w:val="0"/>
                <w:bCs w:val="0"/>
                <w:color w:val="auto"/>
                <w:kern w:val="0"/>
                <w:sz w:val="21"/>
                <w:szCs w:val="21"/>
                <w:highlight w:val="none"/>
                <w:lang w:val="en-US" w:eastAsia="zh-CN" w:bidi="ar-SA"/>
              </w:rPr>
              <w:t>http://ythpt.sg.gov.cn/</w:t>
            </w:r>
            <w:r>
              <w:rPr>
                <w:rFonts w:hint="eastAsia" w:ascii="宋体" w:hAnsi="宋体" w:eastAsia="宋体" w:cs="宋体"/>
                <w:b w:val="0"/>
                <w:bCs w:val="0"/>
                <w:color w:val="auto"/>
                <w:kern w:val="0"/>
                <w:sz w:val="21"/>
                <w:szCs w:val="21"/>
                <w:highlight w:val="none"/>
                <w:lang w:val="en-US" w:eastAsia="zh-CN" w:bidi="ar-SA"/>
              </w:rPr>
              <w:t>）用户注册及完善企业信息、上传资料，携带相关资料到韶关市公共资源交易中心1号楼一楼办事大厅办理相关手续（详见韶关市公共资源交易一体化平台的《韶关市公共资源交易一体化平台使用产权招标交易系统注意事项》的附件《韶关市公共资源交易一体化平台产权招标交易-投标人用户手册》）。</w:t>
            </w:r>
          </w:p>
          <w:p w14:paraId="38D19452">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cs="宋体"/>
                <w:b w:val="0"/>
                <w:bCs w:val="0"/>
                <w:color w:val="auto"/>
                <w:kern w:val="0"/>
                <w:sz w:val="21"/>
                <w:szCs w:val="21"/>
                <w:highlight w:val="none"/>
                <w:lang w:val="en-US" w:eastAsia="zh-CN" w:bidi="ar-SA"/>
              </w:rPr>
              <w:t>（3）</w:t>
            </w:r>
            <w:r>
              <w:rPr>
                <w:rFonts w:hint="eastAsia" w:ascii="宋体" w:hAnsi="宋体" w:eastAsia="宋体" w:cs="宋体"/>
                <w:b w:val="0"/>
                <w:bCs w:val="0"/>
                <w:color w:val="auto"/>
                <w:kern w:val="0"/>
                <w:sz w:val="21"/>
                <w:szCs w:val="21"/>
                <w:highlight w:val="none"/>
                <w:lang w:val="en-US" w:eastAsia="zh-CN" w:bidi="ar-SA"/>
              </w:rPr>
              <w:t>报名成功后，投标人自行登录广东省公共资源交易平台（韶关市）（https://ygp.gdzwfw.gov.cn/ggzy-portal/#/440200/index）、韶关市公共资源交易一体化平台（</w:t>
            </w:r>
            <w:r>
              <w:rPr>
                <w:rFonts w:hint="eastAsia" w:eastAsia="宋体" w:cs="宋体"/>
                <w:b w:val="0"/>
                <w:bCs w:val="0"/>
                <w:color w:val="auto"/>
                <w:kern w:val="0"/>
                <w:sz w:val="21"/>
                <w:szCs w:val="21"/>
                <w:highlight w:val="none"/>
                <w:lang w:val="en-US" w:eastAsia="zh-CN" w:bidi="ar-SA"/>
              </w:rPr>
              <w:t>http://ythpt.sg.gov.cn/</w:t>
            </w:r>
            <w:r>
              <w:rPr>
                <w:rFonts w:hint="eastAsia" w:ascii="宋体" w:hAnsi="宋体" w:eastAsia="宋体" w:cs="宋体"/>
                <w:b w:val="0"/>
                <w:bCs w:val="0"/>
                <w:color w:val="auto"/>
                <w:kern w:val="0"/>
                <w:sz w:val="21"/>
                <w:szCs w:val="21"/>
                <w:highlight w:val="none"/>
                <w:lang w:val="en-US" w:eastAsia="zh-CN" w:bidi="ar-SA"/>
              </w:rPr>
              <w:t>）或产权招标交易系统下载招标文件、操作指南（以最新日期版本为准）参加投标活动。</w:t>
            </w:r>
          </w:p>
          <w:p w14:paraId="3627F10B">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cs="宋体"/>
                <w:b w:val="0"/>
                <w:bCs w:val="0"/>
                <w:color w:val="auto"/>
                <w:kern w:val="0"/>
                <w:sz w:val="21"/>
                <w:szCs w:val="21"/>
                <w:highlight w:val="none"/>
                <w:lang w:val="en-US" w:eastAsia="zh-CN" w:bidi="ar-SA"/>
              </w:rPr>
              <w:t>（4）</w:t>
            </w:r>
            <w:r>
              <w:rPr>
                <w:rFonts w:hint="eastAsia" w:ascii="宋体" w:hAnsi="宋体" w:eastAsia="宋体" w:cs="宋体"/>
                <w:b w:val="0"/>
                <w:bCs w:val="0"/>
                <w:color w:val="auto"/>
                <w:kern w:val="0"/>
                <w:sz w:val="21"/>
                <w:szCs w:val="21"/>
                <w:highlight w:val="none"/>
                <w:lang w:val="en-US" w:eastAsia="zh-CN" w:bidi="ar-SA"/>
              </w:rPr>
              <w:t>其他事宜（技术支持：0751-8379671 伍工）</w:t>
            </w:r>
          </w:p>
          <w:p w14:paraId="60CC206B">
            <w:pPr>
              <w:keepNext w:val="0"/>
              <w:keepLines w:val="0"/>
              <w:pageBreakBefore w:val="0"/>
              <w:widowControl/>
              <w:kinsoku/>
              <w:wordWrap/>
              <w:overflowPunct/>
              <w:topLinePunct w:val="0"/>
              <w:autoSpaceDE/>
              <w:autoSpaceDN/>
              <w:bidi w:val="0"/>
              <w:adjustRightInd/>
              <w:snapToGrid w:val="0"/>
              <w:spacing w:before="157" w:beforeLines="50" w:after="157" w:afterLines="50" w:line="360" w:lineRule="auto"/>
              <w:ind w:firstLine="420" w:firstLineChars="200"/>
              <w:jc w:val="left"/>
              <w:textAlignment w:val="auto"/>
              <w:outlineLvl w:val="9"/>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3.投标保证金</w:t>
            </w:r>
            <w:r>
              <w:rPr>
                <w:rFonts w:hint="eastAsia" w:ascii="宋体" w:hAnsi="宋体" w:eastAsia="宋体" w:cs="宋体"/>
                <w:b w:val="0"/>
                <w:bCs w:val="0"/>
                <w:color w:val="auto"/>
                <w:kern w:val="0"/>
                <w:sz w:val="21"/>
                <w:szCs w:val="21"/>
                <w:highlight w:val="none"/>
                <w:lang w:val="en-US" w:eastAsia="zh-CN" w:bidi="ar-SA"/>
              </w:rPr>
              <w:t>事宜</w:t>
            </w:r>
          </w:p>
          <w:p w14:paraId="0A325F6F">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（1）投标保证金交纳截止时间：</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cs="宋体"/>
                <w:color w:val="auto"/>
                <w:sz w:val="21"/>
                <w:szCs w:val="21"/>
                <w:highlight w:val="none"/>
                <w:lang w:val="en-US" w:eastAsia="zh-CN"/>
              </w:rPr>
              <w:t>06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cs="宋体"/>
                <w:color w:val="auto"/>
                <w:kern w:val="0"/>
                <w:sz w:val="21"/>
                <w:szCs w:val="21"/>
                <w:highlight w:val="none"/>
                <w:lang w:val="en-US" w:eastAsia="zh-CN" w:bidi="ar-SA"/>
              </w:rPr>
              <w:t>10</w:t>
            </w:r>
            <w:r>
              <w:rPr>
                <w:rFonts w:hint="eastAsia" w:ascii="宋体" w:hAnsi="宋体" w:eastAsia="宋体" w:cs="宋体"/>
                <w:color w:val="auto"/>
                <w:kern w:val="0"/>
                <w:sz w:val="21"/>
                <w:szCs w:val="21"/>
                <w:highlight w:val="none"/>
                <w:lang w:val="en-US" w:eastAsia="zh-CN" w:bidi="ar-SA"/>
              </w:rPr>
              <w:t>时</w:t>
            </w:r>
            <w:r>
              <w:rPr>
                <w:rFonts w:hint="eastAsia"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0分（北京时间）</w:t>
            </w:r>
          </w:p>
          <w:p w14:paraId="28462342">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（2）本项目投标保证金金额为：</w:t>
            </w:r>
            <w:r>
              <w:rPr>
                <w:rFonts w:hint="eastAsia" w:ascii="宋体" w:hAnsi="宋体" w:eastAsia="宋体" w:cs="宋体"/>
                <w:b/>
                <w:bCs/>
                <w:color w:val="auto"/>
                <w:kern w:val="2"/>
                <w:sz w:val="21"/>
                <w:szCs w:val="21"/>
                <w:highlight w:val="none"/>
                <w:lang w:val="en-US" w:eastAsia="zh-CN" w:bidi="ar-SA"/>
              </w:rPr>
              <w:t>¥</w:t>
            </w:r>
            <w:r>
              <w:rPr>
                <w:rFonts w:hint="eastAsia" w:cs="宋体"/>
                <w:b/>
                <w:bCs/>
                <w:color w:val="auto"/>
                <w:kern w:val="2"/>
                <w:sz w:val="21"/>
                <w:szCs w:val="21"/>
                <w:highlight w:val="none"/>
                <w:lang w:val="en-US" w:eastAsia="zh-CN" w:bidi="ar-SA"/>
              </w:rPr>
              <w:t>10</w:t>
            </w:r>
            <w:r>
              <w:rPr>
                <w:rFonts w:hint="eastAsia" w:ascii="宋体" w:hAnsi="宋体" w:eastAsia="宋体" w:cs="宋体"/>
                <w:b/>
                <w:bCs/>
                <w:color w:val="auto"/>
                <w:kern w:val="2"/>
                <w:sz w:val="21"/>
                <w:szCs w:val="21"/>
                <w:highlight w:val="none"/>
                <w:lang w:val="en-US" w:eastAsia="zh-CN" w:bidi="ar-SA"/>
              </w:rPr>
              <w:t>0,000.00元（人民币拾万元整）</w:t>
            </w:r>
          </w:p>
          <w:p w14:paraId="0D6C88FC">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（3）交纳投标保证金流程：</w:t>
            </w:r>
            <w:r>
              <w:rPr>
                <w:rFonts w:hint="eastAsia" w:ascii="宋体" w:hAnsi="宋体" w:eastAsia="宋体" w:cs="宋体"/>
                <w:color w:val="auto"/>
                <w:kern w:val="16"/>
                <w:sz w:val="21"/>
                <w:szCs w:val="21"/>
                <w:highlight w:val="none"/>
                <w:lang w:eastAsia="zh-CN"/>
              </w:rPr>
              <w:t>报名成功后，</w:t>
            </w:r>
            <w:r>
              <w:rPr>
                <w:rFonts w:hint="eastAsia" w:ascii="宋体" w:hAnsi="宋体" w:cs="宋体"/>
                <w:color w:val="auto"/>
                <w:kern w:val="16"/>
                <w:sz w:val="21"/>
                <w:szCs w:val="21"/>
                <w:highlight w:val="none"/>
                <w:lang w:val="en-US" w:eastAsia="zh-CN"/>
              </w:rPr>
              <w:t>投标人</w:t>
            </w:r>
            <w:r>
              <w:rPr>
                <w:rFonts w:hint="eastAsia" w:ascii="宋体" w:hAnsi="宋体" w:eastAsia="宋体" w:cs="宋体"/>
                <w:color w:val="auto"/>
                <w:kern w:val="16"/>
                <w:sz w:val="21"/>
                <w:szCs w:val="21"/>
                <w:highlight w:val="none"/>
                <w:lang w:eastAsia="zh-CN"/>
              </w:rPr>
              <w:t>必须在投标保证金交纳截止时间前登录产权招标交易系统，</w:t>
            </w:r>
            <w:r>
              <w:rPr>
                <w:rFonts w:hint="eastAsia" w:ascii="宋体" w:hAnsi="宋体" w:eastAsia="宋体" w:cs="宋体"/>
                <w:color w:val="auto"/>
                <w:kern w:val="0"/>
                <w:sz w:val="21"/>
                <w:szCs w:val="21"/>
                <w:highlight w:val="none"/>
                <w:lang w:val="en-US" w:eastAsia="zh-CN" w:bidi="ar-SA"/>
              </w:rPr>
              <w:t>在已报项目处理页面中，点击“缴纳保证金”按钮，可以进入缴纳投标保证金页面。</w:t>
            </w:r>
          </w:p>
          <w:p w14:paraId="123570EF">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（4）缴纳投标保证金方式：①转账、②保函</w:t>
            </w:r>
          </w:p>
          <w:p w14:paraId="38E81918">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①转账：</w:t>
            </w:r>
            <w:bookmarkStart w:id="19" w:name="OLE_LINK45"/>
            <w:r>
              <w:rPr>
                <w:rFonts w:hint="eastAsia" w:ascii="宋体" w:hAnsi="宋体" w:cs="宋体"/>
                <w:color w:val="auto"/>
                <w:kern w:val="16"/>
                <w:sz w:val="21"/>
                <w:szCs w:val="21"/>
                <w:highlight w:val="none"/>
                <w:lang w:val="en-US" w:eastAsia="zh-CN"/>
              </w:rPr>
              <w:t>投标人</w:t>
            </w:r>
            <w:r>
              <w:rPr>
                <w:rFonts w:hint="eastAsia" w:ascii="宋体" w:hAnsi="宋体" w:eastAsia="宋体" w:cs="宋体"/>
                <w:color w:val="auto"/>
                <w:kern w:val="16"/>
                <w:sz w:val="21"/>
                <w:szCs w:val="21"/>
                <w:highlight w:val="none"/>
                <w:lang w:eastAsia="zh-CN"/>
              </w:rPr>
              <w:t>必须在投标保证金交纳截止时间前登录产权招标交易系统，点击“系统功能菜单”中的“投标报名 &gt; 已报项目”，选择相应的项目，点击“缴纳保证金”，产权招标交易系统将弹出“缴纳保证金”窗口，选择缴费银行，点击“确定，下一步”，产权招标交易系统将自动生成子账号（特别注意：该子账号为一次性账号，仅限当前获取该子账号的</w:t>
            </w:r>
            <w:r>
              <w:rPr>
                <w:rFonts w:hint="eastAsia" w:ascii="宋体" w:hAnsi="宋体" w:cs="宋体"/>
                <w:color w:val="auto"/>
                <w:kern w:val="16"/>
                <w:sz w:val="21"/>
                <w:szCs w:val="21"/>
                <w:highlight w:val="none"/>
                <w:lang w:val="en-US" w:eastAsia="zh-CN"/>
              </w:rPr>
              <w:t>投标人</w:t>
            </w:r>
            <w:r>
              <w:rPr>
                <w:rFonts w:hint="eastAsia" w:ascii="宋体" w:hAnsi="宋体" w:eastAsia="宋体" w:cs="宋体"/>
                <w:color w:val="auto"/>
                <w:kern w:val="16"/>
                <w:sz w:val="21"/>
                <w:szCs w:val="21"/>
                <w:highlight w:val="none"/>
                <w:lang w:eastAsia="zh-CN"/>
              </w:rPr>
              <w:t>参加该项目当次采购活动有效），</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将投标保证金一次性足额汇入子帐号。在“是否缴纳保证金”栏显示为“是”后（请勿在显示“否”时打印），点击“打印保证金交纳信息表”，将保证金交纳信息表打印出来，并粘贴或装订在投标文件。产权招标交易系统将根据投标保证金到达产权招标交易系统的时间判断投标保证金是否有效，“保证金是否有效交纳”栏显示为“已交纳”，即为投标保证金有效。投标保证金有效与否，将以产权招标交易系统作为判断依据。请各</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充分考虑到银行转账的时间差，适时提前转账（建议</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在投标保证金提交截止时间的2个工作日之前交纳投标保证金），否则，由此产生的一切后果由</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自行承担。</w:t>
            </w:r>
            <w:bookmarkEnd w:id="19"/>
          </w:p>
          <w:p w14:paraId="59D4EFA7">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default" w:ascii="宋体" w:hAnsi="宋体" w:eastAsia="宋体" w:cs="宋体"/>
                <w:color w:val="auto"/>
                <w:kern w:val="0"/>
                <w:sz w:val="21"/>
                <w:szCs w:val="21"/>
                <w:highlight w:val="none"/>
                <w:lang w:val="en-US" w:eastAsia="zh-CN" w:bidi="ar-SA"/>
              </w:rPr>
              <w:t>②保函</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16"/>
                <w:sz w:val="21"/>
                <w:szCs w:val="21"/>
                <w:highlight w:val="none"/>
                <w:lang w:val="en-US" w:eastAsia="zh-CN"/>
              </w:rPr>
              <w:t>投标人</w:t>
            </w:r>
            <w:r>
              <w:rPr>
                <w:rFonts w:hint="eastAsia" w:ascii="宋体" w:hAnsi="宋体" w:eastAsia="宋体" w:cs="宋体"/>
                <w:color w:val="auto"/>
                <w:kern w:val="16"/>
                <w:sz w:val="21"/>
                <w:szCs w:val="21"/>
                <w:highlight w:val="none"/>
                <w:lang w:eastAsia="zh-CN"/>
              </w:rPr>
              <w:t>必须在投标保证金交纳截止时间前登录产权招标交易系统，点击“系统功能菜单”中的“投标报名 &gt; 已报项目”，选择相应的项目，点击“缴纳保证金”，按照产权交易系统的要求制作和上传</w:t>
            </w:r>
            <w:r>
              <w:rPr>
                <w:rFonts w:hint="eastAsia" w:ascii="宋体" w:hAnsi="宋体" w:eastAsia="宋体" w:cs="宋体"/>
                <w:color w:val="auto"/>
                <w:kern w:val="0"/>
                <w:sz w:val="21"/>
                <w:szCs w:val="21"/>
                <w:highlight w:val="none"/>
                <w:lang w:val="en-US" w:eastAsia="zh-CN" w:bidi="ar-SA"/>
              </w:rPr>
              <w:t>有效的</w:t>
            </w:r>
            <w:r>
              <w:rPr>
                <w:rFonts w:hint="eastAsia" w:ascii="宋体" w:hAnsi="宋体" w:eastAsia="宋体" w:cs="宋体"/>
                <w:color w:val="auto"/>
                <w:kern w:val="16"/>
                <w:sz w:val="21"/>
                <w:szCs w:val="21"/>
                <w:highlight w:val="none"/>
                <w:lang w:eastAsia="zh-CN"/>
              </w:rPr>
              <w:t>保函电子文件</w:t>
            </w:r>
            <w:r>
              <w:rPr>
                <w:rFonts w:hint="eastAsia" w:cs="宋体"/>
                <w:color w:val="auto"/>
                <w:kern w:val="0"/>
                <w:sz w:val="21"/>
                <w:szCs w:val="21"/>
                <w:highlight w:val="none"/>
                <w:lang w:val="en-US" w:eastAsia="zh-CN" w:bidi="ar-SA"/>
              </w:rPr>
              <w:t>（保函的有效期不得短于投标有效期）</w:t>
            </w:r>
            <w:r>
              <w:rPr>
                <w:rFonts w:hint="eastAsia" w:ascii="宋体" w:hAnsi="宋体" w:eastAsia="宋体" w:cs="宋体"/>
                <w:color w:val="auto"/>
                <w:kern w:val="0"/>
                <w:sz w:val="21"/>
                <w:szCs w:val="21"/>
                <w:highlight w:val="none"/>
                <w:lang w:val="en-US" w:eastAsia="zh-CN" w:bidi="ar-SA"/>
              </w:rPr>
              <w:t>。保证金缴纳成功，才能参与评标。</w:t>
            </w:r>
          </w:p>
          <w:p w14:paraId="7A7C2B4B">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0" w:firstLine="420" w:firstLineChars="200"/>
              <w:jc w:val="both"/>
              <w:textAlignment w:val="auto"/>
              <w:outlineLvl w:val="9"/>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具体操作流程：登录广东省公共资源交易平台（韶关市）（https://ygp.gdzwfw.gov.cn/ggzy-portal/#/440200/index）－服务指南－下载《韶关市公共资源交易一体化平台产权招标交易-投标人用户手册》</w:t>
            </w:r>
          </w:p>
          <w:p w14:paraId="339B86B7">
            <w:pPr>
              <w:pStyle w:val="16"/>
              <w:keepNext w:val="0"/>
              <w:keepLines w:val="0"/>
              <w:pageBreakBefore w:val="0"/>
              <w:widowControl/>
              <w:numPr>
                <w:ilvl w:val="0"/>
                <w:numId w:val="3"/>
              </w:numPr>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left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技术支持：0751-8379671 伍工</w:t>
            </w:r>
          </w:p>
          <w:p w14:paraId="0EA4209F">
            <w:pPr>
              <w:pStyle w:val="86"/>
              <w:keepNext w:val="0"/>
              <w:keepLines w:val="0"/>
              <w:pageBreakBefore w:val="0"/>
              <w:kinsoku/>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4.交纳投标保证金注意事项：</w:t>
            </w:r>
          </w:p>
          <w:p w14:paraId="5F27C8ED">
            <w:pPr>
              <w:pStyle w:val="86"/>
              <w:keepNext w:val="0"/>
              <w:keepLines w:val="0"/>
              <w:pageBreakBefore w:val="0"/>
              <w:kinsoku/>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Cs w:val="21"/>
                <w:highlight w:val="none"/>
                <w:lang w:eastAsia="zh-CN"/>
              </w:rPr>
              <w:t>(</w:t>
            </w:r>
            <w:r>
              <w:rPr>
                <w:rFonts w:hint="eastAsia" w:ascii="宋体" w:hAnsi="宋体" w:eastAsia="宋体" w:cs="宋体"/>
                <w:color w:val="auto"/>
                <w:kern w:val="16"/>
                <w:sz w:val="21"/>
                <w:szCs w:val="21"/>
                <w:highlight w:val="none"/>
                <w:lang w:eastAsia="zh-CN"/>
              </w:rPr>
              <w:t>1)交纳投标保证金的投标人必须已报名本项目，</w:t>
            </w:r>
            <w:r>
              <w:rPr>
                <w:rFonts w:hint="eastAsia" w:ascii="宋体" w:hAnsi="宋体" w:eastAsia="宋体" w:cs="宋体"/>
                <w:color w:val="auto"/>
                <w:kern w:val="16"/>
                <w:sz w:val="21"/>
                <w:szCs w:val="21"/>
                <w:highlight w:val="none"/>
                <w:lang w:val="en-US" w:eastAsia="zh-CN"/>
              </w:rPr>
              <w:t>投标人</w:t>
            </w:r>
            <w:r>
              <w:rPr>
                <w:rFonts w:hint="eastAsia" w:ascii="宋体" w:hAnsi="宋体" w:eastAsia="宋体" w:cs="宋体"/>
                <w:color w:val="auto"/>
                <w:kern w:val="16"/>
                <w:sz w:val="21"/>
                <w:szCs w:val="21"/>
                <w:highlight w:val="none"/>
                <w:lang w:eastAsia="zh-CN"/>
              </w:rPr>
              <w:t>必须按招标文件规定的金额和规定的期限内交纳投标保证金，投标人与投标保证金的交款人名称必须一致，否则，评标委员会将对其投标文件作无效投标处理。</w:t>
            </w:r>
          </w:p>
          <w:p w14:paraId="50676575">
            <w:pPr>
              <w:pStyle w:val="86"/>
              <w:keepNext w:val="0"/>
              <w:keepLines w:val="0"/>
              <w:pageBreakBefore w:val="0"/>
              <w:kinsoku/>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(2)投标人必须将投标保证金一次性足额汇入交易系统自动生成的子账户，不接受现金、分批次交款或采用EFT系统(广东金融结算系统)方式交纳投标保证金，否则，评标委员会将对其投标文件作无效投标处理。</w:t>
            </w:r>
          </w:p>
          <w:p w14:paraId="13A4C9DB">
            <w:pPr>
              <w:pStyle w:val="86"/>
              <w:keepNext w:val="0"/>
              <w:keepLines w:val="0"/>
              <w:pageBreakBefore w:val="0"/>
              <w:kinsoku/>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(3)产权招标交易系统将在采购活动结束后按政府采购相关法律法规的规定以“原渠道返回”方式退回投标保证金。</w:t>
            </w:r>
          </w:p>
          <w:p w14:paraId="408139F5">
            <w:pPr>
              <w:pStyle w:val="86"/>
              <w:keepNext w:val="0"/>
              <w:keepLines w:val="0"/>
              <w:pageBreakBefore w:val="0"/>
              <w:kinsoku/>
              <w:overflowPunct/>
              <w:topLinePunct w:val="0"/>
              <w:autoSpaceDE/>
              <w:autoSpaceDN/>
              <w:bidi w:val="0"/>
              <w:adjustRightInd/>
              <w:snapToGrid w:val="0"/>
              <w:spacing w:line="360" w:lineRule="auto"/>
              <w:ind w:firstLine="422" w:firstLineChars="200"/>
              <w:textAlignment w:val="auto"/>
              <w:outlineLvl w:val="9"/>
              <w:rPr>
                <w:rFonts w:hint="eastAsia" w:ascii="宋体" w:hAnsi="宋体" w:eastAsia="宋体" w:cs="宋体"/>
                <w:b/>
                <w:bCs/>
                <w:color w:val="auto"/>
                <w:kern w:val="16"/>
                <w:sz w:val="21"/>
                <w:szCs w:val="21"/>
                <w:highlight w:val="none"/>
                <w:lang w:val="en-US" w:eastAsia="zh-CN"/>
              </w:rPr>
            </w:pPr>
            <w:r>
              <w:rPr>
                <w:rFonts w:hint="eastAsia" w:ascii="宋体" w:hAnsi="宋体" w:eastAsia="宋体" w:cs="宋体"/>
                <w:b/>
                <w:bCs/>
                <w:color w:val="auto"/>
                <w:kern w:val="16"/>
                <w:sz w:val="21"/>
                <w:szCs w:val="21"/>
                <w:highlight w:val="none"/>
                <w:lang w:val="en-US" w:eastAsia="zh-CN"/>
              </w:rPr>
              <w:t>5.特别注意事项</w:t>
            </w:r>
          </w:p>
          <w:p w14:paraId="6E132FE9">
            <w:pPr>
              <w:pStyle w:val="86"/>
              <w:keepNext w:val="0"/>
              <w:keepLines w:val="0"/>
              <w:pageBreakBefore w:val="0"/>
              <w:kinsoku/>
              <w:overflowPunct/>
              <w:topLinePunct w:val="0"/>
              <w:autoSpaceDE/>
              <w:autoSpaceDN/>
              <w:bidi w:val="0"/>
              <w:adjustRightInd/>
              <w:snapToGrid w:val="0"/>
              <w:spacing w:line="360" w:lineRule="auto"/>
              <w:ind w:firstLine="422" w:firstLineChars="200"/>
              <w:textAlignment w:val="auto"/>
              <w:outlineLvl w:val="9"/>
              <w:rPr>
                <w:rFonts w:hint="eastAsia" w:ascii="宋体" w:hAnsi="宋体" w:eastAsia="宋体" w:cs="宋体"/>
                <w:b/>
                <w:bCs/>
                <w:color w:val="auto"/>
                <w:kern w:val="16"/>
                <w:sz w:val="21"/>
                <w:szCs w:val="21"/>
                <w:highlight w:val="none"/>
                <w:lang w:val="en-US" w:eastAsia="zh-CN"/>
              </w:rPr>
            </w:pPr>
            <w:r>
              <w:rPr>
                <w:rFonts w:hint="eastAsia" w:ascii="宋体" w:hAnsi="宋体" w:eastAsia="宋体" w:cs="宋体"/>
                <w:b/>
                <w:bCs/>
                <w:color w:val="auto"/>
                <w:kern w:val="16"/>
                <w:sz w:val="21"/>
                <w:szCs w:val="21"/>
                <w:highlight w:val="none"/>
                <w:lang w:val="en-US" w:eastAsia="zh-CN"/>
              </w:rPr>
              <w:t>（1）首次在韶关市公共资源交易一体化平台“产权招标交易”招标投标活动的投标人，必须在平台系统上传企业相关资料办理企业入库事宜。投标人可登录全国公共资源交易平台（广东省·韶关市）（https://ygp.gdzwfw.gov.cn/#/440200/index）办理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请及时办理相关电子印章）</w:t>
            </w:r>
          </w:p>
          <w:p w14:paraId="6945FA43">
            <w:pPr>
              <w:pStyle w:val="86"/>
              <w:keepNext w:val="0"/>
              <w:keepLines w:val="0"/>
              <w:pageBreakBefore w:val="0"/>
              <w:kinsoku/>
              <w:overflowPunct/>
              <w:topLinePunct w:val="0"/>
              <w:autoSpaceDE/>
              <w:autoSpaceDN/>
              <w:bidi w:val="0"/>
              <w:adjustRightInd/>
              <w:snapToGrid w:val="0"/>
              <w:spacing w:line="360" w:lineRule="auto"/>
              <w:ind w:firstLine="422" w:firstLineChars="200"/>
              <w:textAlignment w:val="auto"/>
              <w:outlineLvl w:val="9"/>
              <w:rPr>
                <w:rFonts w:hint="eastAsia" w:ascii="宋体" w:hAnsi="宋体" w:eastAsia="宋体" w:cs="宋体"/>
                <w:b/>
                <w:bCs/>
                <w:color w:val="auto"/>
                <w:kern w:val="16"/>
                <w:sz w:val="21"/>
                <w:szCs w:val="21"/>
                <w:highlight w:val="none"/>
                <w:lang w:val="en-US" w:eastAsia="zh-CN"/>
              </w:rPr>
            </w:pPr>
            <w:r>
              <w:rPr>
                <w:rFonts w:hint="eastAsia" w:ascii="宋体" w:hAnsi="宋体" w:eastAsia="宋体" w:cs="宋体"/>
                <w:b/>
                <w:bCs/>
                <w:color w:val="auto"/>
                <w:kern w:val="16"/>
                <w:sz w:val="21"/>
                <w:szCs w:val="21"/>
                <w:highlight w:val="none"/>
                <w:lang w:val="en-US" w:eastAsia="zh-CN"/>
              </w:rPr>
              <w:t>（2）在投标文件提交截止时间前，投标人须在产权招标交易系统按要求完成授权、保证金递交及在线投标（上传标书），相关操作流程可查看投标韶关市公共资源交易一体化平台的《韶关市公共资源交易一体化平台使用产权招标交易系统注意事项》的附件《韶关市公共资源交易一体化平台产权招标交易-投标人用户手册》）。如遇系统问题请联系系统</w:t>
            </w:r>
            <w:r>
              <w:rPr>
                <w:rFonts w:hint="eastAsia" w:ascii="宋体" w:hAnsi="宋体" w:eastAsia="宋体" w:cs="宋体"/>
                <w:b/>
                <w:bCs/>
                <w:color w:val="auto"/>
                <w:kern w:val="16"/>
                <w:sz w:val="21"/>
                <w:szCs w:val="21"/>
                <w:highlight w:val="none"/>
                <w:lang w:eastAsia="zh-CN"/>
              </w:rPr>
              <w:t>技术支持：</w:t>
            </w:r>
            <w:r>
              <w:rPr>
                <w:rFonts w:hint="eastAsia" w:ascii="宋体" w:hAnsi="宋体" w:eastAsia="宋体" w:cs="宋体"/>
                <w:b/>
                <w:bCs/>
                <w:color w:val="auto"/>
                <w:kern w:val="16"/>
                <w:sz w:val="21"/>
                <w:szCs w:val="21"/>
                <w:highlight w:val="none"/>
                <w:lang w:val="en-US" w:eastAsia="zh-CN"/>
              </w:rPr>
              <w:t>伍工 0751-8379671。</w:t>
            </w:r>
          </w:p>
          <w:p w14:paraId="5D68FD0F">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12" w:lineRule="auto"/>
              <w:ind w:firstLine="422" w:firstLineChars="200"/>
              <w:jc w:val="both"/>
              <w:textAlignment w:val="auto"/>
              <w:rPr>
                <w:rFonts w:hint="default"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（3）</w:t>
            </w:r>
            <w:r>
              <w:rPr>
                <w:rFonts w:hint="default" w:ascii="宋体" w:hAnsi="宋体" w:eastAsia="宋体" w:cs="Times New Roman"/>
                <w:b/>
                <w:bCs/>
                <w:color w:val="auto"/>
                <w:sz w:val="21"/>
                <w:szCs w:val="21"/>
                <w:highlight w:val="none"/>
                <w:lang w:val="en-US" w:eastAsia="zh-CN"/>
              </w:rPr>
              <w:t>补救方案</w:t>
            </w:r>
            <w:r>
              <w:rPr>
                <w:rFonts w:hint="eastAsia" w:ascii="宋体" w:hAnsi="宋体" w:eastAsia="宋体" w:cs="Times New Roman"/>
                <w:b/>
                <w:bCs/>
                <w:color w:val="auto"/>
                <w:sz w:val="21"/>
                <w:szCs w:val="21"/>
                <w:highlight w:val="none"/>
                <w:lang w:val="en-US" w:eastAsia="zh-CN"/>
              </w:rPr>
              <w:t>：</w:t>
            </w:r>
          </w:p>
          <w:p w14:paraId="4C4DEC30">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12" w:lineRule="auto"/>
              <w:ind w:firstLine="422" w:firstLineChars="200"/>
              <w:jc w:val="both"/>
              <w:textAlignment w:val="auto"/>
              <w:rPr>
                <w:rFonts w:hint="default" w:ascii="宋体" w:hAnsi="宋体" w:eastAsia="宋体" w:cs="Times New Roman"/>
                <w:b/>
                <w:bCs/>
                <w:color w:val="auto"/>
                <w:sz w:val="21"/>
                <w:szCs w:val="21"/>
                <w:highlight w:val="none"/>
                <w:lang w:val="en-US" w:eastAsia="zh-CN"/>
              </w:rPr>
            </w:pPr>
            <w:r>
              <w:rPr>
                <w:rFonts w:hint="eastAsia" w:ascii="宋体" w:hAnsi="宋体" w:eastAsia="宋体" w:cs="宋体"/>
                <w:b/>
                <w:bCs/>
                <w:color w:val="auto"/>
                <w:kern w:val="0"/>
                <w:sz w:val="21"/>
                <w:szCs w:val="21"/>
                <w:highlight w:val="none"/>
                <w:lang w:val="en-US" w:eastAsia="zh-CN" w:bidi="ar-SA"/>
              </w:rPr>
              <w:t>①</w:t>
            </w:r>
            <w:r>
              <w:rPr>
                <w:rFonts w:hint="eastAsia" w:ascii="宋体" w:hAnsi="宋体" w:eastAsia="宋体" w:cs="Times New Roman"/>
                <w:b/>
                <w:bCs/>
                <w:color w:val="auto"/>
                <w:sz w:val="21"/>
                <w:szCs w:val="21"/>
                <w:highlight w:val="none"/>
                <w:lang w:val="en-US" w:eastAsia="zh-CN"/>
              </w:rPr>
              <w:t>开</w:t>
            </w:r>
            <w:r>
              <w:rPr>
                <w:rFonts w:hint="default" w:ascii="宋体" w:hAnsi="宋体" w:eastAsia="宋体" w:cs="Times New Roman"/>
                <w:b/>
                <w:bCs/>
                <w:color w:val="auto"/>
                <w:sz w:val="21"/>
                <w:szCs w:val="21"/>
                <w:highlight w:val="none"/>
                <w:lang w:val="en-US" w:eastAsia="zh-CN"/>
              </w:rPr>
              <w:t>评标时突发情况的补救方案</w:t>
            </w:r>
          </w:p>
          <w:p w14:paraId="289FB39D">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12" w:lineRule="auto"/>
              <w:ind w:firstLine="422" w:firstLineChars="200"/>
              <w:jc w:val="both"/>
              <w:textAlignment w:val="auto"/>
              <w:rPr>
                <w:rFonts w:hint="default" w:ascii="宋体" w:hAnsi="宋体" w:eastAsia="宋体" w:cs="Times New Roman"/>
                <w:b/>
                <w:bCs/>
                <w:color w:val="auto"/>
                <w:sz w:val="21"/>
                <w:szCs w:val="21"/>
                <w:highlight w:val="none"/>
                <w:lang w:val="en-US" w:eastAsia="zh-CN"/>
              </w:rPr>
            </w:pPr>
            <w:r>
              <w:rPr>
                <w:rFonts w:hint="default" w:ascii="宋体" w:hAnsi="宋体" w:eastAsia="宋体" w:cs="Times New Roman"/>
                <w:b/>
                <w:bCs/>
                <w:color w:val="auto"/>
                <w:sz w:val="21"/>
                <w:szCs w:val="21"/>
                <w:highlight w:val="none"/>
                <w:lang w:val="en-US" w:eastAsia="zh-CN"/>
              </w:rPr>
              <w:t>在</w:t>
            </w:r>
            <w:r>
              <w:rPr>
                <w:rFonts w:hint="eastAsia" w:ascii="宋体" w:hAnsi="宋体" w:eastAsia="宋体" w:cs="Times New Roman"/>
                <w:b/>
                <w:bCs/>
                <w:color w:val="auto"/>
                <w:sz w:val="21"/>
                <w:szCs w:val="21"/>
                <w:highlight w:val="none"/>
                <w:lang w:val="en-US" w:eastAsia="zh-CN"/>
              </w:rPr>
              <w:t>开</w:t>
            </w:r>
            <w:r>
              <w:rPr>
                <w:rFonts w:hint="default" w:ascii="宋体" w:hAnsi="宋体" w:eastAsia="宋体" w:cs="Times New Roman"/>
                <w:b/>
                <w:bCs/>
                <w:color w:val="auto"/>
                <w:sz w:val="21"/>
                <w:szCs w:val="21"/>
                <w:highlight w:val="none"/>
                <w:lang w:val="en-US" w:eastAsia="zh-CN"/>
              </w:rPr>
              <w:t>评标过程中，因主场或副场网络故障、电子设备或者评标系统故障，以及其他原因导致无法继续进行</w:t>
            </w:r>
            <w:r>
              <w:rPr>
                <w:rFonts w:hint="eastAsia" w:ascii="宋体" w:hAnsi="宋体" w:eastAsia="宋体" w:cs="Times New Roman"/>
                <w:b/>
                <w:bCs/>
                <w:color w:val="auto"/>
                <w:sz w:val="21"/>
                <w:szCs w:val="21"/>
                <w:highlight w:val="none"/>
                <w:lang w:val="en-US" w:eastAsia="zh-CN"/>
              </w:rPr>
              <w:t>开</w:t>
            </w:r>
            <w:r>
              <w:rPr>
                <w:rFonts w:hint="default" w:ascii="宋体" w:hAnsi="宋体" w:eastAsia="宋体" w:cs="Times New Roman"/>
                <w:b/>
                <w:bCs/>
                <w:color w:val="auto"/>
                <w:sz w:val="21"/>
                <w:szCs w:val="21"/>
                <w:highlight w:val="none"/>
                <w:lang w:val="en-US" w:eastAsia="zh-CN"/>
              </w:rPr>
              <w:t>评标</w:t>
            </w:r>
            <w:r>
              <w:rPr>
                <w:rFonts w:hint="eastAsia" w:ascii="宋体" w:hAnsi="宋体" w:eastAsia="宋体" w:cs="Times New Roman"/>
                <w:b/>
                <w:bCs/>
                <w:color w:val="auto"/>
                <w:sz w:val="21"/>
                <w:szCs w:val="21"/>
                <w:highlight w:val="none"/>
                <w:lang w:val="en-US" w:eastAsia="zh-CN"/>
              </w:rPr>
              <w:t>活动</w:t>
            </w:r>
            <w:r>
              <w:rPr>
                <w:rFonts w:hint="default" w:ascii="宋体" w:hAnsi="宋体" w:eastAsia="宋体" w:cs="Times New Roman"/>
                <w:b/>
                <w:bCs/>
                <w:color w:val="auto"/>
                <w:sz w:val="21"/>
                <w:szCs w:val="21"/>
                <w:highlight w:val="none"/>
                <w:lang w:val="en-US" w:eastAsia="zh-CN"/>
              </w:rPr>
              <w:t>时，在</w:t>
            </w:r>
            <w:r>
              <w:rPr>
                <w:rFonts w:hint="eastAsia" w:ascii="宋体" w:hAnsi="宋体" w:eastAsia="宋体" w:cs="Times New Roman"/>
                <w:b/>
                <w:bCs/>
                <w:color w:val="auto"/>
                <w:sz w:val="21"/>
                <w:szCs w:val="21"/>
                <w:highlight w:val="none"/>
                <w:lang w:val="en-US" w:eastAsia="zh-CN"/>
              </w:rPr>
              <w:t>短时间</w:t>
            </w:r>
            <w:r>
              <w:rPr>
                <w:rFonts w:hint="default" w:ascii="宋体" w:hAnsi="宋体" w:eastAsia="宋体" w:cs="Times New Roman"/>
                <w:b/>
                <w:bCs/>
                <w:color w:val="auto"/>
                <w:sz w:val="21"/>
                <w:szCs w:val="21"/>
                <w:highlight w:val="none"/>
                <w:lang w:val="en-US" w:eastAsia="zh-CN"/>
              </w:rPr>
              <w:t>内无法解除故障的，</w:t>
            </w:r>
            <w:r>
              <w:rPr>
                <w:rFonts w:hint="eastAsia" w:ascii="宋体" w:hAnsi="宋体" w:eastAsia="宋体" w:cs="Times New Roman"/>
                <w:b/>
                <w:bCs/>
                <w:color w:val="auto"/>
                <w:sz w:val="21"/>
                <w:szCs w:val="21"/>
                <w:highlight w:val="none"/>
                <w:lang w:val="en-US" w:eastAsia="zh-CN"/>
              </w:rPr>
              <w:t>则转为线下评审</w:t>
            </w:r>
            <w:r>
              <w:rPr>
                <w:rFonts w:hint="default" w:ascii="宋体" w:hAnsi="宋体" w:eastAsia="宋体" w:cs="Times New Roman"/>
                <w:b/>
                <w:bCs/>
                <w:color w:val="auto"/>
                <w:sz w:val="21"/>
                <w:szCs w:val="21"/>
                <w:highlight w:val="none"/>
                <w:lang w:val="en-US" w:eastAsia="zh-CN"/>
              </w:rPr>
              <w:t>。</w:t>
            </w:r>
          </w:p>
          <w:p w14:paraId="047EA307">
            <w:pPr>
              <w:pStyle w:val="16"/>
              <w:keepNext w:val="0"/>
              <w:keepLines w:val="0"/>
              <w:pageBreakBefore w:val="0"/>
              <w:widowControl/>
              <w:suppressLineNumbers w:val="0"/>
              <w:shd w:val="clear" w:color="auto" w:fill="FFFFFF"/>
              <w:kinsoku/>
              <w:wordWrap w:val="0"/>
              <w:overflowPunct/>
              <w:topLinePunct w:val="0"/>
              <w:autoSpaceDE/>
              <w:autoSpaceDN/>
              <w:bidi w:val="0"/>
              <w:adjustRightInd/>
              <w:snapToGrid/>
              <w:spacing w:before="0" w:beforeAutospacing="0" w:after="0" w:afterAutospacing="0" w:line="312" w:lineRule="auto"/>
              <w:ind w:firstLine="422" w:firstLineChars="200"/>
              <w:jc w:val="both"/>
              <w:textAlignment w:val="auto"/>
              <w:rPr>
                <w:rFonts w:hint="eastAsia" w:ascii="宋体" w:hAnsi="宋体" w:eastAsia="宋体" w:cs="宋体"/>
                <w:b/>
                <w:bCs/>
                <w:color w:val="auto"/>
                <w:kern w:val="16"/>
                <w:sz w:val="21"/>
                <w:szCs w:val="21"/>
                <w:highlight w:val="none"/>
                <w:lang w:val="en-US" w:eastAsia="zh-CN"/>
              </w:rPr>
            </w:pPr>
            <w:r>
              <w:rPr>
                <w:rFonts w:hint="default" w:ascii="宋体" w:hAnsi="宋体" w:eastAsia="宋体" w:cs="宋体"/>
                <w:b/>
                <w:bCs/>
                <w:color w:val="auto"/>
                <w:kern w:val="0"/>
                <w:sz w:val="21"/>
                <w:szCs w:val="21"/>
                <w:highlight w:val="none"/>
                <w:lang w:val="en-US" w:eastAsia="zh-CN" w:bidi="ar-SA"/>
              </w:rPr>
              <w:t>②</w:t>
            </w:r>
            <w:r>
              <w:rPr>
                <w:rFonts w:hint="default" w:ascii="宋体" w:hAnsi="宋体" w:eastAsia="宋体" w:cs="Times New Roman"/>
                <w:b/>
                <w:bCs/>
                <w:color w:val="auto"/>
                <w:sz w:val="21"/>
                <w:szCs w:val="21"/>
                <w:highlight w:val="none"/>
                <w:lang w:val="en-US" w:eastAsia="zh-CN"/>
              </w:rPr>
              <w:t>本次招标实行电子投标，开标评标均以投标人通过交易平台</w:t>
            </w:r>
            <w:r>
              <w:rPr>
                <w:rFonts w:hint="eastAsia" w:ascii="宋体" w:hAnsi="宋体" w:eastAsia="宋体" w:cs="Times New Roman"/>
                <w:b/>
                <w:bCs/>
                <w:color w:val="auto"/>
                <w:sz w:val="21"/>
                <w:szCs w:val="21"/>
                <w:highlight w:val="none"/>
                <w:lang w:val="en-US" w:eastAsia="zh-CN"/>
              </w:rPr>
              <w:t>上传的</w:t>
            </w:r>
            <w:r>
              <w:rPr>
                <w:rFonts w:hint="default" w:ascii="宋体" w:hAnsi="宋体" w:eastAsia="宋体" w:cs="Times New Roman"/>
                <w:b/>
                <w:bCs/>
                <w:color w:val="auto"/>
                <w:sz w:val="21"/>
                <w:szCs w:val="21"/>
                <w:highlight w:val="none"/>
                <w:lang w:val="en-US" w:eastAsia="zh-CN"/>
              </w:rPr>
              <w:t>电子投标文件为准</w:t>
            </w:r>
            <w:r>
              <w:rPr>
                <w:rFonts w:hint="eastAsia" w:ascii="宋体" w:hAnsi="宋体" w:eastAsia="宋体" w:cs="Times New Roman"/>
                <w:b/>
                <w:bCs/>
                <w:color w:val="auto"/>
                <w:sz w:val="21"/>
                <w:szCs w:val="21"/>
                <w:highlight w:val="none"/>
                <w:lang w:val="en-US" w:eastAsia="zh-CN"/>
              </w:rPr>
              <w:t>，若因系统故障转为线下评审，则以递交的纸质投标文件为准</w:t>
            </w:r>
            <w:r>
              <w:rPr>
                <w:rFonts w:hint="default" w:ascii="宋体" w:hAnsi="宋体" w:eastAsia="宋体" w:cs="Times New Roman"/>
                <w:color w:val="auto"/>
                <w:sz w:val="21"/>
                <w:szCs w:val="21"/>
                <w:highlight w:val="none"/>
                <w:lang w:val="en-US" w:eastAsia="zh-CN"/>
              </w:rPr>
              <w:t>。</w:t>
            </w:r>
          </w:p>
          <w:p w14:paraId="25D3B7EF">
            <w:pPr>
              <w:pStyle w:val="16"/>
              <w:keepNext w:val="0"/>
              <w:keepLines w:val="0"/>
              <w:pageBreakBefore w:val="0"/>
              <w:widowControl/>
              <w:numPr>
                <w:ilvl w:val="0"/>
                <w:numId w:val="0"/>
              </w:numPr>
              <w:suppressLineNumbers w:val="0"/>
              <w:shd w:val="clear" w:color="auto" w:fill="FFFFFF"/>
              <w:kinsoku/>
              <w:wordWrap w:val="0"/>
              <w:overflowPunct/>
              <w:topLinePunct w:val="0"/>
              <w:autoSpaceDE/>
              <w:autoSpaceDN/>
              <w:bidi w:val="0"/>
              <w:adjustRightInd/>
              <w:snapToGrid/>
              <w:spacing w:before="0" w:beforeAutospacing="0" w:after="0" w:afterAutospacing="0" w:line="360" w:lineRule="auto"/>
              <w:ind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16"/>
                <w:sz w:val="21"/>
                <w:szCs w:val="21"/>
                <w:highlight w:val="none"/>
                <w:lang w:eastAsia="zh-CN"/>
              </w:rPr>
              <w:t>（二）</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应当在参与采购活动前详细研究</w:t>
            </w:r>
            <w:r>
              <w:rPr>
                <w:rFonts w:hint="eastAsia" w:ascii="宋体" w:hAnsi="宋体" w:eastAsia="宋体" w:cs="宋体"/>
                <w:b/>
                <w:bCs/>
                <w:color w:val="auto"/>
                <w:kern w:val="16"/>
                <w:sz w:val="21"/>
                <w:szCs w:val="21"/>
                <w:highlight w:val="none"/>
                <w:lang w:val="en-US" w:eastAsia="zh-CN"/>
              </w:rPr>
              <w:t>《韶关市公共资源交易一体化平台产权招标交易-投标人用户手册》</w:t>
            </w:r>
            <w:r>
              <w:rPr>
                <w:rFonts w:hint="eastAsia" w:ascii="宋体" w:hAnsi="宋体" w:eastAsia="宋体" w:cs="宋体"/>
                <w:b w:val="0"/>
                <w:bCs w:val="0"/>
                <w:color w:val="auto"/>
                <w:kern w:val="16"/>
                <w:sz w:val="21"/>
                <w:szCs w:val="21"/>
                <w:highlight w:val="none"/>
                <w:lang w:val="en-US" w:eastAsia="zh-CN"/>
              </w:rPr>
              <w:t>，以及</w:t>
            </w:r>
            <w:r>
              <w:rPr>
                <w:rFonts w:hint="eastAsia" w:ascii="宋体" w:hAnsi="宋体" w:eastAsia="宋体" w:cs="宋体"/>
                <w:b/>
                <w:bCs/>
                <w:color w:val="auto"/>
                <w:kern w:val="16"/>
                <w:sz w:val="21"/>
                <w:szCs w:val="21"/>
                <w:highlight w:val="none"/>
                <w:lang w:eastAsia="zh-CN"/>
              </w:rPr>
              <w:t>招标文件</w:t>
            </w:r>
            <w:r>
              <w:rPr>
                <w:rFonts w:hint="eastAsia" w:ascii="宋体" w:hAnsi="宋体" w:eastAsia="宋体" w:cs="宋体"/>
                <w:color w:val="auto"/>
                <w:kern w:val="16"/>
                <w:sz w:val="21"/>
                <w:szCs w:val="21"/>
                <w:highlight w:val="none"/>
                <w:lang w:eastAsia="zh-CN"/>
              </w:rPr>
              <w:t>的所有内容，包括澄清、修改文件（如果有）和所有已提供的参考资料以及有关附件，且不存在任何含糊不清和误解之处，否则，由此产生的一切后果由</w:t>
            </w:r>
            <w:r>
              <w:rPr>
                <w:rFonts w:hint="eastAsia" w:ascii="宋体" w:hAnsi="宋体" w:cs="宋体"/>
                <w:color w:val="auto"/>
                <w:kern w:val="16"/>
                <w:sz w:val="21"/>
                <w:szCs w:val="21"/>
                <w:highlight w:val="none"/>
                <w:lang w:eastAsia="zh-CN"/>
              </w:rPr>
              <w:t>投标人</w:t>
            </w:r>
            <w:r>
              <w:rPr>
                <w:rFonts w:hint="eastAsia" w:ascii="宋体" w:hAnsi="宋体" w:eastAsia="宋体" w:cs="宋体"/>
                <w:color w:val="auto"/>
                <w:kern w:val="16"/>
                <w:sz w:val="21"/>
                <w:szCs w:val="21"/>
                <w:highlight w:val="none"/>
                <w:lang w:eastAsia="zh-CN"/>
              </w:rPr>
              <w:t>自行承担。</w:t>
            </w:r>
          </w:p>
        </w:tc>
      </w:tr>
    </w:tbl>
    <w:p w14:paraId="521656F5">
      <w:pPr>
        <w:keepNext/>
        <w:keepLines/>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宋体" w:hAnsi="宋体" w:eastAsia="宋体" w:cs="宋体"/>
          <w:b/>
          <w:bCs w:val="0"/>
          <w:color w:val="auto"/>
          <w:sz w:val="21"/>
          <w:szCs w:val="21"/>
          <w:highlight w:val="none"/>
        </w:rPr>
      </w:pPr>
      <w:bookmarkStart w:id="20" w:name="_Toc35393627"/>
      <w:bookmarkStart w:id="21" w:name="_Toc28359085"/>
      <w:bookmarkStart w:id="22" w:name="_Toc35393796"/>
      <w:bookmarkStart w:id="23" w:name="_Toc28359008"/>
    </w:p>
    <w:p w14:paraId="2E8208D8">
      <w:pPr>
        <w:keepNext/>
        <w:keepLines/>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七、对本次招标提出询问，请按以下方式联系。</w:t>
      </w:r>
      <w:bookmarkEnd w:id="20"/>
      <w:bookmarkEnd w:id="21"/>
      <w:bookmarkEnd w:id="22"/>
      <w:bookmarkEnd w:id="23"/>
    </w:p>
    <w:p w14:paraId="76F50E40">
      <w:pPr>
        <w:pStyle w:val="86"/>
        <w:snapToGrid w:val="0"/>
        <w:spacing w:line="360" w:lineRule="auto"/>
        <w:ind w:firstLine="210" w:firstLineChars="100"/>
        <w:rPr>
          <w:rFonts w:hint="eastAsia" w:ascii="宋体" w:hAnsi="宋体" w:eastAsia="宋体" w:cs="宋体"/>
          <w:color w:val="auto"/>
          <w:kern w:val="16"/>
          <w:sz w:val="21"/>
          <w:szCs w:val="21"/>
          <w:highlight w:val="none"/>
        </w:rPr>
      </w:pPr>
      <w:r>
        <w:rPr>
          <w:rFonts w:hint="eastAsia" w:ascii="宋体" w:hAnsi="宋体" w:eastAsia="宋体" w:cs="宋体"/>
          <w:color w:val="auto"/>
          <w:kern w:val="16"/>
          <w:sz w:val="21"/>
          <w:szCs w:val="21"/>
          <w:highlight w:val="none"/>
        </w:rPr>
        <w:t>1.</w:t>
      </w:r>
      <w:r>
        <w:rPr>
          <w:rFonts w:hint="eastAsia" w:ascii="宋体" w:hAnsi="宋体" w:cs="宋体"/>
          <w:color w:val="auto"/>
          <w:kern w:val="16"/>
          <w:sz w:val="21"/>
          <w:szCs w:val="21"/>
          <w:highlight w:val="none"/>
          <w:lang w:val="en-US" w:eastAsia="zh-CN"/>
        </w:rPr>
        <w:t>招标</w:t>
      </w:r>
      <w:r>
        <w:rPr>
          <w:rFonts w:hint="eastAsia" w:ascii="宋体" w:hAnsi="宋体" w:eastAsia="宋体" w:cs="宋体"/>
          <w:color w:val="auto"/>
          <w:kern w:val="16"/>
          <w:sz w:val="21"/>
          <w:szCs w:val="21"/>
          <w:highlight w:val="none"/>
        </w:rPr>
        <w:t>人信息</w:t>
      </w:r>
    </w:p>
    <w:p w14:paraId="3596E8F9">
      <w:pPr>
        <w:pStyle w:val="86"/>
        <w:snapToGrid w:val="0"/>
        <w:spacing w:line="360" w:lineRule="auto"/>
        <w:ind w:firstLine="420" w:firstLineChars="200"/>
        <w:rPr>
          <w:rFonts w:hint="eastAsia" w:ascii="宋体" w:hAnsi="宋体" w:eastAsia="宋体" w:cs="宋体"/>
          <w:color w:val="auto"/>
          <w:kern w:val="16"/>
          <w:sz w:val="21"/>
          <w:szCs w:val="21"/>
          <w:highlight w:val="none"/>
          <w:lang w:eastAsia="zh-CN"/>
        </w:rPr>
      </w:pPr>
      <w:bookmarkStart w:id="24" w:name="_Toc28359086"/>
      <w:bookmarkStart w:id="25" w:name="_Toc28359009"/>
      <w:r>
        <w:rPr>
          <w:rFonts w:hint="eastAsia" w:ascii="宋体" w:hAnsi="宋体" w:eastAsia="宋体" w:cs="宋体"/>
          <w:color w:val="auto"/>
          <w:kern w:val="16"/>
          <w:sz w:val="21"/>
          <w:szCs w:val="21"/>
          <w:highlight w:val="none"/>
        </w:rPr>
        <w:t>名 称：</w:t>
      </w:r>
      <w:r>
        <w:rPr>
          <w:rFonts w:hint="eastAsia" w:ascii="宋体" w:hAnsi="宋体" w:eastAsia="宋体" w:cs="宋体"/>
          <w:color w:val="auto"/>
          <w:kern w:val="16"/>
          <w:sz w:val="21"/>
          <w:szCs w:val="21"/>
          <w:highlight w:val="none"/>
          <w:lang w:eastAsia="zh-CN"/>
        </w:rPr>
        <w:t>韶关市武江区国有投资集团有限公司</w:t>
      </w:r>
    </w:p>
    <w:p w14:paraId="57CDF140">
      <w:pPr>
        <w:pStyle w:val="86"/>
        <w:pageBreakBefore w:val="0"/>
        <w:kinsoku/>
        <w:overflowPunct/>
        <w:topLinePunct w:val="0"/>
        <w:autoSpaceDE/>
        <w:autoSpaceDN/>
        <w:bidi w:val="0"/>
        <w:snapToGrid w:val="0"/>
        <w:spacing w:line="360" w:lineRule="auto"/>
        <w:ind w:firstLine="420" w:firstLineChars="200"/>
        <w:outlineLvl w:val="9"/>
        <w:rPr>
          <w:rFonts w:hint="eastAsia" w:ascii="宋体" w:hAnsi="宋体" w:cs="宋体"/>
          <w:color w:val="auto"/>
          <w:kern w:val="16"/>
          <w:sz w:val="21"/>
          <w:szCs w:val="21"/>
          <w:highlight w:val="none"/>
          <w:lang w:val="en-US" w:eastAsia="zh-CN"/>
        </w:rPr>
      </w:pPr>
      <w:r>
        <w:rPr>
          <w:rFonts w:hint="eastAsia" w:ascii="宋体" w:hAnsi="宋体" w:eastAsia="宋体" w:cs="宋体"/>
          <w:color w:val="auto"/>
          <w:kern w:val="16"/>
          <w:sz w:val="21"/>
          <w:szCs w:val="21"/>
          <w:highlight w:val="none"/>
        </w:rPr>
        <w:t>地址：</w:t>
      </w:r>
      <w:r>
        <w:rPr>
          <w:rFonts w:hint="eastAsia" w:ascii="宋体" w:hAnsi="宋体" w:eastAsia="宋体" w:cs="宋体"/>
          <w:color w:val="auto"/>
          <w:kern w:val="16"/>
          <w:sz w:val="21"/>
          <w:szCs w:val="21"/>
          <w:highlight w:val="none"/>
          <w:lang w:eastAsia="zh-CN"/>
        </w:rPr>
        <w:t>韶关市武江区科创园青创中心7楼</w:t>
      </w:r>
    </w:p>
    <w:p w14:paraId="1BF14288">
      <w:pPr>
        <w:pStyle w:val="86"/>
        <w:pageBreakBefore w:val="0"/>
        <w:kinsoku/>
        <w:overflowPunct/>
        <w:topLinePunct w:val="0"/>
        <w:autoSpaceDE/>
        <w:autoSpaceDN/>
        <w:bidi w:val="0"/>
        <w:snapToGrid w:val="0"/>
        <w:spacing w:line="360" w:lineRule="auto"/>
        <w:ind w:firstLine="420" w:firstLineChars="200"/>
        <w:outlineLvl w:val="9"/>
        <w:rPr>
          <w:rFonts w:hint="eastAsia" w:ascii="宋体" w:hAnsi="宋体" w:eastAsia="宋体" w:cs="宋体"/>
          <w:color w:val="auto"/>
          <w:kern w:val="16"/>
          <w:sz w:val="21"/>
          <w:szCs w:val="21"/>
          <w:highlight w:val="none"/>
        </w:rPr>
      </w:pPr>
    </w:p>
    <w:p w14:paraId="625866CF">
      <w:pPr>
        <w:pStyle w:val="86"/>
        <w:pageBreakBefore w:val="0"/>
        <w:kinsoku/>
        <w:overflowPunct/>
        <w:topLinePunct w:val="0"/>
        <w:autoSpaceDE/>
        <w:autoSpaceDN/>
        <w:bidi w:val="0"/>
        <w:snapToGrid w:val="0"/>
        <w:spacing w:line="360" w:lineRule="auto"/>
        <w:ind w:firstLine="420" w:firstLineChars="200"/>
        <w:outlineLvl w:val="9"/>
        <w:rPr>
          <w:rFonts w:hint="eastAsia" w:ascii="宋体" w:hAnsi="宋体" w:eastAsia="宋体" w:cs="宋体"/>
          <w:color w:val="auto"/>
          <w:kern w:val="16"/>
          <w:sz w:val="21"/>
          <w:szCs w:val="21"/>
          <w:highlight w:val="none"/>
        </w:rPr>
      </w:pPr>
    </w:p>
    <w:p w14:paraId="43E0B0C2">
      <w:pPr>
        <w:pStyle w:val="86"/>
        <w:pageBreakBefore w:val="0"/>
        <w:kinsoku/>
        <w:overflowPunct/>
        <w:topLinePunct w:val="0"/>
        <w:autoSpaceDE/>
        <w:autoSpaceDN/>
        <w:bidi w:val="0"/>
        <w:snapToGrid w:val="0"/>
        <w:spacing w:line="360" w:lineRule="auto"/>
        <w:ind w:firstLine="420" w:firstLineChars="200"/>
        <w:outlineLvl w:val="9"/>
        <w:rPr>
          <w:rFonts w:hint="eastAsia" w:ascii="宋体" w:hAnsi="宋体" w:eastAsia="宋体" w:cs="宋体"/>
          <w:color w:val="auto"/>
          <w:kern w:val="16"/>
          <w:sz w:val="21"/>
          <w:szCs w:val="21"/>
          <w:highlight w:val="none"/>
        </w:rPr>
      </w:pPr>
      <w:r>
        <w:rPr>
          <w:rFonts w:hint="eastAsia" w:ascii="宋体" w:hAnsi="宋体" w:eastAsia="宋体" w:cs="宋体"/>
          <w:color w:val="auto"/>
          <w:kern w:val="16"/>
          <w:sz w:val="21"/>
          <w:szCs w:val="21"/>
          <w:highlight w:val="none"/>
        </w:rPr>
        <w:t>联系方式：0751-</w:t>
      </w:r>
      <w:r>
        <w:rPr>
          <w:rFonts w:hint="eastAsia" w:ascii="宋体" w:hAnsi="宋体" w:eastAsia="宋体" w:cs="宋体"/>
          <w:color w:val="auto"/>
          <w:kern w:val="16"/>
          <w:sz w:val="21"/>
          <w:szCs w:val="21"/>
          <w:highlight w:val="none"/>
          <w:lang w:val="en-US" w:eastAsia="zh-CN"/>
        </w:rPr>
        <w:t>6916321</w:t>
      </w:r>
    </w:p>
    <w:p w14:paraId="6BC93DE5">
      <w:pPr>
        <w:pStyle w:val="86"/>
        <w:snapToGrid w:val="0"/>
        <w:spacing w:line="360" w:lineRule="auto"/>
        <w:ind w:firstLine="210" w:firstLineChars="100"/>
        <w:rPr>
          <w:rFonts w:hint="eastAsia" w:ascii="宋体" w:hAnsi="宋体" w:eastAsia="宋体" w:cs="宋体"/>
          <w:color w:val="auto"/>
          <w:kern w:val="16"/>
          <w:sz w:val="21"/>
          <w:szCs w:val="21"/>
          <w:highlight w:val="none"/>
        </w:rPr>
      </w:pPr>
    </w:p>
    <w:p w14:paraId="0B3CF903">
      <w:pPr>
        <w:pStyle w:val="86"/>
        <w:snapToGrid w:val="0"/>
        <w:spacing w:line="360" w:lineRule="auto"/>
        <w:ind w:firstLine="210" w:firstLineChars="100"/>
        <w:rPr>
          <w:rFonts w:hint="eastAsia" w:ascii="宋体" w:hAnsi="宋体" w:eastAsia="宋体" w:cs="宋体"/>
          <w:color w:val="auto"/>
          <w:kern w:val="16"/>
          <w:sz w:val="21"/>
          <w:szCs w:val="21"/>
          <w:highlight w:val="none"/>
        </w:rPr>
      </w:pPr>
      <w:r>
        <w:rPr>
          <w:rFonts w:hint="eastAsia" w:ascii="宋体" w:hAnsi="宋体" w:eastAsia="宋体" w:cs="宋体"/>
          <w:color w:val="auto"/>
          <w:kern w:val="16"/>
          <w:sz w:val="21"/>
          <w:szCs w:val="21"/>
          <w:highlight w:val="none"/>
        </w:rPr>
        <w:t>2.</w:t>
      </w:r>
      <w:r>
        <w:rPr>
          <w:rFonts w:hint="eastAsia" w:ascii="宋体" w:hAnsi="宋体" w:cs="宋体"/>
          <w:color w:val="auto"/>
          <w:kern w:val="16"/>
          <w:sz w:val="21"/>
          <w:szCs w:val="21"/>
          <w:highlight w:val="none"/>
          <w:lang w:val="en-US" w:eastAsia="zh-CN"/>
        </w:rPr>
        <w:t>招标</w:t>
      </w:r>
      <w:r>
        <w:rPr>
          <w:rFonts w:hint="eastAsia" w:ascii="宋体" w:hAnsi="宋体" w:eastAsia="宋体" w:cs="宋体"/>
          <w:color w:val="auto"/>
          <w:kern w:val="16"/>
          <w:sz w:val="21"/>
          <w:szCs w:val="21"/>
          <w:highlight w:val="none"/>
        </w:rPr>
        <w:t>代理机构信息</w:t>
      </w:r>
      <w:bookmarkEnd w:id="24"/>
      <w:bookmarkEnd w:id="25"/>
    </w:p>
    <w:p w14:paraId="65B6560D">
      <w:pPr>
        <w:pStyle w:val="86"/>
        <w:snapToGrid w:val="0"/>
        <w:spacing w:line="360" w:lineRule="auto"/>
        <w:ind w:firstLine="420" w:firstLineChars="200"/>
        <w:rPr>
          <w:rFonts w:hint="eastAsia" w:ascii="宋体" w:hAnsi="宋体" w:cs="宋体"/>
          <w:color w:val="auto"/>
          <w:kern w:val="16"/>
          <w:sz w:val="21"/>
          <w:szCs w:val="21"/>
          <w:highlight w:val="none"/>
          <w:lang w:val="en-US" w:eastAsia="zh-CN"/>
        </w:rPr>
      </w:pPr>
      <w:bookmarkStart w:id="26" w:name="_Toc28359087"/>
      <w:bookmarkStart w:id="27" w:name="_Toc28359010"/>
      <w:r>
        <w:rPr>
          <w:rFonts w:hint="eastAsia" w:ascii="宋体" w:hAnsi="宋体" w:cs="宋体"/>
          <w:color w:val="auto"/>
          <w:kern w:val="16"/>
          <w:sz w:val="21"/>
          <w:szCs w:val="21"/>
          <w:highlight w:val="none"/>
          <w:lang w:val="en-US" w:eastAsia="zh-CN"/>
        </w:rPr>
        <w:t>名 称：广东合正项目管理有限公司</w:t>
      </w:r>
    </w:p>
    <w:p w14:paraId="3CA0A449">
      <w:pPr>
        <w:pStyle w:val="86"/>
        <w:snapToGrid w:val="0"/>
        <w:spacing w:line="360" w:lineRule="auto"/>
        <w:ind w:firstLine="420" w:firstLineChars="200"/>
        <w:rPr>
          <w:rFonts w:hint="eastAsia" w:ascii="宋体" w:hAnsi="宋体" w:cs="宋体"/>
          <w:color w:val="auto"/>
          <w:kern w:val="16"/>
          <w:sz w:val="21"/>
          <w:szCs w:val="21"/>
          <w:highlight w:val="none"/>
          <w:lang w:val="en-US" w:eastAsia="zh-CN"/>
        </w:rPr>
      </w:pPr>
      <w:r>
        <w:rPr>
          <w:rFonts w:hint="eastAsia" w:ascii="宋体" w:hAnsi="宋体" w:cs="宋体"/>
          <w:color w:val="auto"/>
          <w:kern w:val="16"/>
          <w:sz w:val="21"/>
          <w:szCs w:val="21"/>
          <w:highlight w:val="none"/>
          <w:lang w:val="en-US" w:eastAsia="zh-CN"/>
        </w:rPr>
        <w:t>地　址：广东省韶关市武江区百旺大道42号莞韶双创中心研发办公楼5楼3号</w:t>
      </w:r>
    </w:p>
    <w:p w14:paraId="634823D1">
      <w:pPr>
        <w:pStyle w:val="86"/>
        <w:snapToGrid w:val="0"/>
        <w:spacing w:line="360" w:lineRule="auto"/>
        <w:ind w:firstLine="420" w:firstLineChars="200"/>
        <w:rPr>
          <w:rFonts w:hint="eastAsia" w:ascii="宋体" w:hAnsi="宋体" w:cs="宋体"/>
          <w:color w:val="auto"/>
          <w:kern w:val="16"/>
          <w:sz w:val="21"/>
          <w:szCs w:val="21"/>
          <w:highlight w:val="none"/>
          <w:lang w:val="en-US" w:eastAsia="zh-CN"/>
        </w:rPr>
      </w:pPr>
      <w:r>
        <w:rPr>
          <w:rFonts w:hint="eastAsia" w:ascii="宋体" w:hAnsi="宋体" w:cs="宋体"/>
          <w:color w:val="auto"/>
          <w:kern w:val="16"/>
          <w:sz w:val="21"/>
          <w:szCs w:val="21"/>
          <w:highlight w:val="none"/>
          <w:lang w:val="en-US" w:eastAsia="zh-CN"/>
        </w:rPr>
        <w:t>联系方式：0751-8219991</w:t>
      </w:r>
    </w:p>
    <w:p w14:paraId="7F1A1D0C">
      <w:pPr>
        <w:pStyle w:val="86"/>
        <w:snapToGrid w:val="0"/>
        <w:spacing w:line="360" w:lineRule="auto"/>
        <w:ind w:firstLine="420" w:firstLineChars="200"/>
        <w:rPr>
          <w:rFonts w:hint="eastAsia" w:ascii="宋体" w:hAnsi="宋体" w:eastAsia="宋体" w:cs="宋体"/>
          <w:color w:val="auto"/>
          <w:kern w:val="16"/>
          <w:sz w:val="21"/>
          <w:szCs w:val="21"/>
          <w:highlight w:val="none"/>
          <w:lang w:eastAsia="zh-CN"/>
        </w:rPr>
      </w:pPr>
      <w:r>
        <w:rPr>
          <w:rFonts w:hint="eastAsia" w:ascii="宋体" w:hAnsi="宋体" w:cs="宋体"/>
          <w:color w:val="auto"/>
          <w:kern w:val="16"/>
          <w:sz w:val="21"/>
          <w:szCs w:val="21"/>
          <w:highlight w:val="none"/>
          <w:lang w:val="en-US" w:eastAsia="zh-CN"/>
        </w:rPr>
        <w:t xml:space="preserve"> </w:t>
      </w:r>
    </w:p>
    <w:p w14:paraId="29D4E323">
      <w:pPr>
        <w:pStyle w:val="86"/>
        <w:snapToGrid w:val="0"/>
        <w:spacing w:line="360" w:lineRule="auto"/>
        <w:ind w:firstLine="210" w:firstLineChars="100"/>
        <w:rPr>
          <w:rFonts w:hint="eastAsia" w:ascii="宋体" w:hAnsi="宋体" w:eastAsia="宋体" w:cs="宋体"/>
          <w:color w:val="auto"/>
          <w:kern w:val="16"/>
          <w:sz w:val="21"/>
          <w:szCs w:val="21"/>
          <w:highlight w:val="none"/>
        </w:rPr>
      </w:pPr>
    </w:p>
    <w:p w14:paraId="05FCCE94">
      <w:pPr>
        <w:pStyle w:val="86"/>
        <w:snapToGrid w:val="0"/>
        <w:spacing w:line="360" w:lineRule="auto"/>
        <w:ind w:firstLine="210" w:firstLineChars="100"/>
        <w:rPr>
          <w:rFonts w:hint="eastAsia" w:ascii="宋体" w:hAnsi="宋体" w:eastAsia="宋体" w:cs="宋体"/>
          <w:color w:val="auto"/>
          <w:kern w:val="16"/>
          <w:sz w:val="21"/>
          <w:szCs w:val="21"/>
          <w:highlight w:val="none"/>
        </w:rPr>
      </w:pPr>
      <w:r>
        <w:rPr>
          <w:rFonts w:hint="eastAsia" w:ascii="宋体" w:hAnsi="宋体" w:eastAsia="宋体" w:cs="宋体"/>
          <w:color w:val="auto"/>
          <w:kern w:val="16"/>
          <w:sz w:val="21"/>
          <w:szCs w:val="21"/>
          <w:highlight w:val="none"/>
        </w:rPr>
        <w:t>3.项目联系方式</w:t>
      </w:r>
      <w:bookmarkEnd w:id="26"/>
      <w:bookmarkEnd w:id="27"/>
    </w:p>
    <w:p w14:paraId="345276BE">
      <w:pPr>
        <w:pStyle w:val="86"/>
        <w:snapToGrid w:val="0"/>
        <w:spacing w:line="360" w:lineRule="auto"/>
        <w:ind w:firstLine="420" w:firstLineChars="200"/>
        <w:rPr>
          <w:rFonts w:hint="eastAsia" w:ascii="宋体" w:hAnsi="宋体" w:eastAsia="宋体" w:cs="宋体"/>
          <w:color w:val="auto"/>
          <w:kern w:val="16"/>
          <w:sz w:val="21"/>
          <w:szCs w:val="21"/>
          <w:highlight w:val="none"/>
          <w:lang w:val="en-US" w:eastAsia="zh-CN"/>
        </w:rPr>
      </w:pPr>
      <w:r>
        <w:rPr>
          <w:rFonts w:hint="eastAsia" w:ascii="宋体" w:hAnsi="宋体" w:eastAsia="宋体" w:cs="宋体"/>
          <w:color w:val="auto"/>
          <w:kern w:val="16"/>
          <w:sz w:val="21"/>
          <w:szCs w:val="21"/>
          <w:highlight w:val="none"/>
        </w:rPr>
        <w:t>项目联系人：</w:t>
      </w:r>
      <w:r>
        <w:rPr>
          <w:rFonts w:hint="eastAsia" w:ascii="宋体" w:hAnsi="宋体" w:cs="宋体"/>
          <w:color w:val="auto"/>
          <w:kern w:val="16"/>
          <w:sz w:val="21"/>
          <w:szCs w:val="21"/>
          <w:highlight w:val="none"/>
          <w:lang w:val="en-US" w:eastAsia="zh-CN"/>
        </w:rPr>
        <w:t xml:space="preserve">刘工 </w:t>
      </w:r>
    </w:p>
    <w:p w14:paraId="08F94A58">
      <w:pPr>
        <w:pStyle w:val="86"/>
        <w:snapToGrid w:val="0"/>
        <w:spacing w:line="360" w:lineRule="auto"/>
        <w:ind w:firstLine="420" w:firstLineChars="200"/>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rPr>
        <w:t>电　话：</w:t>
      </w:r>
      <w:r>
        <w:rPr>
          <w:rFonts w:hint="eastAsia" w:ascii="宋体" w:hAnsi="宋体" w:eastAsia="宋体" w:cs="宋体"/>
          <w:color w:val="auto"/>
          <w:kern w:val="16"/>
          <w:sz w:val="21"/>
          <w:szCs w:val="21"/>
          <w:highlight w:val="none"/>
          <w:lang w:val="en-US" w:eastAsia="zh-CN"/>
        </w:rPr>
        <w:t>0751-8219991</w:t>
      </w:r>
      <w:r>
        <w:rPr>
          <w:rFonts w:hint="eastAsia" w:ascii="宋体" w:hAnsi="宋体" w:cs="宋体"/>
          <w:color w:val="auto"/>
          <w:kern w:val="16"/>
          <w:sz w:val="21"/>
          <w:szCs w:val="21"/>
          <w:highlight w:val="none"/>
          <w:lang w:val="en-US" w:eastAsia="zh-CN"/>
        </w:rPr>
        <w:t xml:space="preserve"> </w:t>
      </w:r>
    </w:p>
    <w:p w14:paraId="2F08710E">
      <w:pPr>
        <w:pStyle w:val="86"/>
        <w:snapToGrid w:val="0"/>
        <w:spacing w:line="360" w:lineRule="auto"/>
        <w:ind w:firstLine="420" w:firstLineChars="200"/>
        <w:rPr>
          <w:rFonts w:hint="eastAsia" w:ascii="宋体" w:hAnsi="宋体" w:eastAsia="宋体" w:cs="宋体"/>
          <w:color w:val="auto"/>
          <w:kern w:val="16"/>
          <w:sz w:val="21"/>
          <w:szCs w:val="21"/>
          <w:highlight w:val="none"/>
        </w:rPr>
      </w:pPr>
    </w:p>
    <w:p w14:paraId="3767AA0E">
      <w:pPr>
        <w:pStyle w:val="86"/>
        <w:snapToGrid w:val="0"/>
        <w:spacing w:line="360" w:lineRule="auto"/>
        <w:ind w:firstLine="420" w:firstLineChars="200"/>
        <w:rPr>
          <w:rFonts w:hint="eastAsia" w:ascii="宋体" w:hAnsi="宋体" w:eastAsia="宋体" w:cs="宋体"/>
          <w:color w:val="auto"/>
          <w:kern w:val="16"/>
          <w:sz w:val="21"/>
          <w:szCs w:val="21"/>
          <w:highlight w:val="none"/>
        </w:rPr>
      </w:pPr>
    </w:p>
    <w:p w14:paraId="2795D6DD">
      <w:pPr>
        <w:pStyle w:val="86"/>
        <w:snapToGrid w:val="0"/>
        <w:spacing w:line="360" w:lineRule="auto"/>
        <w:rPr>
          <w:rFonts w:hint="eastAsia" w:ascii="宋体" w:hAnsi="宋体" w:eastAsia="宋体" w:cs="宋体"/>
          <w:color w:val="auto"/>
          <w:kern w:val="16"/>
          <w:sz w:val="21"/>
          <w:szCs w:val="21"/>
          <w:highlight w:val="none"/>
        </w:rPr>
      </w:pPr>
    </w:p>
    <w:p w14:paraId="261148EF">
      <w:pPr>
        <w:pStyle w:val="81"/>
        <w:wordWrap w:val="0"/>
        <w:snapToGrid w:val="0"/>
        <w:spacing w:before="0" w:after="0" w:line="360" w:lineRule="auto"/>
        <w:ind w:firstLine="420"/>
        <w:jc w:val="center"/>
        <w:rPr>
          <w:rFonts w:hint="eastAsia" w:ascii="宋体" w:hAnsi="宋体" w:eastAsia="宋体" w:cs="宋体"/>
          <w:color w:val="auto"/>
          <w:kern w:val="16"/>
          <w:sz w:val="21"/>
          <w:szCs w:val="21"/>
          <w:highlight w:val="none"/>
          <w:lang w:eastAsia="zh-CN"/>
        </w:rPr>
      </w:pPr>
      <w:r>
        <w:rPr>
          <w:rFonts w:hint="eastAsia" w:ascii="宋体" w:hAnsi="宋体" w:cs="宋体"/>
          <w:color w:val="auto"/>
          <w:kern w:val="16"/>
          <w:sz w:val="21"/>
          <w:szCs w:val="21"/>
          <w:highlight w:val="none"/>
          <w:lang w:val="en-US" w:eastAsia="zh-CN"/>
        </w:rPr>
        <w:t xml:space="preserve">                                                 </w:t>
      </w:r>
      <w:r>
        <w:rPr>
          <w:rFonts w:hint="eastAsia" w:ascii="宋体" w:hAnsi="宋体" w:eastAsia="宋体" w:cs="宋体"/>
          <w:color w:val="auto"/>
          <w:kern w:val="16"/>
          <w:sz w:val="21"/>
          <w:szCs w:val="21"/>
          <w:highlight w:val="none"/>
        </w:rPr>
        <w:t>发布人：</w:t>
      </w:r>
      <w:r>
        <w:rPr>
          <w:rFonts w:hint="eastAsia" w:ascii="宋体" w:hAnsi="宋体" w:cs="宋体"/>
          <w:color w:val="auto"/>
          <w:kern w:val="16"/>
          <w:sz w:val="21"/>
          <w:szCs w:val="21"/>
          <w:highlight w:val="none"/>
          <w:lang w:val="en-US" w:eastAsia="zh-CN"/>
        </w:rPr>
        <w:t>广东合正项目管理有限公司</w:t>
      </w:r>
    </w:p>
    <w:p w14:paraId="1838E22E">
      <w:pPr>
        <w:pStyle w:val="81"/>
        <w:snapToGrid w:val="0"/>
        <w:spacing w:before="0" w:after="0" w:line="360" w:lineRule="auto"/>
        <w:ind w:firstLine="420"/>
        <w:jc w:val="center"/>
        <w:rPr>
          <w:rFonts w:hint="eastAsia" w:ascii="宋体" w:hAnsi="宋体" w:eastAsia="宋体" w:cs="宋体"/>
          <w:color w:val="auto"/>
          <w:sz w:val="21"/>
          <w:szCs w:val="21"/>
          <w:highlight w:val="none"/>
        </w:rPr>
      </w:pPr>
      <w:r>
        <w:rPr>
          <w:rFonts w:hint="eastAsia" w:ascii="宋体" w:hAnsi="宋体" w:cs="宋体"/>
          <w:color w:val="auto"/>
          <w:kern w:val="16"/>
          <w:sz w:val="21"/>
          <w:szCs w:val="21"/>
          <w:highlight w:val="none"/>
          <w:lang w:val="en-US" w:eastAsia="zh-CN"/>
        </w:rPr>
        <w:t xml:space="preserve">                                                        </w:t>
      </w:r>
      <w:r>
        <w:rPr>
          <w:rFonts w:hint="eastAsia" w:ascii="宋体" w:hAnsi="宋体" w:eastAsia="宋体" w:cs="宋体"/>
          <w:color w:val="auto"/>
          <w:kern w:val="16"/>
          <w:sz w:val="21"/>
          <w:szCs w:val="21"/>
          <w:highlight w:val="none"/>
        </w:rPr>
        <w:t>发布时间：</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22</w:t>
      </w:r>
      <w:r>
        <w:rPr>
          <w:rFonts w:hint="eastAsia" w:ascii="宋体" w:hAnsi="宋体" w:eastAsia="宋体" w:cs="宋体"/>
          <w:color w:val="auto"/>
          <w:sz w:val="21"/>
          <w:szCs w:val="21"/>
          <w:highlight w:val="none"/>
        </w:rPr>
        <w:t>日</w:t>
      </w:r>
    </w:p>
    <w:p w14:paraId="2A076936">
      <w:pPr>
        <w:pStyle w:val="81"/>
        <w:snapToGrid w:val="0"/>
        <w:spacing w:before="0" w:after="0" w:line="360" w:lineRule="auto"/>
        <w:ind w:firstLine="420"/>
        <w:jc w:val="right"/>
        <w:rPr>
          <w:rFonts w:hint="eastAsia" w:ascii="宋体" w:hAnsi="宋体" w:eastAsia="宋体" w:cs="宋体"/>
          <w:color w:val="auto"/>
          <w:sz w:val="21"/>
          <w:szCs w:val="21"/>
          <w:highlight w:val="none"/>
        </w:rPr>
        <w:sectPr>
          <w:headerReference r:id="rId3" w:type="default"/>
          <w:footerReference r:id="rId4" w:type="default"/>
          <w:pgSz w:w="11906" w:h="16839"/>
          <w:pgMar w:top="1134" w:right="1336" w:bottom="1185" w:left="1330" w:header="964" w:footer="952" w:gutter="0"/>
          <w:pgNumType w:fmt="decimal" w:start="1"/>
          <w:cols w:space="720" w:num="1"/>
        </w:sectPr>
      </w:pPr>
    </w:p>
    <w:p w14:paraId="25CA5C3E">
      <w:pPr>
        <w:pStyle w:val="3"/>
        <w:jc w:val="center"/>
        <w:rPr>
          <w:rFonts w:hint="eastAsia" w:ascii="宋体" w:hAnsi="宋体" w:eastAsia="宋体" w:cs="宋体"/>
          <w:color w:val="auto"/>
          <w:highlight w:val="none"/>
        </w:rPr>
      </w:pPr>
      <w:r>
        <w:rPr>
          <w:rFonts w:hint="eastAsia" w:ascii="宋体" w:hAnsi="宋体" w:eastAsia="宋体" w:cs="宋体"/>
          <w:color w:val="auto"/>
          <w:highlight w:val="none"/>
        </w:rPr>
        <w:t>第一章 投标人须知</w:t>
      </w:r>
    </w:p>
    <w:p w14:paraId="284ABB35">
      <w:pPr>
        <w:pStyle w:val="4"/>
        <w:rPr>
          <w:rFonts w:hint="eastAsia" w:ascii="宋体" w:hAnsi="宋体" w:eastAsia="宋体" w:cs="宋体"/>
          <w:color w:val="auto"/>
          <w:highlight w:val="none"/>
        </w:rPr>
      </w:pPr>
      <w:r>
        <w:rPr>
          <w:rFonts w:hint="eastAsia" w:ascii="宋体" w:hAnsi="宋体" w:eastAsia="宋体" w:cs="宋体"/>
          <w:color w:val="auto"/>
          <w:highlight w:val="none"/>
        </w:rPr>
        <w:t>一 投标人须知表</w:t>
      </w:r>
    </w:p>
    <w:tbl>
      <w:tblPr>
        <w:tblStyle w:val="17"/>
        <w:tblW w:w="8656" w:type="dxa"/>
        <w:jc w:val="center"/>
        <w:tblLayout w:type="fixed"/>
        <w:tblCellMar>
          <w:top w:w="0" w:type="dxa"/>
          <w:left w:w="108" w:type="dxa"/>
          <w:bottom w:w="0" w:type="dxa"/>
          <w:right w:w="108" w:type="dxa"/>
        </w:tblCellMar>
      </w:tblPr>
      <w:tblGrid>
        <w:gridCol w:w="951"/>
        <w:gridCol w:w="1895"/>
        <w:gridCol w:w="5810"/>
      </w:tblGrid>
      <w:tr w14:paraId="24415681">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05792E9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条款号</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6B88A908">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   目</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0C506A2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内     容</w:t>
            </w:r>
          </w:p>
        </w:tc>
      </w:tr>
      <w:tr w14:paraId="1E46BA5B">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5657EB3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53274263">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招标</w:t>
            </w:r>
            <w:r>
              <w:rPr>
                <w:rFonts w:hint="eastAsia" w:ascii="宋体" w:hAnsi="宋体" w:eastAsia="宋体" w:cs="宋体"/>
                <w:color w:val="auto"/>
                <w:kern w:val="0"/>
                <w:szCs w:val="21"/>
                <w:highlight w:val="none"/>
              </w:rPr>
              <w:t>人</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165E8A7B">
            <w:pPr>
              <w:widowControl/>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韶关市武江区国有投资集团有限公司</w:t>
            </w:r>
          </w:p>
        </w:tc>
      </w:tr>
      <w:tr w14:paraId="17162268">
        <w:tblPrEx>
          <w:tblCellMar>
            <w:top w:w="0" w:type="dxa"/>
            <w:left w:w="108" w:type="dxa"/>
            <w:bottom w:w="0" w:type="dxa"/>
            <w:right w:w="108" w:type="dxa"/>
          </w:tblCellMar>
        </w:tblPrEx>
        <w:trPr>
          <w:trHeight w:val="90"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37A1CA7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4E713913">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招标</w:t>
            </w:r>
            <w:r>
              <w:rPr>
                <w:rFonts w:hint="eastAsia" w:ascii="宋体" w:hAnsi="宋体" w:eastAsia="宋体" w:cs="宋体"/>
                <w:color w:val="auto"/>
                <w:kern w:val="0"/>
                <w:szCs w:val="21"/>
                <w:highlight w:val="none"/>
              </w:rPr>
              <w:t>代理机构</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48F4E970">
            <w:pPr>
              <w:widowControl/>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广东合正项目管理有限公司</w:t>
            </w:r>
          </w:p>
        </w:tc>
      </w:tr>
      <w:tr w14:paraId="6439F741">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5F44461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2A3BCCF8">
            <w:pPr>
              <w:tabs>
                <w:tab w:val="left" w:pos="1425"/>
              </w:tabs>
              <w:jc w:val="cente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计量单位</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024801D6">
            <w:pPr>
              <w:rPr>
                <w:rFonts w:hint="eastAsia" w:ascii="宋体" w:hAnsi="宋体" w:eastAsia="宋体" w:cs="宋体"/>
                <w:bCs/>
                <w:color w:val="auto"/>
                <w:kern w:val="0"/>
                <w:szCs w:val="21"/>
                <w:highlight w:val="none"/>
              </w:rPr>
            </w:pPr>
            <w:r>
              <w:rPr>
                <w:rFonts w:hint="eastAsia" w:ascii="宋体" w:hAnsi="宋体" w:eastAsia="宋体" w:cs="宋体"/>
                <w:color w:val="auto"/>
                <w:highlight w:val="none"/>
              </w:rPr>
              <w:t>■</w:t>
            </w:r>
            <w:r>
              <w:rPr>
                <w:rFonts w:hint="eastAsia" w:ascii="宋体" w:hAnsi="宋体" w:eastAsia="宋体" w:cs="宋体"/>
                <w:bCs/>
                <w:color w:val="auto"/>
                <w:kern w:val="0"/>
                <w:szCs w:val="21"/>
                <w:highlight w:val="none"/>
              </w:rPr>
              <w:t>中华人民共和国法定计量单位</w:t>
            </w:r>
          </w:p>
        </w:tc>
      </w:tr>
      <w:tr w14:paraId="7C28A750">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6EEFBBC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6.1</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354739A0">
            <w:pPr>
              <w:shd w:val="clear" w:color="auto" w:fill="FFFFFF"/>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现场考察、开标前答疑会</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43175AA7">
            <w:pPr>
              <w:rPr>
                <w:rFonts w:hint="eastAsia" w:ascii="宋体" w:hAnsi="宋体" w:eastAsia="宋体" w:cs="宋体"/>
                <w:color w:val="auto"/>
                <w:kern w:val="0"/>
                <w:szCs w:val="21"/>
                <w:highlight w:val="none"/>
              </w:rPr>
            </w:pPr>
            <w:r>
              <w:rPr>
                <w:rFonts w:hint="eastAsia" w:ascii="宋体" w:hAnsi="宋体" w:eastAsia="宋体" w:cs="宋体"/>
                <w:color w:val="auto"/>
                <w:highlight w:val="none"/>
              </w:rPr>
              <w:t>■</w:t>
            </w:r>
            <w:r>
              <w:rPr>
                <w:rFonts w:hint="eastAsia" w:ascii="宋体" w:hAnsi="宋体" w:eastAsia="宋体" w:cs="宋体"/>
                <w:color w:val="auto"/>
                <w:kern w:val="0"/>
                <w:szCs w:val="21"/>
                <w:highlight w:val="none"/>
              </w:rPr>
              <w:t>不组织</w:t>
            </w:r>
          </w:p>
        </w:tc>
      </w:tr>
      <w:tr w14:paraId="084EE85E">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7A03C77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ascii="宋体" w:hAnsi="宋体" w:eastAsia="宋体" w:cs="宋体"/>
                <w:color w:val="auto"/>
                <w:kern w:val="0"/>
                <w:szCs w:val="21"/>
                <w:highlight w:val="none"/>
              </w:rPr>
              <w:t>.3</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370B9CC9">
            <w:pPr>
              <w:shd w:val="clear" w:color="auto" w:fill="FFFFFF"/>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招标公告发布媒体</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53E247BA">
            <w:pPr>
              <w:rPr>
                <w:rFonts w:hint="default" w:ascii="宋体" w:hAnsi="宋体" w:eastAsia="宋体" w:cs="宋体"/>
                <w:color w:val="auto"/>
                <w:highlight w:val="none"/>
                <w:lang w:val="en-US" w:eastAsia="zh-CN"/>
              </w:rPr>
            </w:pPr>
            <w:r>
              <w:rPr>
                <w:rFonts w:hint="eastAsia" w:ascii="宋体" w:hAnsi="宋体" w:eastAsia="宋体" w:cs="宋体"/>
                <w:color w:val="auto"/>
                <w:highlight w:val="none"/>
              </w:rPr>
              <w:t>■韶关市公共资源交易一体化平台</w:t>
            </w:r>
            <w:r>
              <w:rPr>
                <w:rFonts w:hint="eastAsia" w:ascii="宋体" w:hAnsi="宋体" w:eastAsia="宋体" w:cs="宋体"/>
                <w:color w:val="auto"/>
                <w:highlight w:val="none"/>
                <w:lang w:val="en-US" w:eastAsia="zh-CN"/>
              </w:rPr>
              <w:t xml:space="preserve">    </w:t>
            </w:r>
          </w:p>
          <w:p w14:paraId="4C3CE79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 xml:space="preserve">■广东省公共资源交易平台（韶关）  </w:t>
            </w:r>
          </w:p>
          <w:p w14:paraId="6906E6E6">
            <w:pPr>
              <w:rPr>
                <w:rFonts w:hint="eastAsia" w:ascii="宋体" w:hAnsi="宋体" w:eastAsia="宋体" w:cs="宋体"/>
                <w:color w:val="auto"/>
                <w:kern w:val="0"/>
                <w:szCs w:val="21"/>
                <w:highlight w:val="none"/>
              </w:rPr>
            </w:pPr>
            <w:r>
              <w:rPr>
                <w:rFonts w:hint="eastAsia" w:ascii="宋体" w:hAnsi="宋体" w:eastAsia="宋体" w:cs="宋体"/>
                <w:color w:val="auto"/>
                <w:kern w:val="2"/>
                <w:sz w:val="21"/>
                <w:szCs w:val="24"/>
                <w:highlight w:val="none"/>
                <w:lang w:val="en-US" w:eastAsia="zh-CN" w:bidi="ar-SA"/>
              </w:rPr>
              <w:t>■招标代理机构官网</w:t>
            </w:r>
          </w:p>
        </w:tc>
      </w:tr>
      <w:tr w14:paraId="69F10A10">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7E38351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10.3</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306EDDD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核心产品</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7C7D0959">
            <w:pPr>
              <w:widowControl/>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无</w:t>
            </w:r>
          </w:p>
        </w:tc>
      </w:tr>
      <w:tr w14:paraId="09E7CD3E">
        <w:tblPrEx>
          <w:tblCellMar>
            <w:top w:w="0" w:type="dxa"/>
            <w:left w:w="108" w:type="dxa"/>
            <w:bottom w:w="0" w:type="dxa"/>
            <w:right w:w="108" w:type="dxa"/>
          </w:tblCellMar>
        </w:tblPrEx>
        <w:trPr>
          <w:trHeight w:val="23" w:hRule="atLeast"/>
          <w:jc w:val="center"/>
        </w:trPr>
        <w:tc>
          <w:tcPr>
            <w:tcW w:w="951" w:type="dxa"/>
            <w:vMerge w:val="restart"/>
            <w:tcBorders>
              <w:top w:val="single" w:color="auto" w:sz="4" w:space="0"/>
              <w:left w:val="single" w:color="auto" w:sz="4" w:space="0"/>
              <w:right w:val="single" w:color="auto" w:sz="4" w:space="0"/>
            </w:tcBorders>
            <w:noWrap w:val="0"/>
            <w:vAlign w:val="center"/>
          </w:tcPr>
          <w:p w14:paraId="7B4EA45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11.3</w:t>
            </w:r>
          </w:p>
        </w:tc>
        <w:tc>
          <w:tcPr>
            <w:tcW w:w="1895" w:type="dxa"/>
            <w:vMerge w:val="restart"/>
            <w:tcBorders>
              <w:top w:val="single" w:color="auto" w:sz="4" w:space="0"/>
              <w:left w:val="single" w:color="auto" w:sz="4" w:space="0"/>
              <w:right w:val="single" w:color="auto" w:sz="4" w:space="0"/>
            </w:tcBorders>
            <w:noWrap w:val="0"/>
            <w:vAlign w:val="center"/>
          </w:tcPr>
          <w:p w14:paraId="2EAB9AFC">
            <w:pPr>
              <w:shd w:val="clear" w:color="auto" w:fill="FFFFFF"/>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样品或演示</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59D2708A">
            <w:pPr>
              <w:rPr>
                <w:rFonts w:hint="eastAsia" w:ascii="宋体" w:hAnsi="宋体" w:eastAsia="宋体" w:cs="宋体"/>
                <w:color w:val="auto"/>
                <w:kern w:val="0"/>
                <w:szCs w:val="21"/>
                <w:highlight w:val="none"/>
              </w:rPr>
            </w:pPr>
            <w:r>
              <w:rPr>
                <w:rFonts w:hint="eastAsia" w:ascii="宋体" w:hAnsi="宋体" w:eastAsia="宋体" w:cs="宋体"/>
                <w:color w:val="auto"/>
                <w:highlight w:val="none"/>
              </w:rPr>
              <w:t>■</w:t>
            </w:r>
            <w:r>
              <w:rPr>
                <w:rFonts w:hint="eastAsia" w:ascii="宋体" w:hAnsi="宋体" w:eastAsia="宋体" w:cs="宋体"/>
                <w:color w:val="auto"/>
                <w:kern w:val="0"/>
                <w:szCs w:val="21"/>
                <w:highlight w:val="none"/>
              </w:rPr>
              <w:t>不需要</w:t>
            </w:r>
            <w:r>
              <w:rPr>
                <w:rFonts w:hint="eastAsia" w:ascii="宋体" w:hAnsi="宋体" w:eastAsia="宋体" w:cs="宋体"/>
                <w:bCs/>
                <w:color w:val="auto"/>
                <w:kern w:val="0"/>
                <w:szCs w:val="21"/>
                <w:highlight w:val="none"/>
              </w:rPr>
              <w:t>提供样品</w:t>
            </w:r>
          </w:p>
        </w:tc>
      </w:tr>
      <w:tr w14:paraId="4F0BCAFD">
        <w:tblPrEx>
          <w:tblCellMar>
            <w:top w:w="0" w:type="dxa"/>
            <w:left w:w="108" w:type="dxa"/>
            <w:bottom w:w="0" w:type="dxa"/>
            <w:right w:w="108" w:type="dxa"/>
          </w:tblCellMar>
        </w:tblPrEx>
        <w:trPr>
          <w:trHeight w:val="23" w:hRule="atLeast"/>
          <w:jc w:val="center"/>
        </w:trPr>
        <w:tc>
          <w:tcPr>
            <w:tcW w:w="951" w:type="dxa"/>
            <w:vMerge w:val="continue"/>
            <w:tcBorders>
              <w:left w:val="single" w:color="auto" w:sz="4" w:space="0"/>
              <w:bottom w:val="single" w:color="auto" w:sz="4" w:space="0"/>
              <w:right w:val="single" w:color="auto" w:sz="4" w:space="0"/>
            </w:tcBorders>
            <w:noWrap w:val="0"/>
            <w:vAlign w:val="center"/>
          </w:tcPr>
          <w:p w14:paraId="295222B4">
            <w:pPr>
              <w:widowControl/>
              <w:jc w:val="center"/>
              <w:rPr>
                <w:rFonts w:hint="eastAsia" w:ascii="宋体" w:hAnsi="宋体" w:eastAsia="宋体" w:cs="宋体"/>
                <w:color w:val="auto"/>
                <w:kern w:val="0"/>
                <w:szCs w:val="21"/>
                <w:highlight w:val="none"/>
              </w:rPr>
            </w:pPr>
          </w:p>
        </w:tc>
        <w:tc>
          <w:tcPr>
            <w:tcW w:w="1895" w:type="dxa"/>
            <w:vMerge w:val="continue"/>
            <w:tcBorders>
              <w:left w:val="single" w:color="auto" w:sz="4" w:space="0"/>
              <w:bottom w:val="single" w:color="auto" w:sz="4" w:space="0"/>
              <w:right w:val="single" w:color="auto" w:sz="4" w:space="0"/>
            </w:tcBorders>
            <w:noWrap w:val="0"/>
            <w:vAlign w:val="center"/>
          </w:tcPr>
          <w:p w14:paraId="5A270307">
            <w:pPr>
              <w:shd w:val="clear" w:color="auto" w:fill="FFFFFF"/>
              <w:jc w:val="center"/>
              <w:rPr>
                <w:rFonts w:hint="eastAsia" w:ascii="宋体" w:hAnsi="宋体" w:eastAsia="宋体" w:cs="宋体"/>
                <w:color w:val="auto"/>
                <w:kern w:val="0"/>
                <w:szCs w:val="21"/>
                <w:highlight w:val="none"/>
              </w:rPr>
            </w:pPr>
          </w:p>
        </w:tc>
        <w:tc>
          <w:tcPr>
            <w:tcW w:w="5810" w:type="dxa"/>
            <w:tcBorders>
              <w:top w:val="single" w:color="auto" w:sz="4" w:space="0"/>
              <w:left w:val="single" w:color="auto" w:sz="4" w:space="0"/>
              <w:bottom w:val="single" w:color="auto" w:sz="4" w:space="0"/>
              <w:right w:val="single" w:color="auto" w:sz="4" w:space="0"/>
            </w:tcBorders>
            <w:noWrap w:val="0"/>
            <w:vAlign w:val="center"/>
          </w:tcPr>
          <w:p w14:paraId="0938E681">
            <w:pP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highlight w:val="none"/>
              </w:rPr>
              <w:t>■</w:t>
            </w:r>
            <w:r>
              <w:rPr>
                <w:rFonts w:hint="eastAsia" w:ascii="宋体" w:hAnsi="宋体" w:eastAsia="宋体" w:cs="宋体"/>
                <w:color w:val="auto"/>
                <w:kern w:val="0"/>
                <w:szCs w:val="21"/>
                <w:highlight w:val="none"/>
              </w:rPr>
              <w:t>不</w:t>
            </w:r>
            <w:r>
              <w:rPr>
                <w:rFonts w:hint="eastAsia" w:ascii="宋体" w:hAnsi="宋体" w:eastAsia="宋体" w:cs="宋体"/>
                <w:bCs/>
                <w:color w:val="auto"/>
                <w:kern w:val="0"/>
                <w:szCs w:val="21"/>
                <w:highlight w:val="none"/>
              </w:rPr>
              <w:t>需要提供演示</w:t>
            </w:r>
          </w:p>
        </w:tc>
      </w:tr>
      <w:tr w14:paraId="2040FF70">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8" w:space="0"/>
              <w:bottom w:val="single" w:color="auto" w:sz="8" w:space="0"/>
              <w:right w:val="single" w:color="auto" w:sz="4" w:space="0"/>
            </w:tcBorders>
            <w:noWrap w:val="0"/>
            <w:vAlign w:val="center"/>
          </w:tcPr>
          <w:p w14:paraId="19BFAF8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13.1</w:t>
            </w:r>
          </w:p>
        </w:tc>
        <w:tc>
          <w:tcPr>
            <w:tcW w:w="1895" w:type="dxa"/>
            <w:tcBorders>
              <w:top w:val="single" w:color="auto" w:sz="4" w:space="0"/>
              <w:left w:val="single" w:color="auto" w:sz="4" w:space="0"/>
              <w:bottom w:val="single" w:color="auto" w:sz="8" w:space="0"/>
              <w:right w:val="single" w:color="auto" w:sz="8" w:space="0"/>
            </w:tcBorders>
            <w:noWrap w:val="0"/>
            <w:vAlign w:val="center"/>
          </w:tcPr>
          <w:p w14:paraId="209B509A">
            <w:pPr>
              <w:jc w:val="cente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投标保证金</w:t>
            </w:r>
          </w:p>
        </w:tc>
        <w:tc>
          <w:tcPr>
            <w:tcW w:w="5810" w:type="dxa"/>
            <w:tcBorders>
              <w:top w:val="single" w:color="auto" w:sz="4" w:space="0"/>
              <w:left w:val="nil"/>
              <w:bottom w:val="single" w:color="auto" w:sz="8" w:space="0"/>
              <w:right w:val="single" w:color="auto" w:sz="8" w:space="0"/>
            </w:tcBorders>
            <w:noWrap w:val="0"/>
            <w:vAlign w:val="center"/>
          </w:tcPr>
          <w:p w14:paraId="771BF060">
            <w:pP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val="en-US" w:eastAsia="zh-CN"/>
              </w:rPr>
              <w:t>1.</w:t>
            </w:r>
            <w:r>
              <w:rPr>
                <w:rFonts w:hint="eastAsia" w:ascii="宋体" w:hAnsi="宋体" w:eastAsia="宋体" w:cs="宋体"/>
                <w:bCs/>
                <w:color w:val="auto"/>
                <w:kern w:val="0"/>
                <w:szCs w:val="21"/>
                <w:highlight w:val="none"/>
              </w:rPr>
              <w:t xml:space="preserve">投标保证金金额： </w:t>
            </w:r>
            <w:r>
              <w:rPr>
                <w:rFonts w:hint="eastAsia" w:ascii="宋体" w:hAnsi="宋体" w:eastAsia="宋体" w:cs="宋体"/>
                <w:bCs/>
                <w:color w:val="auto"/>
                <w:kern w:val="0"/>
                <w:szCs w:val="21"/>
                <w:highlight w:val="none"/>
                <w:lang w:val="en-US" w:eastAsia="zh-CN"/>
              </w:rPr>
              <w:t>¥100,000.00元</w:t>
            </w:r>
            <w:r>
              <w:rPr>
                <w:rFonts w:hint="eastAsia" w:ascii="宋体" w:hAnsi="宋体" w:eastAsia="宋体" w:cs="宋体"/>
                <w:bCs/>
                <w:color w:val="auto"/>
                <w:kern w:val="0"/>
                <w:szCs w:val="21"/>
                <w:highlight w:val="none"/>
              </w:rPr>
              <w:t xml:space="preserve">  </w:t>
            </w:r>
          </w:p>
          <w:p w14:paraId="0EE7BBB9">
            <w:pPr>
              <w:rPr>
                <w:rFonts w:hint="default" w:ascii="宋体" w:hAnsi="宋体" w:eastAsia="宋体" w:cs="宋体"/>
                <w:bCs/>
                <w:kern w:val="0"/>
                <w:szCs w:val="21"/>
                <w:highlight w:val="none"/>
                <w:lang w:val="en-US" w:eastAsia="zh-CN"/>
              </w:rPr>
            </w:pPr>
            <w:r>
              <w:rPr>
                <w:rFonts w:hint="eastAsia" w:ascii="宋体" w:hAnsi="宋体" w:eastAsia="宋体" w:cs="宋体"/>
                <w:bCs/>
                <w:kern w:val="0"/>
                <w:szCs w:val="21"/>
                <w:highlight w:val="none"/>
                <w:lang w:val="en-US" w:eastAsia="zh-CN"/>
              </w:rPr>
              <w:t>2.</w:t>
            </w:r>
            <w:r>
              <w:rPr>
                <w:rFonts w:hint="eastAsia" w:ascii="宋体" w:hAnsi="宋体" w:eastAsia="宋体" w:cs="宋体"/>
                <w:bCs/>
                <w:kern w:val="0"/>
                <w:szCs w:val="21"/>
                <w:highlight w:val="none"/>
              </w:rPr>
              <w:t>采用投标保证金的，</w:t>
            </w:r>
            <w:r>
              <w:rPr>
                <w:rFonts w:hint="eastAsia" w:ascii="宋体" w:hAnsi="宋体" w:eastAsia="宋体" w:cs="宋体"/>
                <w:bCs/>
                <w:kern w:val="0"/>
                <w:szCs w:val="21"/>
                <w:highlight w:val="none"/>
                <w:lang w:val="en-US" w:eastAsia="zh-CN"/>
              </w:rPr>
              <w:t>详见招标公告 “六、其他补充事宜”。</w:t>
            </w:r>
          </w:p>
          <w:p w14:paraId="2D7DD232">
            <w:pPr>
              <w:rPr>
                <w:rFonts w:hint="eastAsia" w:ascii="宋体" w:hAnsi="宋体" w:eastAsia="宋体" w:cs="宋体"/>
                <w:bCs/>
                <w:kern w:val="0"/>
                <w:szCs w:val="21"/>
                <w:highlight w:val="none"/>
              </w:rPr>
            </w:pPr>
            <w:r>
              <w:rPr>
                <w:rFonts w:hint="eastAsia" w:ascii="宋体" w:hAnsi="宋体" w:eastAsia="宋体" w:cs="宋体"/>
                <w:bCs/>
                <w:kern w:val="0"/>
                <w:szCs w:val="21"/>
                <w:highlight w:val="none"/>
                <w:lang w:val="en-US" w:eastAsia="zh-CN"/>
              </w:rPr>
              <w:t>3.</w:t>
            </w:r>
            <w:r>
              <w:rPr>
                <w:rFonts w:hint="eastAsia" w:ascii="宋体" w:hAnsi="宋体" w:eastAsia="宋体" w:cs="宋体"/>
                <w:bCs/>
                <w:kern w:val="0"/>
                <w:szCs w:val="21"/>
                <w:highlight w:val="none"/>
              </w:rPr>
              <w:t>采用投标</w:t>
            </w:r>
            <w:r>
              <w:rPr>
                <w:rFonts w:hint="eastAsia" w:ascii="宋体" w:hAnsi="宋体" w:eastAsia="宋体" w:cs="宋体"/>
                <w:bCs/>
                <w:kern w:val="0"/>
                <w:szCs w:val="21"/>
                <w:highlight w:val="none"/>
                <w:lang w:eastAsia="zh-CN"/>
              </w:rPr>
              <w:t>保函</w:t>
            </w:r>
            <w:r>
              <w:rPr>
                <w:rFonts w:hint="eastAsia" w:ascii="宋体" w:hAnsi="宋体" w:eastAsia="宋体" w:cs="宋体"/>
                <w:bCs/>
                <w:kern w:val="0"/>
                <w:szCs w:val="21"/>
                <w:highlight w:val="none"/>
              </w:rPr>
              <w:t>的，投标人应提交有效的保函，保函的有效期不得短于投标有效期。投标人必须</w:t>
            </w:r>
            <w:r>
              <w:rPr>
                <w:rFonts w:hint="eastAsia" w:ascii="宋体" w:hAnsi="宋体" w:eastAsia="宋体" w:cs="宋体"/>
                <w:bCs/>
                <w:kern w:val="0"/>
                <w:szCs w:val="21"/>
                <w:highlight w:val="none"/>
                <w:lang w:eastAsia="zh-CN"/>
              </w:rPr>
              <w:t>将</w:t>
            </w:r>
            <w:r>
              <w:rPr>
                <w:rFonts w:hint="eastAsia" w:ascii="宋体" w:hAnsi="宋体" w:eastAsia="宋体" w:cs="宋体"/>
                <w:bCs/>
                <w:kern w:val="0"/>
                <w:szCs w:val="21"/>
                <w:highlight w:val="none"/>
              </w:rPr>
              <w:t>投标保</w:t>
            </w:r>
            <w:r>
              <w:rPr>
                <w:rFonts w:hint="eastAsia" w:ascii="宋体" w:hAnsi="宋体" w:eastAsia="宋体" w:cs="宋体"/>
                <w:bCs/>
                <w:kern w:val="0"/>
                <w:szCs w:val="21"/>
                <w:highlight w:val="none"/>
                <w:lang w:eastAsia="zh-CN"/>
              </w:rPr>
              <w:t>函</w:t>
            </w:r>
            <w:r>
              <w:rPr>
                <w:rFonts w:hint="eastAsia" w:ascii="宋体" w:hAnsi="宋体" w:eastAsia="宋体" w:cs="宋体"/>
                <w:bCs/>
                <w:kern w:val="0"/>
                <w:szCs w:val="21"/>
                <w:highlight w:val="none"/>
              </w:rPr>
              <w:t>上传截止时间（见</w:t>
            </w:r>
            <w:r>
              <w:rPr>
                <w:rFonts w:hint="eastAsia" w:ascii="宋体" w:hAnsi="宋体" w:eastAsia="宋体" w:cs="宋体"/>
                <w:bCs/>
                <w:kern w:val="0"/>
                <w:szCs w:val="21"/>
                <w:highlight w:val="none"/>
                <w:lang w:eastAsia="zh-CN"/>
              </w:rPr>
              <w:t>招标</w:t>
            </w:r>
            <w:r>
              <w:rPr>
                <w:rFonts w:hint="eastAsia" w:ascii="宋体" w:hAnsi="宋体" w:eastAsia="宋体" w:cs="宋体"/>
                <w:bCs/>
                <w:kern w:val="0"/>
                <w:szCs w:val="21"/>
                <w:highlight w:val="none"/>
              </w:rPr>
              <w:t>公告“四、提交投标文件截止时间、开标时间和地点”）前，按照</w:t>
            </w:r>
            <w:r>
              <w:rPr>
                <w:rFonts w:hint="eastAsia" w:ascii="宋体" w:hAnsi="宋体" w:eastAsia="宋体" w:cs="宋体"/>
                <w:bCs/>
                <w:kern w:val="0"/>
                <w:szCs w:val="21"/>
                <w:highlight w:val="none"/>
                <w:lang w:eastAsia="zh-CN"/>
              </w:rPr>
              <w:t>产权</w:t>
            </w:r>
            <w:r>
              <w:rPr>
                <w:rFonts w:hint="eastAsia" w:ascii="宋体" w:hAnsi="宋体" w:eastAsia="宋体" w:cs="宋体"/>
                <w:bCs/>
                <w:kern w:val="0"/>
                <w:szCs w:val="21"/>
                <w:highlight w:val="none"/>
              </w:rPr>
              <w:t>交易系统的要求制作和上传保函电子文件。保函原件连同投标文件一并现场递交。逾期上传的、未递交原件的，其投标无效。</w:t>
            </w:r>
          </w:p>
          <w:p w14:paraId="7099A6A5">
            <w:pPr>
              <w:rPr>
                <w:rFonts w:hint="eastAsia" w:ascii="宋体" w:hAnsi="宋体" w:eastAsia="宋体" w:cs="宋体"/>
                <w:bCs/>
                <w:color w:val="auto"/>
                <w:kern w:val="0"/>
                <w:szCs w:val="21"/>
                <w:highlight w:val="none"/>
              </w:rPr>
            </w:pPr>
            <w:r>
              <w:rPr>
                <w:rFonts w:hint="eastAsia" w:ascii="宋体" w:hAnsi="宋体" w:eastAsia="宋体" w:cs="宋体"/>
                <w:b/>
                <w:bCs w:val="0"/>
                <w:kern w:val="0"/>
                <w:szCs w:val="21"/>
                <w:highlight w:val="none"/>
              </w:rPr>
              <w:t>温馨提醒：1.投标人采用投标保</w:t>
            </w:r>
            <w:r>
              <w:rPr>
                <w:rFonts w:hint="eastAsia" w:ascii="宋体" w:hAnsi="宋体" w:eastAsia="宋体" w:cs="宋体"/>
                <w:b/>
                <w:bCs w:val="0"/>
                <w:kern w:val="0"/>
                <w:szCs w:val="21"/>
                <w:highlight w:val="none"/>
                <w:lang w:eastAsia="zh-CN"/>
              </w:rPr>
              <w:t>函</w:t>
            </w:r>
            <w:r>
              <w:rPr>
                <w:rFonts w:hint="eastAsia" w:ascii="宋体" w:hAnsi="宋体" w:eastAsia="宋体" w:cs="宋体"/>
                <w:b/>
                <w:bCs w:val="0"/>
                <w:kern w:val="0"/>
                <w:szCs w:val="21"/>
                <w:highlight w:val="none"/>
              </w:rPr>
              <w:t>的，为避免在评标过程中因有效期发生争议，建议投标人将保函有效期设置为较招标文件规定的投标有效期延长不少于20个日历天。</w:t>
            </w:r>
          </w:p>
        </w:tc>
      </w:tr>
      <w:tr w14:paraId="1E89D204">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8" w:space="0"/>
              <w:bottom w:val="single" w:color="auto" w:sz="8" w:space="0"/>
              <w:right w:val="single" w:color="auto" w:sz="4" w:space="0"/>
            </w:tcBorders>
            <w:noWrap w:val="0"/>
            <w:vAlign w:val="center"/>
          </w:tcPr>
          <w:p w14:paraId="69399F9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15.1</w:t>
            </w:r>
          </w:p>
        </w:tc>
        <w:tc>
          <w:tcPr>
            <w:tcW w:w="1895" w:type="dxa"/>
            <w:tcBorders>
              <w:top w:val="single" w:color="auto" w:sz="4" w:space="0"/>
              <w:left w:val="single" w:color="auto" w:sz="4" w:space="0"/>
              <w:bottom w:val="single" w:color="auto" w:sz="8" w:space="0"/>
              <w:right w:val="single" w:color="auto" w:sz="8" w:space="0"/>
            </w:tcBorders>
            <w:noWrap w:val="0"/>
            <w:vAlign w:val="center"/>
          </w:tcPr>
          <w:p w14:paraId="23E1A7E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5810" w:type="dxa"/>
            <w:tcBorders>
              <w:top w:val="single" w:color="auto" w:sz="4" w:space="0"/>
              <w:left w:val="nil"/>
              <w:bottom w:val="single" w:color="auto" w:sz="8" w:space="0"/>
              <w:right w:val="single" w:color="auto" w:sz="8" w:space="0"/>
            </w:tcBorders>
            <w:noWrap w:val="0"/>
            <w:vAlign w:val="center"/>
          </w:tcPr>
          <w:p w14:paraId="44D9CEBF">
            <w:pPr>
              <w:pStyle w:val="2"/>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u w:val="single"/>
              </w:rPr>
              <w:t xml:space="preserve">  90  </w:t>
            </w:r>
            <w:r>
              <w:rPr>
                <w:rFonts w:hint="eastAsia" w:ascii="宋体" w:hAnsi="宋体" w:eastAsia="宋体" w:cs="宋体"/>
                <w:color w:val="auto"/>
                <w:kern w:val="0"/>
                <w:szCs w:val="21"/>
                <w:highlight w:val="none"/>
                <w:lang w:eastAsia="zh-CN"/>
              </w:rPr>
              <w:t>日</w:t>
            </w:r>
          </w:p>
        </w:tc>
      </w:tr>
      <w:tr w14:paraId="7A188CD3">
        <w:tblPrEx>
          <w:tblCellMar>
            <w:top w:w="0" w:type="dxa"/>
            <w:left w:w="108" w:type="dxa"/>
            <w:bottom w:w="0" w:type="dxa"/>
            <w:right w:w="108" w:type="dxa"/>
          </w:tblCellMar>
        </w:tblPrEx>
        <w:trPr>
          <w:trHeight w:val="23" w:hRule="atLeast"/>
          <w:jc w:val="center"/>
        </w:trPr>
        <w:tc>
          <w:tcPr>
            <w:tcW w:w="951" w:type="dxa"/>
            <w:vMerge w:val="restart"/>
            <w:tcBorders>
              <w:top w:val="nil"/>
              <w:left w:val="single" w:color="auto" w:sz="8" w:space="0"/>
              <w:right w:val="single" w:color="auto" w:sz="4" w:space="0"/>
            </w:tcBorders>
            <w:noWrap w:val="0"/>
            <w:vAlign w:val="center"/>
          </w:tcPr>
          <w:p w14:paraId="55A99E0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w:t>
            </w:r>
          </w:p>
        </w:tc>
        <w:tc>
          <w:tcPr>
            <w:tcW w:w="1895" w:type="dxa"/>
            <w:tcBorders>
              <w:top w:val="nil"/>
              <w:left w:val="single" w:color="auto" w:sz="4" w:space="0"/>
              <w:bottom w:val="single" w:color="auto" w:sz="4" w:space="0"/>
              <w:right w:val="single" w:color="auto" w:sz="8" w:space="0"/>
            </w:tcBorders>
            <w:noWrap w:val="0"/>
            <w:vAlign w:val="center"/>
          </w:tcPr>
          <w:p w14:paraId="60B5A76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val="en-US" w:eastAsia="zh-CN"/>
              </w:rPr>
              <w:t>纸质文档</w:t>
            </w:r>
            <w:r>
              <w:rPr>
                <w:rFonts w:hint="eastAsia" w:ascii="宋体" w:hAnsi="宋体" w:eastAsia="宋体" w:cs="宋体"/>
                <w:color w:val="auto"/>
                <w:szCs w:val="21"/>
                <w:highlight w:val="none"/>
              </w:rPr>
              <w:t>份数</w:t>
            </w:r>
          </w:p>
        </w:tc>
        <w:tc>
          <w:tcPr>
            <w:tcW w:w="5810" w:type="dxa"/>
            <w:tcBorders>
              <w:top w:val="nil"/>
              <w:left w:val="nil"/>
              <w:bottom w:val="single" w:color="auto" w:sz="4" w:space="0"/>
              <w:right w:val="single" w:color="auto" w:sz="8" w:space="0"/>
            </w:tcBorders>
            <w:noWrap w:val="0"/>
            <w:vAlign w:val="center"/>
          </w:tcPr>
          <w:p w14:paraId="14AC9E45">
            <w:pPr>
              <w:widowControl/>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lang w:val="en-US" w:eastAsia="zh-CN"/>
              </w:rPr>
              <w:t>现场须递交</w:t>
            </w:r>
            <w:r>
              <w:rPr>
                <w:rFonts w:hint="eastAsia" w:ascii="宋体" w:hAnsi="宋体" w:eastAsia="宋体" w:cs="宋体"/>
                <w:b/>
                <w:bCs/>
                <w:color w:val="auto"/>
                <w:szCs w:val="21"/>
                <w:highlight w:val="none"/>
              </w:rPr>
              <w:t>投标文件正本</w:t>
            </w:r>
            <w:r>
              <w:rPr>
                <w:rFonts w:hint="eastAsia" w:ascii="宋体" w:hAnsi="宋体" w:eastAsia="宋体" w:cs="宋体"/>
                <w:b/>
                <w:bCs/>
                <w:color w:val="auto"/>
                <w:szCs w:val="21"/>
                <w:highlight w:val="none"/>
                <w:u w:val="single"/>
              </w:rPr>
              <w:t xml:space="preserve">  1  </w:t>
            </w:r>
            <w:r>
              <w:rPr>
                <w:rFonts w:hint="eastAsia" w:ascii="宋体" w:hAnsi="宋体" w:eastAsia="宋体" w:cs="宋体"/>
                <w:b/>
                <w:bCs/>
                <w:color w:val="auto"/>
                <w:szCs w:val="21"/>
                <w:highlight w:val="none"/>
              </w:rPr>
              <w:t>份,副本</w:t>
            </w:r>
            <w:r>
              <w:rPr>
                <w:rFonts w:hint="eastAsia" w:ascii="宋体" w:hAnsi="宋体" w:eastAsia="宋体" w:cs="宋体"/>
                <w:b/>
                <w:bCs/>
                <w:color w:val="auto"/>
                <w:szCs w:val="21"/>
                <w:highlight w:val="none"/>
                <w:u w:val="single"/>
              </w:rPr>
              <w:t xml:space="preserve">  </w:t>
            </w:r>
            <w:r>
              <w:rPr>
                <w:rFonts w:hint="eastAsia" w:ascii="宋体" w:hAnsi="宋体" w:eastAsia="宋体" w:cs="宋体"/>
                <w:b/>
                <w:bCs/>
                <w:color w:val="auto"/>
                <w:szCs w:val="21"/>
                <w:highlight w:val="none"/>
                <w:u w:val="single"/>
                <w:lang w:val="en-US" w:eastAsia="zh-CN"/>
              </w:rPr>
              <w:t>4</w:t>
            </w:r>
            <w:r>
              <w:rPr>
                <w:rFonts w:hint="eastAsia" w:ascii="宋体" w:hAnsi="宋体" w:eastAsia="宋体" w:cs="宋体"/>
                <w:b/>
                <w:bCs/>
                <w:color w:val="auto"/>
                <w:szCs w:val="21"/>
                <w:highlight w:val="none"/>
                <w:u w:val="single"/>
              </w:rPr>
              <w:t xml:space="preserve">  </w:t>
            </w:r>
            <w:r>
              <w:rPr>
                <w:rFonts w:hint="eastAsia" w:ascii="宋体" w:hAnsi="宋体" w:eastAsia="宋体" w:cs="宋体"/>
                <w:b/>
                <w:bCs/>
                <w:color w:val="auto"/>
                <w:szCs w:val="21"/>
                <w:highlight w:val="none"/>
              </w:rPr>
              <w:t>份</w:t>
            </w:r>
            <w:r>
              <w:rPr>
                <w:rFonts w:hint="eastAsia" w:ascii="宋体" w:hAnsi="宋体" w:eastAsia="宋体" w:cs="宋体"/>
                <w:b/>
                <w:bCs/>
                <w:color w:val="auto"/>
                <w:szCs w:val="21"/>
                <w:highlight w:val="none"/>
                <w:lang w:eastAsia="zh-CN"/>
              </w:rPr>
              <w:t>，</w:t>
            </w:r>
          </w:p>
        </w:tc>
      </w:tr>
      <w:tr w14:paraId="55C83087">
        <w:tblPrEx>
          <w:tblCellMar>
            <w:top w:w="0" w:type="dxa"/>
            <w:left w:w="108" w:type="dxa"/>
            <w:bottom w:w="0" w:type="dxa"/>
            <w:right w:w="108" w:type="dxa"/>
          </w:tblCellMar>
        </w:tblPrEx>
        <w:trPr>
          <w:trHeight w:val="23" w:hRule="atLeast"/>
          <w:jc w:val="center"/>
        </w:trPr>
        <w:tc>
          <w:tcPr>
            <w:tcW w:w="951" w:type="dxa"/>
            <w:vMerge w:val="continue"/>
            <w:tcBorders>
              <w:left w:val="single" w:color="auto" w:sz="8" w:space="0"/>
              <w:right w:val="single" w:color="auto" w:sz="4" w:space="0"/>
            </w:tcBorders>
            <w:noWrap w:val="0"/>
            <w:vAlign w:val="center"/>
          </w:tcPr>
          <w:p w14:paraId="7CF4BD48">
            <w:pPr>
              <w:widowControl/>
              <w:jc w:val="center"/>
              <w:rPr>
                <w:rFonts w:hint="eastAsia" w:ascii="宋体" w:hAnsi="宋体" w:eastAsia="宋体" w:cs="宋体"/>
                <w:color w:val="auto"/>
                <w:kern w:val="0"/>
                <w:szCs w:val="21"/>
                <w:highlight w:val="none"/>
              </w:rPr>
            </w:pPr>
          </w:p>
        </w:tc>
        <w:tc>
          <w:tcPr>
            <w:tcW w:w="1895" w:type="dxa"/>
            <w:vMerge w:val="restart"/>
            <w:tcBorders>
              <w:top w:val="nil"/>
              <w:left w:val="single" w:color="auto" w:sz="4" w:space="0"/>
              <w:right w:val="single" w:color="auto" w:sz="8" w:space="0"/>
            </w:tcBorders>
            <w:noWrap w:val="0"/>
            <w:vAlign w:val="center"/>
          </w:tcPr>
          <w:p w14:paraId="0A6976ED">
            <w:pPr>
              <w:widowControl/>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投标文件电子文档份数</w:t>
            </w:r>
          </w:p>
        </w:tc>
        <w:tc>
          <w:tcPr>
            <w:tcW w:w="5810" w:type="dxa"/>
            <w:tcBorders>
              <w:top w:val="nil"/>
              <w:left w:val="nil"/>
              <w:bottom w:val="single" w:color="auto" w:sz="4" w:space="0"/>
              <w:right w:val="single" w:color="auto" w:sz="8" w:space="0"/>
            </w:tcBorders>
            <w:noWrap w:val="0"/>
            <w:vAlign w:val="center"/>
          </w:tcPr>
          <w:p w14:paraId="265D3B1F">
            <w:pPr>
              <w:widowControl/>
              <w:rPr>
                <w:rFonts w:hint="eastAsia" w:ascii="宋体" w:hAnsi="宋体" w:eastAsia="宋体" w:cs="宋体"/>
                <w:b/>
                <w:bCs/>
                <w:color w:val="auto"/>
                <w:highlight w:val="none"/>
              </w:rPr>
            </w:pP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lang w:val="en-US" w:eastAsia="zh-CN"/>
              </w:rPr>
              <w:t>需要提供：</w:t>
            </w:r>
            <w:r>
              <w:rPr>
                <w:rFonts w:hint="eastAsia" w:ascii="宋体" w:hAnsi="宋体" w:eastAsia="宋体" w:cs="宋体"/>
                <w:b/>
                <w:bCs/>
                <w:color w:val="auto"/>
                <w:szCs w:val="21"/>
                <w:highlight w:val="none"/>
                <w:u w:val="single"/>
                <w:lang w:val="en-US" w:eastAsia="zh-CN"/>
              </w:rPr>
              <w:t xml:space="preserve">  1  </w:t>
            </w:r>
            <w:r>
              <w:rPr>
                <w:rFonts w:hint="eastAsia" w:ascii="宋体" w:hAnsi="宋体" w:eastAsia="宋体" w:cs="宋体"/>
                <w:b/>
                <w:bCs/>
                <w:color w:val="auto"/>
                <w:szCs w:val="21"/>
                <w:highlight w:val="none"/>
                <w:lang w:val="en-US" w:eastAsia="zh-CN"/>
              </w:rPr>
              <w:t>份，</w:t>
            </w:r>
            <w:r>
              <w:rPr>
                <w:rFonts w:hint="eastAsia" w:ascii="宋体" w:hAnsi="宋体" w:eastAsia="宋体" w:cs="宋体"/>
                <w:b/>
                <w:bCs/>
                <w:color w:val="auto"/>
                <w:kern w:val="0"/>
                <w:szCs w:val="21"/>
                <w:highlight w:val="none"/>
                <w:lang w:val="en-US" w:eastAsia="zh-CN"/>
              </w:rPr>
              <w:t>电子文档必须是正本签署盖章后扫描后制作的PDF电子文档格式和WORD版，以U盘或光盘为载体随投标文件正副本一起提交</w:t>
            </w:r>
            <w:r>
              <w:rPr>
                <w:rFonts w:hint="eastAsia" w:ascii="宋体" w:hAnsi="宋体" w:eastAsia="宋体" w:cs="宋体"/>
                <w:b/>
                <w:bCs/>
                <w:color w:val="auto"/>
                <w:kern w:val="0"/>
                <w:szCs w:val="21"/>
                <w:highlight w:val="none"/>
                <w:lang w:eastAsia="zh-CN"/>
              </w:rPr>
              <w:t>。</w:t>
            </w:r>
          </w:p>
        </w:tc>
      </w:tr>
      <w:tr w14:paraId="7A8100D6">
        <w:tblPrEx>
          <w:tblCellMar>
            <w:top w:w="0" w:type="dxa"/>
            <w:left w:w="108" w:type="dxa"/>
            <w:bottom w:w="0" w:type="dxa"/>
            <w:right w:w="108" w:type="dxa"/>
          </w:tblCellMar>
        </w:tblPrEx>
        <w:trPr>
          <w:trHeight w:val="23" w:hRule="atLeast"/>
          <w:jc w:val="center"/>
        </w:trPr>
        <w:tc>
          <w:tcPr>
            <w:tcW w:w="951" w:type="dxa"/>
            <w:vMerge w:val="continue"/>
            <w:tcBorders>
              <w:left w:val="single" w:color="auto" w:sz="8" w:space="0"/>
              <w:bottom w:val="single" w:color="auto" w:sz="4" w:space="0"/>
              <w:right w:val="single" w:color="auto" w:sz="4" w:space="0"/>
            </w:tcBorders>
            <w:noWrap w:val="0"/>
            <w:vAlign w:val="center"/>
          </w:tcPr>
          <w:p w14:paraId="08872877">
            <w:pPr>
              <w:widowControl/>
              <w:jc w:val="center"/>
              <w:rPr>
                <w:rFonts w:hint="eastAsia" w:ascii="宋体" w:hAnsi="宋体" w:eastAsia="宋体" w:cs="宋体"/>
                <w:color w:val="auto"/>
                <w:kern w:val="0"/>
                <w:szCs w:val="21"/>
                <w:highlight w:val="none"/>
              </w:rPr>
            </w:pPr>
          </w:p>
        </w:tc>
        <w:tc>
          <w:tcPr>
            <w:tcW w:w="1895" w:type="dxa"/>
            <w:vMerge w:val="continue"/>
            <w:tcBorders>
              <w:left w:val="single" w:color="auto" w:sz="4" w:space="0"/>
              <w:bottom w:val="single" w:color="auto" w:sz="4" w:space="0"/>
              <w:right w:val="single" w:color="auto" w:sz="8" w:space="0"/>
            </w:tcBorders>
            <w:noWrap w:val="0"/>
            <w:vAlign w:val="center"/>
          </w:tcPr>
          <w:p w14:paraId="06588BAC">
            <w:pPr>
              <w:widowControl/>
              <w:jc w:val="center"/>
              <w:rPr>
                <w:rFonts w:hint="eastAsia" w:ascii="宋体" w:hAnsi="宋体" w:eastAsia="宋体" w:cs="宋体"/>
                <w:color w:val="auto"/>
                <w:szCs w:val="21"/>
                <w:highlight w:val="none"/>
                <w:lang w:val="en-US" w:eastAsia="zh-CN"/>
              </w:rPr>
            </w:pPr>
          </w:p>
        </w:tc>
        <w:tc>
          <w:tcPr>
            <w:tcW w:w="5810" w:type="dxa"/>
            <w:tcBorders>
              <w:top w:val="nil"/>
              <w:left w:val="nil"/>
              <w:bottom w:val="single" w:color="auto" w:sz="4" w:space="0"/>
              <w:right w:val="single" w:color="auto" w:sz="8" w:space="0"/>
            </w:tcBorders>
            <w:noWrap w:val="0"/>
            <w:vAlign w:val="center"/>
          </w:tcPr>
          <w:p w14:paraId="7E75C411">
            <w:pPr>
              <w:widowControl/>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口不需要</w:t>
            </w:r>
          </w:p>
        </w:tc>
      </w:tr>
      <w:tr w14:paraId="1A924FC6">
        <w:tblPrEx>
          <w:tblCellMar>
            <w:top w:w="0" w:type="dxa"/>
            <w:left w:w="108" w:type="dxa"/>
            <w:bottom w:w="0" w:type="dxa"/>
            <w:right w:w="108" w:type="dxa"/>
          </w:tblCellMar>
        </w:tblPrEx>
        <w:trPr>
          <w:trHeight w:val="23" w:hRule="atLeast"/>
          <w:jc w:val="center"/>
        </w:trPr>
        <w:tc>
          <w:tcPr>
            <w:tcW w:w="951" w:type="dxa"/>
            <w:tcBorders>
              <w:top w:val="nil"/>
              <w:left w:val="single" w:color="auto" w:sz="8" w:space="0"/>
              <w:bottom w:val="single" w:color="auto" w:sz="4" w:space="0"/>
              <w:right w:val="single" w:color="auto" w:sz="4" w:space="0"/>
            </w:tcBorders>
            <w:noWrap w:val="0"/>
            <w:vAlign w:val="center"/>
          </w:tcPr>
          <w:p w14:paraId="07843627">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w:t>
            </w:r>
          </w:p>
        </w:tc>
        <w:tc>
          <w:tcPr>
            <w:tcW w:w="1895" w:type="dxa"/>
            <w:tcBorders>
              <w:top w:val="nil"/>
              <w:left w:val="single" w:color="auto" w:sz="4" w:space="0"/>
              <w:bottom w:val="single" w:color="auto" w:sz="4" w:space="0"/>
              <w:right w:val="single" w:color="auto" w:sz="8" w:space="0"/>
            </w:tcBorders>
            <w:noWrap w:val="0"/>
            <w:vAlign w:val="center"/>
          </w:tcPr>
          <w:p w14:paraId="0F65920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评标委员会组成</w:t>
            </w:r>
          </w:p>
        </w:tc>
        <w:tc>
          <w:tcPr>
            <w:tcW w:w="5810" w:type="dxa"/>
            <w:tcBorders>
              <w:top w:val="nil"/>
              <w:left w:val="nil"/>
              <w:bottom w:val="single" w:color="auto" w:sz="4" w:space="0"/>
              <w:right w:val="single" w:color="auto" w:sz="8" w:space="0"/>
            </w:tcBorders>
            <w:noWrap w:val="0"/>
            <w:vAlign w:val="center"/>
          </w:tcPr>
          <w:p w14:paraId="5BD0C7C8">
            <w:pPr>
              <w:widowControl/>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评标委员会由</w:t>
            </w: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名单数组成。</w:t>
            </w:r>
          </w:p>
        </w:tc>
      </w:tr>
      <w:tr w14:paraId="7A98FDF2">
        <w:tblPrEx>
          <w:tblCellMar>
            <w:top w:w="0" w:type="dxa"/>
            <w:left w:w="108" w:type="dxa"/>
            <w:bottom w:w="0" w:type="dxa"/>
            <w:right w:w="108" w:type="dxa"/>
          </w:tblCellMar>
        </w:tblPrEx>
        <w:trPr>
          <w:trHeight w:val="23" w:hRule="atLeast"/>
          <w:jc w:val="center"/>
        </w:trPr>
        <w:tc>
          <w:tcPr>
            <w:tcW w:w="951" w:type="dxa"/>
            <w:vMerge w:val="restart"/>
            <w:tcBorders>
              <w:top w:val="single" w:color="auto" w:sz="4" w:space="0"/>
              <w:left w:val="single" w:color="auto" w:sz="4" w:space="0"/>
              <w:bottom w:val="single" w:color="auto" w:sz="4" w:space="0"/>
              <w:right w:val="single" w:color="auto" w:sz="4" w:space="0"/>
            </w:tcBorders>
            <w:noWrap w:val="0"/>
            <w:vAlign w:val="center"/>
          </w:tcPr>
          <w:p w14:paraId="5D1E927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2D4E742E">
            <w:pPr>
              <w:shd w:val="clear" w:color="auto" w:fill="FFFFFF"/>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样品的评审方法以及评审标准</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7F7C86A1">
            <w:pPr>
              <w:shd w:val="clear" w:color="auto" w:fill="FFFFFF"/>
              <w:jc w:val="both"/>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样品的评审方法以及评审标准</w:t>
            </w:r>
            <w:r>
              <w:rPr>
                <w:rFonts w:hint="eastAsia" w:ascii="宋体" w:hAnsi="宋体" w:eastAsia="宋体" w:cs="宋体"/>
                <w:bCs/>
                <w:color w:val="auto"/>
                <w:kern w:val="0"/>
                <w:szCs w:val="21"/>
                <w:highlight w:val="none"/>
                <w:lang w:eastAsia="zh-CN"/>
              </w:rPr>
              <w:t>：</w:t>
            </w:r>
            <w:r>
              <w:rPr>
                <w:rFonts w:hint="eastAsia" w:ascii="宋体" w:hAnsi="宋体" w:eastAsia="宋体" w:cs="宋体"/>
                <w:bCs/>
                <w:color w:val="auto"/>
                <w:kern w:val="0"/>
                <w:szCs w:val="21"/>
                <w:highlight w:val="none"/>
                <w:lang w:val="en-US" w:eastAsia="zh-CN"/>
              </w:rPr>
              <w:t>详见《采购需求》或《评标标准》</w:t>
            </w:r>
          </w:p>
        </w:tc>
      </w:tr>
      <w:tr w14:paraId="4CC9C212">
        <w:tblPrEx>
          <w:tblCellMar>
            <w:top w:w="0" w:type="dxa"/>
            <w:left w:w="108" w:type="dxa"/>
            <w:bottom w:w="0" w:type="dxa"/>
            <w:right w:w="108" w:type="dxa"/>
          </w:tblCellMar>
        </w:tblPrEx>
        <w:trPr>
          <w:trHeight w:val="23" w:hRule="atLeast"/>
          <w:jc w:val="center"/>
        </w:trPr>
        <w:tc>
          <w:tcPr>
            <w:tcW w:w="951" w:type="dxa"/>
            <w:vMerge w:val="continue"/>
            <w:tcBorders>
              <w:top w:val="single" w:color="auto" w:sz="4" w:space="0"/>
              <w:left w:val="single" w:color="auto" w:sz="4" w:space="0"/>
              <w:bottom w:val="single" w:color="auto" w:sz="4" w:space="0"/>
              <w:right w:val="single" w:color="auto" w:sz="4" w:space="0"/>
            </w:tcBorders>
            <w:noWrap w:val="0"/>
            <w:vAlign w:val="center"/>
          </w:tcPr>
          <w:p w14:paraId="083BCC87">
            <w:pPr>
              <w:widowControl/>
              <w:jc w:val="center"/>
              <w:rPr>
                <w:rFonts w:hint="eastAsia" w:ascii="宋体" w:hAnsi="宋体" w:eastAsia="宋体" w:cs="宋体"/>
                <w:color w:val="auto"/>
                <w:kern w:val="0"/>
                <w:szCs w:val="21"/>
                <w:highlight w:val="none"/>
              </w:rPr>
            </w:pPr>
          </w:p>
        </w:tc>
        <w:tc>
          <w:tcPr>
            <w:tcW w:w="1895" w:type="dxa"/>
            <w:tcBorders>
              <w:top w:val="single" w:color="auto" w:sz="4" w:space="0"/>
              <w:left w:val="single" w:color="auto" w:sz="4" w:space="0"/>
              <w:bottom w:val="single" w:color="auto" w:sz="4" w:space="0"/>
              <w:right w:val="single" w:color="auto" w:sz="4" w:space="0"/>
            </w:tcBorders>
            <w:noWrap w:val="0"/>
            <w:vAlign w:val="center"/>
          </w:tcPr>
          <w:p w14:paraId="4C439BAE">
            <w:pPr>
              <w:shd w:val="clear" w:color="auto" w:fill="FFFFFF"/>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演示的评审方法及评审标准</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253203FD">
            <w:pP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演示</w:t>
            </w:r>
            <w:r>
              <w:rPr>
                <w:rFonts w:hint="eastAsia" w:ascii="宋体" w:hAnsi="宋体" w:eastAsia="宋体" w:cs="宋体"/>
                <w:color w:val="auto"/>
                <w:szCs w:val="21"/>
                <w:highlight w:val="none"/>
              </w:rPr>
              <w:t>的评审方法以及评审标准</w:t>
            </w:r>
            <w:r>
              <w:rPr>
                <w:rFonts w:hint="eastAsia" w:ascii="宋体" w:hAnsi="宋体" w:eastAsia="宋体" w:cs="宋体"/>
                <w:bCs/>
                <w:color w:val="auto"/>
                <w:kern w:val="0"/>
                <w:szCs w:val="21"/>
                <w:highlight w:val="none"/>
                <w:lang w:eastAsia="zh-CN"/>
              </w:rPr>
              <w:t>：</w:t>
            </w:r>
            <w:r>
              <w:rPr>
                <w:rFonts w:hint="eastAsia" w:ascii="宋体" w:hAnsi="宋体" w:eastAsia="宋体" w:cs="宋体"/>
                <w:bCs/>
                <w:color w:val="auto"/>
                <w:kern w:val="0"/>
                <w:szCs w:val="21"/>
                <w:highlight w:val="none"/>
                <w:lang w:val="en-US" w:eastAsia="zh-CN"/>
              </w:rPr>
              <w:t>详见《采购需求》或《评标标准》</w:t>
            </w:r>
          </w:p>
        </w:tc>
      </w:tr>
      <w:tr w14:paraId="44A3ED5C">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5629A369">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27.2</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41115AA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评标办法</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36477F4E">
            <w:pPr>
              <w:widowControl/>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综合评分法              </w:t>
            </w:r>
          </w:p>
        </w:tc>
      </w:tr>
      <w:tr w14:paraId="4F2B97C9">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338215B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413BA22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推荐中标候选人的数量</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0A31997D">
            <w:pPr>
              <w:widowControl/>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中标候选人的数量</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3</w:t>
            </w:r>
          </w:p>
        </w:tc>
      </w:tr>
      <w:tr w14:paraId="6CA54956">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440E07E6">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31</w:t>
            </w:r>
            <w:r>
              <w:rPr>
                <w:rFonts w:hint="eastAsia" w:ascii="宋体" w:hAnsi="宋体" w:eastAsia="宋体" w:cs="宋体"/>
                <w:color w:val="auto"/>
                <w:kern w:val="0"/>
                <w:szCs w:val="21"/>
                <w:highlight w:val="none"/>
                <w:lang w:val="en-US" w:eastAsia="zh-CN"/>
              </w:rPr>
              <w:t>.1</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02E0F10D">
            <w:pPr>
              <w:widowControl/>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确定中标人的</w:t>
            </w:r>
            <w:r>
              <w:rPr>
                <w:rFonts w:hint="eastAsia" w:ascii="宋体" w:hAnsi="宋体" w:eastAsia="宋体" w:cs="宋体"/>
                <w:color w:val="auto"/>
                <w:kern w:val="0"/>
                <w:szCs w:val="21"/>
                <w:highlight w:val="none"/>
                <w:lang w:val="en-US" w:eastAsia="zh-CN"/>
              </w:rPr>
              <w:t>数量</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07FB2402">
            <w:pPr>
              <w:widowControl/>
              <w:spacing w:line="240" w:lineRule="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中标人</w:t>
            </w:r>
            <w:r>
              <w:rPr>
                <w:rFonts w:hint="eastAsia" w:ascii="宋体" w:hAnsi="宋体" w:eastAsia="宋体" w:cs="宋体"/>
                <w:color w:val="auto"/>
                <w:kern w:val="0"/>
                <w:szCs w:val="21"/>
                <w:highlight w:val="none"/>
                <w:lang w:val="en-US" w:eastAsia="zh-CN"/>
              </w:rPr>
              <w:t>的数量：1</w:t>
            </w:r>
          </w:p>
        </w:tc>
      </w:tr>
      <w:tr w14:paraId="34DACBDB">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13D56445">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31.2</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671873D3">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确定中标人的方式</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68E41030">
            <w:pPr>
              <w:widowControl/>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none"/>
                <w:lang w:val="en-US" w:eastAsia="zh-CN"/>
              </w:rPr>
              <w:t>确定方式按本</w:t>
            </w:r>
            <w:r>
              <w:rPr>
                <w:rFonts w:hint="eastAsia" w:ascii="宋体" w:hAnsi="宋体" w:eastAsia="宋体" w:cs="宋体"/>
                <w:color w:val="auto"/>
                <w:kern w:val="0"/>
                <w:szCs w:val="21"/>
                <w:highlight w:val="none"/>
                <w:lang w:val="en-US" w:eastAsia="zh-CN"/>
              </w:rPr>
              <w:t>项目《委托代理协议》约定。</w:t>
            </w:r>
          </w:p>
        </w:tc>
      </w:tr>
      <w:tr w14:paraId="7FB61F60">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3DBDA6B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35.1</w:t>
            </w:r>
          </w:p>
        </w:tc>
        <w:tc>
          <w:tcPr>
            <w:tcW w:w="1895" w:type="dxa"/>
            <w:tcBorders>
              <w:top w:val="single" w:color="auto" w:sz="4" w:space="0"/>
              <w:left w:val="single" w:color="auto" w:sz="4" w:space="0"/>
              <w:bottom w:val="single" w:color="auto" w:sz="4" w:space="0"/>
              <w:right w:val="single" w:color="auto" w:sz="4" w:space="0"/>
            </w:tcBorders>
            <w:noWrap w:val="0"/>
            <w:vAlign w:val="center"/>
          </w:tcPr>
          <w:p w14:paraId="0ACDFF81">
            <w:pPr>
              <w:shd w:val="clear" w:color="auto" w:fill="FFFFFF"/>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履约保证金</w:t>
            </w:r>
          </w:p>
        </w:tc>
        <w:tc>
          <w:tcPr>
            <w:tcW w:w="5810" w:type="dxa"/>
            <w:tcBorders>
              <w:top w:val="single" w:color="auto" w:sz="4" w:space="0"/>
              <w:left w:val="single" w:color="auto" w:sz="4" w:space="0"/>
              <w:bottom w:val="single" w:color="auto" w:sz="4" w:space="0"/>
              <w:right w:val="single" w:color="auto" w:sz="4" w:space="0"/>
            </w:tcBorders>
            <w:noWrap w:val="0"/>
            <w:vAlign w:val="center"/>
          </w:tcPr>
          <w:p w14:paraId="275976FA">
            <w:pPr>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■本项目收取履约保证金</w:t>
            </w:r>
          </w:p>
          <w:p w14:paraId="620D3A16">
            <w:pPr>
              <w:pStyle w:val="91"/>
              <w:spacing w:line="240" w:lineRule="auto"/>
              <w:ind w:left="0" w:leftChars="0" w:firstLine="0" w:firstLineChars="0"/>
              <w:rPr>
                <w:color w:val="auto"/>
                <w:highlight w:val="none"/>
              </w:rPr>
            </w:pPr>
            <w:r>
              <w:rPr>
                <w:rFonts w:hint="eastAsia" w:ascii="宋体" w:hAnsi="宋体" w:eastAsia="宋体" w:cs="宋体"/>
                <w:color w:val="auto"/>
                <w:kern w:val="0"/>
                <w:sz w:val="21"/>
                <w:szCs w:val="21"/>
                <w:highlight w:val="none"/>
                <w:lang w:val="en-US" w:eastAsia="zh-CN" w:bidi="ar-SA"/>
              </w:rPr>
              <w:t>履约保证金金额、递交时间、履约保证金递交方式、及履约保证金退还时间及规定按第三章 采购需求执行</w:t>
            </w:r>
          </w:p>
        </w:tc>
      </w:tr>
      <w:tr w14:paraId="463F0038">
        <w:tblPrEx>
          <w:tblCellMar>
            <w:top w:w="0" w:type="dxa"/>
            <w:left w:w="108" w:type="dxa"/>
            <w:bottom w:w="0" w:type="dxa"/>
            <w:right w:w="108" w:type="dxa"/>
          </w:tblCellMar>
        </w:tblPrEx>
        <w:trPr>
          <w:trHeight w:val="23" w:hRule="atLeast"/>
          <w:jc w:val="center"/>
        </w:trPr>
        <w:tc>
          <w:tcPr>
            <w:tcW w:w="951" w:type="dxa"/>
            <w:tcBorders>
              <w:top w:val="nil"/>
              <w:left w:val="single" w:color="auto" w:sz="8" w:space="0"/>
              <w:bottom w:val="single" w:color="auto" w:sz="8" w:space="0"/>
              <w:right w:val="single" w:color="auto" w:sz="4" w:space="0"/>
            </w:tcBorders>
            <w:noWrap w:val="0"/>
            <w:vAlign w:val="center"/>
          </w:tcPr>
          <w:p w14:paraId="538488D1">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36</w:t>
            </w:r>
            <w:r>
              <w:rPr>
                <w:rFonts w:hint="eastAsia" w:ascii="宋体" w:hAnsi="宋体" w:eastAsia="宋体" w:cs="宋体"/>
                <w:color w:val="auto"/>
                <w:kern w:val="0"/>
                <w:szCs w:val="21"/>
                <w:highlight w:val="none"/>
                <w:lang w:val="en-US" w:eastAsia="zh-CN"/>
              </w:rPr>
              <w:t>.1</w:t>
            </w:r>
          </w:p>
        </w:tc>
        <w:tc>
          <w:tcPr>
            <w:tcW w:w="1895" w:type="dxa"/>
            <w:tcBorders>
              <w:top w:val="nil"/>
              <w:left w:val="single" w:color="auto" w:sz="4" w:space="0"/>
              <w:bottom w:val="single" w:color="auto" w:sz="8" w:space="0"/>
              <w:right w:val="single" w:color="auto" w:sz="8" w:space="0"/>
            </w:tcBorders>
            <w:noWrap w:val="0"/>
            <w:vAlign w:val="center"/>
          </w:tcPr>
          <w:p w14:paraId="3487E67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招标代理服务费</w:t>
            </w:r>
            <w:r>
              <w:rPr>
                <w:rFonts w:hint="eastAsia" w:ascii="宋体" w:hAnsi="宋体" w:eastAsia="宋体" w:cs="宋体"/>
                <w:color w:val="auto"/>
                <w:szCs w:val="21"/>
                <w:highlight w:val="none"/>
                <w:lang w:val="en-US" w:eastAsia="zh-CN"/>
              </w:rPr>
              <w:t>支付方</w:t>
            </w:r>
          </w:p>
        </w:tc>
        <w:tc>
          <w:tcPr>
            <w:tcW w:w="5810" w:type="dxa"/>
            <w:tcBorders>
              <w:top w:val="nil"/>
              <w:left w:val="nil"/>
              <w:bottom w:val="single" w:color="auto" w:sz="8" w:space="0"/>
              <w:right w:val="single" w:color="auto" w:sz="8" w:space="0"/>
            </w:tcBorders>
            <w:noWrap w:val="0"/>
            <w:vAlign w:val="center"/>
          </w:tcPr>
          <w:p w14:paraId="6FDD2A4A">
            <w:pPr>
              <w:widowControl/>
              <w:numPr>
                <w:ilvl w:val="0"/>
                <w:numId w:val="0"/>
              </w:numPr>
              <w:snapToGrid w:val="0"/>
              <w:rPr>
                <w:rFonts w:hint="default"/>
                <w:color w:val="auto"/>
                <w:highlight w:val="none"/>
                <w:lang w:val="en-US"/>
              </w:rPr>
            </w:pPr>
            <w:r>
              <w:rPr>
                <w:rFonts w:hint="eastAsia" w:ascii="宋体" w:hAnsi="宋体" w:eastAsia="宋体" w:cs="宋体"/>
                <w:color w:val="auto"/>
                <w:highlight w:val="none"/>
              </w:rPr>
              <w:t>■</w:t>
            </w:r>
            <w:r>
              <w:rPr>
                <w:rFonts w:hint="eastAsia" w:ascii="宋体" w:hAnsi="宋体" w:eastAsia="宋体" w:cs="宋体"/>
                <w:color w:val="auto"/>
                <w:szCs w:val="21"/>
                <w:highlight w:val="none"/>
                <w:lang w:val="en-US" w:eastAsia="zh-CN"/>
              </w:rPr>
              <w:t xml:space="preserve"> 中标人</w:t>
            </w:r>
          </w:p>
        </w:tc>
      </w:tr>
      <w:tr w14:paraId="67928B00">
        <w:tblPrEx>
          <w:tblCellMar>
            <w:top w:w="0" w:type="dxa"/>
            <w:left w:w="108" w:type="dxa"/>
            <w:bottom w:w="0" w:type="dxa"/>
            <w:right w:w="108" w:type="dxa"/>
          </w:tblCellMar>
        </w:tblPrEx>
        <w:trPr>
          <w:trHeight w:val="23" w:hRule="atLeast"/>
          <w:jc w:val="center"/>
        </w:trPr>
        <w:tc>
          <w:tcPr>
            <w:tcW w:w="951" w:type="dxa"/>
            <w:tcBorders>
              <w:top w:val="nil"/>
              <w:left w:val="single" w:color="auto" w:sz="8" w:space="0"/>
              <w:bottom w:val="single" w:color="auto" w:sz="8" w:space="0"/>
              <w:right w:val="single" w:color="auto" w:sz="4" w:space="0"/>
            </w:tcBorders>
            <w:noWrap w:val="0"/>
            <w:vAlign w:val="center"/>
          </w:tcPr>
          <w:p w14:paraId="2E7F3418">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36.2</w:t>
            </w:r>
          </w:p>
        </w:tc>
        <w:tc>
          <w:tcPr>
            <w:tcW w:w="1895" w:type="dxa"/>
            <w:tcBorders>
              <w:top w:val="nil"/>
              <w:left w:val="single" w:color="auto" w:sz="4" w:space="0"/>
              <w:bottom w:val="single" w:color="auto" w:sz="8" w:space="0"/>
              <w:right w:val="single" w:color="auto" w:sz="8" w:space="0"/>
            </w:tcBorders>
            <w:noWrap w:val="0"/>
            <w:vAlign w:val="center"/>
          </w:tcPr>
          <w:p w14:paraId="5DE3DB3C">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招标代理服务费收费标准</w:t>
            </w:r>
          </w:p>
        </w:tc>
        <w:tc>
          <w:tcPr>
            <w:tcW w:w="5810" w:type="dxa"/>
            <w:tcBorders>
              <w:top w:val="nil"/>
              <w:left w:val="nil"/>
              <w:bottom w:val="single" w:color="auto" w:sz="8" w:space="0"/>
              <w:right w:val="single" w:color="auto" w:sz="8" w:space="0"/>
            </w:tcBorders>
            <w:noWrap w:val="0"/>
            <w:vAlign w:val="center"/>
          </w:tcPr>
          <w:p w14:paraId="183E49FA">
            <w:pPr>
              <w:widowControl/>
              <w:snapToGrid w:val="0"/>
              <w:jc w:val="both"/>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详见《招标代理服务缴费通知书》。</w:t>
            </w:r>
          </w:p>
        </w:tc>
      </w:tr>
      <w:tr w14:paraId="62BE295A">
        <w:tblPrEx>
          <w:tblCellMar>
            <w:top w:w="0" w:type="dxa"/>
            <w:left w:w="108" w:type="dxa"/>
            <w:bottom w:w="0" w:type="dxa"/>
            <w:right w:w="108" w:type="dxa"/>
          </w:tblCellMar>
        </w:tblPrEx>
        <w:trPr>
          <w:trHeight w:val="23" w:hRule="atLeast"/>
          <w:jc w:val="center"/>
        </w:trPr>
        <w:tc>
          <w:tcPr>
            <w:tcW w:w="951" w:type="dxa"/>
            <w:tcBorders>
              <w:top w:val="nil"/>
              <w:left w:val="single" w:color="auto" w:sz="8" w:space="0"/>
              <w:bottom w:val="single" w:color="auto" w:sz="8" w:space="0"/>
              <w:right w:val="single" w:color="auto" w:sz="4" w:space="0"/>
            </w:tcBorders>
            <w:noWrap w:val="0"/>
            <w:vAlign w:val="center"/>
          </w:tcPr>
          <w:p w14:paraId="06ECDEC1">
            <w:pPr>
              <w:widowControl/>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36.3</w:t>
            </w:r>
          </w:p>
        </w:tc>
        <w:tc>
          <w:tcPr>
            <w:tcW w:w="1895" w:type="dxa"/>
            <w:tcBorders>
              <w:top w:val="nil"/>
              <w:left w:val="single" w:color="auto" w:sz="4" w:space="0"/>
              <w:bottom w:val="single" w:color="auto" w:sz="8" w:space="0"/>
              <w:right w:val="single" w:color="auto" w:sz="8" w:space="0"/>
            </w:tcBorders>
            <w:noWrap w:val="0"/>
            <w:vAlign w:val="center"/>
          </w:tcPr>
          <w:p w14:paraId="2EAF0EB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招标代理服务费支付形式、支付时间</w:t>
            </w:r>
          </w:p>
        </w:tc>
        <w:tc>
          <w:tcPr>
            <w:tcW w:w="5810" w:type="dxa"/>
            <w:tcBorders>
              <w:top w:val="nil"/>
              <w:left w:val="nil"/>
              <w:bottom w:val="single" w:color="auto" w:sz="8" w:space="0"/>
              <w:right w:val="single" w:color="auto" w:sz="8" w:space="0"/>
            </w:tcBorders>
            <w:noWrap w:val="0"/>
            <w:vAlign w:val="center"/>
          </w:tcPr>
          <w:p w14:paraId="7EA454E1">
            <w:pPr>
              <w:widowControl/>
              <w:numPr>
                <w:ilvl w:val="0"/>
                <w:numId w:val="0"/>
              </w:numPr>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代理服务缴费通知书》。</w:t>
            </w:r>
          </w:p>
        </w:tc>
      </w:tr>
      <w:tr w14:paraId="211F4B91">
        <w:tblPrEx>
          <w:tblCellMar>
            <w:top w:w="0" w:type="dxa"/>
            <w:left w:w="108" w:type="dxa"/>
            <w:bottom w:w="0" w:type="dxa"/>
            <w:right w:w="108" w:type="dxa"/>
          </w:tblCellMar>
        </w:tblPrEx>
        <w:trPr>
          <w:trHeight w:val="23" w:hRule="atLeast"/>
          <w:jc w:val="center"/>
        </w:trPr>
        <w:tc>
          <w:tcPr>
            <w:tcW w:w="951" w:type="dxa"/>
            <w:tcBorders>
              <w:top w:val="single" w:color="auto" w:sz="4" w:space="0"/>
              <w:left w:val="single" w:color="auto" w:sz="8" w:space="0"/>
              <w:bottom w:val="single" w:color="auto" w:sz="4" w:space="0"/>
              <w:right w:val="single" w:color="auto" w:sz="4" w:space="0"/>
            </w:tcBorders>
            <w:noWrap w:val="0"/>
            <w:vAlign w:val="center"/>
          </w:tcPr>
          <w:p w14:paraId="1E74065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39.3</w:t>
            </w:r>
          </w:p>
        </w:tc>
        <w:tc>
          <w:tcPr>
            <w:tcW w:w="1895" w:type="dxa"/>
            <w:tcBorders>
              <w:top w:val="single" w:color="auto" w:sz="4" w:space="0"/>
              <w:left w:val="single" w:color="auto" w:sz="4" w:space="0"/>
              <w:bottom w:val="single" w:color="auto" w:sz="4" w:space="0"/>
              <w:right w:val="single" w:color="auto" w:sz="8" w:space="0"/>
            </w:tcBorders>
            <w:noWrap w:val="0"/>
            <w:vAlign w:val="center"/>
          </w:tcPr>
          <w:p w14:paraId="0AF5436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w:t>
            </w:r>
          </w:p>
        </w:tc>
        <w:tc>
          <w:tcPr>
            <w:tcW w:w="5810" w:type="dxa"/>
            <w:tcBorders>
              <w:top w:val="single" w:color="auto" w:sz="4" w:space="0"/>
              <w:left w:val="nil"/>
              <w:bottom w:val="single" w:color="auto" w:sz="4" w:space="0"/>
              <w:right w:val="single" w:color="auto" w:sz="8" w:space="0"/>
            </w:tcBorders>
            <w:noWrap w:val="0"/>
            <w:vAlign w:val="center"/>
          </w:tcPr>
          <w:p w14:paraId="30A085AD">
            <w:pPr>
              <w:widowControl/>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一、投标人认为自己的权益受到损害的，可以在知道或者应知其权益受到损害之日起七个工作日内，向</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代理机构提出质疑。</w:t>
            </w:r>
          </w:p>
          <w:p w14:paraId="6E8A1522">
            <w:pPr>
              <w:widowControl/>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1.接收质疑函的方式：接收加盖单位公章的书面纸质疑函</w:t>
            </w:r>
          </w:p>
          <w:p w14:paraId="71656A29">
            <w:pPr>
              <w:widowControl/>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联系单位： </w:t>
            </w:r>
          </w:p>
          <w:p w14:paraId="750793F3">
            <w:pPr>
              <w:widowControl/>
              <w:snapToGrid w:val="0"/>
              <w:ind w:firstLine="210" w:firstLineChars="1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联系电话： </w:t>
            </w:r>
          </w:p>
          <w:p w14:paraId="78BFD20B">
            <w:pPr>
              <w:widowControl/>
              <w:snapToGrid w:val="0"/>
              <w:ind w:firstLine="210" w:firstLineChars="1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p>
          <w:p w14:paraId="7364C9EA">
            <w:pPr>
              <w:widowControl/>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2.质疑函的内容、格式：应符合相关规定和</w:t>
            </w:r>
            <w:r>
              <w:rPr>
                <w:rFonts w:hint="eastAsia" w:ascii="宋体" w:hAnsi="宋体" w:eastAsia="宋体" w:cs="宋体"/>
                <w:color w:val="auto"/>
                <w:szCs w:val="21"/>
                <w:highlight w:val="none"/>
                <w:lang w:val="en-US" w:eastAsia="zh-CN"/>
              </w:rPr>
              <w:t>有关</w:t>
            </w:r>
            <w:r>
              <w:rPr>
                <w:rFonts w:hint="eastAsia" w:ascii="宋体" w:hAnsi="宋体" w:eastAsia="宋体" w:cs="宋体"/>
                <w:color w:val="auto"/>
                <w:szCs w:val="21"/>
                <w:highlight w:val="none"/>
              </w:rPr>
              <w:t>部门制定的《质疑函范本》格式。</w:t>
            </w:r>
          </w:p>
          <w:p w14:paraId="5B2C5F01">
            <w:pPr>
              <w:pStyle w:val="2"/>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二、投标人应在法定质疑期内一次性针对同一采购程序环节提出质疑，否则针对再次提出质疑将不予接收。（采购程序环节分为：</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公告、招标文件、招标过程、中标结果）</w:t>
            </w:r>
          </w:p>
        </w:tc>
      </w:tr>
    </w:tbl>
    <w:p w14:paraId="2A7719B2">
      <w:pPr>
        <w:rPr>
          <w:rFonts w:hint="eastAsia" w:ascii="宋体" w:hAnsi="宋体" w:eastAsia="宋体" w:cs="宋体"/>
          <w:color w:val="auto"/>
          <w:highlight w:val="none"/>
        </w:rPr>
      </w:pPr>
      <w:r>
        <w:rPr>
          <w:rFonts w:hint="eastAsia" w:ascii="宋体" w:hAnsi="宋体" w:eastAsia="宋体" w:cs="宋体"/>
          <w:color w:val="auto"/>
          <w:highlight w:val="none"/>
        </w:rPr>
        <w:t>注：表格中“</w:t>
      </w:r>
      <w:r>
        <w:rPr>
          <w:rFonts w:hint="eastAsia" w:ascii="宋体" w:hAnsi="宋体" w:eastAsia="宋体" w:cs="宋体"/>
          <w:color w:val="auto"/>
          <w:highlight w:val="none"/>
        </w:rPr>
        <w:sym w:font="Wingdings" w:char="00FE"/>
      </w:r>
      <w:r>
        <w:rPr>
          <w:rFonts w:hint="eastAsia" w:ascii="宋体" w:hAnsi="宋体" w:eastAsia="宋体" w:cs="宋体"/>
          <w:color w:val="auto"/>
          <w:highlight w:val="none"/>
        </w:rPr>
        <w:t>”项或“■”项为被选中项。</w:t>
      </w:r>
    </w:p>
    <w:p w14:paraId="46585EEF">
      <w:pPr>
        <w:pStyle w:val="4"/>
        <w:adjustRightInd w:val="0"/>
        <w:snapToGrid w:val="0"/>
        <w:spacing w:before="0" w:after="0" w:line="240" w:lineRule="auto"/>
        <w:rPr>
          <w:rFonts w:hint="eastAsia" w:ascii="宋体" w:hAnsi="宋体" w:eastAsia="宋体" w:cs="宋体"/>
          <w:color w:val="auto"/>
          <w:highlight w:val="none"/>
        </w:rPr>
        <w:sectPr>
          <w:pgSz w:w="11906" w:h="16839"/>
          <w:pgMar w:top="1134" w:right="1175" w:bottom="1185" w:left="1330" w:header="850" w:footer="970" w:gutter="0"/>
          <w:pgNumType w:fmt="decimal"/>
          <w:cols w:space="720" w:num="1"/>
        </w:sectPr>
      </w:pPr>
    </w:p>
    <w:p w14:paraId="45D7617F">
      <w:pPr>
        <w:pStyle w:val="4"/>
        <w:adjustRightInd w:val="0"/>
        <w:snapToGrid w:val="0"/>
        <w:spacing w:before="0" w:after="0" w:line="24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二 总则</w:t>
      </w:r>
    </w:p>
    <w:p w14:paraId="539C0EB4">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r>
        <w:rPr>
          <w:rFonts w:hint="eastAsia" w:ascii="宋体" w:hAnsi="宋体" w:eastAsia="宋体" w:cs="宋体"/>
          <w:b/>
          <w:bCs/>
          <w:color w:val="auto"/>
          <w:szCs w:val="21"/>
          <w:highlight w:val="none"/>
          <w:lang w:eastAsia="zh-CN"/>
        </w:rPr>
        <w:t>招标人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招标代理机构</w:t>
      </w:r>
      <w:r>
        <w:rPr>
          <w:rFonts w:hint="eastAsia" w:ascii="宋体" w:hAnsi="宋体" w:eastAsia="宋体" w:cs="宋体"/>
          <w:b/>
          <w:bCs/>
          <w:color w:val="auto"/>
          <w:szCs w:val="21"/>
          <w:highlight w:val="none"/>
        </w:rPr>
        <w:t>及投标人</w:t>
      </w:r>
    </w:p>
    <w:p w14:paraId="74C8366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：是指依法进行</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采购的国家机关、事业单位、团体组织。本项目</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见投标人须知表1.1款。</w:t>
      </w:r>
    </w:p>
    <w:p w14:paraId="702A9950">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：是指集中采购机构或从事采购代理业务的社会中介机构，本项目的</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见投标人须知表1.2款。</w:t>
      </w:r>
    </w:p>
    <w:p w14:paraId="11ED124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 投标人：是指向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提供货物、工程或者服务的法人、非法人组织或者自然人。本项目的投标人及其投标货物须满足以下条件：</w:t>
      </w:r>
    </w:p>
    <w:p w14:paraId="5541199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在中华人民共和国境内注册，能够独立承担民事责任，有生产或供应能力的本国</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w:t>
      </w:r>
    </w:p>
    <w:p w14:paraId="33F0E83B">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 具备关于</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条件的规定，遵守本项目</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本级和上级财政部门政府采购的有关规定。</w:t>
      </w:r>
    </w:p>
    <w:p w14:paraId="733B849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1.3.3 以</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认可的方式获得了本项目的招标文件。</w:t>
      </w:r>
    </w:p>
    <w:p w14:paraId="2F539942">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1.3.4 符合投标人须知表1.3.4款中规定的资格条件。</w:t>
      </w:r>
    </w:p>
    <w:p w14:paraId="5A267D5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 如投标人须知表1.4款中允许联合体投标，对联合体规定如下：</w:t>
      </w:r>
    </w:p>
    <w:p w14:paraId="027247A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两个以上</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可以组成一个投标联合体，以一个投标人的身份投标。</w:t>
      </w:r>
    </w:p>
    <w:p w14:paraId="5017BCD0">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联合体各方均应符合《中华人民共和国政府采购法》第二十二条规定的条件。</w:t>
      </w:r>
    </w:p>
    <w:p w14:paraId="4330B432">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1.4.3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根据采购项目对投标人的特殊要求，联合体中至少应当有一方符合相关规定。</w:t>
      </w:r>
    </w:p>
    <w:p w14:paraId="0CFAF38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 联合体各方应签订共同投标协议，明确约定联合体各方承担的工作和相应的责任。</w:t>
      </w:r>
    </w:p>
    <w:p w14:paraId="61CB977B">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1.4.5 大中型企业、其他自然人、法人或者非法人组织与小型、微型企业组成联合体共同参加投标，共同投标协议中应写明小型、微型企业的协议合同金额占到共同投标协议投标总金额的比例。</w:t>
      </w:r>
    </w:p>
    <w:p w14:paraId="512B2B2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1.4.6 联合体中有同类资质的</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按照联合体分工承担相同工作的，按照较低的资质等级确定联合体的资质等级。</w:t>
      </w:r>
    </w:p>
    <w:p w14:paraId="332F17FD">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1.4.7 以联合体形式参加政府采购活动的，联合体各方不得再单独参加或者与其他</w:t>
      </w:r>
      <w:r>
        <w:rPr>
          <w:rFonts w:hint="eastAsia" w:ascii="宋体" w:hAnsi="宋体" w:eastAsia="宋体" w:cs="宋体"/>
          <w:b/>
          <w:bCs/>
          <w:color w:val="auto"/>
          <w:szCs w:val="21"/>
          <w:highlight w:val="none"/>
          <w:lang w:eastAsia="zh-CN"/>
        </w:rPr>
        <w:t>投标人</w:t>
      </w:r>
      <w:r>
        <w:rPr>
          <w:rFonts w:hint="eastAsia" w:ascii="宋体" w:hAnsi="宋体" w:eastAsia="宋体" w:cs="宋体"/>
          <w:b/>
          <w:bCs/>
          <w:color w:val="auto"/>
          <w:szCs w:val="21"/>
          <w:highlight w:val="none"/>
        </w:rPr>
        <w:t>另外组成联合体参加本项目投标，否则相关投标将被认定为投标无效。</w:t>
      </w:r>
    </w:p>
    <w:p w14:paraId="15AD8E3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（1）两个以上的自然人、法人或者其他组织可以组成一个联合体，以一个投标人的身份共同参加政府采购活动。</w:t>
      </w:r>
    </w:p>
    <w:p w14:paraId="1CDF1C70">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（2）联合体中标的，联合体各方应共同与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签订采购合同，就采购合同约定的事项对</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承担连带责任。</w:t>
      </w:r>
    </w:p>
    <w:p w14:paraId="3A7F9DC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1.4.8 对联合体投标的其他资格要求见投标人须知表1.4.8款。</w:t>
      </w:r>
    </w:p>
    <w:p w14:paraId="6AAF51D8">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 单位负责人为同一人或者存在直接控股、管理关系的不同</w:t>
      </w:r>
      <w:r>
        <w:rPr>
          <w:rFonts w:hint="eastAsia" w:ascii="宋体" w:hAnsi="宋体" w:eastAsia="宋体" w:cs="宋体"/>
          <w:b/>
          <w:bCs/>
          <w:color w:val="auto"/>
          <w:szCs w:val="21"/>
          <w:highlight w:val="none"/>
          <w:lang w:eastAsia="zh-CN"/>
        </w:rPr>
        <w:t>投标人</w:t>
      </w:r>
      <w:r>
        <w:rPr>
          <w:rFonts w:hint="eastAsia" w:ascii="宋体" w:hAnsi="宋体" w:eastAsia="宋体" w:cs="宋体"/>
          <w:b/>
          <w:bCs/>
          <w:color w:val="auto"/>
          <w:szCs w:val="21"/>
          <w:highlight w:val="none"/>
        </w:rPr>
        <w:t>，其相关投标将被认定为投标无效。</w:t>
      </w:r>
    </w:p>
    <w:p w14:paraId="605B238B">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 为本项目提供过整体设计、规范编制或者项目管理、监理、检测等服务的</w:t>
      </w:r>
      <w:r>
        <w:rPr>
          <w:rFonts w:hint="eastAsia" w:ascii="宋体" w:hAnsi="宋体" w:eastAsia="宋体" w:cs="宋体"/>
          <w:b/>
          <w:bCs/>
          <w:color w:val="auto"/>
          <w:szCs w:val="21"/>
          <w:highlight w:val="none"/>
          <w:lang w:eastAsia="zh-CN"/>
        </w:rPr>
        <w:t>投标人</w:t>
      </w:r>
      <w:r>
        <w:rPr>
          <w:rFonts w:hint="eastAsia" w:ascii="宋体" w:hAnsi="宋体" w:eastAsia="宋体" w:cs="宋体"/>
          <w:b/>
          <w:bCs/>
          <w:color w:val="auto"/>
          <w:szCs w:val="21"/>
          <w:highlight w:val="none"/>
        </w:rPr>
        <w:t>，不得再参加本项目上述服务以外的其他采购活动。否则其投标将被认定为投标无效。</w:t>
      </w:r>
    </w:p>
    <w:p w14:paraId="3D45BB14">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1.7 投标人在投标过程中不得向</w:t>
      </w:r>
      <w:r>
        <w:rPr>
          <w:rFonts w:hint="eastAsia" w:ascii="宋体" w:hAnsi="宋体" w:eastAsia="宋体" w:cs="宋体"/>
          <w:b/>
          <w:bCs/>
          <w:color w:val="auto"/>
          <w:szCs w:val="21"/>
          <w:highlight w:val="none"/>
          <w:lang w:eastAsia="zh-CN"/>
        </w:rPr>
        <w:t>招标人</w:t>
      </w:r>
      <w:r>
        <w:rPr>
          <w:rFonts w:hint="eastAsia" w:ascii="宋体" w:hAnsi="宋体" w:eastAsia="宋体" w:cs="宋体"/>
          <w:b/>
          <w:bCs/>
          <w:color w:val="auto"/>
          <w:szCs w:val="21"/>
          <w:highlight w:val="none"/>
        </w:rPr>
        <w:t>提供、给予任何有价值的物品，影响其正常决策行为。一经发现，其将被认定为投标无效。</w:t>
      </w:r>
    </w:p>
    <w:p w14:paraId="57E5E706">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2.资金来源</w:t>
      </w:r>
    </w:p>
    <w:p w14:paraId="49ABEB12">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本项目的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已获得足以支付本次招标后所签订的合同项下的资金（包括财政性资金和本项目采购中无法与财政性资金分割的非财政性资金）。</w:t>
      </w:r>
    </w:p>
    <w:p w14:paraId="5B11B6C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2.2项目预算金额和分项或分包最高限价见投标人须知表2.2款。</w:t>
      </w:r>
    </w:p>
    <w:p w14:paraId="29FF1895">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2.3投标人报价超过招标文件规定的预算金额或者分项、分包最高限价的，其投标将被认定为投标无效。</w:t>
      </w:r>
    </w:p>
    <w:p w14:paraId="00FB76CE">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3.语言文字</w:t>
      </w:r>
    </w:p>
    <w:p w14:paraId="6FE01465">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除专用术语外，与投标有关的语言均使用中文。必要时专用术语应附有中文注释。对不同文字文本投标文件的解释发生异议的，以中文文本为准。</w:t>
      </w:r>
    </w:p>
    <w:p w14:paraId="7828CCE0">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4.计量单位</w:t>
      </w:r>
    </w:p>
    <w:p w14:paraId="08C2CE7C">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除投标人须知表4款中有特殊要求外，投标文件中所使用的计量单位，应采用中华人民共和国法定计量单位。</w:t>
      </w:r>
    </w:p>
    <w:p w14:paraId="1A6198F7">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5.投标费用</w:t>
      </w:r>
    </w:p>
    <w:p w14:paraId="30E47641">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不论投标的结果如何，投标人应承担所有与准备和参加投标有关的费用。</w:t>
      </w:r>
    </w:p>
    <w:p w14:paraId="67CC5171">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6.现场考察、开标前答疑会</w:t>
      </w:r>
    </w:p>
    <w:p w14:paraId="6F9A498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"_踏勘现场"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投标人须知表</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6.1款规定组织现场考察或开标前答疑会的，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按规定的时间、地点组织投标人现场考察或开标前答疑会，或者在领取招标文件期限截止后以书面形式通知所有获取招标文件的潜在投标人。</w:t>
      </w:r>
    </w:p>
    <w:p w14:paraId="386FEF61">
      <w:pPr>
        <w:adjustRightInd w:val="0"/>
        <w:snapToGrid w:val="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color w:val="auto"/>
          <w:kern w:val="0"/>
          <w:szCs w:val="21"/>
          <w:highlight w:val="none"/>
        </w:rPr>
        <w:t>由于未参加现场踏勘或标前答疑而导致对项目实际情况不了解，影响技术文件编制、</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"https://www.baidu.com/s?wd=%E6%8A%95%E6%A0%87%E6%8A%A5%E4%BB%B7&amp;tn=44039180_cpr&amp;fenlei=mv6quAkxTZn0IZRqIHckPjm4nH00T1dWuyfdP1u9uyPBrjKhmvDv0ZwV5Hcvrjm3rH6sPfKWUMw85HfYnjn4nH6sgvPsT6KdThsqpZwYTjCEQLGCpyw9Uz4Bmy-bIi4WUvYETgN-TLwGUv3EPj63P1RkPH6Y" \t "_blank"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szCs w:val="21"/>
          <w:highlight w:val="none"/>
        </w:rPr>
        <w:t>投标报价</w:t>
      </w:r>
      <w:r>
        <w:rPr>
          <w:rFonts w:hint="eastAsia" w:ascii="宋体" w:hAnsi="宋体" w:eastAsia="宋体" w:cs="宋体"/>
          <w:color w:val="auto"/>
          <w:kern w:val="0"/>
          <w:szCs w:val="21"/>
          <w:highlight w:val="none"/>
        </w:rPr>
        <w:fldChar w:fldCharType="end"/>
      </w:r>
      <w:r>
        <w:rPr>
          <w:rFonts w:hint="eastAsia" w:ascii="宋体" w:hAnsi="宋体" w:eastAsia="宋体" w:cs="宋体"/>
          <w:color w:val="auto"/>
          <w:kern w:val="0"/>
          <w:szCs w:val="21"/>
          <w:highlight w:val="none"/>
        </w:rPr>
        <w:t>准确性、综合因素响应不全面等问题的，由投标人自行承担相应后果。</w:t>
      </w:r>
    </w:p>
    <w:p w14:paraId="3F2A9E9B">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6.3现场考察及参加标前答疑会所发生的费用及一切责任由投标人自行承担。</w:t>
      </w:r>
    </w:p>
    <w:p w14:paraId="1DB13A4F">
      <w:pPr>
        <w:pStyle w:val="4"/>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三 招标文件</w:t>
      </w:r>
    </w:p>
    <w:p w14:paraId="2D73A6B4">
      <w:pPr>
        <w:numPr>
          <w:ilvl w:val="0"/>
          <w:numId w:val="4"/>
        </w:num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招标文件构成</w:t>
      </w:r>
    </w:p>
    <w:p w14:paraId="0C08A89A">
      <w:pPr>
        <w:numPr>
          <w:ilvl w:val="1"/>
          <w:numId w:val="4"/>
        </w:numPr>
        <w:adjustRightInd w:val="0"/>
        <w:snapToGrid w:val="0"/>
        <w:rPr>
          <w:rFonts w:hint="eastAsia" w:ascii="宋体" w:hAnsi="宋体" w:eastAsia="宋体" w:cs="宋体"/>
          <w:color w:val="auto"/>
          <w:highlight w:val="none"/>
        </w:rPr>
      </w:pPr>
      <w:r>
        <w:rPr>
          <w:rFonts w:hint="eastAsia" w:ascii="宋体" w:hAnsi="宋体" w:eastAsia="宋体" w:cs="宋体"/>
          <w:color w:val="auto"/>
          <w:szCs w:val="21"/>
          <w:highlight w:val="none"/>
        </w:rPr>
        <w:t>招标</w:t>
      </w:r>
      <w:r>
        <w:rPr>
          <w:rFonts w:hint="eastAsia" w:ascii="宋体" w:hAnsi="宋体" w:eastAsia="宋体" w:cs="宋体"/>
          <w:color w:val="auto"/>
          <w:highlight w:val="none"/>
        </w:rPr>
        <w:t>文件内容如下:</w:t>
      </w:r>
    </w:p>
    <w:p w14:paraId="12C30120">
      <w:p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招标公告</w:t>
      </w:r>
    </w:p>
    <w:p w14:paraId="4A8E2EA0">
      <w:pPr>
        <w:numPr>
          <w:ilvl w:val="0"/>
          <w:numId w:val="5"/>
        </w:num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投标人须知</w:t>
      </w:r>
    </w:p>
    <w:p w14:paraId="54287952">
      <w:p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第二章 投标文件内容及格式</w:t>
      </w:r>
    </w:p>
    <w:p w14:paraId="4315069C">
      <w:pPr>
        <w:adjustRightInd w:val="0"/>
        <w:snapToGrid w:val="0"/>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 xml:space="preserve">第三章 </w:t>
      </w:r>
      <w:r>
        <w:rPr>
          <w:rFonts w:hint="eastAsia" w:ascii="宋体" w:hAnsi="宋体" w:eastAsia="宋体" w:cs="宋体"/>
          <w:color w:val="auto"/>
          <w:highlight w:val="none"/>
          <w:lang w:eastAsia="zh-CN"/>
        </w:rPr>
        <w:t>采购需求</w:t>
      </w:r>
    </w:p>
    <w:p w14:paraId="636D6DBF">
      <w:p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第四章 评标方法</w:t>
      </w:r>
    </w:p>
    <w:p w14:paraId="04B84CA3">
      <w:p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第五章 采购合同条款及格式</w:t>
      </w:r>
    </w:p>
    <w:p w14:paraId="1B8BCA16">
      <w:pPr>
        <w:adjustRightInd w:val="0"/>
        <w:snapToGrid w:val="0"/>
        <w:rPr>
          <w:rFonts w:ascii="宋体" w:hAnsi="宋体" w:eastAsia="宋体" w:cs="宋体"/>
          <w:color w:val="auto"/>
          <w:szCs w:val="21"/>
          <w:highlight w:val="none"/>
        </w:rPr>
      </w:pPr>
      <w:r>
        <w:rPr>
          <w:rFonts w:hint="eastAsia" w:ascii="宋体" w:hAnsi="宋体" w:eastAsia="宋体" w:cs="宋体"/>
          <w:color w:val="auto"/>
          <w:szCs w:val="21"/>
          <w:highlight w:val="none"/>
        </w:rPr>
        <w:t>8.2 投标人应认真阅读招标文件所有的事项、格式、条款等。如投标人没有按照招标文件要求提交资料，或者投标文件没有对招标文件做出实质性响应，可能导致其投标被认定为投标无效。</w:t>
      </w:r>
    </w:p>
    <w:p w14:paraId="245A6D3C">
      <w:pPr>
        <w:adjustRightInd w:val="0"/>
        <w:snapToGrid w:val="0"/>
        <w:rPr>
          <w:rFonts w:hint="eastAsia" w:ascii="宋体" w:hAnsi="宋体" w:eastAsia="宋体" w:cs="宋体"/>
          <w:color w:val="auto"/>
          <w:szCs w:val="21"/>
          <w:highlight w:val="none"/>
          <w:lang w:eastAsia="zh-CN"/>
        </w:rPr>
      </w:pPr>
      <w:bookmarkStart w:id="28" w:name="_Hlk30060307"/>
      <w:r>
        <w:rPr>
          <w:rFonts w:ascii="宋体" w:hAnsi="宋体" w:eastAsia="宋体" w:cs="宋体"/>
          <w:color w:val="auto"/>
          <w:szCs w:val="21"/>
          <w:highlight w:val="none"/>
        </w:rPr>
        <w:t xml:space="preserve">8.3 </w:t>
      </w:r>
      <w:r>
        <w:rPr>
          <w:rFonts w:hint="eastAsia" w:ascii="宋体" w:hAnsi="宋体" w:eastAsia="宋体" w:cs="宋体"/>
          <w:color w:val="auto"/>
          <w:szCs w:val="21"/>
          <w:highlight w:val="none"/>
        </w:rPr>
        <w:t>本项目招标公告发布媒体见投标人须知表8.3款。</w:t>
      </w:r>
      <w:bookmarkEnd w:id="28"/>
    </w:p>
    <w:p w14:paraId="04E931FE">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9.招标文件的澄清与修改</w:t>
      </w:r>
    </w:p>
    <w:p w14:paraId="1B46E1F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9.1 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可以对已发出的招标文件进行澄清或者修改。澄清或者修改的内容可能影响投标文件编制的，应当在投标截止时间至少15日前，在原公告发布媒体上发布变更公告，并以书面形式通知所有获取招标文件的潜在投标人；不足15日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应当顺延提交投标文件的截止时间。</w:t>
      </w:r>
    </w:p>
    <w:p w14:paraId="0BFA7D1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9.2澄清或者修改的内容为招标文件的组成部分，对所有招标文件的收受人具有约束力。投标人在收到上述通知后，应及时向</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回函确认。</w:t>
      </w:r>
    </w:p>
    <w:p w14:paraId="412A6795">
      <w:pPr>
        <w:pStyle w:val="4"/>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四  投标文件的编制</w:t>
      </w:r>
    </w:p>
    <w:p w14:paraId="13A386F2">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10. 投标范围</w:t>
      </w:r>
    </w:p>
    <w:p w14:paraId="40A7CF97">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10.1 项目有分包的，投标人可对招标文件其中某一个分包或几个分包进行投标。</w:t>
      </w:r>
    </w:p>
    <w:p w14:paraId="7948CFEE">
      <w:pPr>
        <w:adjustRightInd w:val="0"/>
        <w:snapToGrid w:val="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10.2 投标人应当对所投分包在招标文件中“</w:t>
      </w:r>
      <w:r>
        <w:rPr>
          <w:rFonts w:hint="eastAsia" w:ascii="宋体" w:hAnsi="宋体" w:eastAsia="宋体" w:cs="宋体"/>
          <w:b/>
          <w:bCs/>
          <w:color w:val="auto"/>
          <w:szCs w:val="21"/>
          <w:highlight w:val="none"/>
          <w:lang w:eastAsia="zh-CN"/>
        </w:rPr>
        <w:t>采购需求</w:t>
      </w:r>
      <w:r>
        <w:rPr>
          <w:rFonts w:hint="eastAsia" w:ascii="宋体" w:hAnsi="宋体" w:eastAsia="宋体" w:cs="宋体"/>
          <w:b/>
          <w:bCs/>
          <w:color w:val="auto"/>
          <w:szCs w:val="21"/>
          <w:highlight w:val="none"/>
        </w:rPr>
        <w:t>”所列的所有内容进行投标，如仅响应分包中某一部分内容，其该包投标将被认定为投标无效。</w:t>
      </w:r>
    </w:p>
    <w:p w14:paraId="4C6D3999">
      <w:pPr>
        <w:pStyle w:val="2"/>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 如一个分包内包含多种产品的，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将在投标人须知表10.3款中载明核心产品，多家投标人提供的核心产品品牌相同的，按照第四章“评标办法”第3款“同一品牌产品”规定处理。</w:t>
      </w:r>
    </w:p>
    <w:p w14:paraId="4DBDEA1C">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10.4 无论招标文件第三章</w:t>
      </w:r>
      <w:r>
        <w:rPr>
          <w:rFonts w:hint="eastAsia" w:ascii="宋体" w:hAnsi="宋体" w:eastAsia="宋体" w:cs="宋体"/>
          <w:color w:val="auto"/>
          <w:szCs w:val="21"/>
          <w:highlight w:val="none"/>
          <w:lang w:eastAsia="zh-CN"/>
        </w:rPr>
        <w:t>采购需求</w:t>
      </w:r>
      <w:r>
        <w:rPr>
          <w:rFonts w:hint="eastAsia" w:ascii="宋体" w:hAnsi="宋体" w:eastAsia="宋体" w:cs="宋体"/>
          <w:color w:val="auto"/>
          <w:szCs w:val="21"/>
          <w:highlight w:val="none"/>
        </w:rPr>
        <w:t>中是否要求，投标人所投货物均应符合国家强制性标准。</w:t>
      </w:r>
    </w:p>
    <w:p w14:paraId="068DACAA">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11.投标文件构成</w:t>
      </w:r>
    </w:p>
    <w:p w14:paraId="08EF021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 投标人应完整地按招标文件提供的投标文件格式及要求编写投标文件。投标文件应包括资格证明文件、符合性证明文件、其它材料</w:t>
      </w:r>
      <w:r>
        <w:rPr>
          <w:rFonts w:hint="eastAsia" w:ascii="宋体" w:hAnsi="宋体" w:eastAsia="宋体" w:cs="宋体"/>
          <w:color w:val="auto"/>
          <w:szCs w:val="21"/>
          <w:highlight w:val="none"/>
          <w:lang w:val="en-US" w:eastAsia="zh-CN"/>
        </w:rPr>
        <w:t>及落实政府采购政策证明材料四</w:t>
      </w:r>
      <w:r>
        <w:rPr>
          <w:rFonts w:hint="eastAsia" w:ascii="宋体" w:hAnsi="宋体" w:eastAsia="宋体" w:cs="宋体"/>
          <w:color w:val="auto"/>
          <w:szCs w:val="21"/>
          <w:highlight w:val="none"/>
        </w:rPr>
        <w:t>部分。具体见第二章 投标文件内容及格式。</w:t>
      </w:r>
    </w:p>
    <w:p w14:paraId="3FC4204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投标人应按招标文件提供的格式编写投标文件。招标文件提供标准格式的按标准格式填列，未提供标准格式的可自行拟定。</w:t>
      </w:r>
    </w:p>
    <w:p w14:paraId="3BEF75C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样品或演示要求详见投标人须知表11.3款。</w:t>
      </w:r>
    </w:p>
    <w:p w14:paraId="39534F6F">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12.投标报价</w:t>
      </w:r>
    </w:p>
    <w:p w14:paraId="130E3635">
      <w:pPr>
        <w:adjustRightInd w:val="0"/>
        <w:snapToGrid w:val="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12.1 所有投标均按投标人须知表12.1款中要求货币进行报价。投标人的投标报价应遵守《中华人民共和国价格法》。同时，根据《中华人民共和国政府采购法》第三条的规定，为保证公平竞争，如有货物主体部分的赠与行为，其投标将被认定为投标无效。</w:t>
      </w:r>
    </w:p>
    <w:p w14:paraId="7FD94B87">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12.2投标价格应为投标货物（包括备品备件、专用工具等）的出厂价格（包括已在中国国内的进口货物完税后的交货价）、购买货物和伴随服务需缴纳的所有税费、运输费、保险费、装卸费、安装及调试费、检验费、技术服务费和培训费等完成所需的一切费用。</w:t>
      </w:r>
    </w:p>
    <w:p w14:paraId="5AEBE25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 投标人应按招标文件要求在相关表格中标明投标货物及伴随服务的单价和总价，并由法定代表人（非法人组织的负责人）或其委托代理人签署。</w:t>
      </w:r>
    </w:p>
    <w:p w14:paraId="353929D5">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12.4  投标人所报的各分项投标单价在合同履行过程中是固定不变的，不得以任何理由予以变更。任何包含价格调整要求的投标，其投标将被认定为投标无效。</w:t>
      </w:r>
    </w:p>
    <w:p w14:paraId="28CB28F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12.5  每种货物只能有一个投标报价。</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不接受具有附加条件的报价。</w:t>
      </w:r>
    </w:p>
    <w:p w14:paraId="3DFDF11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12.6除非招标文件另有规定，报价原则上精确到小数点后两位。</w:t>
      </w:r>
    </w:p>
    <w:p w14:paraId="1285A066">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13.投标保证金</w:t>
      </w:r>
    </w:p>
    <w:p w14:paraId="76A4F72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投标人应提交投标人须知表13.1款中规定的投标保证金，并作为其投标的一部分。</w:t>
      </w:r>
    </w:p>
    <w:p w14:paraId="61E7A3DE">
      <w:pPr>
        <w:adjustRightInd w:val="0"/>
        <w:snapToGrid w:val="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13.2投标保证金缴纳人、招标文件领取人、投标登记人和投标人必须为同一组织机构或联合体内不同成员单位，否则将视同未按招标文件规定交纳投标保证金。</w:t>
      </w:r>
    </w:p>
    <w:p w14:paraId="73147FEF">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13.3  投标人存在下列情形的，投标保证金不予退还:</w:t>
      </w:r>
    </w:p>
    <w:p w14:paraId="2843F7E8">
      <w:pPr>
        <w:adjustRightInd w:val="0"/>
        <w:snapToGrid w:val="0"/>
        <w:ind w:left="420" w:left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(1)在投标有效期内，投标人撤销投标的;</w:t>
      </w:r>
    </w:p>
    <w:p w14:paraId="25C0D098">
      <w:pPr>
        <w:adjustRightInd w:val="0"/>
        <w:snapToGrid w:val="0"/>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(2)中标后不按本须知第34款的规定与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签订合同的;</w:t>
      </w:r>
    </w:p>
    <w:p w14:paraId="01B5B241">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(3)中标后不按本须知第35款的规定提交履约保证金的;</w:t>
      </w:r>
    </w:p>
    <w:p w14:paraId="3D614D6B">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(4)中标后不按本须知第36款的规定缴纳招标代理服务费的;</w:t>
      </w:r>
    </w:p>
    <w:p w14:paraId="7E72F6CC">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(5)存在其他违法违规行为的。</w:t>
      </w:r>
    </w:p>
    <w:p w14:paraId="4A667AA0">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13.4  联合体投标的，可以由联合体中的一方或者共同提交投标保证金。以一方名义提交投标保证金的，对联合体各方均具有约束力。</w:t>
      </w:r>
    </w:p>
    <w:p w14:paraId="5E1C6595">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13.5  投标保证金的退还</w:t>
      </w:r>
    </w:p>
    <w:p w14:paraId="25934F28">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13.5.1  中标人应在与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签订合同之日起5个工作日内，及时联系保证金收受机构办理投标保证金退还手续。</w:t>
      </w:r>
    </w:p>
    <w:p w14:paraId="031B9C7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13.5.2 未中标投标人的投标保证金将在中标通知书发出之日暨中标结果公告公布之日起5个工作日内无息退还。投标人应及时联系保证金收受机构办理退还投标保证金手续。</w:t>
      </w:r>
    </w:p>
    <w:p w14:paraId="4B4404C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13.5.3投标人在投标截止时间前撤回已提交的投标文件的，投标人应自</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收到投标人书面撤回通知之日起５个工作日内，及时联系保证金收受机构办理投标保证金退还手续。</w:t>
      </w:r>
    </w:p>
    <w:p w14:paraId="3046EFBB">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13.5.4 采购投标担保函不予退回。</w:t>
      </w:r>
    </w:p>
    <w:p w14:paraId="4A2C5D9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13.6 因投标人自身原因导致无法及时退还的，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将不承担相应责任。</w:t>
      </w:r>
    </w:p>
    <w:p w14:paraId="246AEC08">
      <w:pPr>
        <w:adjustRightInd w:val="0"/>
        <w:snapToGrid w:val="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14. 证明投标标的的合格性和符合招标文件规定的技术文件</w:t>
      </w:r>
    </w:p>
    <w:p w14:paraId="0F321D5E">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14.1  投标人应提交证明文件，证明其投标内容符合招标文件规定。该证明文件是投标文件的一部分。</w:t>
      </w:r>
    </w:p>
    <w:p w14:paraId="661BD6E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上款所述的证明文件，可以是文字资料、图纸和数据，它包括：</w:t>
      </w:r>
    </w:p>
    <w:p w14:paraId="1465DEF6">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14.2.1货物主要技术指标和性能的详细说明；</w:t>
      </w:r>
    </w:p>
    <w:p w14:paraId="3C1943A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 货物从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开始使用至招标文件规定的保质期内正常、连续地使用所必须的备件和专用工具清单，包括备件和专用工具的货源及现行价格;</w:t>
      </w:r>
    </w:p>
    <w:p w14:paraId="3A2C9437">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 对照招标文件技术规格，逐条说明所提供货物及伴随的工程和服务已对招标文件的技术规格做出了实质性的响应，或申明与技术规格条文的偏差和例外。</w:t>
      </w:r>
    </w:p>
    <w:p w14:paraId="191B7287">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15.投标有效期</w:t>
      </w:r>
    </w:p>
    <w:p w14:paraId="644E9347">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15.1 投标应在投标人须知表15.1款中规定的投标有效期内保持有效。投标有效期不满足要求的投标，其投标将被认定为投标无效。</w:t>
      </w:r>
    </w:p>
    <w:p w14:paraId="4DE820FB">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 在特殊情况下，</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可根据实际情况，在原投标有效期截止之前，要求投标人延长投标文件的有效期。接受该要求的投标人将不会被要求和允许修正其投标，且本须知中有关投标保证金的要求须在延长的有效期内继续有效。投标人可以拒绝延长投标有效期的要求，其投标保证金将及时无息退还。上述要求和答复都应以书面形式提交。</w:t>
      </w:r>
    </w:p>
    <w:p w14:paraId="7C6D7453">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rPr>
        <w:t>投标文件的签署及规定</w:t>
      </w:r>
    </w:p>
    <w:p w14:paraId="2B228164">
      <w:pPr>
        <w:adjustRightInd w:val="0"/>
        <w:snapToGrid w:val="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16.1 投标人应按投标人须知表16.1款中的规定，准备和递交投标文件正本、副本</w:t>
      </w:r>
      <w:r>
        <w:rPr>
          <w:rFonts w:hint="eastAsia" w:ascii="宋体" w:hAnsi="宋体" w:eastAsia="宋体" w:cs="宋体"/>
          <w:color w:val="auto"/>
          <w:szCs w:val="21"/>
          <w:highlight w:val="none"/>
          <w:lang w:val="en-US" w:eastAsia="zh-CN"/>
        </w:rPr>
        <w:t>和电子文档</w:t>
      </w:r>
      <w:r>
        <w:rPr>
          <w:rFonts w:hint="eastAsia" w:ascii="宋体" w:hAnsi="宋体" w:eastAsia="宋体" w:cs="宋体"/>
          <w:color w:val="auto"/>
          <w:szCs w:val="21"/>
          <w:highlight w:val="none"/>
        </w:rPr>
        <w:t>，每份投标文件封皮须清楚地标明“正本”或“副本”。若正本和副本不符，以正本为准。</w:t>
      </w:r>
    </w:p>
    <w:p w14:paraId="0DA9CDE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投标文件的正本需打印或用不褪色墨水书写，并由投标人的法定代表人（非法人组织负责人）或经其正式委托代理人按招标文件规定在投标文件上签字或盖章，并加盖单位印章。委托代理人须持有书面的“法定代表人（非法人组织负责人）授权委托书”，并将其附在投标文件中。如对投标文件进行了修改，则应由投标人的法定代表人（非法人组织负责人）或其委托代理人在每一修改处签字。投标文件的副本可采用正本的复印件。</w:t>
      </w:r>
    </w:p>
    <w:p w14:paraId="41285BBC">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16.3 所有投标文件采用不可拆装的胶订方式装订，否则其投标将被认定为投标无效。</w:t>
      </w:r>
    </w:p>
    <w:p w14:paraId="1427589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16.4 投标文件因字迹潦草无法辨认、表达不清或装订不当所引起的后果由投标人负责。</w:t>
      </w:r>
    </w:p>
    <w:p w14:paraId="2FD9D556">
      <w:pPr>
        <w:pStyle w:val="4"/>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五 投标文件的递交</w:t>
      </w:r>
    </w:p>
    <w:p w14:paraId="4FBD5439">
      <w:pPr>
        <w:numPr>
          <w:ilvl w:val="0"/>
          <w:numId w:val="6"/>
        </w:numPr>
        <w:adjustRightInd w:val="0"/>
        <w:snapToGrid w:val="0"/>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投标文件的密封</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标记</w:t>
      </w:r>
      <w:r>
        <w:rPr>
          <w:rFonts w:hint="eastAsia" w:ascii="宋体" w:hAnsi="宋体" w:eastAsia="宋体" w:cs="宋体"/>
          <w:b/>
          <w:bCs/>
          <w:color w:val="auto"/>
          <w:szCs w:val="21"/>
          <w:highlight w:val="none"/>
          <w:lang w:val="en-US" w:eastAsia="zh-CN"/>
        </w:rPr>
        <w:t>及递交</w:t>
      </w:r>
    </w:p>
    <w:p w14:paraId="1A2CCF5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 投标人应将投标文件装订成册、密封，将正本和所有的副本密封，并进行包封。</w:t>
      </w:r>
    </w:p>
    <w:p w14:paraId="614930B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 所有包装封皮上均应：</w:t>
      </w:r>
    </w:p>
    <w:p w14:paraId="289E0AE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（1）注明采购项目名称、</w:t>
      </w:r>
      <w:r>
        <w:rPr>
          <w:rFonts w:hint="eastAsia" w:ascii="宋体" w:hAnsi="宋体" w:eastAsia="宋体" w:cs="宋体"/>
          <w:color w:val="auto"/>
          <w:szCs w:val="21"/>
          <w:highlight w:val="none"/>
          <w:lang w:eastAsia="zh-CN"/>
        </w:rPr>
        <w:t>采购计划编号</w:t>
      </w:r>
      <w:r>
        <w:rPr>
          <w:rFonts w:hint="eastAsia" w:ascii="宋体" w:hAnsi="宋体" w:eastAsia="宋体" w:cs="宋体"/>
          <w:color w:val="auto"/>
          <w:szCs w:val="21"/>
          <w:highlight w:val="none"/>
        </w:rPr>
        <w:t>、包组号、投标人名称和“在（开标时间）之前不得启封”的字样。</w:t>
      </w:r>
    </w:p>
    <w:p w14:paraId="1B7766C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（2）在封口处加盖投标人单位公章。</w:t>
      </w:r>
    </w:p>
    <w:p w14:paraId="2722D9B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 如果投标人未按上述要求密封，其投标文件将被</w:t>
      </w:r>
      <w:r>
        <w:rPr>
          <w:rFonts w:hint="eastAsia" w:ascii="宋体" w:hAnsi="宋体" w:eastAsia="宋体" w:cs="宋体"/>
          <w:b/>
          <w:bCs/>
          <w:color w:val="auto"/>
          <w:szCs w:val="21"/>
          <w:highlight w:val="none"/>
        </w:rPr>
        <w:t>拒绝接收</w:t>
      </w:r>
      <w:r>
        <w:rPr>
          <w:rFonts w:hint="eastAsia" w:ascii="宋体" w:hAnsi="宋体" w:eastAsia="宋体" w:cs="宋体"/>
          <w:color w:val="auto"/>
          <w:szCs w:val="21"/>
          <w:highlight w:val="none"/>
        </w:rPr>
        <w:t>。</w:t>
      </w:r>
    </w:p>
    <w:p w14:paraId="400C7233">
      <w:pPr>
        <w:numPr>
          <w:ilvl w:val="0"/>
          <w:numId w:val="0"/>
        </w:numPr>
        <w:adjustRightInd w:val="0"/>
        <w:snapToGrid w:val="0"/>
        <w:ind w:leftChars="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 xml:space="preserve">17.4 </w:t>
      </w:r>
      <w:r>
        <w:rPr>
          <w:rFonts w:hint="eastAsia" w:ascii="宋体" w:hAnsi="宋体" w:eastAsia="宋体" w:cs="宋体"/>
          <w:b/>
          <w:bCs/>
          <w:color w:val="auto"/>
          <w:szCs w:val="21"/>
          <w:highlight w:val="none"/>
        </w:rPr>
        <w:t>投标人须于投标截止时间前将电子投标文件上传到产权招标交易系统并完成在线投标。</w:t>
      </w:r>
    </w:p>
    <w:p w14:paraId="099F04A8">
      <w:pPr>
        <w:numPr>
          <w:ilvl w:val="0"/>
          <w:numId w:val="7"/>
        </w:num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投标截止</w:t>
      </w:r>
    </w:p>
    <w:p w14:paraId="3DBFDBA8">
      <w:pPr>
        <w:pStyle w:val="6"/>
        <w:rPr>
          <w:rFonts w:hint="eastAsia" w:ascii="宋体" w:hAnsi="宋体" w:eastAsia="宋体" w:cs="宋体"/>
          <w:b w:val="0"/>
          <w:bCs w:val="0"/>
          <w:color w:val="auto"/>
          <w:szCs w:val="21"/>
          <w:highlight w:val="none"/>
        </w:rPr>
      </w:pPr>
      <w:r>
        <w:rPr>
          <w:rFonts w:hint="eastAsia" w:ascii="宋体" w:hAnsi="宋体" w:eastAsia="宋体" w:cs="宋体"/>
          <w:b w:val="0"/>
          <w:bCs w:val="0"/>
          <w:color w:val="auto"/>
          <w:kern w:val="2"/>
          <w:sz w:val="21"/>
          <w:szCs w:val="21"/>
          <w:highlight w:val="none"/>
          <w:lang w:val="en-US" w:eastAsia="zh-CN" w:bidi="ar-SA"/>
        </w:rPr>
        <w:t>18.1 投标人应在招标公告中规定的递交投标文件截止时间前，将投标文件递交到招标公告中规定的地点。</w:t>
      </w:r>
    </w:p>
    <w:p w14:paraId="4F577D6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有权按本须知的规定，延迟投标截止时间。在此情况下，</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和投标人受投标截止时间制约的所有权利和义务均应延长至新的截止时间。</w:t>
      </w:r>
    </w:p>
    <w:p w14:paraId="2BC169B4">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19. 投标文件的接收、修改与撤回</w:t>
      </w:r>
    </w:p>
    <w:p w14:paraId="455AF2B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投标人在韶关市公共资源交易一体化平台“产权招标交易系统”成功上传投标文件后，在电子投标截止时间前</w:t>
      </w:r>
      <w:r>
        <w:rPr>
          <w:rFonts w:hint="eastAsia" w:ascii="宋体" w:hAnsi="宋体" w:eastAsia="宋体" w:cs="宋体"/>
          <w:b/>
          <w:bCs/>
          <w:color w:val="auto"/>
          <w:szCs w:val="21"/>
          <w:highlight w:val="none"/>
          <w:u w:val="none"/>
        </w:rPr>
        <w:t>可以撤回其投标</w:t>
      </w:r>
      <w:r>
        <w:rPr>
          <w:rFonts w:hint="eastAsia" w:ascii="宋体" w:hAnsi="宋体" w:eastAsia="宋体" w:cs="宋体"/>
          <w:color w:val="auto"/>
          <w:szCs w:val="21"/>
          <w:highlight w:val="none"/>
        </w:rPr>
        <w:t>。</w:t>
      </w:r>
    </w:p>
    <w:p w14:paraId="2D462002">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纸质投标文件在投标截止时间后送达的，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w:t>
      </w:r>
      <w:r>
        <w:rPr>
          <w:rFonts w:hint="eastAsia" w:ascii="宋体" w:hAnsi="宋体" w:eastAsia="宋体" w:cs="宋体"/>
          <w:b/>
          <w:bCs/>
          <w:color w:val="auto"/>
          <w:szCs w:val="21"/>
          <w:highlight w:val="none"/>
        </w:rPr>
        <w:t>拒绝接收</w:t>
      </w:r>
      <w:r>
        <w:rPr>
          <w:rFonts w:hint="eastAsia" w:ascii="宋体" w:hAnsi="宋体" w:eastAsia="宋体" w:cs="宋体"/>
          <w:color w:val="auto"/>
          <w:szCs w:val="21"/>
          <w:highlight w:val="none"/>
        </w:rPr>
        <w:t>。</w:t>
      </w:r>
    </w:p>
    <w:p w14:paraId="4D947FA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19.3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收到</w:t>
      </w:r>
      <w:r>
        <w:rPr>
          <w:rFonts w:hint="eastAsia" w:ascii="宋体" w:hAnsi="宋体" w:eastAsia="宋体" w:cs="宋体"/>
          <w:color w:val="auto"/>
          <w:szCs w:val="21"/>
          <w:highlight w:val="none"/>
          <w:lang w:val="en-US" w:eastAsia="zh-CN"/>
        </w:rPr>
        <w:t>纸质</w:t>
      </w:r>
      <w:r>
        <w:rPr>
          <w:rFonts w:hint="eastAsia" w:ascii="宋体" w:hAnsi="宋体" w:eastAsia="宋体" w:cs="宋体"/>
          <w:color w:val="auto"/>
          <w:szCs w:val="21"/>
          <w:highlight w:val="none"/>
        </w:rPr>
        <w:t>投标文件后，应当如实记载投标文件的送达时间和密封情况，并向投标人出具以下签收回执。</w:t>
      </w:r>
    </w:p>
    <w:p w14:paraId="54660696">
      <w:pPr>
        <w:adjustRightInd w:val="0"/>
        <w:snapToGrid w:val="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接收投标文件回执单</w:t>
      </w:r>
    </w:p>
    <w:tbl>
      <w:tblPr>
        <w:tblStyle w:val="17"/>
        <w:tblW w:w="7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5396"/>
      </w:tblGrid>
      <w:tr w14:paraId="1104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520762C5">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采购项目名称</w:t>
            </w:r>
          </w:p>
        </w:tc>
        <w:tc>
          <w:tcPr>
            <w:tcW w:w="5396" w:type="dxa"/>
            <w:noWrap w:val="0"/>
            <w:vAlign w:val="center"/>
          </w:tcPr>
          <w:p w14:paraId="52EEC4D9">
            <w:pPr>
              <w:adjustRightInd w:val="0"/>
              <w:snapToGrid w:val="0"/>
              <w:jc w:val="center"/>
              <w:rPr>
                <w:rFonts w:hint="eastAsia" w:ascii="宋体" w:hAnsi="宋体" w:eastAsia="宋体" w:cs="宋体"/>
                <w:color w:val="auto"/>
                <w:szCs w:val="21"/>
                <w:highlight w:val="none"/>
              </w:rPr>
            </w:pPr>
          </w:p>
        </w:tc>
      </w:tr>
      <w:tr w14:paraId="64E2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06809592">
            <w:pPr>
              <w:adjustRightInd w:val="0"/>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采购计划编号</w:t>
            </w:r>
          </w:p>
        </w:tc>
        <w:tc>
          <w:tcPr>
            <w:tcW w:w="5396" w:type="dxa"/>
            <w:noWrap w:val="0"/>
            <w:vAlign w:val="center"/>
          </w:tcPr>
          <w:p w14:paraId="582863CA">
            <w:pPr>
              <w:adjustRightInd w:val="0"/>
              <w:snapToGrid w:val="0"/>
              <w:jc w:val="center"/>
              <w:rPr>
                <w:rFonts w:hint="eastAsia" w:ascii="宋体" w:hAnsi="宋体" w:eastAsia="宋体" w:cs="宋体"/>
                <w:color w:val="auto"/>
                <w:szCs w:val="21"/>
                <w:highlight w:val="none"/>
              </w:rPr>
            </w:pPr>
          </w:p>
        </w:tc>
      </w:tr>
      <w:tr w14:paraId="228B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703F5973">
            <w:pPr>
              <w:adjustRightInd w:val="0"/>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项目编号</w:t>
            </w:r>
          </w:p>
        </w:tc>
        <w:tc>
          <w:tcPr>
            <w:tcW w:w="5396" w:type="dxa"/>
            <w:noWrap w:val="0"/>
            <w:vAlign w:val="center"/>
          </w:tcPr>
          <w:p w14:paraId="7566E972">
            <w:pPr>
              <w:adjustRightInd w:val="0"/>
              <w:snapToGrid w:val="0"/>
              <w:jc w:val="center"/>
              <w:rPr>
                <w:rFonts w:hint="eastAsia" w:ascii="宋体" w:hAnsi="宋体" w:eastAsia="宋体" w:cs="宋体"/>
                <w:color w:val="auto"/>
                <w:szCs w:val="21"/>
                <w:highlight w:val="none"/>
              </w:rPr>
            </w:pPr>
          </w:p>
        </w:tc>
      </w:tr>
      <w:tr w14:paraId="34FB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3A3781F1">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5396" w:type="dxa"/>
            <w:noWrap w:val="0"/>
            <w:vAlign w:val="center"/>
          </w:tcPr>
          <w:p w14:paraId="26B74879">
            <w:pPr>
              <w:adjustRightInd w:val="0"/>
              <w:snapToGrid w:val="0"/>
              <w:jc w:val="center"/>
              <w:rPr>
                <w:rFonts w:hint="eastAsia" w:ascii="宋体" w:hAnsi="宋体" w:eastAsia="宋体" w:cs="宋体"/>
                <w:color w:val="auto"/>
                <w:szCs w:val="21"/>
                <w:highlight w:val="none"/>
              </w:rPr>
            </w:pPr>
          </w:p>
        </w:tc>
      </w:tr>
      <w:tr w14:paraId="3158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4D51FD89">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递交时间</w:t>
            </w:r>
          </w:p>
        </w:tc>
        <w:tc>
          <w:tcPr>
            <w:tcW w:w="5396" w:type="dxa"/>
            <w:noWrap w:val="0"/>
            <w:vAlign w:val="center"/>
          </w:tcPr>
          <w:p w14:paraId="27582541">
            <w:pPr>
              <w:adjustRightInd w:val="0"/>
              <w:snapToGrid w:val="0"/>
              <w:jc w:val="center"/>
              <w:rPr>
                <w:rFonts w:hint="eastAsia" w:ascii="宋体" w:hAnsi="宋体" w:eastAsia="宋体" w:cs="宋体"/>
                <w:color w:val="auto"/>
                <w:szCs w:val="21"/>
                <w:highlight w:val="none"/>
              </w:rPr>
            </w:pPr>
          </w:p>
        </w:tc>
      </w:tr>
      <w:tr w14:paraId="05B5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29F00CCF">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接收单位</w:t>
            </w:r>
          </w:p>
        </w:tc>
        <w:tc>
          <w:tcPr>
            <w:tcW w:w="5396" w:type="dxa"/>
            <w:noWrap w:val="0"/>
            <w:vAlign w:val="center"/>
          </w:tcPr>
          <w:p w14:paraId="1A279C35">
            <w:pPr>
              <w:adjustRightInd w:val="0"/>
              <w:snapToGrid w:val="0"/>
              <w:jc w:val="center"/>
              <w:rPr>
                <w:rFonts w:hint="eastAsia" w:ascii="宋体" w:hAnsi="宋体" w:eastAsia="宋体" w:cs="宋体"/>
                <w:color w:val="auto"/>
                <w:szCs w:val="21"/>
                <w:highlight w:val="none"/>
              </w:rPr>
            </w:pPr>
          </w:p>
        </w:tc>
      </w:tr>
      <w:tr w14:paraId="483D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4" w:type="dxa"/>
            <w:noWrap w:val="0"/>
            <w:vAlign w:val="center"/>
          </w:tcPr>
          <w:p w14:paraId="23FCF6E5">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接收人签字</w:t>
            </w:r>
          </w:p>
        </w:tc>
        <w:tc>
          <w:tcPr>
            <w:tcW w:w="5396" w:type="dxa"/>
            <w:noWrap w:val="0"/>
            <w:vAlign w:val="center"/>
          </w:tcPr>
          <w:p w14:paraId="5A0F0139">
            <w:pPr>
              <w:adjustRightInd w:val="0"/>
              <w:snapToGrid w:val="0"/>
              <w:jc w:val="center"/>
              <w:rPr>
                <w:rFonts w:hint="eastAsia" w:ascii="宋体" w:hAnsi="宋体" w:eastAsia="宋体" w:cs="宋体"/>
                <w:color w:val="auto"/>
                <w:szCs w:val="21"/>
                <w:highlight w:val="none"/>
              </w:rPr>
            </w:pPr>
          </w:p>
        </w:tc>
      </w:tr>
    </w:tbl>
    <w:p w14:paraId="234346B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递交投标文件以后，如果投标人要进行修改或撤回投标，须提出书面申请并在投标截止时间前送达开标地点，投标人对投标文件的修改或撤回通知应按本须知规定编制、密封、标记。</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将予以接收，并视为投标文件的组成部分。否则，修改后的投标文件或撤回行为无效。</w:t>
      </w:r>
    </w:p>
    <w:p w14:paraId="27017D2F">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 xml:space="preserve"> 在投标截止时间之后，投标人不得对其</w:t>
      </w:r>
      <w:r>
        <w:rPr>
          <w:rFonts w:hint="eastAsia" w:ascii="宋体" w:hAnsi="宋体" w:eastAsia="宋体" w:cs="宋体"/>
          <w:color w:val="auto"/>
          <w:szCs w:val="21"/>
          <w:highlight w:val="none"/>
          <w:lang w:val="en-US" w:eastAsia="zh-CN"/>
        </w:rPr>
        <w:t>纸质</w:t>
      </w:r>
      <w:r>
        <w:rPr>
          <w:rFonts w:hint="eastAsia" w:ascii="宋体" w:hAnsi="宋体" w:eastAsia="宋体" w:cs="宋体"/>
          <w:color w:val="auto"/>
          <w:szCs w:val="21"/>
          <w:highlight w:val="none"/>
        </w:rPr>
        <w:t>投标文件做任何修改。</w:t>
      </w:r>
    </w:p>
    <w:p w14:paraId="07F3F0B4">
      <w:pPr>
        <w:adjustRightInd w:val="0"/>
        <w:snapToGrid w:val="0"/>
        <w:rPr>
          <w:rFonts w:hint="eastAsia"/>
          <w:color w:val="auto"/>
          <w:highlight w:val="none"/>
        </w:rPr>
      </w:pPr>
      <w:r>
        <w:rPr>
          <w:rFonts w:hint="eastAsia" w:ascii="宋体" w:hAnsi="宋体" w:eastAsia="宋体" w:cs="宋体"/>
          <w:color w:val="auto"/>
          <w:szCs w:val="21"/>
          <w:highlight w:val="none"/>
        </w:rPr>
        <w:t>19.</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对所接收并当众宣读投标内容的投标文件概不退回。</w:t>
      </w:r>
    </w:p>
    <w:p w14:paraId="3A15C0D4">
      <w:pPr>
        <w:pStyle w:val="4"/>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六 开标及评标</w:t>
      </w:r>
    </w:p>
    <w:p w14:paraId="1D09130D">
      <w:pPr>
        <w:pStyle w:val="10"/>
        <w:adjustRightInd w:val="0"/>
        <w:snapToGrid w:val="0"/>
        <w:spacing w:line="360" w:lineRule="auto"/>
        <w:ind w:left="420" w:hanging="422" w:hangingChars="20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20. 开标（电子开标）</w:t>
      </w:r>
    </w:p>
    <w:p w14:paraId="5ECF3C92">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20.1 招标代理机构在《招标公告》中规定的日期、时间和地点组织公开开标。开标时原则上应当有招标人代表和投标人代表参加。参加开标的代表应签到以证明其出席。</w:t>
      </w:r>
    </w:p>
    <w:p w14:paraId="6A265823">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 开标时，主持人进入开标会议后，页面上将进行开标倒计时。到达开标时间后，主持人宣读“开标会议议程”，议程宣读完成后进行开标，点击“开始开标，下一步”，显示投标企业公司名，授权代表名称等信息，下一步进入“文件解密”环节。主持人点击“主持人解密”环节，并插入 CA 进行认证后，对投标电子标书进行解密操作。文件解密完成后，参会人员确认内容和电子投标书的有效性。点击“文件解密完成，进入评标环节”，进入评标环节。纸质标书由投标人或其推选的代表检查投标文件的密封情况，或由招标人委托的机构检查并见证，经确认无误后由招标代理机构保管，在电子评标过程无异常时，不需要拆封使用。</w:t>
      </w:r>
    </w:p>
    <w:p w14:paraId="3FE1B8B3">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20.3 招标人或招标代理机构将对开标过程进行记录，由参加开标的各投标人代表和相关工作人员签字确认，并存档备查。投标人未参加开标或未签字确认的，视同认可开标结果。</w:t>
      </w:r>
    </w:p>
    <w:p w14:paraId="5E214411">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20.4 投标人代表对开标过程和开标记录有疑义，以及认为招标人、招标代理机构相关工作人员有需要回避的情形的，应当场提出询问或者回避申请。</w:t>
      </w:r>
    </w:p>
    <w:p w14:paraId="4FDBB3C3">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20.5 开标结束后，招标人或者招标代理机构或评标委员会依法对投标人的资格进行审查。</w:t>
      </w:r>
    </w:p>
    <w:p w14:paraId="5FD92A1A">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20.6 开标截止后发现投标人不足三家或通过符合性审查的投标人少于三家时，作废标处理。</w:t>
      </w:r>
    </w:p>
    <w:p w14:paraId="2D2F975B">
      <w:pPr>
        <w:adjustRightInd w:val="0"/>
        <w:snapToGrid w:val="0"/>
        <w:rPr>
          <w:rFonts w:hint="eastAsia" w:ascii="宋体" w:hAnsi="宋体" w:eastAsia="宋体" w:cs="宋体"/>
          <w:b/>
          <w:bCs/>
          <w:color w:val="auto"/>
          <w:szCs w:val="21"/>
          <w:highlight w:val="none"/>
        </w:rPr>
      </w:pPr>
    </w:p>
    <w:p w14:paraId="6817EE36">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 组建评标委员会</w:t>
      </w:r>
    </w:p>
    <w:p w14:paraId="6E713DD2">
      <w:pPr>
        <w:adjustRightInd w:val="0"/>
        <w:snapToGrid w:val="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按照有关规定依法组建评标委员会，负责本项目评标工作。</w:t>
      </w:r>
      <w:r>
        <w:rPr>
          <w:rFonts w:hint="eastAsia" w:ascii="宋体" w:hAnsi="宋体" w:eastAsia="宋体" w:cs="宋体"/>
          <w:b/>
          <w:bCs/>
          <w:color w:val="auto"/>
          <w:szCs w:val="21"/>
          <w:highlight w:val="none"/>
          <w:lang w:val="en-US" w:eastAsia="zh-CN"/>
        </w:rPr>
        <w:t>评标委员会成员由</w:t>
      </w:r>
      <w:r>
        <w:rPr>
          <w:rFonts w:hint="eastAsia" w:ascii="宋体" w:hAnsi="宋体" w:eastAsia="宋体" w:cs="宋体"/>
          <w:b/>
          <w:bCs/>
          <w:color w:val="auto"/>
          <w:szCs w:val="21"/>
          <w:highlight w:val="none"/>
          <w:u w:val="single"/>
          <w:lang w:val="en-US" w:eastAsia="zh-CN"/>
        </w:rPr>
        <w:t xml:space="preserve"> 5 </w:t>
      </w:r>
      <w:r>
        <w:rPr>
          <w:rFonts w:hint="eastAsia" w:ascii="宋体" w:hAnsi="宋体" w:eastAsia="宋体" w:cs="宋体"/>
          <w:b/>
          <w:bCs/>
          <w:color w:val="auto"/>
          <w:szCs w:val="21"/>
          <w:highlight w:val="none"/>
        </w:rPr>
        <w:t>名</w:t>
      </w:r>
      <w:r>
        <w:rPr>
          <w:rFonts w:hint="eastAsia" w:ascii="宋体" w:hAnsi="宋体" w:eastAsia="宋体" w:cs="宋体"/>
          <w:b/>
          <w:bCs/>
          <w:color w:val="auto"/>
          <w:szCs w:val="21"/>
          <w:highlight w:val="none"/>
          <w:lang w:eastAsia="zh-CN"/>
        </w:rPr>
        <w:t>单数成员组成</w:t>
      </w:r>
      <w:r>
        <w:rPr>
          <w:rFonts w:hint="eastAsia" w:ascii="宋体" w:hAnsi="宋体" w:eastAsia="宋体" w:cs="宋体"/>
          <w:b/>
          <w:bCs/>
          <w:color w:val="auto"/>
          <w:szCs w:val="21"/>
          <w:highlight w:val="none"/>
          <w:lang w:val="en-US" w:eastAsia="zh-CN"/>
        </w:rPr>
        <w:t>。</w:t>
      </w:r>
    </w:p>
    <w:p w14:paraId="22B31524">
      <w:pPr>
        <w:adjustRightInd w:val="0"/>
        <w:snapToGrid w:val="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 xml:space="preserve">22. </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rPr>
        <w:t>资格审查</w:t>
      </w:r>
    </w:p>
    <w:p w14:paraId="60CC6B06">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22.1 </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lang w:eastAsia="zh-CN"/>
        </w:rPr>
        <w:t>招标人</w:t>
      </w:r>
      <w:r>
        <w:rPr>
          <w:rFonts w:hint="eastAsia" w:ascii="宋体" w:hAnsi="宋体" w:eastAsia="宋体" w:cs="宋体"/>
          <w:b/>
          <w:bCs/>
          <w:color w:val="auto"/>
          <w:szCs w:val="21"/>
          <w:highlight w:val="none"/>
        </w:rPr>
        <w:t>或</w:t>
      </w:r>
      <w:r>
        <w:rPr>
          <w:rFonts w:hint="eastAsia" w:ascii="宋体" w:hAnsi="宋体" w:eastAsia="宋体" w:cs="宋体"/>
          <w:b/>
          <w:bCs/>
          <w:color w:val="auto"/>
          <w:szCs w:val="21"/>
          <w:highlight w:val="none"/>
          <w:lang w:eastAsia="zh-CN"/>
        </w:rPr>
        <w:t>招标代理机构</w:t>
      </w:r>
      <w:r>
        <w:rPr>
          <w:rFonts w:hint="eastAsia" w:ascii="宋体" w:hAnsi="宋体" w:eastAsia="宋体" w:cs="宋体"/>
          <w:b/>
          <w:bCs/>
          <w:color w:val="auto"/>
          <w:szCs w:val="21"/>
          <w:highlight w:val="none"/>
        </w:rPr>
        <w:t>依据法律法规和招标文件中规定的内容，对投标人的资格进行审查，投标人应按照第二章《投标文件内容及格式》中的相应要求提交资格证明材料。未通过资格审查的投标人不能进入评标，其投标将被认定为投标无效；通过资格审查的投标人不足3家的，不得评标。</w:t>
      </w:r>
    </w:p>
    <w:p w14:paraId="06610419">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22.2 </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lang w:eastAsia="zh-CN"/>
        </w:rPr>
        <w:t>招标人</w:t>
      </w:r>
      <w:r>
        <w:rPr>
          <w:rFonts w:hint="eastAsia" w:ascii="宋体" w:hAnsi="宋体" w:eastAsia="宋体" w:cs="宋体"/>
          <w:b/>
          <w:bCs/>
          <w:color w:val="auto"/>
          <w:szCs w:val="21"/>
          <w:highlight w:val="none"/>
        </w:rPr>
        <w:t>或</w:t>
      </w:r>
      <w:r>
        <w:rPr>
          <w:rFonts w:hint="eastAsia" w:ascii="宋体" w:hAnsi="宋体" w:eastAsia="宋体" w:cs="宋体"/>
          <w:b/>
          <w:bCs/>
          <w:color w:val="auto"/>
          <w:szCs w:val="21"/>
          <w:highlight w:val="none"/>
          <w:lang w:eastAsia="zh-CN"/>
        </w:rPr>
        <w:t>招标代理机构</w:t>
      </w:r>
      <w:r>
        <w:rPr>
          <w:rFonts w:hint="eastAsia" w:ascii="宋体" w:hAnsi="宋体" w:eastAsia="宋体" w:cs="宋体"/>
          <w:b/>
          <w:bCs/>
          <w:color w:val="auto"/>
          <w:szCs w:val="21"/>
          <w:highlight w:val="none"/>
        </w:rPr>
        <w:t>将在投标截止日当天查询投标人的信用记录。投标人存在不良信用记录的，其投标将被认定为投标无效。</w:t>
      </w:r>
    </w:p>
    <w:p w14:paraId="74F0CA80">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22.2.1 不良信用记录指：投标人在中国政府采购网（www.ccgp.gov.cn）被列入政府采购严重违法失信行为记录名单，或在“信用中国”网站（www.creditchina.gov.cn）被列入失信被执行人、重大税收违法</w:t>
      </w:r>
      <w:r>
        <w:rPr>
          <w:rFonts w:hint="eastAsia" w:ascii="宋体" w:hAnsi="宋体" w:eastAsia="宋体" w:cs="宋体"/>
          <w:color w:val="auto"/>
          <w:szCs w:val="21"/>
          <w:highlight w:val="none"/>
          <w:lang w:val="en-US" w:eastAsia="zh-CN"/>
        </w:rPr>
        <w:t>失信主体</w:t>
      </w:r>
      <w:r>
        <w:rPr>
          <w:rFonts w:hint="eastAsia" w:ascii="宋体" w:hAnsi="宋体" w:eastAsia="宋体" w:cs="宋体"/>
          <w:color w:val="auto"/>
          <w:szCs w:val="21"/>
          <w:highlight w:val="none"/>
        </w:rPr>
        <w:t>，以及存在《中华人民共和国政府采购法实施条例》第十九条规定的行政处罚记录。</w:t>
      </w:r>
    </w:p>
    <w:p w14:paraId="0591CECA">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以联合体形式参加投标的，联合体任何成员存在以上不良信用记录的，联合体投标将被认定为</w:t>
      </w:r>
      <w:r>
        <w:rPr>
          <w:rFonts w:hint="eastAsia" w:ascii="宋体" w:hAnsi="宋体" w:eastAsia="宋体" w:cs="宋体"/>
          <w:b/>
          <w:bCs/>
          <w:color w:val="auto"/>
          <w:szCs w:val="21"/>
          <w:highlight w:val="none"/>
        </w:rPr>
        <w:t>投标无效</w:t>
      </w:r>
      <w:r>
        <w:rPr>
          <w:rFonts w:hint="eastAsia" w:ascii="宋体" w:hAnsi="宋体" w:eastAsia="宋体" w:cs="宋体"/>
          <w:color w:val="auto"/>
          <w:szCs w:val="21"/>
          <w:highlight w:val="none"/>
        </w:rPr>
        <w:t>。</w:t>
      </w:r>
    </w:p>
    <w:p w14:paraId="10FDCFA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22.2.2 查询及记录方式：</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经办人将查询网页打印并存档备查。投标人不良信用记录以</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查询结果为准。</w:t>
      </w:r>
    </w:p>
    <w:p w14:paraId="30740E9B">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在本招标文件规定的查询时间之后，网站信息发生的任何变更均不再作为评标依据。</w:t>
      </w:r>
    </w:p>
    <w:p w14:paraId="4C4C5EB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投标人自行提供的与网站信息不一致的其他证明材料亦不作为资格审查依据。</w:t>
      </w:r>
    </w:p>
    <w:p w14:paraId="7E946C99">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23.符合性审查</w:t>
      </w:r>
    </w:p>
    <w:p w14:paraId="1327DBA1">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    符合性检查是指依据招标文件的规定，从投标文件的有效性和完整性对招标文件的响应程度进行审查，以确定是否对招标文件的实质性要求做出响应。投标人应按照第二章《投标文件内容及格式》中的相应要求，提交符合性证明材料。未通过符合性审查的投标人不能进入下一阶段评审，其投标将被认定为投标无效；通过符合性审查的投标人数量不足3家的，不得作进一步的比较和评价。</w:t>
      </w:r>
    </w:p>
    <w:p w14:paraId="0DF3793D">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24 投标文件的澄清</w:t>
      </w:r>
    </w:p>
    <w:p w14:paraId="22E6AF1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在评标期间，评标委员会将以书面方式要求投标人对其投标文件中含义不明确、对同类问题表述不一致或者有明显文字和计算错误的内容作必要的澄清、说明或补正。投标人的澄清、说明或补正应在评标委员会规定的时间内以书面方式进行，并不得超出投标文件范围或者改变投标文件的实质性内容。</w:t>
      </w:r>
      <w:r>
        <w:rPr>
          <w:rFonts w:hint="eastAsia" w:ascii="宋体" w:hAnsi="宋体" w:eastAsia="宋体" w:cs="宋体"/>
          <w:b/>
          <w:bCs/>
          <w:color w:val="auto"/>
          <w:szCs w:val="21"/>
          <w:highlight w:val="none"/>
        </w:rPr>
        <w:t>投标人拒不进行澄清、说明、补正的，或者不能在规定时间内作出书面澄清、说明、补正的，其投标将被作为无效投标处理。</w:t>
      </w:r>
    </w:p>
    <w:p w14:paraId="3CFA965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 投标人的澄清、说明或补正将作为投标文件的一部分。</w:t>
      </w:r>
    </w:p>
    <w:p w14:paraId="4C90573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24.3 投标文件报价出现前后不一致的，按照下列规定修正：</w:t>
      </w:r>
    </w:p>
    <w:p w14:paraId="691B711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（1）投标文件中开标一览表内容与投标文件中相应内容不一致的，以开标一览表为准；</w:t>
      </w:r>
    </w:p>
    <w:p w14:paraId="6507410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236FA25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（3）单价金额小数点或者百分比有明显错位的，以开标一览表的总价为准，并修改单价；</w:t>
      </w:r>
    </w:p>
    <w:p w14:paraId="4CF486B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15ACF09E">
      <w:pPr>
        <w:adjustRightInd w:val="0"/>
        <w:snapToGrid w:val="0"/>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同时出现两种以上不一致的，按照前款规定的顺序修正。修正后的报价经投标人确认后产生约束力，投标人不确认的，其投标将被认定为投标无效。</w:t>
      </w:r>
    </w:p>
    <w:p w14:paraId="5C207FE4">
      <w:pPr>
        <w:adjustRightInd w:val="0"/>
        <w:snapToGrid w:val="0"/>
        <w:rPr>
          <w:rFonts w:hint="eastAsia" w:ascii="宋体" w:hAnsi="宋体" w:eastAsia="宋体" w:cs="宋体"/>
          <w:color w:val="auto"/>
          <w:highlight w:val="none"/>
        </w:rPr>
      </w:pPr>
      <w:r>
        <w:rPr>
          <w:rFonts w:hint="eastAsia" w:ascii="宋体" w:hAnsi="宋体" w:eastAsia="宋体" w:cs="宋体"/>
          <w:color w:val="auto"/>
          <w:szCs w:val="21"/>
          <w:highlight w:val="none"/>
        </w:rPr>
        <w:t>24.4</w:t>
      </w:r>
      <w:r>
        <w:rPr>
          <w:rFonts w:hint="eastAsia" w:ascii="宋体" w:hAnsi="宋体" w:eastAsia="宋体" w:cs="宋体"/>
          <w:b/>
          <w:bCs/>
          <w:color w:val="auto"/>
          <w:szCs w:val="21"/>
          <w:highlight w:val="none"/>
        </w:rPr>
        <w:t>评标委员会认为</w:t>
      </w:r>
      <w:r>
        <w:rPr>
          <w:rFonts w:hint="eastAsia" w:ascii="宋体" w:hAnsi="宋体" w:eastAsia="宋体" w:cs="宋体"/>
          <w:color w:val="auto"/>
          <w:szCs w:val="21"/>
          <w:highlight w:val="none"/>
        </w:rPr>
        <w:t>投标人的报价明显低于其他通过符合性审查投标人的报价，有可能影响产品质量或者不能诚信履约的，应当要求其在评标现场合理的时间内提供书面说明，必要时提交相关证明材料；投标人在不能证明其报价合理性的，评标委员会应当将其作为</w:t>
      </w:r>
      <w:r>
        <w:rPr>
          <w:rFonts w:hint="eastAsia" w:ascii="宋体" w:hAnsi="宋体" w:eastAsia="宋体" w:cs="宋体"/>
          <w:b/>
          <w:bCs/>
          <w:color w:val="auto"/>
          <w:szCs w:val="21"/>
          <w:highlight w:val="none"/>
        </w:rPr>
        <w:t>无效投标</w:t>
      </w:r>
      <w:r>
        <w:rPr>
          <w:rFonts w:hint="eastAsia" w:ascii="宋体" w:hAnsi="宋体" w:eastAsia="宋体" w:cs="宋体"/>
          <w:color w:val="auto"/>
          <w:szCs w:val="21"/>
          <w:highlight w:val="none"/>
        </w:rPr>
        <w:t>处理。提交证明材料的合理时间按第四章 评标方法规定执行。</w:t>
      </w:r>
    </w:p>
    <w:p w14:paraId="08C51070">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25样品及演示</w:t>
      </w:r>
    </w:p>
    <w:p w14:paraId="183E302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25.1投标人须知表11.3款中要求投标人提供样品的，按照投标人须知表25.1款中样品的评审方法以及评审标准进行评审。</w:t>
      </w:r>
    </w:p>
    <w:p w14:paraId="6AE7DF3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25.2采购活动结束后，对于未中标人提供的样品，应当及时退还或者经未中标人同意后自行处理；对于中标人提供的样品，应当按招标文件规定进行保管、封存，并作为履约验收的参考。</w:t>
      </w:r>
    </w:p>
    <w:p w14:paraId="247B02E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25.3演示的评审方法以及评审标准具体内容见投标人须知表25.1款。</w:t>
      </w:r>
    </w:p>
    <w:p w14:paraId="098297DA">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26.投标无效</w:t>
      </w:r>
    </w:p>
    <w:p w14:paraId="585CBF56">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 在比较与评价之前，根据本须知的规定，评标委员会将审查每份投标文件是否实质上响应了招标文件的要求。</w:t>
      </w:r>
    </w:p>
    <w:p w14:paraId="1CCBA119">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实质性要求是指招标文件中带有★号标识内容（包括本级及其下级编号中所有内容）等文字说明的要求。</w:t>
      </w:r>
    </w:p>
    <w:p w14:paraId="782858E4">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对招标文件的实质性要求进行响应是指与招标文件中带有★号标识内容的文字说明、条款、条件和规格等要求相符。</w:t>
      </w:r>
    </w:p>
    <w:p w14:paraId="7A683976">
      <w:pPr>
        <w:adjustRightInd w:val="0"/>
        <w:snapToGrid w:val="0"/>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如果投标文件没有对招标文件的实质性要求进行响应，将作为无效投标处理，投标人不得再对投标文件进行任何修正从而使其投标成为实质上响应的投标。</w:t>
      </w:r>
    </w:p>
    <w:p w14:paraId="3F6FB660">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评标委员会决定投标的响应性只根据招标文件要求、投标文件内容及财政主管部门指定媒体发布的相关信息。</w:t>
      </w:r>
    </w:p>
    <w:p w14:paraId="2B39A74A">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26.2 如发现下列情况之一的，其投标将被认定为投标无效：</w:t>
      </w:r>
    </w:p>
    <w:p w14:paraId="7BDEB7D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未按招标文件的规定提交投标保证金的；</w:t>
      </w:r>
    </w:p>
    <w:p w14:paraId="68A035C2">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未按照招标文件规定要求签署、盖章的；</w:t>
      </w:r>
    </w:p>
    <w:p w14:paraId="1F2C716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投标人的报价超过了招标文件中规定的预算金额或者最高限价的；</w:t>
      </w:r>
    </w:p>
    <w:p w14:paraId="26BF244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（4） 不具备招标文件中规定的资格要求的；</w:t>
      </w:r>
    </w:p>
    <w:p w14:paraId="7DCDCD2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（5） 不符合法规和招标文件中规定的其他实质性要求的。</w:t>
      </w:r>
    </w:p>
    <w:p w14:paraId="3AF0E98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（6） 与其他投标人串通投标，或者与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串通投标；</w:t>
      </w:r>
    </w:p>
    <w:p w14:paraId="3E5EB64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（7） 评标委员会认为投标人的报价明显低于其他通过符合性检查投标人的报价，有可能影响履约的，且投标人未按照规定证明其报价合理性的；</w:t>
      </w:r>
    </w:p>
    <w:p w14:paraId="304006B8">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（8） 投标文件含有</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不能接受的附加条件的；</w:t>
      </w:r>
    </w:p>
    <w:p w14:paraId="7E2CCEE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（9） 属于法律、法规和招标文件规定的其他投标无效情形；</w:t>
      </w:r>
    </w:p>
    <w:p w14:paraId="64818736">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27.比较与评价</w:t>
      </w:r>
    </w:p>
    <w:p w14:paraId="4961BCA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 经符合性审查合格的投标文件，评标委员会将根据招标文件确定的评标方法和标准，对其技术部分和商务部分作进一步的比较和评价。</w:t>
      </w:r>
    </w:p>
    <w:p w14:paraId="1DA58F8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 评标严格按照招标文件的要求和条件进行。根据实际情况，在投标人须知表27.2款中规定采用下列一种评标方法，详细评标标准见第四章 评标方法。</w:t>
      </w:r>
    </w:p>
    <w:p w14:paraId="212833C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最低评标价法，是指投标文件满足招标文件全部实质性要求，且投标报价最低的投标人为中标候选人的评标方法。</w:t>
      </w:r>
    </w:p>
    <w:p w14:paraId="1D4AFA9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综合评分法，是指投标文件满足招标文件全部实质性要求，且按照评审因素的量化指标评审得分最高的投标人为中标候选人的评标方法。</w:t>
      </w:r>
    </w:p>
    <w:p w14:paraId="7646FFE5">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28.废标</w:t>
      </w:r>
    </w:p>
    <w:p w14:paraId="31BF8830">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出现下列情形之一，将导致项目</w:t>
      </w:r>
      <w:r>
        <w:rPr>
          <w:rFonts w:hint="eastAsia" w:ascii="宋体" w:hAnsi="宋体" w:eastAsia="宋体" w:cs="宋体"/>
          <w:b/>
          <w:bCs/>
          <w:color w:val="auto"/>
          <w:szCs w:val="21"/>
          <w:highlight w:val="none"/>
        </w:rPr>
        <w:t>废标</w:t>
      </w:r>
      <w:r>
        <w:rPr>
          <w:rFonts w:hint="eastAsia" w:ascii="宋体" w:hAnsi="宋体" w:eastAsia="宋体" w:cs="宋体"/>
          <w:color w:val="auto"/>
          <w:szCs w:val="21"/>
          <w:highlight w:val="none"/>
        </w:rPr>
        <w:t>：</w:t>
      </w:r>
    </w:p>
    <w:p w14:paraId="02931E86">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（1）符合专业条件的投标人或者对招标文件做实质性响应的投标人不足3家；</w:t>
      </w:r>
    </w:p>
    <w:p w14:paraId="0E0BB0B3">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090CAEC4">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（3）投标人的报价均超过了采购预算或最高限价，</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不能支付的；</w:t>
      </w:r>
    </w:p>
    <w:p w14:paraId="686CA0EE">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（4）因重大变故，采购任务取消的。</w:t>
      </w:r>
    </w:p>
    <w:p w14:paraId="34727529">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29.中标候选人的推荐原则及标准</w:t>
      </w:r>
    </w:p>
    <w:p w14:paraId="1AE86EB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29.1除第32条规定外，评标委员会将根据评标标准，对实质上响应招标文件的投标人按下列方法进行排序，推荐中标候选人：</w:t>
      </w:r>
    </w:p>
    <w:p w14:paraId="48BE69EC">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用最低评标价法的，除了算数修正和落实政府采购政策需进行的价格扣除外，不对投标人的投标价格进行任何调整。评标结果按修正和扣除后的投标报价由低到高顺序排列。报价相同的，按第四章评标办法规定执行。</w:t>
      </w:r>
    </w:p>
    <w:p w14:paraId="13768DEF">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（2）采用综合评分法的，评标结果按评审后得分由高到低顺序排列。得分相同的，按第四章评标办法规定执行。</w:t>
      </w:r>
    </w:p>
    <w:p w14:paraId="3D05814C">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29.2评标委员会将根据评标标准，按投标人须知表29.2款中规定的数量推荐中标候选人。</w:t>
      </w:r>
    </w:p>
    <w:p w14:paraId="67A91947">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29.3因推荐中标候选人名单产生其他问题，由评标委员会集体研究处理。</w:t>
      </w:r>
    </w:p>
    <w:p w14:paraId="07997A4B">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30.保密原则</w:t>
      </w:r>
    </w:p>
    <w:p w14:paraId="1B248BA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30.1 评标将在严格保密的情况下进行。</w:t>
      </w:r>
    </w:p>
    <w:p w14:paraId="6484B77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30.2 有关人员应当遵守评标工作纪律，不得泄露评审文件、评标情况和评标过程中获悉的国家秘密、商业秘密。</w:t>
      </w:r>
    </w:p>
    <w:p w14:paraId="038F1022">
      <w:pPr>
        <w:pStyle w:val="4"/>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七 确定中标</w:t>
      </w:r>
    </w:p>
    <w:p w14:paraId="32FB415A">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31.确定中标人</w:t>
      </w:r>
    </w:p>
    <w:p w14:paraId="7AC5FA82">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委托评标委员会按照投标人须知表31中规定的方式确定中标人。</w:t>
      </w:r>
    </w:p>
    <w:p w14:paraId="4BBF07D3">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在收到评标报告5个工作日内未按评标报告推荐的中标候选人顺序确定中标人，又不能说明合法理由的，视同按评标报告推荐的顺序确定排名第一的中标候选人为中标人。</w:t>
      </w:r>
    </w:p>
    <w:p w14:paraId="55C38C01">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32.采购任务取消</w:t>
      </w:r>
    </w:p>
    <w:p w14:paraId="78E531BB">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因重大变故采购任务取消时，</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有权拒绝任何</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中标，且对受影响的投标人不承担任何责任。</w:t>
      </w:r>
    </w:p>
    <w:p w14:paraId="53FDABCE">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33.中标通知书</w:t>
      </w:r>
    </w:p>
    <w:p w14:paraId="49A36CB2">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33.1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应当自中标人确定之日起2个工作日内，在</w:t>
      </w:r>
      <w:r>
        <w:rPr>
          <w:rFonts w:hint="eastAsia" w:ascii="宋体" w:hAnsi="宋体" w:eastAsia="宋体" w:cs="宋体"/>
          <w:color w:val="auto"/>
          <w:szCs w:val="21"/>
          <w:highlight w:val="none"/>
          <w:lang w:val="en-US" w:eastAsia="zh-CN"/>
        </w:rPr>
        <w:t>相关</w:t>
      </w:r>
      <w:r>
        <w:rPr>
          <w:rFonts w:hint="eastAsia" w:ascii="宋体" w:hAnsi="宋体" w:eastAsia="宋体" w:cs="宋体"/>
          <w:color w:val="auto"/>
          <w:szCs w:val="21"/>
          <w:highlight w:val="none"/>
        </w:rPr>
        <w:t>媒体上公告中标结果。同时向中标人发出中标通知书。</w:t>
      </w:r>
    </w:p>
    <w:p w14:paraId="2E7C0D0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 中标通知书是合同的组成部分。</w:t>
      </w:r>
    </w:p>
    <w:p w14:paraId="3944EEC7">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34.签订合同</w:t>
      </w:r>
    </w:p>
    <w:p w14:paraId="387EB3A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34.1 中标人应当自发出中标通知书之日起 </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 xml:space="preserve"> 日内，与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签订书面合同。</w:t>
      </w:r>
    </w:p>
    <w:p w14:paraId="32195ACA">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招标文件、中标人的投标文件及其澄清文件等，均为签订合同的依据。所签订的合同不得对招标文件确定的事项和中标人投标文件作实质性修改。</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不得向中标人提出任何不合理的要求，作为签订合同的条件。</w:t>
      </w:r>
    </w:p>
    <w:p w14:paraId="4628C92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 中标人拒绝与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签订合同的，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可以按照评审报告推荐的中标候选人名单排序，确定下一中标候选人为中标人，也可以重新开展政府采购活动。</w:t>
      </w:r>
    </w:p>
    <w:p w14:paraId="2ADEEB93">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35.履约保证金</w:t>
      </w:r>
    </w:p>
    <w:p w14:paraId="7DDAE1FF">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 中标人应按照投标人须知表35.1款规定向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缴纳履约保证金。</w:t>
      </w:r>
    </w:p>
    <w:p w14:paraId="69B31BD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 如果中标人没有按照上述履约保证金的规定执行，将视为拒绝签订放弃中标资格，中标人的投标保证金将不予退还。在此情况下，</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可确定下一中标候选人为中标人，也可以重新开展采购活动。</w:t>
      </w:r>
    </w:p>
    <w:p w14:paraId="34D02B9D">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36.采购代理服务费</w:t>
      </w:r>
    </w:p>
    <w:p w14:paraId="03E6F6CE">
      <w:pPr>
        <w:adjustRightInd w:val="0"/>
        <w:snapToGrid w:val="0"/>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中标人须按照投标人须知表36款规定，向</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支付招标代理服务费。</w:t>
      </w:r>
    </w:p>
    <w:p w14:paraId="7F8C6868">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37.廉洁自律规定</w:t>
      </w:r>
    </w:p>
    <w:p w14:paraId="57126F1D">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 </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工作人员不得以不正当手段获取政府采购代理业务，不得与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、投标人恶意串通操纵政府采购活动。</w:t>
      </w:r>
    </w:p>
    <w:p w14:paraId="330238BF">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 </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工作人员不得接受</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或者投标人组织的宴请、旅游、娱乐，不得收受礼品、现金、有价证券等，不得向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或者投标人报销应当由个人承担的费用。</w:t>
      </w:r>
    </w:p>
    <w:p w14:paraId="4D22D688">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38.人员回避</w:t>
      </w:r>
    </w:p>
    <w:p w14:paraId="42275F11">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投标人认为</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及其相关人员有法律法规所列与其他投标人有利害关系的，可以向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书面提出回避申请，并说明理由。</w:t>
      </w:r>
    </w:p>
    <w:p w14:paraId="3F42A572">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39.质疑与接收</w:t>
      </w:r>
    </w:p>
    <w:p w14:paraId="43758607">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39.1 投标人认为招标文件、招标过程和中标结果使自己的权益受到损害的，可以根据有关规定，依法向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或其委托的</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提出质疑。</w:t>
      </w:r>
    </w:p>
    <w:p w14:paraId="09F1951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39.2 质疑投标人应按照</w:t>
      </w:r>
      <w:r>
        <w:rPr>
          <w:rFonts w:hint="eastAsia" w:ascii="宋体" w:hAnsi="宋体" w:eastAsia="宋体" w:cs="宋体"/>
          <w:color w:val="auto"/>
          <w:szCs w:val="21"/>
          <w:highlight w:val="none"/>
          <w:lang w:val="en-US" w:eastAsia="zh-CN"/>
        </w:rPr>
        <w:t>有关</w:t>
      </w:r>
      <w:r>
        <w:rPr>
          <w:rFonts w:hint="eastAsia" w:ascii="宋体" w:hAnsi="宋体" w:eastAsia="宋体" w:cs="宋体"/>
          <w:color w:val="auto"/>
          <w:szCs w:val="21"/>
          <w:highlight w:val="none"/>
        </w:rPr>
        <w:t>部门制定的《质疑函范本》格式，在法定质疑期内以纸质形式提出质疑，针对同一采购程序环节的质疑应一次性提出。</w:t>
      </w:r>
    </w:p>
    <w:p w14:paraId="4196CD5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超出法定质疑期的、重复提出的、分次提出的或内容、形式不符合《政府采购质疑和投诉办法》的，质疑投标人将依法承担不利后果。</w:t>
      </w:r>
    </w:p>
    <w:p w14:paraId="54A76907">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39.3 </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质疑函接收部门、联系电话和通讯地址, 见投标人须知表39.3款。</w:t>
      </w:r>
    </w:p>
    <w:p w14:paraId="3B657A57">
      <w:pPr>
        <w:adjustRightInd w:val="0"/>
        <w:snapToGrid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40.履约验收</w:t>
      </w:r>
    </w:p>
    <w:p w14:paraId="4A8400A2">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及其委托的</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将严格按照政府采购相关法律法规以及本项目招标文件的要求进行验收。</w:t>
      </w:r>
    </w:p>
    <w:p w14:paraId="35CD7DE3">
      <w:pPr>
        <w:pStyle w:val="3"/>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第二章 投标文件内容及格式</w:t>
      </w:r>
    </w:p>
    <w:p w14:paraId="46D36BF3">
      <w:pPr>
        <w:pStyle w:val="3"/>
        <w:rPr>
          <w:rFonts w:hint="eastAsia" w:ascii="宋体" w:hAnsi="宋体" w:eastAsia="宋体" w:cs="宋体"/>
          <w:color w:val="auto"/>
          <w:highlight w:val="none"/>
        </w:rPr>
      </w:pPr>
    </w:p>
    <w:p w14:paraId="19B07C12">
      <w:pPr>
        <w:pStyle w:val="3"/>
        <w:rPr>
          <w:rFonts w:hint="eastAsia" w:ascii="宋体" w:hAnsi="宋体" w:eastAsia="宋体" w:cs="宋体"/>
          <w:color w:val="auto"/>
          <w:highlight w:val="none"/>
        </w:rPr>
      </w:pPr>
    </w:p>
    <w:p w14:paraId="1B4CE655">
      <w:pPr>
        <w:pStyle w:val="3"/>
        <w:rPr>
          <w:rFonts w:hint="eastAsia" w:ascii="宋体" w:hAnsi="宋体" w:eastAsia="宋体" w:cs="宋体"/>
          <w:color w:val="auto"/>
          <w:highlight w:val="none"/>
        </w:rPr>
      </w:pPr>
    </w:p>
    <w:p w14:paraId="13EA4BA9">
      <w:pPr>
        <w:pStyle w:val="3"/>
        <w:rPr>
          <w:rFonts w:hint="eastAsia" w:ascii="宋体" w:hAnsi="宋体" w:eastAsia="宋体" w:cs="宋体"/>
          <w:color w:val="auto"/>
          <w:highlight w:val="none"/>
        </w:rPr>
      </w:pPr>
    </w:p>
    <w:p w14:paraId="716AE5C2">
      <w:pPr>
        <w:pStyle w:val="3"/>
        <w:rPr>
          <w:rFonts w:hint="eastAsia" w:ascii="宋体" w:hAnsi="宋体" w:eastAsia="宋体" w:cs="宋体"/>
          <w:color w:val="auto"/>
          <w:highlight w:val="none"/>
        </w:rPr>
      </w:pPr>
    </w:p>
    <w:p w14:paraId="4095BDC6">
      <w:pPr>
        <w:pStyle w:val="3"/>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投标文件内容及格式详见：</w:t>
      </w:r>
    </w:p>
    <w:p w14:paraId="017E68CB">
      <w:pPr>
        <w:pStyle w:val="3"/>
        <w:rPr>
          <w:color w:val="auto"/>
          <w:sz w:val="32"/>
          <w:szCs w:val="32"/>
          <w:highlight w:val="none"/>
        </w:rPr>
      </w:pPr>
      <w:r>
        <w:rPr>
          <w:rFonts w:hint="eastAsia" w:ascii="宋体" w:hAnsi="宋体" w:eastAsia="宋体" w:cs="宋体"/>
          <w:color w:val="auto"/>
          <w:sz w:val="32"/>
          <w:szCs w:val="32"/>
          <w:highlight w:val="none"/>
        </w:rPr>
        <w:t>附件《投标文件格式范本》</w:t>
      </w:r>
    </w:p>
    <w:p w14:paraId="258E76DD">
      <w:pPr>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u w:val="single"/>
        </w:rPr>
        <w:br w:type="page"/>
      </w:r>
      <w:bookmarkStart w:id="29" w:name="OLE_LINK37"/>
      <w:r>
        <w:rPr>
          <w:rFonts w:hint="eastAsia" w:ascii="宋体" w:hAnsi="宋体" w:eastAsia="宋体" w:cs="宋体"/>
          <w:b/>
          <w:color w:val="auto"/>
          <w:kern w:val="44"/>
          <w:sz w:val="44"/>
          <w:highlight w:val="none"/>
        </w:rPr>
        <w:t xml:space="preserve">第三章 </w:t>
      </w:r>
      <w:r>
        <w:rPr>
          <w:rFonts w:hint="eastAsia" w:ascii="宋体" w:hAnsi="宋体" w:eastAsia="宋体" w:cs="宋体"/>
          <w:b/>
          <w:color w:val="auto"/>
          <w:kern w:val="44"/>
          <w:sz w:val="44"/>
          <w:highlight w:val="none"/>
          <w:lang w:eastAsia="zh-CN"/>
        </w:rPr>
        <w:t>采购需求</w:t>
      </w:r>
    </w:p>
    <w:p w14:paraId="3AC96565">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编制说明：</w:t>
      </w:r>
    </w:p>
    <w:p w14:paraId="448DB94D">
      <w:pPr>
        <w:spacing w:line="42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《采购需求》中所涉及的设备品牌及型号，仅供参考，并无任何限制性。投标人可以选用其他替代标准、品牌或型号，但这些替代在质量和性能上不得低于《采购需求》的要求。</w:t>
      </w:r>
    </w:p>
    <w:p w14:paraId="5663E579">
      <w:pPr>
        <w:spacing w:line="42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《采购需求》中凡标注有“★”的地方为实质性响应条款，作为投标无效条款，请投标人注意，必须实质性点对点响应；否则将导致无效投标。</w:t>
      </w:r>
    </w:p>
    <w:p w14:paraId="0AFEBEB7">
      <w:pPr>
        <w:spacing w:line="42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《采购需求》中凡标注有“▲”的地方为重要条款，但不作为投标无效条款，请投标人注意，必须实质性点对点响应；否则将严重影响技术评分。</w:t>
      </w:r>
    </w:p>
    <w:p w14:paraId="1F301A24">
      <w:pPr>
        <w:spacing w:line="42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《采购需求》中凡标注有“◆”的地方为核心货物或服务，请投标人注意。</w:t>
      </w:r>
    </w:p>
    <w:p w14:paraId="608893DC">
      <w:pPr>
        <w:ind w:firstLine="420" w:firstLineChars="200"/>
        <w:rPr>
          <w:rFonts w:hint="eastAsia" w:ascii="宋体" w:hAnsi="宋体" w:eastAsia="宋体" w:cs="宋体"/>
          <w:color w:val="auto"/>
          <w:szCs w:val="21"/>
          <w:highlight w:val="none"/>
        </w:rPr>
      </w:pPr>
    </w:p>
    <w:p w14:paraId="7196BA38">
      <w:pPr>
        <w:numPr>
          <w:ilvl w:val="0"/>
          <w:numId w:val="0"/>
        </w:numPr>
        <w:spacing w:line="360" w:lineRule="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kern w:val="2"/>
          <w:sz w:val="21"/>
          <w:szCs w:val="21"/>
          <w:highlight w:val="none"/>
          <w:lang w:val="en-US" w:eastAsia="zh-CN" w:bidi="ar-SA"/>
        </w:rPr>
        <w:t>一、</w:t>
      </w:r>
      <w:r>
        <w:rPr>
          <w:rFonts w:hint="eastAsia" w:ascii="宋体" w:hAnsi="宋体" w:eastAsia="宋体" w:cs="宋体"/>
          <w:b/>
          <w:color w:val="auto"/>
          <w:sz w:val="21"/>
          <w:szCs w:val="21"/>
          <w:highlight w:val="none"/>
          <w:lang w:val="en-US" w:eastAsia="zh-CN"/>
        </w:rPr>
        <w:t>项目需求一览表</w:t>
      </w:r>
    </w:p>
    <w:tbl>
      <w:tblPr>
        <w:tblStyle w:val="17"/>
        <w:tblW w:w="55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
        <w:gridCol w:w="2909"/>
        <w:gridCol w:w="777"/>
        <w:gridCol w:w="1502"/>
        <w:gridCol w:w="1340"/>
        <w:gridCol w:w="1232"/>
        <w:gridCol w:w="1446"/>
      </w:tblGrid>
      <w:tr w14:paraId="1688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73" w:type="pct"/>
            <w:noWrap/>
            <w:vAlign w:val="center"/>
          </w:tcPr>
          <w:p w14:paraId="0332A28B">
            <w:pPr>
              <w:jc w:val="center"/>
              <w:rPr>
                <w:rFonts w:hint="eastAsia" w:ascii="宋体" w:hAnsi="宋体" w:eastAsia="宋体" w:cs="宋体"/>
                <w:b/>
                <w:bCs/>
                <w:color w:val="auto"/>
                <w:sz w:val="21"/>
                <w:szCs w:val="21"/>
                <w:highlight w:val="none"/>
              </w:rPr>
            </w:pPr>
            <w:bookmarkStart w:id="30" w:name="OLE_LINK47"/>
            <w:r>
              <w:rPr>
                <w:rFonts w:hint="eastAsia" w:ascii="宋体" w:hAnsi="宋体" w:eastAsia="宋体" w:cs="宋体"/>
                <w:b/>
                <w:bCs/>
                <w:color w:val="auto"/>
                <w:sz w:val="21"/>
                <w:szCs w:val="21"/>
                <w:highlight w:val="none"/>
              </w:rPr>
              <w:t>序号</w:t>
            </w:r>
          </w:p>
        </w:tc>
        <w:tc>
          <w:tcPr>
            <w:tcW w:w="1525" w:type="pct"/>
            <w:noWrap/>
            <w:vAlign w:val="center"/>
          </w:tcPr>
          <w:p w14:paraId="03321882">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采购标的</w:t>
            </w:r>
          </w:p>
        </w:tc>
        <w:tc>
          <w:tcPr>
            <w:tcW w:w="407" w:type="pct"/>
            <w:noWrap/>
            <w:vAlign w:val="center"/>
          </w:tcPr>
          <w:p w14:paraId="58B4C9D7">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787" w:type="pct"/>
            <w:noWrap/>
            <w:vAlign w:val="center"/>
          </w:tcPr>
          <w:p w14:paraId="341CCA3F">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主要技术要求</w:t>
            </w:r>
          </w:p>
        </w:tc>
        <w:tc>
          <w:tcPr>
            <w:tcW w:w="702" w:type="pct"/>
            <w:noWrap/>
            <w:vAlign w:val="center"/>
          </w:tcPr>
          <w:p w14:paraId="3002EFCD">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shd w:val="clear" w:color="auto" w:fill="auto"/>
              </w:rPr>
              <w:t>运营期限</w:t>
            </w:r>
          </w:p>
        </w:tc>
        <w:tc>
          <w:tcPr>
            <w:tcW w:w="645" w:type="pct"/>
            <w:noWrap/>
            <w:vAlign w:val="center"/>
          </w:tcPr>
          <w:p w14:paraId="54256CD1">
            <w:pPr>
              <w:jc w:val="center"/>
              <w:rPr>
                <w:rFonts w:hint="eastAsia" w:ascii="宋体" w:hAnsi="宋体" w:eastAsia="宋体" w:cs="宋体"/>
                <w:b/>
                <w:bCs/>
                <w:color w:val="auto"/>
                <w:sz w:val="21"/>
                <w:szCs w:val="21"/>
                <w:highlight w:val="none"/>
                <w:shd w:val="clear" w:color="auto" w:fill="auto"/>
              </w:rPr>
            </w:pPr>
            <w:r>
              <w:rPr>
                <w:rFonts w:hint="eastAsia" w:eastAsia="宋体" w:cs="宋体"/>
                <w:b/>
                <w:bCs/>
                <w:color w:val="auto"/>
                <w:szCs w:val="21"/>
              </w:rPr>
              <w:t>面积</w:t>
            </w:r>
            <w:r>
              <w:rPr>
                <w:rFonts w:hint="eastAsia" w:ascii="宋体" w:hAnsi="宋体" w:eastAsia="宋体" w:cs="宋体"/>
                <w:b/>
                <w:bCs/>
                <w:color w:val="auto"/>
                <w:szCs w:val="21"/>
              </w:rPr>
              <w:t>M²</w:t>
            </w:r>
          </w:p>
        </w:tc>
        <w:tc>
          <w:tcPr>
            <w:tcW w:w="758" w:type="pct"/>
            <w:noWrap/>
            <w:vAlign w:val="center"/>
          </w:tcPr>
          <w:p w14:paraId="58CBFAD5">
            <w:pPr>
              <w:jc w:val="center"/>
              <w:rPr>
                <w:rFonts w:hint="eastAsia" w:ascii="宋体" w:hAnsi="宋体" w:eastAsia="宋体" w:cs="宋体"/>
                <w:b/>
                <w:bCs/>
                <w:color w:val="auto"/>
                <w:sz w:val="21"/>
                <w:szCs w:val="21"/>
                <w:highlight w:val="none"/>
                <w:shd w:val="clear" w:color="auto" w:fill="auto"/>
              </w:rPr>
            </w:pPr>
            <w:r>
              <w:rPr>
                <w:rFonts w:hint="eastAsia" w:eastAsia="宋体" w:cs="宋体"/>
                <w:b/>
                <w:bCs/>
                <w:color w:val="auto"/>
                <w:szCs w:val="21"/>
              </w:rPr>
              <w:t>最低限价金额（元/</w:t>
            </w:r>
            <w:r>
              <w:rPr>
                <w:rFonts w:hint="eastAsia" w:ascii="宋体" w:hAnsi="宋体" w:eastAsia="宋体" w:cs="宋体"/>
                <w:b/>
                <w:bCs/>
                <w:color w:val="auto"/>
                <w:szCs w:val="21"/>
              </w:rPr>
              <w:t>M²/月</w:t>
            </w:r>
            <w:r>
              <w:rPr>
                <w:rFonts w:hint="eastAsia" w:eastAsia="宋体" w:cs="宋体"/>
                <w:b/>
                <w:bCs/>
                <w:color w:val="auto"/>
                <w:szCs w:val="21"/>
              </w:rPr>
              <w:t>）</w:t>
            </w:r>
          </w:p>
        </w:tc>
      </w:tr>
      <w:tr w14:paraId="217D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73" w:type="pct"/>
            <w:noWrap/>
            <w:vAlign w:val="center"/>
          </w:tcPr>
          <w:p w14:paraId="4544107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25" w:type="pct"/>
            <w:noWrap/>
            <w:vAlign w:val="center"/>
          </w:tcPr>
          <w:p w14:paraId="6ABC1311">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韶关市武江区养老服务中心（一期）委托运营管理项目</w:t>
            </w:r>
          </w:p>
        </w:tc>
        <w:tc>
          <w:tcPr>
            <w:tcW w:w="407" w:type="pct"/>
            <w:noWrap/>
            <w:vAlign w:val="center"/>
          </w:tcPr>
          <w:p w14:paraId="10DB83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787" w:type="pct"/>
            <w:noWrap/>
            <w:vAlign w:val="center"/>
          </w:tcPr>
          <w:p w14:paraId="5AEBB53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详见具体招标要求</w:t>
            </w:r>
          </w:p>
        </w:tc>
        <w:tc>
          <w:tcPr>
            <w:tcW w:w="702" w:type="pct"/>
            <w:noWrap/>
            <w:vAlign w:val="center"/>
          </w:tcPr>
          <w:p w14:paraId="076C34D5">
            <w:pPr>
              <w:jc w:val="center"/>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shd w:val="clear" w:color="auto" w:fill="auto"/>
                <w:lang w:eastAsia="zh-CN"/>
              </w:rPr>
              <w:t>自</w:t>
            </w:r>
            <w:r>
              <w:rPr>
                <w:rFonts w:hint="eastAsia" w:ascii="宋体" w:hAnsi="宋体" w:eastAsia="宋体" w:cs="宋体"/>
                <w:color w:val="auto"/>
                <w:kern w:val="16"/>
                <w:sz w:val="21"/>
                <w:szCs w:val="21"/>
                <w:highlight w:val="none"/>
                <w:shd w:val="clear" w:color="auto" w:fill="auto"/>
                <w:lang w:val="en-US" w:eastAsia="zh-CN"/>
              </w:rPr>
              <w:t>合同签订之日起</w:t>
            </w:r>
            <w:r>
              <w:rPr>
                <w:rFonts w:hint="eastAsia" w:ascii="宋体" w:hAnsi="宋体" w:eastAsia="宋体" w:cs="宋体"/>
                <w:color w:val="auto"/>
                <w:kern w:val="16"/>
                <w:sz w:val="21"/>
                <w:szCs w:val="21"/>
                <w:highlight w:val="none"/>
                <w:shd w:val="clear" w:color="auto" w:fill="auto"/>
                <w:lang w:eastAsia="zh-CN"/>
              </w:rPr>
              <w:t>20年</w:t>
            </w:r>
          </w:p>
        </w:tc>
        <w:tc>
          <w:tcPr>
            <w:tcW w:w="645" w:type="pct"/>
            <w:noWrap/>
            <w:vAlign w:val="center"/>
          </w:tcPr>
          <w:p w14:paraId="23513B21">
            <w:pPr>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color w:val="auto"/>
                <w:kern w:val="16"/>
                <w:sz w:val="21"/>
                <w:szCs w:val="21"/>
                <w:highlight w:val="none"/>
                <w:shd w:val="clear" w:color="auto" w:fill="auto"/>
                <w:lang w:val="en-US" w:eastAsia="zh-CN"/>
              </w:rPr>
              <w:t>20509.91</w:t>
            </w:r>
          </w:p>
        </w:tc>
        <w:tc>
          <w:tcPr>
            <w:tcW w:w="758" w:type="pct"/>
            <w:noWrap/>
            <w:vAlign w:val="center"/>
          </w:tcPr>
          <w:p w14:paraId="7EAD1BC7">
            <w:pPr>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color w:val="auto"/>
                <w:kern w:val="16"/>
                <w:sz w:val="21"/>
                <w:szCs w:val="21"/>
                <w:highlight w:val="none"/>
                <w:shd w:val="clear" w:color="auto" w:fill="auto"/>
                <w:lang w:val="en-US" w:eastAsia="zh-CN"/>
              </w:rPr>
              <w:t>3.1</w:t>
            </w:r>
          </w:p>
        </w:tc>
      </w:tr>
    </w:tbl>
    <w:p w14:paraId="703E58F7">
      <w:pPr>
        <w:numPr>
          <w:ilvl w:val="0"/>
          <w:numId w:val="0"/>
        </w:numPr>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注：1、综合报价低于金额3.1元/M²/月的列为无效报价处理，各有效投标人对报价自行评估风险。</w:t>
      </w:r>
    </w:p>
    <w:p w14:paraId="724FAEE8">
      <w:pPr>
        <w:numPr>
          <w:ilvl w:val="0"/>
          <w:numId w:val="0"/>
        </w:numPr>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2、计算价格评分：各有效投标人的评标价中，取最高报价作为基准价；各有效投标人的价格评分统一按照下列公式计算：价格评分＝（综合评标价÷基准价）×价格分权重。</w:t>
      </w:r>
    </w:p>
    <w:p w14:paraId="70C965F2">
      <w:pPr>
        <w:numPr>
          <w:ilvl w:val="0"/>
          <w:numId w:val="0"/>
        </w:numPr>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3、投标人必须对本项目的全部内容进行报价，如有缺漏，将导致报价无效。</w:t>
      </w:r>
    </w:p>
    <w:p w14:paraId="3C341837">
      <w:pPr>
        <w:numPr>
          <w:ilvl w:val="0"/>
          <w:numId w:val="0"/>
        </w:numPr>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4、报价应为人民币含税全包价(包括设施设备使用费用、相关税费、其他包干费用及合同实施过程中的应预见和不可预见费用等）。</w:t>
      </w:r>
    </w:p>
    <w:p w14:paraId="473E2F1D">
      <w:pPr>
        <w:keepNext w:val="0"/>
        <w:keepLines w:val="0"/>
        <w:pageBreakBefore w:val="0"/>
        <w:numPr>
          <w:ilvl w:val="0"/>
          <w:numId w:val="0"/>
        </w:numPr>
        <w:kinsoku/>
        <w:wordWrap/>
        <w:overflowPunct/>
        <w:topLinePunct w:val="0"/>
        <w:autoSpaceDN/>
        <w:bidi w:val="0"/>
        <w:adjustRightInd/>
        <w:snapToGrid/>
        <w:spacing w:line="440" w:lineRule="exac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kern w:val="2"/>
          <w:sz w:val="21"/>
          <w:szCs w:val="21"/>
          <w:highlight w:val="none"/>
          <w:lang w:val="en-US" w:eastAsia="zh-CN" w:bidi="ar-SA"/>
        </w:rPr>
        <w:t>二、</w:t>
      </w:r>
      <w:r>
        <w:rPr>
          <w:rFonts w:hint="eastAsia" w:ascii="宋体" w:hAnsi="宋体" w:eastAsia="宋体" w:cs="宋体"/>
          <w:b/>
          <w:color w:val="auto"/>
          <w:sz w:val="21"/>
          <w:szCs w:val="21"/>
          <w:highlight w:val="none"/>
          <w:lang w:val="en-US" w:eastAsia="zh-CN"/>
        </w:rPr>
        <w:t>项目概述</w:t>
      </w:r>
    </w:p>
    <w:p w14:paraId="2E5EC6A5">
      <w:pPr>
        <w:keepNext w:val="0"/>
        <w:keepLines w:val="0"/>
        <w:pageBreakBefore w:val="0"/>
        <w:widowControl w:val="0"/>
        <w:numPr>
          <w:ilvl w:val="0"/>
          <w:numId w:val="0"/>
        </w:numPr>
        <w:kinsoku/>
        <w:wordWrap/>
        <w:overflowPunct/>
        <w:topLinePunct w:val="0"/>
        <w:autoSpaceDE w:val="0"/>
        <w:autoSpaceDN/>
        <w:bidi w:val="0"/>
        <w:adjustRightInd/>
        <w:snapToGrid/>
        <w:spacing w:line="360" w:lineRule="auto"/>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eastAsia="zh-CN"/>
        </w:rPr>
      </w:pPr>
      <w:r>
        <w:rPr>
          <w:rFonts w:hint="eastAsia" w:ascii="宋体" w:hAnsi="宋体" w:eastAsia="宋体" w:cs="宋体"/>
          <w:b/>
          <w:bCs/>
          <w:color w:val="auto"/>
          <w:sz w:val="21"/>
          <w:szCs w:val="21"/>
          <w:highlight w:val="none"/>
          <w:u w:val="none"/>
          <w:shd w:val="clear" w:color="auto" w:fill="auto"/>
          <w:lang w:val="en-US" w:eastAsia="zh-CN"/>
        </w:rPr>
        <w:t>（一）项目概况</w:t>
      </w:r>
    </w:p>
    <w:p w14:paraId="14D34C87">
      <w:pPr>
        <w:keepNext w:val="0"/>
        <w:keepLines w:val="0"/>
        <w:pageBreakBefore w:val="0"/>
        <w:widowControl w:val="0"/>
        <w:kinsoku/>
        <w:wordWrap/>
        <w:overflowPunct/>
        <w:topLinePunct w:val="0"/>
        <w:autoSpaceDE w:val="0"/>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sz w:val="21"/>
          <w:szCs w:val="21"/>
          <w:highlight w:val="none"/>
          <w:u w:val="none"/>
          <w:shd w:val="clear" w:color="auto" w:fill="auto"/>
          <w:lang w:val="en-US" w:eastAsia="zh-CN"/>
        </w:rPr>
      </w:pPr>
      <w:r>
        <w:rPr>
          <w:rFonts w:hint="eastAsia" w:ascii="宋体" w:hAnsi="宋体" w:eastAsia="宋体" w:cs="宋体"/>
          <w:b w:val="0"/>
          <w:bCs w:val="0"/>
          <w:color w:val="auto"/>
          <w:sz w:val="21"/>
          <w:szCs w:val="21"/>
          <w:highlight w:val="none"/>
          <w:u w:val="none"/>
          <w:shd w:val="clear" w:color="auto" w:fill="auto"/>
          <w:lang w:val="en-US" w:eastAsia="zh-CN"/>
        </w:rPr>
        <w:t>韶关市武江区养老服务中心（一期）概算总投资11290.79万元，总用地面积9814平方米（折合14.72亩），总建筑面积为20509.91平方米。主要建设为7栋建筑及连廊、一层地下室，1号楼建筑面积为1283.11平方米，2号楼建筑面积为8661.99平方米，3号楼建筑面积为5423.43平方米，5号楼建筑面积为24.84平方米，6号楼建筑面积为30.66平方米，7号楼建筑面积为148.50平方米，地下室建筑面积为3323.42㎡，旅居楼建筑面积为1613.96㎡。还包括附属工程：大院周围围墙、室外活动绿化、停车场等建设内容。</w:t>
      </w:r>
    </w:p>
    <w:p w14:paraId="37135036">
      <w:pPr>
        <w:keepNext w:val="0"/>
        <w:keepLines w:val="0"/>
        <w:pageBreakBefore w:val="0"/>
        <w:widowControl w:val="0"/>
        <w:kinsoku/>
        <w:wordWrap/>
        <w:overflowPunct/>
        <w:topLinePunct w:val="0"/>
        <w:autoSpaceDE w:val="0"/>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sz w:val="21"/>
          <w:szCs w:val="21"/>
          <w:highlight w:val="none"/>
          <w:u w:val="none"/>
          <w:shd w:val="clear" w:color="auto" w:fill="auto"/>
          <w:lang w:val="en-US" w:eastAsia="zh-CN"/>
        </w:rPr>
      </w:pPr>
      <w:r>
        <w:rPr>
          <w:rFonts w:hint="eastAsia" w:ascii="宋体" w:hAnsi="宋体" w:eastAsia="宋体" w:cs="宋体"/>
          <w:b w:val="0"/>
          <w:bCs w:val="0"/>
          <w:color w:val="auto"/>
          <w:sz w:val="21"/>
          <w:szCs w:val="21"/>
          <w:highlight w:val="none"/>
          <w:u w:val="none"/>
          <w:shd w:val="clear" w:color="auto" w:fill="auto"/>
          <w:lang w:val="en-US" w:eastAsia="zh-CN"/>
        </w:rPr>
        <w:t>韶关市武江区养老服务中心（一期）提供521个服务床位，其中养老床位435张、旅居床位30张、医疗床位56张。</w:t>
      </w:r>
    </w:p>
    <w:p w14:paraId="43122C8A">
      <w:pPr>
        <w:keepNext w:val="0"/>
        <w:keepLines w:val="0"/>
        <w:pageBreakBefore w:val="0"/>
        <w:widowControl w:val="0"/>
        <w:numPr>
          <w:ilvl w:val="0"/>
          <w:numId w:val="0"/>
        </w:numPr>
        <w:kinsoku/>
        <w:wordWrap/>
        <w:overflowPunct/>
        <w:topLinePunct w:val="0"/>
        <w:autoSpaceDE w:val="0"/>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（二）运营目标与定位</w:t>
      </w:r>
    </w:p>
    <w:p w14:paraId="C67DE683">
      <w:pPr>
        <w:pStyle w:val="105"/>
        <w:keepNext w:val="0"/>
        <w:keepLines w:val="0"/>
        <w:pageBreakBefore w:val="0"/>
        <w:widowControl/>
        <w:kinsoku/>
        <w:wordWrap/>
        <w:overflowPunct/>
        <w:topLinePunct w:val="0"/>
        <w:autoSpaceDE/>
        <w:autoSpaceDN/>
        <w:bidi w:val="0"/>
        <w:adjustRightInd/>
        <w:snapToGrid/>
        <w:spacing w:before="0" w:after="0"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1.运营目标</w:t>
      </w:r>
    </w:p>
    <w:p w14:paraId="859B728A">
      <w:pPr>
        <w:pStyle w:val="106"/>
        <w:keepNext w:val="0"/>
        <w:keepLines w:val="0"/>
        <w:pageBreakBefore w:val="0"/>
        <w:widowControl/>
        <w:kinsoku/>
        <w:wordWrap/>
        <w:overflowPunct/>
        <w:topLinePunct w:val="0"/>
        <w:autoSpaceDE/>
        <w:autoSpaceDN/>
        <w:bidi w:val="0"/>
        <w:adjustRightInd/>
        <w:snapToGrid/>
        <w:spacing w:before="0" w:after="0"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shd w:val="clear" w:color="auto" w:fill="auto"/>
          <w:lang w:val="en-US" w:eastAsia="zh-CN" w:bidi="ar-SA"/>
        </w:rPr>
      </w:pPr>
      <w:r>
        <w:rPr>
          <w:rFonts w:hint="eastAsia" w:ascii="宋体" w:hAnsi="宋体" w:eastAsia="宋体" w:cs="宋体"/>
          <w:b w:val="0"/>
          <w:bCs w:val="0"/>
          <w:color w:val="auto"/>
          <w:kern w:val="2"/>
          <w:sz w:val="21"/>
          <w:szCs w:val="21"/>
          <w:highlight w:val="none"/>
          <w:u w:val="none"/>
          <w:shd w:val="clear" w:color="auto" w:fill="auto"/>
          <w:lang w:val="en-US" w:eastAsia="zh-CN" w:bidi="ar-SA"/>
        </w:rPr>
        <w:t>打造“医养深度融合、智慧科技赋能、文旅特色鲜明”的医康养旅智慧融合标杆，构建创新型康养服务中心，提供高品质、多层次养老服务，实现公益责任履行与运营可持续发展的动态平衡。</w:t>
      </w:r>
    </w:p>
    <w:p w14:paraId="21EADE16">
      <w:pPr>
        <w:pStyle w:val="105"/>
        <w:keepNext w:val="0"/>
        <w:keepLines w:val="0"/>
        <w:pageBreakBefore w:val="0"/>
        <w:widowControl/>
        <w:kinsoku/>
        <w:wordWrap/>
        <w:overflowPunct/>
        <w:topLinePunct w:val="0"/>
        <w:autoSpaceDE/>
        <w:autoSpaceDN/>
        <w:bidi w:val="0"/>
        <w:adjustRightInd/>
        <w:snapToGrid/>
        <w:spacing w:before="0" w:after="0"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2.核心定位</w:t>
      </w:r>
    </w:p>
    <w:p w14:paraId="2616C03A">
      <w:pPr>
        <w:pStyle w:val="106"/>
        <w:keepNext w:val="0"/>
        <w:keepLines w:val="0"/>
        <w:pageBreakBefore w:val="0"/>
        <w:widowControl/>
        <w:kinsoku/>
        <w:wordWrap/>
        <w:overflowPunct/>
        <w:topLinePunct w:val="0"/>
        <w:autoSpaceDE/>
        <w:autoSpaceDN/>
        <w:bidi w:val="0"/>
        <w:adjustRightInd/>
        <w:snapToGrid/>
        <w:spacing w:before="0" w:after="0"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shd w:val="clear" w:color="auto" w:fill="auto"/>
          <w:lang w:val="en-US" w:eastAsia="zh-CN" w:bidi="ar-SA"/>
        </w:rPr>
      </w:pPr>
      <w:r>
        <w:rPr>
          <w:rFonts w:hint="eastAsia" w:ascii="宋体" w:hAnsi="宋体" w:eastAsia="宋体" w:cs="宋体"/>
          <w:b w:val="0"/>
          <w:bCs w:val="0"/>
          <w:color w:val="auto"/>
          <w:kern w:val="2"/>
          <w:sz w:val="21"/>
          <w:szCs w:val="21"/>
          <w:highlight w:val="none"/>
          <w:u w:val="none"/>
          <w:shd w:val="clear" w:color="auto" w:fill="auto"/>
          <w:lang w:val="en-US" w:eastAsia="zh-CN" w:bidi="ar-SA"/>
        </w:rPr>
        <w:t>（1）公益兜底定位：保障100张特困集中供养床位，满足武江区特困老人基本生活与医疗护理需求，落实政府民生保障责任。</w:t>
      </w:r>
    </w:p>
    <w:p w14:paraId="49C27708">
      <w:pPr>
        <w:pStyle w:val="106"/>
        <w:keepNext w:val="0"/>
        <w:keepLines w:val="0"/>
        <w:pageBreakBefore w:val="0"/>
        <w:widowControl/>
        <w:kinsoku/>
        <w:wordWrap/>
        <w:overflowPunct/>
        <w:topLinePunct w:val="0"/>
        <w:autoSpaceDE/>
        <w:autoSpaceDN/>
        <w:bidi w:val="0"/>
        <w:adjustRightInd/>
        <w:snapToGrid/>
        <w:spacing w:before="0" w:after="0"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shd w:val="clear" w:color="auto" w:fill="auto"/>
          <w:lang w:val="en-US" w:eastAsia="zh-CN" w:bidi="ar-SA"/>
        </w:rPr>
      </w:pPr>
      <w:r>
        <w:rPr>
          <w:rFonts w:hint="eastAsia" w:ascii="宋体" w:hAnsi="宋体" w:eastAsia="宋体" w:cs="宋体"/>
          <w:b w:val="0"/>
          <w:bCs w:val="0"/>
          <w:color w:val="auto"/>
          <w:kern w:val="2"/>
          <w:sz w:val="21"/>
          <w:szCs w:val="21"/>
          <w:highlight w:val="none"/>
          <w:u w:val="none"/>
          <w:shd w:val="clear" w:color="auto" w:fill="auto"/>
          <w:lang w:val="en-US" w:eastAsia="zh-CN" w:bidi="ar-SA"/>
        </w:rPr>
        <w:t>（2）多元服务定位：面向本地及周边老年群体，提供普惠型、市场标准型、专业照护型（半失能/失能/失智）、旅居/活力长者型四类服务，覆盖不同年龄、健康状况与经济水平的养老需求。</w:t>
      </w:r>
    </w:p>
    <w:p w14:paraId="2E013180">
      <w:pPr>
        <w:pStyle w:val="106"/>
        <w:keepNext w:val="0"/>
        <w:keepLines w:val="0"/>
        <w:pageBreakBefore w:val="0"/>
        <w:widowControl/>
        <w:kinsoku/>
        <w:wordWrap/>
        <w:overflowPunct/>
        <w:topLinePunct w:val="0"/>
        <w:autoSpaceDE/>
        <w:autoSpaceDN/>
        <w:bidi w:val="0"/>
        <w:adjustRightInd/>
        <w:snapToGrid/>
        <w:spacing w:before="0" w:after="0"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shd w:val="clear" w:color="auto" w:fill="auto"/>
          <w:lang w:val="en-US" w:eastAsia="zh-CN" w:bidi="ar-SA"/>
        </w:rPr>
      </w:pPr>
      <w:r>
        <w:rPr>
          <w:rFonts w:hint="eastAsia" w:ascii="宋体" w:hAnsi="宋体" w:eastAsia="宋体" w:cs="宋体"/>
          <w:b w:val="0"/>
          <w:bCs w:val="0"/>
          <w:color w:val="auto"/>
          <w:kern w:val="2"/>
          <w:sz w:val="21"/>
          <w:szCs w:val="21"/>
          <w:highlight w:val="none"/>
          <w:u w:val="none"/>
          <w:shd w:val="clear" w:color="auto" w:fill="auto"/>
          <w:lang w:val="en-US" w:eastAsia="zh-CN" w:bidi="ar-SA"/>
        </w:rPr>
        <w:t>（3）融合发展定位：依托本地大中型医院构建“基础诊疗+康复护理+智慧管理”三位一体健康服务体系；结合韶关丹霞山地貌、瑶族风情等地域文化，打造“医中有康、养中有游”的特色体验。</w:t>
      </w:r>
    </w:p>
    <w:p w14:paraId="4A4196FF">
      <w:pPr>
        <w:pStyle w:val="106"/>
        <w:keepNext w:val="0"/>
        <w:keepLines w:val="0"/>
        <w:pageBreakBefore w:val="0"/>
        <w:widowControl/>
        <w:kinsoku/>
        <w:wordWrap/>
        <w:overflowPunct/>
        <w:topLinePunct w:val="0"/>
        <w:autoSpaceDE/>
        <w:autoSpaceDN/>
        <w:bidi w:val="0"/>
        <w:adjustRightInd/>
        <w:snapToGrid/>
        <w:spacing w:before="0" w:after="0" w:line="360" w:lineRule="auto"/>
        <w:ind w:firstLine="420" w:firstLineChars="200"/>
        <w:jc w:val="both"/>
        <w:textAlignment w:val="auto"/>
        <w:outlineLvl w:val="9"/>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val="0"/>
          <w:bCs w:val="0"/>
          <w:color w:val="auto"/>
          <w:kern w:val="2"/>
          <w:sz w:val="21"/>
          <w:szCs w:val="21"/>
          <w:highlight w:val="none"/>
          <w:u w:val="none"/>
          <w:shd w:val="clear" w:color="auto" w:fill="auto"/>
          <w:lang w:val="en-US" w:eastAsia="zh-CN" w:bidi="ar-SA"/>
        </w:rPr>
        <w:t>（4）专业示范定位：将1号楼改造为失智老人照护专区，推行“非药物疗法+个性化记忆照护”，打造区域专业照护样板。</w:t>
      </w:r>
    </w:p>
    <w:p w14:paraId="36D5D1BD">
      <w:pPr>
        <w:keepNext w:val="0"/>
        <w:keepLines w:val="0"/>
        <w:pageBreakBefore w:val="0"/>
        <w:widowControl w:val="0"/>
        <w:numPr>
          <w:ilvl w:val="0"/>
          <w:numId w:val="0"/>
        </w:numPr>
        <w:kinsoku/>
        <w:wordWrap/>
        <w:overflowPunct/>
        <w:topLinePunct w:val="0"/>
        <w:autoSpaceDN/>
        <w:bidi w:val="0"/>
        <w:adjustRightInd/>
        <w:snapToGrid/>
        <w:spacing w:line="440" w:lineRule="exact"/>
        <w:ind w:firstLine="422" w:firstLineChars="200"/>
        <w:textAlignment w:val="auto"/>
        <w:rPr>
          <w:rFonts w:hint="default"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三、</w:t>
      </w:r>
      <w:r>
        <w:rPr>
          <w:rFonts w:hint="eastAsia" w:ascii="宋体" w:hAnsi="宋体" w:eastAsia="宋体" w:cs="宋体"/>
          <w:b/>
          <w:bCs/>
          <w:color w:val="auto"/>
          <w:sz w:val="21"/>
          <w:szCs w:val="21"/>
          <w:highlight w:val="none"/>
          <w:u w:val="none"/>
          <w:shd w:val="clear" w:color="auto" w:fill="auto"/>
        </w:rPr>
        <w:t>服务范围</w:t>
      </w:r>
      <w:r>
        <w:rPr>
          <w:rFonts w:hint="eastAsia" w:ascii="宋体" w:hAnsi="宋体" w:eastAsia="宋体" w:cs="宋体"/>
          <w:b/>
          <w:bCs/>
          <w:color w:val="auto"/>
          <w:sz w:val="21"/>
          <w:szCs w:val="21"/>
          <w:highlight w:val="none"/>
          <w:u w:val="none"/>
          <w:shd w:val="clear" w:color="auto" w:fill="auto"/>
          <w:lang w:eastAsia="zh-CN"/>
        </w:rPr>
        <w:t>、</w:t>
      </w:r>
      <w:r>
        <w:rPr>
          <w:rFonts w:hint="eastAsia" w:ascii="宋体" w:hAnsi="宋体" w:eastAsia="宋体" w:cs="宋体"/>
          <w:b/>
          <w:bCs/>
          <w:color w:val="auto"/>
          <w:sz w:val="21"/>
          <w:szCs w:val="21"/>
          <w:highlight w:val="none"/>
          <w:u w:val="none"/>
          <w:shd w:val="clear" w:color="auto" w:fill="auto"/>
        </w:rPr>
        <w:t>目标</w:t>
      </w:r>
      <w:r>
        <w:rPr>
          <w:rFonts w:hint="eastAsia" w:ascii="宋体" w:hAnsi="宋体" w:eastAsia="宋体" w:cs="宋体"/>
          <w:b/>
          <w:bCs/>
          <w:color w:val="auto"/>
          <w:sz w:val="21"/>
          <w:szCs w:val="21"/>
          <w:highlight w:val="none"/>
          <w:u w:val="none"/>
          <w:shd w:val="clear" w:color="auto" w:fill="auto"/>
          <w:lang w:val="en-US" w:eastAsia="zh-CN"/>
        </w:rPr>
        <w:t>及运营规范</w:t>
      </w:r>
    </w:p>
    <w:p w14:paraId="2273A729">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bookmarkStart w:id="31" w:name="_Toc16587"/>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所有权与运营权分离，所有权为</w:t>
      </w:r>
      <w:r>
        <w:rPr>
          <w:rFonts w:hint="eastAsia" w:ascii="宋体" w:hAnsi="宋体" w:eastAsia="宋体" w:cs="宋体"/>
          <w:sz w:val="21"/>
          <w:szCs w:val="21"/>
          <w:highlight w:val="none"/>
          <w:lang w:val="en-US" w:eastAsia="zh-CN"/>
        </w:rPr>
        <w:t>武江区</w:t>
      </w:r>
      <w:r>
        <w:rPr>
          <w:rFonts w:hint="eastAsia" w:ascii="宋体" w:hAnsi="宋体" w:eastAsia="宋体" w:cs="宋体"/>
          <w:sz w:val="21"/>
          <w:szCs w:val="21"/>
          <w:highlight w:val="none"/>
        </w:rPr>
        <w:t>人民政府所有（由</w:t>
      </w:r>
      <w:r>
        <w:rPr>
          <w:rFonts w:hint="eastAsia" w:ascii="宋体" w:hAnsi="宋体" w:eastAsia="宋体" w:cs="宋体"/>
          <w:sz w:val="21"/>
          <w:szCs w:val="21"/>
          <w:highlight w:val="none"/>
          <w:lang w:val="en-US" w:eastAsia="zh-CN"/>
        </w:rPr>
        <w:t>招标人</w:t>
      </w:r>
      <w:r>
        <w:rPr>
          <w:rFonts w:hint="eastAsia" w:ascii="宋体" w:hAnsi="宋体" w:eastAsia="宋体" w:cs="宋体"/>
          <w:sz w:val="21"/>
          <w:szCs w:val="21"/>
          <w:highlight w:val="none"/>
        </w:rPr>
        <w:t>代为持有权属并作为合同主体），</w:t>
      </w:r>
      <w:r>
        <w:rPr>
          <w:rFonts w:hint="eastAsia" w:ascii="宋体" w:hAnsi="宋体" w:eastAsia="宋体" w:cs="宋体"/>
          <w:sz w:val="21"/>
          <w:szCs w:val="21"/>
          <w:highlight w:val="none"/>
          <w:lang w:eastAsia="zh-CN"/>
        </w:rPr>
        <w:t>中标人</w:t>
      </w:r>
      <w:r>
        <w:rPr>
          <w:rFonts w:hint="eastAsia" w:ascii="宋体" w:hAnsi="宋体" w:eastAsia="宋体" w:cs="宋体"/>
          <w:sz w:val="21"/>
          <w:szCs w:val="21"/>
          <w:highlight w:val="none"/>
        </w:rPr>
        <w:t>承接</w:t>
      </w:r>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的运营管理权，通过本合同明确</w:t>
      </w:r>
      <w:r>
        <w:rPr>
          <w:rFonts w:hint="eastAsia" w:ascii="宋体" w:hAnsi="宋体" w:eastAsia="宋体" w:cs="宋体"/>
          <w:sz w:val="21"/>
          <w:szCs w:val="21"/>
          <w:highlight w:val="none"/>
          <w:lang w:val="en-US" w:eastAsia="zh-CN"/>
        </w:rPr>
        <w:t>招标人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rPr>
        <w:t>双方的权利与义务，为政府供养人员以及社会有需求的老人提供养老、托老、医疗康复、介入护理等优质服务，努力实现</w:t>
      </w:r>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的长期健康稳定发展，不断满足入住老年人多层次、多样化的服务需求。</w:t>
      </w:r>
    </w:p>
    <w:p w14:paraId="56923AD1">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color w:val="FF0000"/>
          <w:sz w:val="21"/>
          <w:szCs w:val="21"/>
          <w:highlight w:val="none"/>
          <w:lang w:val="en-US" w:eastAsia="zh-CN"/>
        </w:rPr>
      </w:pPr>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提供</w:t>
      </w:r>
      <w:r>
        <w:rPr>
          <w:rFonts w:hint="eastAsia" w:ascii="宋体" w:hAnsi="宋体" w:eastAsia="宋体" w:cs="宋体"/>
          <w:sz w:val="21"/>
          <w:szCs w:val="21"/>
          <w:highlight w:val="none"/>
          <w:lang w:val="en-US" w:eastAsia="zh-CN"/>
        </w:rPr>
        <w:t>521</w:t>
      </w:r>
      <w:r>
        <w:rPr>
          <w:rFonts w:hint="eastAsia" w:ascii="宋体" w:hAnsi="宋体" w:eastAsia="宋体" w:cs="宋体"/>
          <w:sz w:val="21"/>
          <w:szCs w:val="21"/>
          <w:highlight w:val="none"/>
        </w:rPr>
        <w:t>个服务床位，其中</w:t>
      </w:r>
      <w:r>
        <w:rPr>
          <w:rFonts w:hint="eastAsia" w:ascii="宋体" w:hAnsi="宋体" w:eastAsia="宋体" w:cs="宋体"/>
          <w:sz w:val="21"/>
          <w:szCs w:val="21"/>
          <w:highlight w:val="none"/>
          <w:lang w:val="en-US" w:eastAsia="zh-CN"/>
        </w:rPr>
        <w:t>19</w:t>
      </w:r>
      <w:r>
        <w:rPr>
          <w:rFonts w:hint="eastAsia" w:ascii="宋体" w:hAnsi="宋体" w:eastAsia="宋体" w:cs="宋体"/>
          <w:sz w:val="21"/>
          <w:szCs w:val="21"/>
          <w:highlight w:val="none"/>
        </w:rPr>
        <w:t>%为政府兜底床位（</w:t>
      </w:r>
      <w:r>
        <w:rPr>
          <w:rFonts w:hint="eastAsia" w:ascii="宋体" w:hAnsi="宋体" w:eastAsia="宋体" w:cs="宋体"/>
          <w:sz w:val="21"/>
          <w:szCs w:val="21"/>
          <w:highlight w:val="none"/>
          <w:lang w:val="en-US" w:eastAsia="zh-CN"/>
        </w:rPr>
        <w:t>约100</w:t>
      </w:r>
      <w:r>
        <w:rPr>
          <w:rFonts w:hint="eastAsia" w:ascii="宋体" w:hAnsi="宋体" w:eastAsia="宋体" w:cs="宋体"/>
          <w:sz w:val="21"/>
          <w:szCs w:val="21"/>
          <w:highlight w:val="none"/>
        </w:rPr>
        <w:t>个床位）</w:t>
      </w:r>
      <w:r>
        <w:rPr>
          <w:rFonts w:hint="eastAsia" w:ascii="宋体" w:hAnsi="宋体" w:eastAsia="宋体" w:cs="宋体"/>
          <w:sz w:val="21"/>
          <w:szCs w:val="21"/>
          <w:highlight w:val="none"/>
          <w:lang w:val="en-US" w:eastAsia="zh-CN"/>
        </w:rPr>
        <w:t>用于收住需要政府兜底保障的特困老人，此部分床位收住的特困老人，除政府支付给中标人的韶关市特困人员基本生活供养金和照料护理标准费外，政府不再额外支付任何服务费用</w:t>
      </w:r>
      <w:r>
        <w:rPr>
          <w:rFonts w:hint="eastAsia" w:ascii="宋体" w:hAnsi="宋体" w:eastAsia="宋体" w:cs="宋体"/>
          <w:sz w:val="21"/>
          <w:szCs w:val="21"/>
          <w:highlight w:val="none"/>
        </w:rPr>
        <w:t>，</w:t>
      </w: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普惠性</w:t>
      </w:r>
      <w:r>
        <w:rPr>
          <w:rFonts w:hint="eastAsia" w:ascii="宋体" w:hAnsi="宋体" w:eastAsia="宋体" w:cs="宋体"/>
          <w:color w:val="auto"/>
          <w:sz w:val="21"/>
          <w:szCs w:val="21"/>
          <w:highlight w:val="none"/>
        </w:rPr>
        <w:t>床位（</w:t>
      </w:r>
      <w:r>
        <w:rPr>
          <w:rFonts w:hint="eastAsia" w:ascii="宋体" w:hAnsi="宋体" w:eastAsia="宋体" w:cs="宋体"/>
          <w:color w:val="auto"/>
          <w:sz w:val="21"/>
          <w:szCs w:val="21"/>
          <w:highlight w:val="none"/>
          <w:lang w:val="en-US" w:eastAsia="zh-CN"/>
        </w:rPr>
        <w:t>约150</w:t>
      </w:r>
      <w:r>
        <w:rPr>
          <w:rFonts w:hint="eastAsia" w:ascii="宋体" w:hAnsi="宋体" w:eastAsia="宋体" w:cs="宋体"/>
          <w:color w:val="auto"/>
          <w:sz w:val="21"/>
          <w:szCs w:val="21"/>
          <w:highlight w:val="none"/>
        </w:rPr>
        <w:t>个床位）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面向武江区户籍老人，优惠入住</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%为社会化运营单位自营床位（</w:t>
      </w:r>
      <w:r>
        <w:rPr>
          <w:rFonts w:hint="eastAsia" w:ascii="宋体" w:hAnsi="宋体" w:eastAsia="宋体" w:cs="宋体"/>
          <w:color w:val="auto"/>
          <w:sz w:val="21"/>
          <w:szCs w:val="21"/>
          <w:highlight w:val="none"/>
          <w:lang w:val="en-US" w:eastAsia="zh-CN"/>
        </w:rPr>
        <w:t>约241</w:t>
      </w:r>
      <w:r>
        <w:rPr>
          <w:rFonts w:hint="eastAsia" w:ascii="宋体" w:hAnsi="宋体" w:eastAsia="宋体" w:cs="宋体"/>
          <w:color w:val="auto"/>
          <w:sz w:val="21"/>
          <w:szCs w:val="21"/>
          <w:highlight w:val="none"/>
        </w:rPr>
        <w:t>个床位）可面向社会有需求的老人提供服务，优先为失能、失智、独居、留守、计划生育特殊家庭老人等提供照护服务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6%为旅居床位面向社会有旅居养老需求的老人，以短期休养、休闲旅居相结合的模式提供服务，兼顾养老照料与休闲体验。根据实际情况，允许合理合规增加床位。</w:t>
      </w:r>
    </w:p>
    <w:p w14:paraId="3707F603">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若政府兜底对象增加，需要使用社会化床位时，则超出兜底性床位的部分，</w:t>
      </w:r>
      <w:r>
        <w:rPr>
          <w:rFonts w:hint="eastAsia" w:ascii="宋体" w:hAnsi="宋体" w:eastAsia="宋体" w:cs="宋体"/>
          <w:sz w:val="21"/>
          <w:szCs w:val="21"/>
          <w:highlight w:val="none"/>
          <w:lang w:val="en-US" w:eastAsia="zh-CN"/>
        </w:rPr>
        <w:t>区</w:t>
      </w:r>
      <w:r>
        <w:rPr>
          <w:rFonts w:hint="eastAsia" w:ascii="宋体" w:hAnsi="宋体" w:eastAsia="宋体" w:cs="宋体"/>
          <w:sz w:val="21"/>
          <w:szCs w:val="21"/>
          <w:highlight w:val="none"/>
        </w:rPr>
        <w:t>财政局需按普惠性床位的收费标准补给</w:t>
      </w:r>
      <w:r>
        <w:rPr>
          <w:rFonts w:hint="eastAsia" w:ascii="宋体" w:hAnsi="宋体" w:eastAsia="宋体" w:cs="宋体"/>
          <w:sz w:val="21"/>
          <w:szCs w:val="21"/>
          <w:highlight w:val="none"/>
          <w:lang w:eastAsia="zh-CN"/>
        </w:rPr>
        <w:t>中标人</w:t>
      </w:r>
      <w:r>
        <w:rPr>
          <w:rFonts w:hint="eastAsia" w:ascii="宋体" w:hAnsi="宋体" w:eastAsia="宋体" w:cs="宋体"/>
          <w:sz w:val="21"/>
          <w:szCs w:val="21"/>
          <w:highlight w:val="none"/>
        </w:rPr>
        <w:t>差额，普惠性收费标准原则上不高于上一年度我</w:t>
      </w:r>
      <w:r>
        <w:rPr>
          <w:rFonts w:hint="eastAsia" w:ascii="宋体" w:hAnsi="宋体" w:eastAsia="宋体" w:cs="宋体"/>
          <w:sz w:val="21"/>
          <w:szCs w:val="21"/>
          <w:highlight w:val="none"/>
          <w:lang w:val="en-US" w:eastAsia="zh-CN"/>
        </w:rPr>
        <w:t>区</w:t>
      </w:r>
      <w:r>
        <w:rPr>
          <w:rFonts w:hint="eastAsia" w:ascii="宋体" w:hAnsi="宋体" w:eastAsia="宋体" w:cs="宋体"/>
          <w:sz w:val="21"/>
          <w:szCs w:val="21"/>
          <w:highlight w:val="none"/>
        </w:rPr>
        <w:t>城镇人均可支配收入的1.3倍。</w:t>
      </w:r>
    </w:p>
    <w:p w14:paraId="7BC50680">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双方投资建设和购置设施设备及用品，应定期进行清产核资，确认双方资产，并造册登记建档。</w:t>
      </w:r>
    </w:p>
    <w:p w14:paraId="614FDFC0">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2"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b/>
          <w:bCs/>
          <w:sz w:val="21"/>
          <w:szCs w:val="21"/>
          <w:highlight w:val="none"/>
          <w:lang w:eastAsia="zh-CN"/>
        </w:rPr>
        <w:t>（一）服务分类与内容</w:t>
      </w:r>
    </w:p>
    <w:p w14:paraId="2ED5DDFD">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政府兜底保障层：服务对象为特困集中供养老人，提供基本生活照料（起居、清洁）、医疗看护（慢性病管理、紧急救援）、膳食保障（适老化餐食）、精神慰藉（心理疏导、文娱活动）等服务。</w:t>
      </w:r>
    </w:p>
    <w:p w14:paraId="5973957A">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市场化服务层：</w:t>
      </w:r>
    </w:p>
    <w:p w14:paraId="6EA77FE2">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）普惠型（武江户籍8折）：面向本地普通老人，提供基础生活照料、健康监测（智能手环）、文娱活动（兴趣社团）、营养餐（个性化订餐）；</w:t>
      </w:r>
    </w:p>
    <w:p w14:paraId="375FCD4F">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）市场标准型：面向社会老人，提供优质生活照料、健康管理（定制化健康套餐）、文娱社工（节日活动、志愿者陪伴）、个性化餐饮（药膳、特色餐）；</w:t>
      </w:r>
    </w:p>
    <w:p w14:paraId="1703E0DB">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）专业照护型：服务半失能/失能/失智老人，提供医疗护理（伤口护理、用药指导）、认知干预（非药物疗法、记忆照护）、康复训练（物理治疗、作业治疗）；</w:t>
      </w:r>
    </w:p>
    <w:p w14:paraId="00EF41E2">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2" w:firstLineChars="200"/>
        <w:textAlignment w:val="auto"/>
        <w:outlineLvl w:val="9"/>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lang w:eastAsia="zh-CN"/>
        </w:rPr>
        <w:t>）服务标准</w:t>
      </w:r>
    </w:p>
    <w:p w14:paraId="6F218CEF">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护理等级划分：参照《老年人能力评估》（GB/T 42000-2022），明确自理、半失能、失能、失智老人的护理等级判定标准；其中失能老人每2小时巡房1次、每日记录护理情况不少于3次，半失能老人每4小时巡房1次、每日记录护理情况不少于2次，自理老人每日巡房1次。</w:t>
      </w:r>
    </w:p>
    <w:p w14:paraId="562A0094">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餐饮服务标准：每日膳食需满足老年人蛋白质、膳食纤维等营养配比要求（蛋白质摄入量≥1.2g/kg体重，膳食纤维摄入量≥25g/人）；每周食谱需提前3天公示，支持糖尿病、素食等特殊饮食定制，定制流程需在72小时内响应并落实。</w:t>
      </w:r>
    </w:p>
    <w:p w14:paraId="672633F2">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活动服务要求：每月组织不少于4次文化娱乐活动、</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次健康讲座，确保入住老人日均户外活动时间≥1小时（特殊天气除外），活动记录及老人参与情况需建档备查。</w:t>
      </w:r>
    </w:p>
    <w:p w14:paraId="32E65B5C">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入住与退出流程：</w:t>
      </w:r>
    </w:p>
    <w:p w14:paraId="608A934A">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（1）入住评估：</w:t>
      </w:r>
      <w:r>
        <w:rPr>
          <w:rFonts w:hint="eastAsia" w:ascii="宋体" w:hAnsi="宋体" w:eastAsia="宋体" w:cs="宋体"/>
          <w:sz w:val="21"/>
          <w:szCs w:val="21"/>
          <w:highlight w:val="none"/>
          <w:lang w:eastAsia="zh-CN"/>
        </w:rPr>
        <w:t>中标人</w:t>
      </w:r>
      <w:r>
        <w:rPr>
          <w:rFonts w:hint="eastAsia" w:ascii="宋体" w:hAnsi="宋体" w:eastAsia="宋体" w:cs="宋体"/>
          <w:sz w:val="21"/>
          <w:szCs w:val="21"/>
          <w:highlight w:val="none"/>
        </w:rPr>
        <w:t>需对申请入住老人进行能力评估，评估结果需经</w:t>
      </w:r>
      <w:r>
        <w:rPr>
          <w:rFonts w:hint="eastAsia" w:ascii="宋体" w:hAnsi="宋体" w:eastAsia="宋体" w:cs="宋体"/>
          <w:sz w:val="21"/>
          <w:szCs w:val="21"/>
          <w:highlight w:val="none"/>
          <w:lang w:eastAsia="zh-CN"/>
        </w:rPr>
        <w:t>招标人</w:t>
      </w:r>
      <w:r>
        <w:rPr>
          <w:rFonts w:hint="eastAsia" w:ascii="宋体" w:hAnsi="宋体" w:eastAsia="宋体" w:cs="宋体"/>
          <w:sz w:val="21"/>
          <w:szCs w:val="21"/>
          <w:highlight w:val="none"/>
        </w:rPr>
        <w:t>备案；政府兜底床位入住对象严格按</w:t>
      </w:r>
      <w:r>
        <w:rPr>
          <w:rFonts w:hint="eastAsia" w:ascii="宋体" w:hAnsi="宋体" w:eastAsia="宋体" w:cs="宋体"/>
          <w:sz w:val="21"/>
          <w:szCs w:val="21"/>
          <w:highlight w:val="none"/>
          <w:lang w:eastAsia="zh-CN"/>
        </w:rPr>
        <w:t>招标人</w:t>
      </w:r>
      <w:r>
        <w:rPr>
          <w:rFonts w:hint="eastAsia" w:ascii="宋体" w:hAnsi="宋体" w:eastAsia="宋体" w:cs="宋体"/>
          <w:sz w:val="21"/>
          <w:szCs w:val="21"/>
          <w:highlight w:val="none"/>
        </w:rPr>
        <w:t>出具的审批手续执行，不得擅自替换。</w:t>
      </w:r>
    </w:p>
    <w:p w14:paraId="0BD964E2">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0" w:firstLineChars="200"/>
        <w:textAlignment w:val="auto"/>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（2）退出机制：老人因健康状况不再适合入住、违反机构管理规定且拒不整改的，</w:t>
      </w:r>
      <w:r>
        <w:rPr>
          <w:rFonts w:hint="eastAsia" w:ascii="宋体" w:hAnsi="宋体" w:eastAsia="宋体" w:cs="宋体"/>
          <w:sz w:val="21"/>
          <w:szCs w:val="21"/>
          <w:highlight w:val="none"/>
          <w:lang w:eastAsia="zh-CN"/>
        </w:rPr>
        <w:t>中标人</w:t>
      </w:r>
      <w:r>
        <w:rPr>
          <w:rFonts w:hint="eastAsia" w:ascii="宋体" w:hAnsi="宋体" w:eastAsia="宋体" w:cs="宋体"/>
          <w:sz w:val="21"/>
          <w:szCs w:val="21"/>
          <w:highlight w:val="none"/>
        </w:rPr>
        <w:t>需提前15日书面告知</w:t>
      </w:r>
      <w:r>
        <w:rPr>
          <w:rFonts w:hint="eastAsia" w:ascii="宋体" w:hAnsi="宋体" w:eastAsia="宋体" w:cs="宋体"/>
          <w:sz w:val="21"/>
          <w:szCs w:val="21"/>
          <w:highlight w:val="none"/>
          <w:lang w:eastAsia="zh-CN"/>
        </w:rPr>
        <w:t>招标人</w:t>
      </w:r>
      <w:r>
        <w:rPr>
          <w:rFonts w:hint="eastAsia" w:ascii="宋体" w:hAnsi="宋体" w:eastAsia="宋体" w:cs="宋体"/>
          <w:sz w:val="21"/>
          <w:szCs w:val="21"/>
          <w:highlight w:val="none"/>
        </w:rPr>
        <w:t>及家属，共同制定安置方案，不得擅自驱离。</w:t>
      </w:r>
    </w:p>
    <w:bookmarkEnd w:id="31"/>
    <w:p w14:paraId="68BC8DFF">
      <w:pPr>
        <w:pStyle w:val="91"/>
        <w:keepNext w:val="0"/>
        <w:keepLines w:val="0"/>
        <w:pageBreakBefore w:val="0"/>
        <w:kinsoku/>
        <w:wordWrap/>
        <w:overflowPunct/>
        <w:topLinePunct w:val="0"/>
        <w:autoSpaceDE/>
        <w:autoSpaceDN/>
        <w:bidi w:val="0"/>
        <w:adjustRightInd/>
        <w:snapToGrid/>
        <w:spacing w:beforeAutospacing="0" w:afterAutospacing="0" w:line="440" w:lineRule="exact"/>
        <w:ind w:firstLine="422" w:firstLineChars="200"/>
        <w:textAlignment w:val="auto"/>
        <w:outlineLvl w:val="9"/>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三</w:t>
      </w:r>
      <w:r>
        <w:rPr>
          <w:rFonts w:hint="eastAsia" w:ascii="宋体" w:hAnsi="宋体" w:eastAsia="宋体" w:cs="宋体"/>
          <w:b/>
          <w:bCs/>
          <w:sz w:val="21"/>
          <w:szCs w:val="21"/>
          <w:highlight w:val="none"/>
          <w:lang w:eastAsia="zh-CN"/>
        </w:rPr>
        <w:t>）合规运营要求</w:t>
      </w:r>
    </w:p>
    <w:p w14:paraId="690B83F2">
      <w:pPr>
        <w:pStyle w:val="10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1.资产与财务：建立资产台账，定期清产核资，不得出租、出借、处置项目资产或用于抵押贷款；按规定报送季度（季度终了后15日内）及年度（年度终了后2个月内）财务报表，专项资金专款专用并设立台账。</w:t>
      </w:r>
    </w:p>
    <w:p w14:paraId="F7383A3B">
      <w:pPr>
        <w:pStyle w:val="10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2.保险配置：合同生效后30日内投保养老机构责任险（每次保额≥200万、年度累计≥500万）、入住老人意外险（保额≥50万/人）、雇主责任险（保额≥80万/人），保险期限与运营期一致，到期前30日完成续保。</w:t>
      </w:r>
    </w:p>
    <w:p w14:paraId="31F5E653">
      <w:pPr>
        <w:pStyle w:val="10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安全与隐私：制定自然灾害、公共卫生事件等6类应急预案，每季度组织1次演练；公共区域安装监控（隐私区域除外），保存时长≥90天；遵守《中华人民共和国个人信息保护法》，禁止泄露老人个人信息，合同终止时返还或销毁相关资料。</w:t>
      </w:r>
    </w:p>
    <w:p w14:paraId="681EAA5D">
      <w:pPr>
        <w:pStyle w:val="10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420" w:firstLineChars="200"/>
        <w:jc w:val="both"/>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kern w:val="2"/>
          <w:sz w:val="21"/>
          <w:szCs w:val="21"/>
          <w:highlight w:val="none"/>
          <w:lang w:val="en-US" w:eastAsia="zh-CN" w:bidi="ar-SA"/>
        </w:rPr>
        <w:t>4.专项要求：建立反欺老虐老长效机制，杜绝相关行为；遵守《反食品浪费法》，接受招标人定期核查。</w:t>
      </w:r>
    </w:p>
    <w:p w14:paraId="10A1C3FC">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eastAsia="zh-CN"/>
        </w:rPr>
      </w:pPr>
      <w:r>
        <w:rPr>
          <w:rFonts w:hint="eastAsia" w:ascii="宋体" w:hAnsi="宋体" w:eastAsia="宋体" w:cs="宋体"/>
          <w:b/>
          <w:bCs/>
          <w:color w:val="auto"/>
          <w:sz w:val="21"/>
          <w:szCs w:val="21"/>
          <w:highlight w:val="none"/>
          <w:u w:val="none"/>
          <w:shd w:val="clear" w:color="auto" w:fill="auto"/>
          <w:lang w:val="en-US" w:eastAsia="zh-CN"/>
        </w:rPr>
        <w:t>四</w:t>
      </w:r>
      <w:r>
        <w:rPr>
          <w:rFonts w:hint="eastAsia" w:ascii="宋体" w:hAnsi="宋体" w:eastAsia="宋体" w:cs="宋体"/>
          <w:b/>
          <w:bCs/>
          <w:color w:val="auto"/>
          <w:sz w:val="21"/>
          <w:szCs w:val="21"/>
          <w:highlight w:val="none"/>
          <w:u w:val="none"/>
          <w:shd w:val="clear" w:color="auto" w:fill="auto"/>
          <w:lang w:eastAsia="zh-CN"/>
        </w:rPr>
        <w:t>、</w:t>
      </w:r>
      <w:r>
        <w:rPr>
          <w:rFonts w:hint="eastAsia" w:ascii="宋体" w:hAnsi="宋体" w:eastAsia="宋体" w:cs="宋体"/>
          <w:b/>
          <w:bCs/>
          <w:color w:val="auto"/>
          <w:sz w:val="21"/>
          <w:szCs w:val="21"/>
          <w:highlight w:val="none"/>
          <w:u w:val="none"/>
          <w:shd w:val="clear" w:color="auto" w:fill="auto"/>
          <w:lang w:val="en-US" w:eastAsia="zh-CN"/>
        </w:rPr>
        <w:t>权利和义务</w:t>
      </w:r>
    </w:p>
    <w:p w14:paraId="600E6F07">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（一）招标人的权利和义务</w:t>
      </w:r>
    </w:p>
    <w:p w14:paraId="2B00D9F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1.招标人承诺其拥有签订并履行本合同的全部、充分的权利与授权，并依据法律具有签订本合同的行为能力。</w:t>
      </w:r>
    </w:p>
    <w:p w14:paraId="22810DA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2.在本项目运营期限内，招标人全力支持中标人独立自主、自负盈亏运营韶关市武江区养老服务中心（一期），积极帮助中标人协调各种关系，促进韶关市武江区养老服务中心（一期）的长期健康稳定发展。</w:t>
      </w:r>
    </w:p>
    <w:p w14:paraId="3181497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在本项目运营期限内，招标人有权依照本项目约定监督中标人对韶关市武江区养老服务中心（一期）的运营管理行为，并在本项目约定的情形下行使临时接管权，但除本项目约定的情形外，招标人不干预中标人对韶关市武江区养老服务中心（一期）的正常运营管理活动。</w:t>
      </w:r>
    </w:p>
    <w:p w14:paraId="48E399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4.招标人向中标人移交的建筑物必须取得工程竣工验收报告（包括但不限于规划、建设、消防、环保、水、电等验收报告），移交前对已有资产（含土地）进行登记，制定固定资产清单，由双方确认后移交。</w:t>
      </w:r>
    </w:p>
    <w:p w14:paraId="30F41EB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5.招标人需帮助中标人积极争取各级政府及组织的专项资金和优惠政策。</w:t>
      </w:r>
    </w:p>
    <w:p w14:paraId="1790FF6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招标人负责的政府供养人员的费用，按照提供服务当年的政府供养标准由招标人按入住实际人数向中标人支付。招标人供养人员入住的对象包括武江区有入住意愿的特困供养人员和招标人确定的其他人员，优先安排入住上述特困供养人员中的失能、半失能、失智老人。招标人供养人员入住的对象身份由招标人确定，中标人凭招标人出具的集中供养审批手续办理入住手续。</w:t>
      </w:r>
    </w:p>
    <w:p w14:paraId="73CFC45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7.招标人保证在本项目期限内，招标人享有韶关市武江区养老服务中心（一期）所在区域土地及土地上建筑物的所有权，并保证中标人享有韶关市武江区养老服务中心（一期）的土地和建筑物的充分使用权。</w:t>
      </w:r>
    </w:p>
    <w:p w14:paraId="29ABD3F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8.在本项目有效期内，招标人不得因人员的变动单方面调整本项目约定。</w:t>
      </w:r>
    </w:p>
    <w:p w14:paraId="5FC159D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9.在本项目期内，招标人积极帮助中标人处理与韶关市武江区养老服务中心（一期）周边居民之间的关系。</w:t>
      </w:r>
    </w:p>
    <w:p w14:paraId="6DC359F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为了能够更好地了解韶关市武江区养老服务中心（一期）运营管理情况，确保韶关市武江区养老服务中心（一期）运营管理能够按照本项目约定履行，招标人依照有关法律法规和本项目约定行使监督权利。招标人可以根据情况每年单独委托有法定资质的第三方评估机构对中标人的日常管理运营和服务质量进行监督和综合评估，根据评估情况加强监督管理。</w:t>
      </w:r>
    </w:p>
    <w:p w14:paraId="7726AA3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招标人可以根据情况每年单独委托有资质的第三方机构对中标人的运营财务状况进行定期审计，制定中标人异常退出时的风险防控应急预案。招标人会定期组织资产核验，委托有资质的第三方机构对国有资产及中标人投入资产进行阶段性评估，清点核对资产造册情况。重点核查中标人在合同期内是否独立运营、独立核算、自负盈亏，是否对机构日常消耗性设施、设备加以维护和修缮，是否有擅自出租、出借、处置国有资产或以国有资产进行抵押、贷款行为。对国有资产造成损失的，依法追究中标人赔偿责任；构成犯罪的，依法追究中标人刑事责任。</w:t>
      </w:r>
    </w:p>
    <w:p w14:paraId="1694E7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定期开展服务质量监督评估，对服务投诉进行调查处理，保障在院老人的合法权益。招标人有权组织或委托第三方评估机构对中标人维护老年人权益情况进行检查及每年或不定期对入住对象满意度开展调查。定期核查运营方是否严格按照《养老机构管理办法》（民政部令第66号）等有关法规规定进行运营管理，重点对运营期间存在的安全隐患、服务质量等问题有无进行整改；发现问题，要限期整改，拒不整改或整改不力、情节严重的，可启动退出机制。</w:t>
      </w:r>
    </w:p>
    <w:p w14:paraId="4E3F06A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招标人的监督权须在不影响韶关市武江区养老服务中心（一期）正常运营的前提下行使（特殊时期严重情况除外）。</w:t>
      </w:r>
    </w:p>
    <w:p w14:paraId="2DC025F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招标人设立监督管理机构，负责对韶关市武江区养老服务中心（一期）运营管理实行监督，并督导中标人及时向招标人及监管机构报告重大事项，提交年度情况报告。在特定情形下（如发生中标人无法掌控的紧急情况或者中标人严重违约）招标人有直接介入韶关市武江区养老服务中心（一期）运营管理的权利。</w:t>
      </w:r>
    </w:p>
    <w:p w14:paraId="3DCB535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14.招标人有权对中标人经营情况进行随机检查，重点检查兜底床位占用情况，兜底床位使用与供养人员是否相符等。</w:t>
      </w:r>
    </w:p>
    <w:p w14:paraId="77BB846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15.政策变更告知义务：若国家、省、市出台养老服务相关新政策（如收费标准、安全规范），招标人需在政策生效前30日书面告知中标人，双方协商调整合同相关条款。</w:t>
      </w:r>
    </w:p>
    <w:p w14:paraId="1927AA4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16.专项资金拨付时限：政府供养人员的供养费、护理补贴等经费，招标人需在每月15日前足额拨付至中标人账户。</w:t>
      </w:r>
    </w:p>
    <w:p w14:paraId="4D01327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17.投诉处理机制：招标人设立24小时投诉热线，负责接收入住老人及家属的投诉，中标人需在接到招标人转办的投诉后48小时内提交处理方案，7日内办结并反馈，投诉处理结果纳入年度考核。</w:t>
      </w:r>
    </w:p>
    <w:p w14:paraId="78BF38CA">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（二）中标人的权利和义务</w:t>
      </w:r>
    </w:p>
    <w:p w14:paraId="7CA7DB3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1.中标人为依据法律正式成立并有效存续的法人，并具有完全民事行为能力。</w:t>
      </w:r>
    </w:p>
    <w:p w14:paraId="666A66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2.中标人拥有签订并履行本项目的全部、充分的权利与授权，并依据法律具有签订本项目的行为能力。</w:t>
      </w:r>
    </w:p>
    <w:p w14:paraId="7A9486D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在本项目运营期限内，中标人应遵守国家法律法规和政策文件有关规定保障入住老人权益，自觉接受和配合招标人对韶关市武江区养老服务中心（一期）老年人权益保障和运营管理的监督，但中标人有权拒绝招标人违反法律法规的要求。</w:t>
      </w:r>
    </w:p>
    <w:p w14:paraId="2D815B6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4.在本项目有效期限内，中标人对本项目范围内的建筑物、设施设备拥有使用权，拥有韶关市武江区养老服务中心（一期）自主运营管理权和收益权，自负盈亏，独立承担运营过程中产生的费用和债权债务。</w:t>
      </w:r>
    </w:p>
    <w:p w14:paraId="5ED4A1A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中标人必须按规定建立财务账目，规范财务管理，并向招标人提供财务报表，季度财务报表在季度终了之日起15日内报送，年度财务报表在年度终了之日起2个月内报送。每年提交工作报告，内容主要包括韶关市武江区养老服务中心（一期）的服务范围、服务对象、服务质量、运营管理、运营收支等相关情况。运营期内，中标人应针对兜底对象的人员护理照料费用使用明细账进行登记，便于招标人对本项目兜底对象救助供养金和护理照料费明细进行监管及财务审计进行核查。</w:t>
      </w:r>
    </w:p>
    <w:p w14:paraId="381E0B8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在本项目运营期内，凡以韶关市武江区养老服务中心（一期）名义向各级政府和组织申请的专项资金，应专款专用，并设立台账，便于招标人财务审计核查。专项资金的投入作为政府国有资产，中标人要按当年区财政与银行协定的利率计算利息并上缴给区财政。缴交利息时间为每年的12月31日前，否则按合同违约处理。</w:t>
      </w:r>
    </w:p>
    <w:p w14:paraId="03AB518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韶关市武江区养老服务中心（一期）面向社会入住老人的收费标准，由中标人依照韶关市武江区养老服务中心（一期）机构设施设备条件、管理水平、服务质量、护理等级、市场物价等因素确定提出方案，按规定程序报招标人审核同意，按规定程序报发改物价部门备案。</w:t>
      </w:r>
    </w:p>
    <w:p w14:paraId="028AC33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中标人应根据服务需求，建立健全的机构内部信息管理系统，实现机构内部信息化管理，并能不断完善各项管理规章制度、人力资源管理、具体的日常岗位工作安排和应急管理方案，招标人有权要求其修订相关制度并监督其执行。</w:t>
      </w:r>
    </w:p>
    <w:p w14:paraId="1C1DB64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9.中标人对入住的特困供养人员和面向社会入住人员，应按法律法规、政策规定及供养费用水平、收费标准等，提供适当水平档次的饮食、生活起居、照料护理、医养健康等服务，不得克扣钱物、降低服务水平和档次。对入住的特困供养人员，中标人每月应按照不低于约10%供养费计算发放零用钱。</w:t>
      </w:r>
    </w:p>
    <w:p w14:paraId="67E47E6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中标人负责按照国家相关标准和规范对韶关市武江区养老服务中心（一期）机构进行运营管理，并对固定资产进行日常管理维护（消防、燃气、电梯等设施应聘请有资质的第三方进行年检，定期维护），不得从事与养老服务无关的运营活动，不得出租、出借、处置韶关市武江区养老服务中心（一期）的资产，不得以韶关市武江区养老服务中心（一期）的资产进行抵押、贷款等活动。</w:t>
      </w:r>
    </w:p>
    <w:p w14:paraId="7B05363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11.中标人应按上级对区级公办养老机构的统一政策规定和部署安排，达到相应的养老机构等级和标准。</w:t>
      </w:r>
    </w:p>
    <w:p w14:paraId="45F7A4E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12.中标人应保证韶关市武江区养老服务中心（一期）正式运营时的设施设备、床位设置、护理及服务人员配置等符合相关法律法规和规范的要求。上述设施设备的维护、更新、添置等费用由中标人负责。</w:t>
      </w:r>
    </w:p>
    <w:p w14:paraId="6EB8CCF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13.中标人应保证充足的开业资金和维持韶关市武江区养老服务中心（一期）正常运营的资金。</w:t>
      </w:r>
    </w:p>
    <w:p w14:paraId="3F2814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14.中标人在经营过程中，设备及固定资产需要更换或维修，须向招标人报备，并经招标人同意，确认资产，并造册登记。合同期满后，资产移交给招标人。</w:t>
      </w:r>
    </w:p>
    <w:p w14:paraId="47AF154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15.中标人建设期间因安全、劳资纠纷等产生的问题，中标人负全责并妥善处理，招标人保留追究相关经济和法律责任的权利。</w:t>
      </w:r>
    </w:p>
    <w:p w14:paraId="1587581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16.运营期间如存在安全隐患、服务质量等问题，要限时进行整改，中标人应无条件配合招标人进行整改并承担相应责任。</w:t>
      </w:r>
    </w:p>
    <w:p w14:paraId="6DA8955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中标人在运营期前五年达到广东省养老机构星级评定标准中四星级标准，则自评定后的下一年起政府返还当年租金20%。中标人在运营期前五年达到广东省养老机构星级评定标准五星级标准，则自评定后的下一年起政府返还当年租金30%，返还租金累计不超过三年。中标人在运营期前五年未能达到广东省养老机构星级评定标准中四星级及以上养老机构标准，则租金没有任何返还。</w:t>
      </w:r>
    </w:p>
    <w:p w14:paraId="38017A3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18.人员配置标准：护理人员与床位配比需满足：失能床位1:3、半失能床位1:6、自理床位1:10；所有护理人员需持有效职业资格证书上岗，每年参加专业培训时长≥40小时，培训记录报招标人备案。</w:t>
      </w:r>
    </w:p>
    <w:p w14:paraId="40509EE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19.资产维护责任划分：</w:t>
      </w:r>
    </w:p>
    <w:p w14:paraId="72B936B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1）日常小额维修（单次费用≤5000元）：中标人72小时内响应并完成；</w:t>
      </w:r>
    </w:p>
    <w:p w14:paraId="333604E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2）中大额维修（5000元＜单次费用≤5万元）：中标人3日内提交维修方案，经招标</w:t>
      </w:r>
      <w:r>
        <w:rPr>
          <w:rFonts w:hint="eastAsia" w:ascii="宋体" w:hAnsi="宋体" w:eastAsia="宋体" w:cs="宋体"/>
          <w:color w:val="auto"/>
          <w:kern w:val="2"/>
          <w:sz w:val="21"/>
          <w:szCs w:val="21"/>
          <w:highlight w:val="none"/>
          <w:lang w:val="en-US" w:eastAsia="zh-CN" w:bidi="ar-SA"/>
        </w:rPr>
        <w:t>人同意后15日内完成；</w:t>
      </w:r>
    </w:p>
    <w:p w14:paraId="3589F6E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3）建筑物本体结构性维修：中标人发现后24小时内上报招标人，由招标人牵头组织维修，费用按本项目第六条第（五）项执行。</w:t>
      </w:r>
    </w:p>
    <w:p w14:paraId="383D2D1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中标人需制定自然灾害、公共卫生事件、老人突发疾病等6类应急预案，每季度组织1次演练，演练记录报招标人备案；发生重大事件（如老人意外伤亡、较大安全事故），中标人需在2小时内上报招标人及相关部门。</w:t>
      </w:r>
    </w:p>
    <w:p w14:paraId="44CEA4F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sz w:val="21"/>
          <w:szCs w:val="21"/>
          <w:highlight w:val="none"/>
          <w:u w:val="none"/>
          <w:shd w:val="clear" w:color="auto" w:fill="auto"/>
          <w:lang w:eastAsia="zh-CN"/>
        </w:rPr>
      </w:pPr>
      <w:r>
        <w:rPr>
          <w:rFonts w:hint="eastAsia" w:ascii="宋体" w:hAnsi="宋体" w:eastAsia="宋体" w:cs="宋体"/>
          <w:color w:val="auto"/>
          <w:kern w:val="2"/>
          <w:sz w:val="21"/>
          <w:szCs w:val="21"/>
          <w:highlight w:val="none"/>
          <w:lang w:val="en-US" w:eastAsia="zh-CN" w:bidi="ar-SA"/>
        </w:rPr>
        <w:t>21.若中标人运营期间需向用户收取养老押金的，须建立养老押金三方监管机制，开立专用存款账户，对押金的收取、存储、支取、退回全流程闭环管控，严格依据《养老机构预收费存管工作指引》等政策执行，确保资金专款专用、安全可追溯。</w:t>
      </w:r>
    </w:p>
    <w:p w14:paraId="6CEE35D5">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eastAsia="zh-CN"/>
        </w:rPr>
      </w:pPr>
      <w:r>
        <w:rPr>
          <w:rFonts w:hint="eastAsia" w:ascii="宋体" w:hAnsi="宋体" w:eastAsia="宋体" w:cs="宋体"/>
          <w:b/>
          <w:bCs/>
          <w:color w:val="auto"/>
          <w:sz w:val="21"/>
          <w:szCs w:val="21"/>
          <w:highlight w:val="none"/>
          <w:u w:val="none"/>
          <w:shd w:val="clear" w:color="auto" w:fill="auto"/>
          <w:lang w:val="en-US" w:eastAsia="zh-CN"/>
        </w:rPr>
        <w:t>五、租金、支付</w:t>
      </w:r>
      <w:r>
        <w:rPr>
          <w:rFonts w:hint="eastAsia" w:ascii="宋体" w:hAnsi="宋体" w:eastAsia="宋体" w:cs="宋体"/>
          <w:b/>
          <w:bCs/>
          <w:color w:val="auto"/>
          <w:sz w:val="21"/>
          <w:szCs w:val="21"/>
          <w:highlight w:val="none"/>
          <w:u w:val="none"/>
          <w:shd w:val="clear" w:color="auto" w:fill="auto"/>
          <w:lang w:eastAsia="zh-CN"/>
        </w:rPr>
        <w:t>方式</w:t>
      </w:r>
    </w:p>
    <w:p w14:paraId="4763B0A8">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default"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1.租金标准</w:t>
      </w:r>
    </w:p>
    <w:tbl>
      <w:tblPr>
        <w:tblStyle w:val="17"/>
        <w:tblW w:w="55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
        <w:gridCol w:w="2909"/>
        <w:gridCol w:w="777"/>
        <w:gridCol w:w="1502"/>
        <w:gridCol w:w="1095"/>
        <w:gridCol w:w="1477"/>
        <w:gridCol w:w="1446"/>
      </w:tblGrid>
      <w:tr w14:paraId="0C99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73" w:type="pct"/>
            <w:noWrap/>
            <w:vAlign w:val="center"/>
          </w:tcPr>
          <w:p w14:paraId="26005530">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525" w:type="pct"/>
            <w:noWrap/>
            <w:vAlign w:val="center"/>
          </w:tcPr>
          <w:p w14:paraId="274A92F3">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采购标的</w:t>
            </w:r>
          </w:p>
        </w:tc>
        <w:tc>
          <w:tcPr>
            <w:tcW w:w="407" w:type="pct"/>
            <w:noWrap/>
            <w:vAlign w:val="center"/>
          </w:tcPr>
          <w:p w14:paraId="0D30A8B3">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787" w:type="pct"/>
            <w:noWrap/>
            <w:vAlign w:val="center"/>
          </w:tcPr>
          <w:p w14:paraId="4839B463">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shd w:val="clear" w:color="auto" w:fill="auto"/>
              </w:rPr>
              <w:t>运营期限</w:t>
            </w:r>
          </w:p>
        </w:tc>
        <w:tc>
          <w:tcPr>
            <w:tcW w:w="574" w:type="pct"/>
            <w:noWrap/>
            <w:vAlign w:val="center"/>
          </w:tcPr>
          <w:p w14:paraId="30251080">
            <w:pPr>
              <w:spacing w:line="360" w:lineRule="auto"/>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shd w:val="clear" w:color="auto" w:fill="auto"/>
                <w:lang w:val="en-US" w:eastAsia="zh-CN"/>
              </w:rPr>
              <w:t>免租期限</w:t>
            </w:r>
          </w:p>
        </w:tc>
        <w:tc>
          <w:tcPr>
            <w:tcW w:w="774" w:type="pct"/>
            <w:noWrap/>
            <w:vAlign w:val="center"/>
          </w:tcPr>
          <w:p w14:paraId="2323B1CC">
            <w:pPr>
              <w:spacing w:line="360" w:lineRule="auto"/>
              <w:jc w:val="center"/>
              <w:rPr>
                <w:rFonts w:hint="eastAsia" w:ascii="宋体" w:hAnsi="宋体" w:eastAsia="宋体" w:cs="宋体"/>
                <w:b/>
                <w:bCs/>
                <w:color w:val="auto"/>
                <w:sz w:val="21"/>
                <w:szCs w:val="21"/>
                <w:highlight w:val="none"/>
                <w:shd w:val="clear" w:color="auto" w:fill="auto"/>
              </w:rPr>
            </w:pPr>
            <w:r>
              <w:rPr>
                <w:rFonts w:hint="eastAsia" w:eastAsia="宋体" w:cs="宋体"/>
                <w:b/>
                <w:bCs/>
                <w:color w:val="auto"/>
                <w:sz w:val="21"/>
                <w:szCs w:val="21"/>
                <w:highlight w:val="none"/>
              </w:rPr>
              <w:t>面积</w:t>
            </w:r>
            <w:r>
              <w:rPr>
                <w:rFonts w:hint="eastAsia" w:ascii="宋体" w:hAnsi="宋体" w:eastAsia="宋体" w:cs="宋体"/>
                <w:b/>
                <w:bCs/>
                <w:color w:val="auto"/>
                <w:sz w:val="21"/>
                <w:szCs w:val="21"/>
                <w:highlight w:val="none"/>
              </w:rPr>
              <w:t>M²</w:t>
            </w:r>
          </w:p>
        </w:tc>
        <w:tc>
          <w:tcPr>
            <w:tcW w:w="758" w:type="pct"/>
            <w:noWrap/>
            <w:vAlign w:val="center"/>
          </w:tcPr>
          <w:p w14:paraId="2D2A7F0C">
            <w:pPr>
              <w:spacing w:line="360" w:lineRule="auto"/>
              <w:jc w:val="center"/>
              <w:rPr>
                <w:rFonts w:hint="eastAsia" w:ascii="宋体" w:hAnsi="宋体" w:eastAsia="宋体" w:cs="宋体"/>
                <w:b/>
                <w:bCs/>
                <w:color w:val="auto"/>
                <w:sz w:val="21"/>
                <w:szCs w:val="21"/>
                <w:highlight w:val="none"/>
                <w:shd w:val="clear" w:color="auto" w:fill="auto"/>
              </w:rPr>
            </w:pPr>
            <w:r>
              <w:rPr>
                <w:rFonts w:hint="eastAsia" w:eastAsia="宋体" w:cs="宋体"/>
                <w:b/>
                <w:bCs/>
                <w:color w:val="auto"/>
                <w:sz w:val="21"/>
                <w:szCs w:val="21"/>
                <w:highlight w:val="none"/>
              </w:rPr>
              <w:t>最低限价金额（元/</w:t>
            </w:r>
            <w:r>
              <w:rPr>
                <w:rFonts w:hint="eastAsia" w:ascii="宋体" w:hAnsi="宋体" w:eastAsia="宋体" w:cs="宋体"/>
                <w:b/>
                <w:bCs/>
                <w:color w:val="auto"/>
                <w:sz w:val="21"/>
                <w:szCs w:val="21"/>
                <w:highlight w:val="none"/>
              </w:rPr>
              <w:t>M²/月</w:t>
            </w:r>
            <w:r>
              <w:rPr>
                <w:rFonts w:hint="eastAsia" w:eastAsia="宋体" w:cs="宋体"/>
                <w:b/>
                <w:bCs/>
                <w:color w:val="auto"/>
                <w:sz w:val="21"/>
                <w:szCs w:val="21"/>
                <w:highlight w:val="none"/>
              </w:rPr>
              <w:t>）</w:t>
            </w:r>
          </w:p>
        </w:tc>
      </w:tr>
      <w:tr w14:paraId="05D3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73" w:type="pct"/>
            <w:noWrap/>
            <w:vAlign w:val="center"/>
          </w:tcPr>
          <w:p w14:paraId="6CFED5B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25" w:type="pct"/>
            <w:noWrap/>
            <w:vAlign w:val="center"/>
          </w:tcPr>
          <w:p w14:paraId="40BCDB63">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韶关市武江区养老服务中心（一期）委托运营管理项目</w:t>
            </w:r>
          </w:p>
        </w:tc>
        <w:tc>
          <w:tcPr>
            <w:tcW w:w="407" w:type="pct"/>
            <w:noWrap/>
            <w:vAlign w:val="center"/>
          </w:tcPr>
          <w:p w14:paraId="5F069A0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787" w:type="pct"/>
            <w:noWrap/>
            <w:vAlign w:val="center"/>
          </w:tcPr>
          <w:p w14:paraId="3CE8A65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16"/>
                <w:sz w:val="21"/>
                <w:szCs w:val="21"/>
                <w:highlight w:val="none"/>
                <w:shd w:val="clear" w:color="auto" w:fill="auto"/>
                <w:lang w:eastAsia="zh-CN"/>
              </w:rPr>
              <w:t>自</w:t>
            </w:r>
            <w:r>
              <w:rPr>
                <w:rFonts w:hint="eastAsia" w:ascii="宋体" w:hAnsi="宋体" w:eastAsia="宋体" w:cs="宋体"/>
                <w:color w:val="auto"/>
                <w:kern w:val="16"/>
                <w:sz w:val="21"/>
                <w:szCs w:val="21"/>
                <w:highlight w:val="none"/>
                <w:shd w:val="clear" w:color="auto" w:fill="auto"/>
                <w:lang w:val="en-US" w:eastAsia="zh-CN"/>
              </w:rPr>
              <w:t>合同签订之日起</w:t>
            </w:r>
            <w:r>
              <w:rPr>
                <w:rFonts w:hint="eastAsia" w:ascii="宋体" w:hAnsi="宋体" w:eastAsia="宋体" w:cs="宋体"/>
                <w:color w:val="auto"/>
                <w:kern w:val="16"/>
                <w:sz w:val="21"/>
                <w:szCs w:val="21"/>
                <w:highlight w:val="none"/>
                <w:shd w:val="clear" w:color="auto" w:fill="auto"/>
                <w:lang w:eastAsia="zh-CN"/>
              </w:rPr>
              <w:t>20年</w:t>
            </w:r>
          </w:p>
        </w:tc>
        <w:tc>
          <w:tcPr>
            <w:tcW w:w="574" w:type="pct"/>
            <w:noWrap/>
            <w:vAlign w:val="center"/>
          </w:tcPr>
          <w:p w14:paraId="0C1CA74E">
            <w:pPr>
              <w:spacing w:line="360" w:lineRule="auto"/>
              <w:jc w:val="center"/>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shd w:val="clear" w:color="auto" w:fill="auto"/>
                <w:lang w:val="en-US" w:eastAsia="zh-CN"/>
              </w:rPr>
              <w:t>半年</w:t>
            </w:r>
          </w:p>
        </w:tc>
        <w:tc>
          <w:tcPr>
            <w:tcW w:w="774" w:type="pct"/>
            <w:noWrap/>
            <w:vAlign w:val="center"/>
          </w:tcPr>
          <w:p w14:paraId="3F354EBC">
            <w:pPr>
              <w:spacing w:line="360" w:lineRule="auto"/>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b w:val="0"/>
                <w:bCs/>
                <w:color w:val="auto"/>
                <w:sz w:val="21"/>
                <w:szCs w:val="21"/>
                <w:highlight w:val="none"/>
                <w:lang w:val="en-US" w:eastAsia="zh-CN"/>
              </w:rPr>
              <w:t>20509.91</w:t>
            </w:r>
          </w:p>
        </w:tc>
        <w:tc>
          <w:tcPr>
            <w:tcW w:w="758" w:type="pct"/>
            <w:noWrap/>
            <w:vAlign w:val="center"/>
          </w:tcPr>
          <w:p w14:paraId="7E7F2C46">
            <w:pPr>
              <w:spacing w:line="360" w:lineRule="auto"/>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color w:val="auto"/>
                <w:kern w:val="16"/>
                <w:sz w:val="21"/>
                <w:szCs w:val="21"/>
                <w:highlight w:val="none"/>
                <w:shd w:val="clear" w:color="auto" w:fill="auto"/>
                <w:lang w:val="en-US" w:eastAsia="zh-CN"/>
              </w:rPr>
              <w:t>3.1</w:t>
            </w:r>
          </w:p>
        </w:tc>
      </w:tr>
    </w:tbl>
    <w:p w14:paraId="6DAE8E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免租期半年。</w:t>
      </w:r>
    </w:p>
    <w:p w14:paraId="4948853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heme="minorEastAsia" w:hAnsiTheme="minorEastAsia" w:eastAsiaTheme="minorEastAsia" w:cstheme="minorEastAsia"/>
          <w:color w:val="auto"/>
          <w:kern w:val="2"/>
          <w:sz w:val="21"/>
          <w:szCs w:val="21"/>
          <w:highlight w:val="yellow"/>
          <w:lang w:val="en-US" w:eastAsia="zh-CN" w:bidi="ar-SA"/>
        </w:rPr>
      </w:pPr>
      <w:r>
        <w:rPr>
          <w:rFonts w:hint="eastAsia" w:ascii="宋体" w:hAnsi="宋体" w:eastAsia="宋体" w:cs="宋体"/>
          <w:b w:val="0"/>
          <w:bCs w:val="0"/>
          <w:color w:val="auto"/>
          <w:sz w:val="21"/>
          <w:szCs w:val="21"/>
          <w:highlight w:val="none"/>
          <w:u w:val="none"/>
          <w:shd w:val="clear" w:color="auto" w:fill="auto"/>
          <w:lang w:val="en-US" w:eastAsia="zh-CN"/>
        </w:rPr>
        <w:t>注:</w:t>
      </w:r>
      <w:r>
        <w:rPr>
          <w:rFonts w:hint="eastAsia" w:ascii="宋体" w:hAnsi="宋体" w:eastAsia="宋体" w:cs="宋体"/>
          <w:b w:val="0"/>
          <w:bCs/>
          <w:color w:val="auto"/>
          <w:kern w:val="2"/>
          <w:sz w:val="21"/>
          <w:szCs w:val="21"/>
          <w:highlight w:val="none"/>
          <w:lang w:val="en-US" w:eastAsia="zh-CN" w:bidi="ar-SA"/>
        </w:rPr>
        <w:t>综合报价低于金额3.1元/M²/月的列为无效报价处理，各有效投标人对报价自行评估风险。</w:t>
      </w:r>
    </w:p>
    <w:p w14:paraId="5966C75F">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2"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2</w:t>
      </w:r>
      <w:r>
        <w:rPr>
          <w:rFonts w:hint="default" w:ascii="宋体" w:hAnsi="宋体" w:eastAsia="宋体" w:cs="宋体"/>
          <w:b/>
          <w:bCs/>
          <w:color w:val="auto"/>
          <w:kern w:val="2"/>
          <w:sz w:val="21"/>
          <w:szCs w:val="21"/>
          <w:highlight w:val="none"/>
          <w:u w:val="none"/>
          <w:shd w:val="clear" w:color="auto" w:fill="auto"/>
          <w:lang w:val="en-US" w:eastAsia="zh-CN" w:bidi="ar-SA"/>
        </w:rPr>
        <w:t>.</w:t>
      </w:r>
      <w:r>
        <w:rPr>
          <w:rFonts w:hint="eastAsia" w:ascii="宋体" w:hAnsi="宋体" w:eastAsia="宋体" w:cs="宋体"/>
          <w:b/>
          <w:bCs/>
          <w:color w:val="auto"/>
          <w:kern w:val="2"/>
          <w:sz w:val="21"/>
          <w:szCs w:val="21"/>
          <w:highlight w:val="none"/>
          <w:u w:val="none"/>
          <w:shd w:val="clear" w:color="auto" w:fill="auto"/>
          <w:lang w:val="en-US" w:eastAsia="zh-CN" w:bidi="ar-SA"/>
        </w:rPr>
        <w:t>免租与支付起始：</w:t>
      </w:r>
      <w:r>
        <w:rPr>
          <w:rFonts w:hint="eastAsia" w:asciiTheme="minorEastAsia" w:hAnsiTheme="minorEastAsia" w:eastAsiaTheme="minorEastAsia" w:cstheme="minorEastAsia"/>
          <w:color w:val="auto"/>
          <w:kern w:val="2"/>
          <w:sz w:val="21"/>
          <w:szCs w:val="21"/>
          <w:highlight w:val="none"/>
          <w:lang w:val="en-US" w:eastAsia="zh-CN" w:bidi="ar-SA"/>
        </w:rPr>
        <w:t>首半年免收租金，租金自本项目生效后第7个月起计提。</w:t>
      </w:r>
    </w:p>
    <w:p w14:paraId="553EA29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3.付款方式：</w:t>
      </w:r>
    </w:p>
    <w:p w14:paraId="45B4CBCF">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leftChars="0"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1）按“先付后使用”原则，每月10日前向招标人指定账户支付当月租金，支付方式为银行转账；</w:t>
      </w:r>
    </w:p>
    <w:p w14:paraId="4FA40D63">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4</w:t>
      </w:r>
      <w:r>
        <w:rPr>
          <w:rFonts w:hint="default" w:ascii="宋体" w:hAnsi="宋体" w:eastAsia="宋体" w:cs="宋体"/>
          <w:b/>
          <w:bCs/>
          <w:color w:val="auto"/>
          <w:kern w:val="2"/>
          <w:sz w:val="21"/>
          <w:szCs w:val="21"/>
          <w:highlight w:val="none"/>
          <w:u w:val="none"/>
          <w:shd w:val="clear" w:color="auto" w:fill="auto"/>
          <w:lang w:val="en-US" w:eastAsia="zh-CN" w:bidi="ar-SA"/>
        </w:rPr>
        <w:t>.</w:t>
      </w:r>
      <w:r>
        <w:rPr>
          <w:rFonts w:hint="eastAsia" w:ascii="宋体" w:hAnsi="宋体" w:eastAsia="宋体" w:cs="宋体"/>
          <w:b/>
          <w:bCs/>
          <w:color w:val="auto"/>
          <w:kern w:val="2"/>
          <w:sz w:val="21"/>
          <w:szCs w:val="21"/>
          <w:highlight w:val="none"/>
          <w:u w:val="none"/>
          <w:shd w:val="clear" w:color="auto" w:fill="auto"/>
          <w:lang w:val="en-US" w:eastAsia="zh-CN" w:bidi="ar-SA"/>
        </w:rPr>
        <w:t>兜底床位约定：</w:t>
      </w:r>
    </w:p>
    <w:p w14:paraId="4C44A1A7">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leftChars="0"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1）兜底型床位收费标准按照国家对特困供养人员保障标准收取费用，并按民政部门要求比例每月给付特困供养人每月零用钱，特困人员入住费用差额部分由运营机构负担。</w:t>
      </w:r>
    </w:p>
    <w:p w14:paraId="050EA513">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default"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六、其他要求</w:t>
      </w:r>
    </w:p>
    <w:p w14:paraId="74A004A7">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（一）中标人应遵循的相关法律法规及政策文件</w:t>
      </w:r>
    </w:p>
    <w:p w14:paraId="78B006D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1.《中华人民共和国老年人权益保障法》</w:t>
      </w:r>
    </w:p>
    <w:p w14:paraId="6055047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2.《广东省老年人权益保障条例》</w:t>
      </w:r>
    </w:p>
    <w:p w14:paraId="7DE159E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3.《广东省养老机构规范化建设指引》</w:t>
      </w:r>
    </w:p>
    <w:p w14:paraId="1FAFE65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4.《广东省民办社会福利机构管理规定》（广东省人民政府令第 275 号（2020 年 5 月 12 日修订））</w:t>
      </w:r>
    </w:p>
    <w:p w14:paraId="20B8CEE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5.《养老机构消防安全管理规定》（民政部 国家消防救援局 民发〔2023〕37 号）</w:t>
      </w:r>
    </w:p>
    <w:p w14:paraId="20DE545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6.《养老机构管理办法》（中华人民共和国民政部令第66号）</w:t>
      </w:r>
    </w:p>
    <w:p w14:paraId="265DB2A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7.《养老机构护理站基本标准（试行）》</w:t>
      </w:r>
    </w:p>
    <w:p w14:paraId="6D8B599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8.《养老机构医务室基本标准（试行）》</w:t>
      </w:r>
    </w:p>
    <w:p w14:paraId="177E2CE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9.《广东省民政厅关于印发广东省特困人员供养服务机构公建民营社会化改革实施方案的通知》（粤民发〔2016〕77号）</w:t>
      </w:r>
    </w:p>
    <w:p w14:paraId="74E9285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10.《广东省民政厅关于进一步加强养老机构公建民营社会化改革监督指导的通知》（粤民函〔2020〕265号）</w:t>
      </w:r>
    </w:p>
    <w:p w14:paraId="701B3B6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①《老年人照料设施建筑设计标准》（JGJ450-2018）</w:t>
      </w:r>
    </w:p>
    <w:p w14:paraId="06905E1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②《养老机构服务安全基本规范》（GB38600-2019）</w:t>
      </w:r>
    </w:p>
    <w:p w14:paraId="1693B4E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③《养老机构服务质量基本规范》（GB/T35796-2017）</w:t>
      </w:r>
    </w:p>
    <w:p w14:paraId="79B08E6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④《农村特困人员供养服务机构运营规范》（DB44/T2200-2019）</w:t>
      </w:r>
    </w:p>
    <w:p w14:paraId="2A898B1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11.其他相关的法律法规和政策文件</w:t>
      </w:r>
    </w:p>
    <w:p w14:paraId="11A8C9C8">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（二）运营保障金</w:t>
      </w:r>
    </w:p>
    <w:p w14:paraId="1B98229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中标人应于本项目签订之日起30个工作日内，按规定向采购人提交运营保障金为人民币壹佰万元整(￥1,000,000.00元)，缴纳现金不能少于人民币贰拾万元整(￥200,000.00元)，并划入采购人指定的银行账户，余下金额可以采取银行保函形式，保函失效前三个月中标人应做好保函续开手续或缴纳等额现金。中标人支付完成后，应将转账凭证复印件提交招标人备案，招标人在收到凭证并确认款项到账后，出具收款确认函。</w:t>
      </w:r>
    </w:p>
    <w:p w14:paraId="2A698B6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中标人现金实缴运营保障金于合同期满，在中标人完全履行合同义务，结清所有费用（包括经营期间所有债务，产生的水电费用等）并经韶关市武江区养老服务中心（一期）交接验收合格后30个工作日内无息一次性退还。如经营期间，中标人自行终止合同或违反合同有关规定被招标人终止合同的，运营保障金将全部归招标人所有，运营保障金金额不足以弥补中标人违约行为导致的损失的，招标人可继续追偿。</w:t>
      </w:r>
    </w:p>
    <w:p w14:paraId="224ED49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如中标人未能在规定的时间内将运营保障金划入招标人指定的账户，视同自动放弃中标资格。在此情况下，招标人有权把合同授予排名在中标人之后的第二中标候选人或采用重新招标的方式重新确定承包经营商，由此带来的一切损失由中标人自行承担。</w:t>
      </w:r>
    </w:p>
    <w:p w14:paraId="664EC3E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b/>
          <w:bCs/>
          <w:kern w:val="2"/>
          <w:sz w:val="21"/>
          <w:szCs w:val="21"/>
          <w:highlight w:val="none"/>
          <w:lang w:val="en-US" w:eastAsia="zh-CN" w:bidi="ar-SA"/>
        </w:rPr>
        <w:t>（三）中标人需在签订合同30天内在武江区注册成立项目管理公司。（须提供承诺函，格式自拟）</w:t>
      </w:r>
    </w:p>
    <w:p w14:paraId="5338138E">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（四）政府补贴</w:t>
      </w:r>
    </w:p>
    <w:p w14:paraId="7A36375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1.招标人每月应向区财政申请拨付政府供养人员的供养费、护理补贴等经费。</w:t>
      </w:r>
    </w:p>
    <w:p w14:paraId="123217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2.如招标人需购买除本项目约定外的其他服务的，双方须另行协商签约。</w:t>
      </w:r>
    </w:p>
    <w:p w14:paraId="199BED4C">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（五）维修费用</w:t>
      </w:r>
    </w:p>
    <w:p w14:paraId="01DD082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应从社会养老每年营业总额中安排3%的资金作为韶关市武江区养老服务中心（一期）的维修费用（主要用于韶关市武江区养老服务中心（一期）的日常设施维护及升级改造），留存到由招标人和中标人共同设立的监管账户中，实行专户管理。维修及升级改造方案和资金使用需由招标人同意后方可实施。若需进行结构性大修时，优先使用维修监管账户的资金，不足部分由双方共同协商解决。</w:t>
      </w:r>
    </w:p>
    <w:p w14:paraId="69781F6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双方就不足部分费用分担协商不一致的，应在争议发生之日起 15 日内，共同选定具备资质的第三方工程造价咨询机构对大修工程合理造价进行审核确认，审核结果对双方具有约束力；双方对第三方选定无法达成一致的，由项目所在地住建部门推荐资质机构进行审核，审核费用由提出异议一方先行垫付，最终由双方按责任比例承担；审核后仍无法协商一致的，任何一方均有权向项目所在地人民法院提起诉讼解决，大修工程期间不得影响项目正常养老服务运营。</w:t>
      </w:r>
    </w:p>
    <w:p w14:paraId="2EDD94D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六）经营期内中标人对韶关市武江区养老服务中心（一期）自行管理及使用，自负盈亏、自担风险。因此产生的债务、损害赔偿、工伤赔偿、追偿、追诉等争议纠纷、民事责任、行政责任及刑事责任，由中标人自行承担，因各种纠纷影响韶关市武江区养老服务中心（一期）声誉和工作秩序，招标人有权解除合同，收回经营权并没收全额运营保障金。引起韶关市武江区养老服务中心（一期）遭受损失的，招标人有权对中标人提出索赔。</w:t>
      </w:r>
    </w:p>
    <w:p w14:paraId="2B756B7C">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（七）保险与风险转移</w:t>
      </w:r>
    </w:p>
    <w:p w14:paraId="2D97444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中标人需在合同生效后30日内，投保以下保险并将保单副本提交招标人备案：</w:t>
      </w:r>
    </w:p>
    <w:p w14:paraId="656E3FA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（1）养老机构责任险（保额≥200万元/每次事故，年度累计保额≥500万元）；</w:t>
      </w:r>
    </w:p>
    <w:p w14:paraId="6AC23B2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（2）入住老人意外险（保额≥50万元/人）；</w:t>
      </w:r>
    </w:p>
    <w:p w14:paraId="30AE52F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（3）雇主责任险（覆盖所有员工，保额≥80万元/人）。</w:t>
      </w:r>
    </w:p>
    <w:p w14:paraId="4A5C919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保险期限需与本项目运营期一致，中标人需在保险到期前30日完成续保，未按时续保视为违约。</w:t>
      </w:r>
    </w:p>
    <w:p w14:paraId="00984DB0">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 xml:space="preserve"> （八）个人信息与隐私保护</w:t>
      </w:r>
    </w:p>
    <w:p w14:paraId="29A70EF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中标人需遵守《中华人民共和国个人信息保护法》，建立老人个人信息（含健康数据、身份信息）的收集、存储、使用管理制度。</w:t>
      </w:r>
    </w:p>
    <w:p w14:paraId="38BAA7A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禁止向第三方泄露老人信息（法律法规要求除外），合同终止时需全额返还或销毁老人信息资料，招标人有权监督核查。</w:t>
      </w:r>
    </w:p>
    <w:p w14:paraId="5A4F189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 </w:t>
      </w:r>
      <w:r>
        <w:rPr>
          <w:rFonts w:hint="eastAsia" w:ascii="宋体" w:hAnsi="宋体" w:eastAsia="宋体" w:cs="宋体"/>
          <w:b/>
          <w:bCs/>
          <w:kern w:val="2"/>
          <w:sz w:val="21"/>
          <w:szCs w:val="21"/>
          <w:highlight w:val="none"/>
          <w:lang w:val="en-US" w:eastAsia="zh-CN" w:bidi="ar-SA"/>
        </w:rPr>
        <w:t>（九）合规性补充要求</w:t>
      </w:r>
    </w:p>
    <w:p w14:paraId="6F64FB0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中标人需遵守《反食品浪费法》，餐饮浪费率控制在5%以内，招标人定期核查，超标一次扣除当月租金的1%。</w:t>
      </w:r>
    </w:p>
    <w:p w14:paraId="096249A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中标人需建立反欺老虐老长效机制，在公共区域安装监控（隐私区域除外），监控保存时长≥90天，招标人有权调阅核查。</w:t>
      </w:r>
    </w:p>
    <w:p w14:paraId="1B8452C9">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七、临时接管预案</w:t>
      </w:r>
    </w:p>
    <w:p w14:paraId="27D7FAA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本项目运营期内，如中标人出现以下情况，招标人有权实施临时接管：</w:t>
      </w:r>
    </w:p>
    <w:p w14:paraId="2B1EC0D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（一）因经营管理不善，发生较大安全生产责任事故且不做善后处理或善后处置不及时不合理的；</w:t>
      </w:r>
    </w:p>
    <w:p w14:paraId="3BFD032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（二）严重违约、不尽管理职责或运营管理不善严重影响社会公共利益和安全的；</w:t>
      </w:r>
    </w:p>
    <w:p w14:paraId="4749A2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（三）擅自停业、歇业的；</w:t>
      </w:r>
    </w:p>
    <w:p w14:paraId="6BB82A2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（四）擅自将韶关市武江区养老服务中心（一期）转包给第三方经营的；</w:t>
      </w:r>
    </w:p>
    <w:p w14:paraId="18E7D87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（五）擅自将韶关市武江区养老服务中心（一期）财产转让、抵押给第三方的；</w:t>
      </w:r>
    </w:p>
    <w:p w14:paraId="2D96948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（六）一年内发生3次以上（含3次）欺老虐老事件的；</w:t>
      </w:r>
    </w:p>
    <w:p w14:paraId="70AEF6D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（七）法律法规禁止的其他相关行为。</w:t>
      </w:r>
    </w:p>
    <w:p w14:paraId="6B2F151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以上情况直到中标人采取整改措施并达到符合合同约定及有关韶关市武江区养老服务中心（一期）运营规范，中标人可以正常运营时，招标人终止接管。接管期不超过半年，半年后若中标人整改效果还不满足运营条件，招标人有权解除合同，临时接管期间所产生的相关费用，由中标人承担。</w:t>
      </w:r>
    </w:p>
    <w:p w14:paraId="489ADB9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（八）续约流程</w:t>
      </w:r>
    </w:p>
    <w:p w14:paraId="4534149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中标人需在合同期满前12个月提交续约申请及运营情况报告，招标人6个月内组织第三方评估，评估合格且无违约记录的，中标人享有优先续约权；</w:t>
      </w:r>
    </w:p>
    <w:p w14:paraId="7D9C1DD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续约谈判期限为3个月，未达成一致的，中标人按本条款约定执行移交。</w:t>
      </w:r>
    </w:p>
    <w:bookmarkEnd w:id="30"/>
    <w:p w14:paraId="2077C4A6">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八、合同期满</w:t>
      </w:r>
    </w:p>
    <w:p w14:paraId="779E718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合同期满或中标人提前退出等情况需终止合同的，中标人应在合同终止前6个月向招标人提交终止合同情况报告及入住对象安置方案，经批准后实施。双方为此共同委托专业会计师事务所进行资产清算，妥善做好资产和账目交接。运营期限届满移交政府，移交前产生的一切债务或纠纷由中标人负责。</w:t>
      </w:r>
    </w:p>
    <w:p w14:paraId="0F3EFA1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运营期限届满后，在同等条件下，中标人享有优先继续运营的权利。如中标人不再运营，或第三方以更有利条件取得运营权，双方按以下方式进行移交：</w:t>
      </w:r>
    </w:p>
    <w:p w14:paraId="2FB4A41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（一）由招标人所在地人民政府成立由财政、审计、发改、住建等主管部门及甲乙双方参与的移交委员会，负责确定移交清单，办理资产移交事宜。</w:t>
      </w:r>
    </w:p>
    <w:p w14:paraId="4EBD421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在运营期满中标人不再运营管理时，中标人应确保韶关市武江区养老服务中心（一期）设施设备正常使用。若不能满足正常使用，中标人应及时修复（但建筑物本体缺陷除外），如中标人拒不修复，则相应扣除运营保障金或修复到正常使用所需的费用。办理移交手续后，中标人不再负责任何维修费用。</w:t>
      </w:r>
    </w:p>
    <w:p w14:paraId="579AB1B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（三）中标人在运营管理期间对韶关市武江区养老服务中心（一期）所形成的资产无偿向招标人移交，移交后产权归招标人所有。</w:t>
      </w:r>
    </w:p>
    <w:p w14:paraId="00EE887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四）中标人应确保移交的韶关市武江区养老服务中心（一期）物业不存在任何抵押、质押和索赔权，并在合同期限届满之日将韶关市武江区养老服务中心（一期）的资产及相关的文件、资料、经营权移交给招标人或由招标人指定的经营管理者。</w:t>
      </w:r>
    </w:p>
    <w:p w14:paraId="544B6B4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（五）合同期限及相关事宜</w:t>
      </w:r>
    </w:p>
    <w:p w14:paraId="0C998E6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中标人在与第三方签订管理养护合同、设备维护合同及其他合同时，应使合同的有效期不超过韶关市武江区养老服务中心（一期）运营期限届满日，否则因此产生的延期服务费用由中标人承担。</w:t>
      </w:r>
    </w:p>
    <w:p w14:paraId="62F9FD8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如在移交日前，中标人需签订维护合同、设备合同及其他合同的，且合同在韶关市武江区养老服务中心（一期）运营期届满后仍有效的，则中标人应在该合同签订前报经招标人同意。未经招标人同意的，运营期满后合同无效，由中标人承担相应责任。</w:t>
      </w:r>
    </w:p>
    <w:p w14:paraId="200BB6A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（六）移走中标人相关的物品</w:t>
      </w:r>
    </w:p>
    <w:p w14:paraId="77D53B0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除非双方另有合同，中标人应于移交日期之后15日内，自费移走中标人员工个人物品。如果中标人在上述时间内没有移走这些物品，招标人在通知中标人之后，可以移走并将物品转运至适当的地点安全保管，中标人应承担搬移、运输和保管的合理费用和风险，中标人未通知的，招标人可自行处理相应物品。</w:t>
      </w:r>
    </w:p>
    <w:p w14:paraId="7AE57B4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（七）本项目移交后的效力</w:t>
      </w:r>
    </w:p>
    <w:p w14:paraId="23124EC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宋体" w:hAnsi="宋体" w:eastAsia="宋体" w:cs="宋体"/>
          <w:kern w:val="2"/>
          <w:sz w:val="21"/>
          <w:szCs w:val="21"/>
          <w:highlight w:val="none"/>
          <w:lang w:val="en-US" w:eastAsia="zh-CN" w:bidi="ar-SA"/>
        </w:rPr>
        <w:t>中标人在本项目到期，其权利和义务即应终止，本项目另有规定的除外。移交日之前发生的债权债务或纠纷由中标人承担，与招标人无关。</w:t>
      </w:r>
    </w:p>
    <w:p w14:paraId="61F94822">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九、考核机制</w:t>
      </w:r>
    </w:p>
    <w:p w14:paraId="7EC71AB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招标人负责对中标人的运营服务质量实施定期考核与不定期抽查，考核方式采用现场查验、资料审核、满意度测评相结合。</w:t>
      </w:r>
    </w:p>
    <w:p w14:paraId="52FC9A5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1.考核频次：日常考核（</w:t>
      </w:r>
      <w:r>
        <w:rPr>
          <w:rFonts w:hint="default" w:asciiTheme="minorEastAsia" w:hAnsiTheme="minorEastAsia" w:eastAsiaTheme="minorEastAsia" w:cstheme="minorEastAsia"/>
          <w:sz w:val="21"/>
          <w:szCs w:val="21"/>
          <w:highlight w:val="none"/>
          <w:lang w:val="en-US" w:eastAsia="zh-CN"/>
        </w:rPr>
        <w:t>由运营方内部监督小组负责</w:t>
      </w:r>
      <w:r>
        <w:rPr>
          <w:rFonts w:hint="eastAsia" w:ascii="宋体" w:hAnsi="宋体" w:eastAsia="宋体" w:cs="宋体"/>
          <w:kern w:val="2"/>
          <w:sz w:val="21"/>
          <w:szCs w:val="21"/>
          <w:highlight w:val="none"/>
          <w:lang w:val="en-US" w:eastAsia="zh-CN" w:bidi="ar-SA"/>
        </w:rPr>
        <w:t>，根据落实情况进行评分占季度考核权重30%）、每季度一次综合评估（占年度考核权重40%）、每年一次年度考核（占总权重30%）、半年度专项抽查（重点核查安全管理与服务质量）</w:t>
      </w:r>
    </w:p>
    <w:p w14:paraId="052D30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2.奖惩措施：</w:t>
      </w:r>
    </w:p>
    <w:p w14:paraId="15AD09C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季度不合格需15日内整改，整改后仍不合格予以通报；连续两次年度不合格或累计三次季度不合格，招标人启动退出机制。不定期抽查发现严重违规（如擅自停业、降低特困人员待遇）的，直接判定不合格并责令立即整改。</w:t>
      </w:r>
    </w:p>
    <w:p w14:paraId="4FE9664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年度优秀（90 分及以上）：优先推荐申报省级养老服务示范项目；</w:t>
      </w:r>
    </w:p>
    <w:p w14:paraId="53C8266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季度不合格（69分及以下）：15日内提交整改报告，逾期未整改或整改不合格的，扣运营保障金的3%；累计2次季度不合格，通报批评并扣除5%运营保障金。</w:t>
      </w:r>
    </w:p>
    <w:p w14:paraId="3ED2265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年度不合格（69分及以下）：扣除10%运营保障金，限期3个月整改；连续2次年度不合格或累计3次季度不合格，启动退出机制。</w:t>
      </w:r>
    </w:p>
    <w:p w14:paraId="45A4BB6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重大违规奖惩：发生欺老虐老事件1次扣20分，年内累计2次直接判定年度不合格；</w:t>
      </w:r>
    </w:p>
    <w:p w14:paraId="5ECB43B7">
      <w:pPr>
        <w:pStyle w:val="9"/>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3.星级评定奖励</w:t>
      </w:r>
    </w:p>
    <w:p w14:paraId="1ABCC542">
      <w:pPr>
        <w:pStyle w:val="9"/>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运营期前五年获评广东省四星级养老机构：自评定下一年起，政府返还当年租金 20%，返还累计不超过 3 年；</w:t>
      </w:r>
    </w:p>
    <w:p w14:paraId="3429C1D4">
      <w:pPr>
        <w:pStyle w:val="9"/>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运营期前五年获评广东省五星级养老机构：自评定下一年起，政府返还当年租金 30%，返还累计不超过 3 年；</w:t>
      </w:r>
    </w:p>
    <w:p w14:paraId="64A58D78">
      <w:pPr>
        <w:pStyle w:val="9"/>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运营期前五年未达四星级标准：无租金返还。</w:t>
      </w:r>
    </w:p>
    <w:p w14:paraId="30A33BF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4.考核组织与监督</w:t>
      </w:r>
    </w:p>
    <w:p w14:paraId="6DFE8F7F">
      <w:pPr>
        <w:keepNext w:val="0"/>
        <w:keepLines w:val="0"/>
        <w:pageBreakBefore w:val="0"/>
        <w:kinsoku/>
        <w:wordWrap w:val="0"/>
        <w:overflowPunct/>
        <w:topLinePunct w:val="0"/>
        <w:autoSpaceDE/>
        <w:autoSpaceDN/>
        <w:bidi w:val="0"/>
        <w:adjustRightInd w:val="0"/>
        <w:snapToGrid w:val="0"/>
        <w:spacing w:line="360" w:lineRule="auto"/>
        <w:ind w:firstLine="422" w:firstLineChars="200"/>
        <w:textAlignment w:val="auto"/>
        <w:rPr>
          <w:rFonts w:hint="default" w:asciiTheme="minorEastAsia" w:hAnsiTheme="minorEastAsia" w:eastAsiaTheme="minorEastAsia" w:cstheme="minorEastAsia"/>
          <w:sz w:val="21"/>
          <w:szCs w:val="21"/>
          <w:highlight w:val="none"/>
          <w:lang w:val="en-US" w:eastAsia="zh-CN"/>
        </w:rPr>
      </w:pPr>
      <w:r>
        <w:rPr>
          <w:rFonts w:hint="default" w:asciiTheme="minorEastAsia" w:hAnsiTheme="minorEastAsia" w:eastAsiaTheme="minorEastAsia" w:cstheme="minorEastAsia"/>
          <w:b/>
          <w:bCs/>
          <w:sz w:val="21"/>
          <w:szCs w:val="21"/>
          <w:highlight w:val="none"/>
          <w:lang w:val="en-US" w:eastAsia="zh-CN"/>
        </w:rPr>
        <w:t>政府监督：</w:t>
      </w:r>
      <w:r>
        <w:rPr>
          <w:rFonts w:hint="default" w:asciiTheme="minorEastAsia" w:hAnsiTheme="minorEastAsia" w:eastAsiaTheme="minorEastAsia" w:cstheme="minorEastAsia"/>
          <w:sz w:val="21"/>
          <w:szCs w:val="21"/>
          <w:highlight w:val="none"/>
          <w:lang w:val="en-US" w:eastAsia="zh-CN"/>
        </w:rPr>
        <w:t>由武江区民政局牵头，联合财政局、卫健委、发改委、应急管理局、市场监管局等相关部门，组成政府监督小组，负责对项目运营情况进行常态化监督、专项检查及年度考核；</w:t>
      </w:r>
    </w:p>
    <w:p w14:paraId="679594BC">
      <w:pPr>
        <w:keepNext w:val="0"/>
        <w:keepLines w:val="0"/>
        <w:pageBreakBefore w:val="0"/>
        <w:kinsoku/>
        <w:wordWrap w:val="0"/>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Theme="minorEastAsia" w:hAnsiTheme="minorEastAsia" w:eastAsiaTheme="minorEastAsia" w:cstheme="minorEastAsia"/>
          <w:b/>
          <w:bCs/>
          <w:sz w:val="21"/>
          <w:szCs w:val="21"/>
          <w:lang w:val="en-US" w:eastAsia="zh-CN"/>
        </w:rPr>
        <w:t>运营方自律监督：</w:t>
      </w:r>
      <w:r>
        <w:rPr>
          <w:rFonts w:hint="default" w:asciiTheme="minorEastAsia" w:hAnsiTheme="minorEastAsia" w:eastAsiaTheme="minorEastAsia" w:cstheme="minorEastAsia"/>
          <w:sz w:val="21"/>
          <w:szCs w:val="21"/>
          <w:lang w:val="en-US" w:eastAsia="zh-CN"/>
        </w:rPr>
        <w:t>运营方建立内部监督机制，成立内部监督小组（由院长牵头，各部门负责人、员工代表、老人代表组成），负责对内部运营管理、服务质量、安全管理、财务收支等情况进行日常监督、自查自纠；</w:t>
      </w:r>
    </w:p>
    <w:p w14:paraId="03EFD845">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结果公示与申诉：</w:t>
      </w:r>
      <w:r>
        <w:rPr>
          <w:rFonts w:hint="eastAsia" w:ascii="宋体" w:hAnsi="宋体" w:eastAsia="宋体" w:cs="宋体"/>
          <w:kern w:val="2"/>
          <w:sz w:val="21"/>
          <w:szCs w:val="21"/>
          <w:highlight w:val="none"/>
          <w:lang w:val="en-US" w:eastAsia="zh-CN" w:bidi="ar-SA"/>
        </w:rPr>
        <w:t>考核结果在5个工作日内书面告知中标人，中标人有异议的可在7个工作日内提交申诉材料，考核小组15日内复核并反馈结果。</w:t>
      </w:r>
    </w:p>
    <w:p w14:paraId="00DB6A9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5.考核内容涵盖以下核心维度：</w:t>
      </w:r>
    </w:p>
    <w:p w14:paraId="7F24701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服务质量：入住老人及家属对饮食、生活起居、照料护理、医养健康服务的满意度（通过问卷调查、访谈等方式，满意度需达85%以上）；特困供养人员零用钱按月足额发放情况（核查发放记录及老人签收凭证）；是否存在克扣钱物、降低服务档次等违规行为。</w:t>
      </w:r>
    </w:p>
    <w:p w14:paraId="3EA1367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（2）运营合规：固定资产（消防、燃气、电梯等）第三方年检及维护记录完整性；是否从事养老服务无关活动或违规出租、出借资产；养老机构等级标准（如四星级）达标情况。</w:t>
      </w:r>
    </w:p>
    <w:p w14:paraId="07DD7AD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（3）安全管理：是否存在安全隐患及整改闭环情况；是否发生欺老虐老事件、安全生产责任事故；应急预案的制定与演练效果。</w:t>
      </w:r>
    </w:p>
    <w:p w14:paraId="1AE452D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社会责任</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公益性服务开展情况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680457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6.考核指标与评分标准：</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1"/>
        <w:gridCol w:w="2307"/>
        <w:gridCol w:w="3933"/>
        <w:gridCol w:w="1010"/>
      </w:tblGrid>
      <w:tr w14:paraId="6047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Align w:val="center"/>
          </w:tcPr>
          <w:p w14:paraId="5D6A051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考核维度</w:t>
            </w:r>
          </w:p>
        </w:tc>
        <w:tc>
          <w:tcPr>
            <w:tcW w:w="2307" w:type="dxa"/>
            <w:vAlign w:val="center"/>
          </w:tcPr>
          <w:p w14:paraId="04605F3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细分指标</w:t>
            </w:r>
          </w:p>
        </w:tc>
        <w:tc>
          <w:tcPr>
            <w:tcW w:w="3933" w:type="dxa"/>
            <w:vAlign w:val="center"/>
          </w:tcPr>
          <w:p w14:paraId="1AE244D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评分标准（量化）</w:t>
            </w:r>
          </w:p>
        </w:tc>
        <w:tc>
          <w:tcPr>
            <w:tcW w:w="1010" w:type="dxa"/>
            <w:vAlign w:val="center"/>
          </w:tcPr>
          <w:p w14:paraId="3AE4EC1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权重</w:t>
            </w:r>
          </w:p>
        </w:tc>
      </w:tr>
      <w:tr w14:paraId="26D5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1FA2B18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服务质量（40分）</w:t>
            </w:r>
          </w:p>
        </w:tc>
        <w:tc>
          <w:tcPr>
            <w:tcW w:w="2307" w:type="dxa"/>
            <w:vAlign w:val="center"/>
          </w:tcPr>
          <w:p w14:paraId="2138001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老人满意度</w:t>
            </w:r>
          </w:p>
        </w:tc>
        <w:tc>
          <w:tcPr>
            <w:tcW w:w="3933" w:type="dxa"/>
            <w:vAlign w:val="center"/>
          </w:tcPr>
          <w:p w14:paraId="2EECB23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满意度≥90分得10分，85%-89分得8分，80%-84分得5分，＜80分不得分（抽样比例≥30%）</w:t>
            </w:r>
          </w:p>
        </w:tc>
        <w:tc>
          <w:tcPr>
            <w:tcW w:w="1010" w:type="dxa"/>
            <w:vAlign w:val="center"/>
          </w:tcPr>
          <w:p w14:paraId="7208409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46C4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27A781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1E19371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特困人员零用钱发放</w:t>
            </w:r>
          </w:p>
        </w:tc>
        <w:tc>
          <w:tcPr>
            <w:tcW w:w="3933" w:type="dxa"/>
            <w:vAlign w:val="center"/>
          </w:tcPr>
          <w:p w14:paraId="33F2745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按月足额发放得8分，漏发1次扣4分，扣完为止（核查发放记录与老人签收凭证）</w:t>
            </w:r>
          </w:p>
        </w:tc>
        <w:tc>
          <w:tcPr>
            <w:tcW w:w="1010" w:type="dxa"/>
            <w:vAlign w:val="center"/>
          </w:tcPr>
          <w:p w14:paraId="2928265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8分</w:t>
            </w:r>
          </w:p>
        </w:tc>
      </w:tr>
      <w:tr w14:paraId="4D16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09E24B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F614E3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护理服务合规性</w:t>
            </w:r>
          </w:p>
        </w:tc>
        <w:tc>
          <w:tcPr>
            <w:tcW w:w="3933" w:type="dxa"/>
            <w:vAlign w:val="center"/>
          </w:tcPr>
          <w:p w14:paraId="5872139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无违规操作得12分，发现1次操作不合规扣3分（随机抽查护理记录、现场实操考核）</w:t>
            </w:r>
          </w:p>
        </w:tc>
        <w:tc>
          <w:tcPr>
            <w:tcW w:w="1010" w:type="dxa"/>
            <w:vAlign w:val="center"/>
          </w:tcPr>
          <w:p w14:paraId="175AE3F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12分</w:t>
            </w:r>
          </w:p>
        </w:tc>
      </w:tr>
      <w:tr w14:paraId="3996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5B0A92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70ED922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饮食与生活服务</w:t>
            </w:r>
          </w:p>
        </w:tc>
        <w:tc>
          <w:tcPr>
            <w:tcW w:w="3933" w:type="dxa"/>
            <w:vAlign w:val="center"/>
          </w:tcPr>
          <w:p w14:paraId="34CC596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食谱公示及时、营养达标得10分，未公示扣5分，营养不达标扣3分</w:t>
            </w:r>
          </w:p>
        </w:tc>
        <w:tc>
          <w:tcPr>
            <w:tcW w:w="1010" w:type="dxa"/>
            <w:vAlign w:val="center"/>
          </w:tcPr>
          <w:p w14:paraId="000E823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3F6A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63DE369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运营合规（30分）</w:t>
            </w:r>
          </w:p>
        </w:tc>
        <w:tc>
          <w:tcPr>
            <w:tcW w:w="2307" w:type="dxa"/>
            <w:vAlign w:val="center"/>
          </w:tcPr>
          <w:p w14:paraId="5741CB4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资产合规管理</w:t>
            </w:r>
          </w:p>
        </w:tc>
        <w:tc>
          <w:tcPr>
            <w:tcW w:w="3933" w:type="dxa"/>
            <w:vAlign w:val="center"/>
          </w:tcPr>
          <w:p w14:paraId="4844966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无违规处置资产得8分，违规1次扣8分（核查资产台账与现场核验）</w:t>
            </w:r>
          </w:p>
        </w:tc>
        <w:tc>
          <w:tcPr>
            <w:tcW w:w="1010" w:type="dxa"/>
            <w:vAlign w:val="center"/>
          </w:tcPr>
          <w:p w14:paraId="1C3FD36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1D9F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07DDD3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67A0423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固定资产维护</w:t>
            </w:r>
          </w:p>
        </w:tc>
        <w:tc>
          <w:tcPr>
            <w:tcW w:w="3933" w:type="dxa"/>
            <w:vAlign w:val="center"/>
          </w:tcPr>
          <w:p w14:paraId="60844F2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年检记录完整、无安全隐患得7分，1项未年检扣2分（核查消防、电梯等年检报告）</w:t>
            </w:r>
          </w:p>
        </w:tc>
        <w:tc>
          <w:tcPr>
            <w:tcW w:w="1010" w:type="dxa"/>
            <w:vAlign w:val="center"/>
          </w:tcPr>
          <w:p w14:paraId="63C9C87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6297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4C4B67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1975306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财务规范</w:t>
            </w:r>
          </w:p>
        </w:tc>
        <w:tc>
          <w:tcPr>
            <w:tcW w:w="3933" w:type="dxa"/>
            <w:vAlign w:val="center"/>
          </w:tcPr>
          <w:p w14:paraId="349063C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报表按时报送、维修资金足额计提得8分，迟报1次扣2分，未足额计提扣5分</w:t>
            </w:r>
          </w:p>
        </w:tc>
        <w:tc>
          <w:tcPr>
            <w:tcW w:w="1010" w:type="dxa"/>
            <w:vAlign w:val="center"/>
          </w:tcPr>
          <w:p w14:paraId="09C6473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1D0E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56A3A77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安全管理（20分）</w:t>
            </w:r>
          </w:p>
        </w:tc>
        <w:tc>
          <w:tcPr>
            <w:tcW w:w="2307" w:type="dxa"/>
            <w:vAlign w:val="center"/>
          </w:tcPr>
          <w:p w14:paraId="57B0532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安全隐患整改</w:t>
            </w:r>
          </w:p>
        </w:tc>
        <w:tc>
          <w:tcPr>
            <w:tcW w:w="3933" w:type="dxa"/>
            <w:vAlign w:val="center"/>
          </w:tcPr>
          <w:p w14:paraId="46FC17E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无重大隐患得8分，发现1项未整改扣4分（现场查验与整改台账）</w:t>
            </w:r>
          </w:p>
        </w:tc>
        <w:tc>
          <w:tcPr>
            <w:tcW w:w="1010" w:type="dxa"/>
            <w:vAlign w:val="center"/>
          </w:tcPr>
          <w:p w14:paraId="2C75DCD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8分</w:t>
            </w:r>
          </w:p>
        </w:tc>
      </w:tr>
      <w:tr w14:paraId="3676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2CB3A5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C6E744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事故发生率</w:t>
            </w:r>
          </w:p>
        </w:tc>
        <w:tc>
          <w:tcPr>
            <w:tcW w:w="3933" w:type="dxa"/>
            <w:vAlign w:val="center"/>
          </w:tcPr>
          <w:p w14:paraId="1433785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无安全事故得6分，一般事故1次扣3分，较大事故不得分</w:t>
            </w:r>
          </w:p>
        </w:tc>
        <w:tc>
          <w:tcPr>
            <w:tcW w:w="1010" w:type="dxa"/>
            <w:vAlign w:val="center"/>
          </w:tcPr>
          <w:p w14:paraId="44B712A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6分</w:t>
            </w:r>
          </w:p>
        </w:tc>
      </w:tr>
      <w:tr w14:paraId="315C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721FCF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273763C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应急演练与预案</w:t>
            </w:r>
          </w:p>
        </w:tc>
        <w:tc>
          <w:tcPr>
            <w:tcW w:w="3933" w:type="dxa"/>
            <w:vAlign w:val="center"/>
          </w:tcPr>
          <w:p w14:paraId="646351C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每季度演练1次且预案完善得6分，少1次演练扣2分</w:t>
            </w:r>
          </w:p>
        </w:tc>
        <w:tc>
          <w:tcPr>
            <w:tcW w:w="1010" w:type="dxa"/>
            <w:vAlign w:val="center"/>
          </w:tcPr>
          <w:p w14:paraId="66450CE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6分</w:t>
            </w:r>
          </w:p>
        </w:tc>
      </w:tr>
      <w:tr w14:paraId="6A29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811" w:type="dxa"/>
            <w:vAlign w:val="center"/>
          </w:tcPr>
          <w:p w14:paraId="0803A2A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社会责任（10分）</w:t>
            </w:r>
          </w:p>
        </w:tc>
        <w:tc>
          <w:tcPr>
            <w:tcW w:w="2307" w:type="dxa"/>
            <w:vAlign w:val="center"/>
          </w:tcPr>
          <w:p w14:paraId="22B8797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公益服务开展</w:t>
            </w:r>
          </w:p>
        </w:tc>
        <w:tc>
          <w:tcPr>
            <w:tcW w:w="3933" w:type="dxa"/>
            <w:vAlign w:val="center"/>
          </w:tcPr>
          <w:p w14:paraId="03F40E0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每年开展≥2次公益养老讲座/义诊得5分，未开展不得分</w:t>
            </w:r>
          </w:p>
        </w:tc>
        <w:tc>
          <w:tcPr>
            <w:tcW w:w="1010" w:type="dxa"/>
            <w:vAlign w:val="center"/>
          </w:tcPr>
          <w:p w14:paraId="0CF1003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bl>
    <w:p w14:paraId="65CADE25">
      <w:pPr>
        <w:keepNext w:val="0"/>
        <w:keepLines w:val="0"/>
        <w:pageBreakBefore w:val="0"/>
        <w:widowControl w:val="0"/>
        <w:kinsoku/>
        <w:wordWrap/>
        <w:overflowPunct/>
        <w:topLinePunct w:val="0"/>
        <w:autoSpaceDN/>
        <w:bidi w:val="0"/>
        <w:adjustRightInd/>
        <w:snapToGrid/>
        <w:spacing w:line="560" w:lineRule="exact"/>
        <w:ind w:firstLine="422" w:firstLineChars="200"/>
        <w:textAlignment w:val="auto"/>
        <w:rPr>
          <w:rFonts w:hint="eastAsia"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十、退出机制</w:t>
      </w:r>
    </w:p>
    <w:p w14:paraId="154B4E16">
      <w:pPr>
        <w:keepNext w:val="0"/>
        <w:keepLines w:val="0"/>
        <w:pageBreakBefore w:val="0"/>
        <w:widowControl/>
        <w:numPr>
          <w:ilvl w:val="-1"/>
          <w:numId w:val="0"/>
        </w:numPr>
        <w:kinsoku/>
        <w:wordWrap/>
        <w:overflowPunct/>
        <w:topLinePunct w:val="0"/>
        <w:autoSpaceDE/>
        <w:autoSpaceDN/>
        <w:bidi w:val="0"/>
        <w:adjustRightInd w:val="0"/>
        <w:snapToGrid w:val="0"/>
        <w:spacing w:line="360" w:lineRule="auto"/>
        <w:ind w:firstLine="420" w:firstLineChars="200"/>
        <w:jc w:val="both"/>
        <w:textAlignment w:val="baseline"/>
        <w:outlineLvl w:val="9"/>
        <w:rPr>
          <w:rFonts w:hint="eastAsia" w:ascii="宋体" w:hAnsi="宋体" w:eastAsia="宋体" w:cs="宋体"/>
          <w:b w:val="0"/>
          <w:bCs w:val="0"/>
          <w:color w:val="auto"/>
          <w:kern w:val="0"/>
          <w:sz w:val="21"/>
          <w:szCs w:val="24"/>
          <w:highlight w:val="none"/>
          <w:lang w:val="en-US" w:eastAsia="zh-CN"/>
        </w:rPr>
      </w:pPr>
      <w:r>
        <w:rPr>
          <w:rFonts w:hint="eastAsia" w:ascii="宋体" w:hAnsi="宋体" w:eastAsia="宋体" w:cs="宋体"/>
          <w:b w:val="0"/>
          <w:bCs w:val="0"/>
          <w:color w:val="auto"/>
          <w:kern w:val="0"/>
          <w:sz w:val="21"/>
          <w:szCs w:val="24"/>
          <w:highlight w:val="none"/>
          <w:lang w:val="en-US" w:eastAsia="zh-CN"/>
        </w:rPr>
        <w:t>（一）合同期满的退出</w:t>
      </w:r>
    </w:p>
    <w:p w14:paraId="713FF31B">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在合同期满时，社会化运营单位在无违约记录、考核合格的前提下享有优先续约权，若社会化运营单位选择不续约或未取得优先续约权，则按照合同约定办理移交手续并退出本项目。在经营期结束 6 个月前，由社会化运营单位和实施机构共同组成移交委员会，具体负责办理资产清算、老人安置、资料移交等工作，由社会化运营单位向实施机构无偿移交全部资产及运营资料。至此，社会化运营单位完全退出该项目，项目所有权益全部归属政府，项目回归其公共服务设施性质。</w:t>
      </w:r>
    </w:p>
    <w:p w14:paraId="41D471F9">
      <w:pPr>
        <w:keepNext w:val="0"/>
        <w:keepLines w:val="0"/>
        <w:pageBreakBefore w:val="0"/>
        <w:widowControl/>
        <w:numPr>
          <w:ilvl w:val="-1"/>
          <w:numId w:val="0"/>
        </w:numPr>
        <w:kinsoku/>
        <w:wordWrap/>
        <w:overflowPunct/>
        <w:topLinePunct w:val="0"/>
        <w:autoSpaceDE/>
        <w:autoSpaceDN/>
        <w:bidi w:val="0"/>
        <w:adjustRightInd w:val="0"/>
        <w:snapToGrid w:val="0"/>
        <w:spacing w:line="360" w:lineRule="auto"/>
        <w:ind w:firstLine="420" w:firstLineChars="200"/>
        <w:jc w:val="both"/>
        <w:textAlignment w:val="baseline"/>
        <w:outlineLvl w:val="9"/>
        <w:rPr>
          <w:rFonts w:hint="eastAsia" w:ascii="宋体" w:hAnsi="宋体" w:eastAsia="宋体" w:cs="宋体"/>
          <w:b w:val="0"/>
          <w:bCs w:val="0"/>
          <w:color w:val="auto"/>
          <w:kern w:val="0"/>
          <w:sz w:val="21"/>
          <w:szCs w:val="24"/>
          <w:highlight w:val="none"/>
          <w:lang w:val="en-US" w:eastAsia="zh-CN"/>
        </w:rPr>
      </w:pPr>
      <w:bookmarkStart w:id="32" w:name="_Toc1466"/>
      <w:r>
        <w:rPr>
          <w:rFonts w:hint="eastAsia" w:ascii="宋体" w:hAnsi="宋体" w:eastAsia="宋体" w:cs="宋体"/>
          <w:b w:val="0"/>
          <w:bCs w:val="0"/>
          <w:color w:val="auto"/>
          <w:kern w:val="0"/>
          <w:sz w:val="21"/>
          <w:szCs w:val="24"/>
          <w:highlight w:val="none"/>
          <w:lang w:val="en-US" w:eastAsia="zh-CN"/>
        </w:rPr>
        <w:t>（二）合同提前终止的退出</w:t>
      </w:r>
      <w:bookmarkEnd w:id="32"/>
    </w:p>
    <w:p w14:paraId="28421214">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在以下情形下，项目可提前终止：社会资本方违约导致的提前终止、政府方违约导致的提前终止、不可抗力导致的提前终止，不同情形按合同约定分别处理，并依据项目合同计算合理的费用或赔偿金额。</w:t>
      </w:r>
    </w:p>
    <w:p w14:paraId="7F8D1B5D">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b w:val="0"/>
          <w:bCs w:val="0"/>
          <w:color w:val="auto"/>
          <w:kern w:val="0"/>
          <w:sz w:val="21"/>
          <w:szCs w:val="24"/>
          <w:highlight w:val="none"/>
          <w:lang w:val="en-US" w:eastAsia="zh-CN"/>
        </w:rPr>
      </w:pPr>
      <w:r>
        <w:rPr>
          <w:rFonts w:hint="eastAsia" w:ascii="宋体" w:hAnsi="宋体" w:eastAsia="宋体" w:cs="宋体"/>
          <w:b w:val="0"/>
          <w:bCs w:val="0"/>
          <w:color w:val="auto"/>
          <w:kern w:val="0"/>
          <w:sz w:val="21"/>
          <w:szCs w:val="24"/>
          <w:highlight w:val="none"/>
          <w:lang w:val="en-US" w:eastAsia="zh-CN"/>
        </w:rPr>
        <w:t>1.社会化运营单位违约</w:t>
      </w:r>
    </w:p>
    <w:p w14:paraId="3BD88184">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存在如下社会化运营单位违约事件时，政府方有权立即发出终止意向通知，兑取运营保障金，并要求社会资本方承担全部赔偿责任，情节严重的强制清退并没收场内所有固定投资：</w:t>
      </w:r>
    </w:p>
    <w:p w14:paraId="3F345DB9">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① 社会化运营单位擅自转让、出租、变相转包项目经营权；</w:t>
      </w:r>
    </w:p>
    <w:p w14:paraId="3FB3E523">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② 社会化运营单位擅自将所经营的项目财产进行处置、抵押、出借，或从事与养老服务无关的运营活动；</w:t>
      </w:r>
    </w:p>
    <w:p w14:paraId="011D8948">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③ 社会化运营单位因管理不善，发生较大及以上安全生产责任事故、医疗事故、消防安全事故、食品安全事故，或一年内发生 3 次及以上欺老虐老事件，且未妥善处理或拒不赔偿的；</w:t>
      </w:r>
    </w:p>
    <w:p w14:paraId="5DDA6685">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④ 社会化运营单位擅自停业、歇业，严重影响到社会公共利益和安全；</w:t>
      </w:r>
    </w:p>
    <w:p w14:paraId="7EB736A6">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⑤ 根据中国法律社会化运营单位进行清算或资不抵债；</w:t>
      </w:r>
    </w:p>
    <w:p w14:paraId="106B3775">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⑥ 社会化运营单位在签订合同时的任何声明被证明在做出时即有严重错误，使社会化运营单位履行合同的能力受到严重的不利影响；</w:t>
      </w:r>
    </w:p>
    <w:p w14:paraId="4829BBC8">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⑦ 社会化运营单位未能根据合同规定提交并保持运营保障金足额有效，逾期 7 个工作日未补足的；</w:t>
      </w:r>
    </w:p>
    <w:p w14:paraId="069E1C17">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⑧ 绩效考核连续 2 次年度不合格或累计 3 次季度不合格，或重大违规经整改仍不到位的；</w:t>
      </w:r>
    </w:p>
    <w:p w14:paraId="56BD297F">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⑨ 社会化运营单位未按约定在武江区注册成立项目管理公司、未按要求投保相关保险、未足额计提维修资金等，经书面催告后 30 日内仍未整改的；</w:t>
      </w:r>
    </w:p>
    <w:p w14:paraId="7DF34BE7">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⑩ 拖欠租金累计达 6 个月、拖欠工人工资累计达 3 个月未整改的；</w:t>
      </w:r>
    </w:p>
    <w:p w14:paraId="26465C37">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⑪ 项目运营至第五年年末，未评上四星级及以上养老机构且存在重大运营问题的。</w:t>
      </w:r>
    </w:p>
    <w:p w14:paraId="18EB2505">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b w:val="0"/>
          <w:bCs w:val="0"/>
          <w:color w:val="auto"/>
          <w:kern w:val="0"/>
          <w:sz w:val="21"/>
          <w:szCs w:val="24"/>
          <w:highlight w:val="none"/>
          <w:lang w:val="en-US" w:eastAsia="zh-CN"/>
        </w:rPr>
      </w:pPr>
      <w:r>
        <w:rPr>
          <w:rFonts w:hint="eastAsia" w:ascii="宋体" w:hAnsi="宋体" w:eastAsia="宋体" w:cs="宋体"/>
          <w:b w:val="0"/>
          <w:bCs w:val="0"/>
          <w:color w:val="auto"/>
          <w:kern w:val="0"/>
          <w:sz w:val="21"/>
          <w:szCs w:val="24"/>
          <w:highlight w:val="none"/>
          <w:lang w:val="en-US" w:eastAsia="zh-CN"/>
        </w:rPr>
        <w:t>2.政府方违约</w:t>
      </w:r>
    </w:p>
    <w:p w14:paraId="09A7B897">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存在如下政府方违约事件时，社会化运营单位有权立即发出终止意向通知，并有权按照实际损失要求政府方赔偿，政府方全额退还运营保障金：</w:t>
      </w:r>
    </w:p>
    <w:p w14:paraId="61C8B935">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① 非政策变动及不可抗力因素，政府方要求社会化运营单位强制退出的；</w:t>
      </w:r>
    </w:p>
    <w:p w14:paraId="7F49424A">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color w:val="auto"/>
          <w:kern w:val="0"/>
          <w:sz w:val="21"/>
          <w:szCs w:val="24"/>
          <w:highlight w:val="none"/>
          <w:lang w:val="en-US" w:eastAsia="zh-CN"/>
        </w:rPr>
      </w:pPr>
      <w:r>
        <w:rPr>
          <w:rFonts w:hint="eastAsia" w:ascii="宋体" w:hAnsi="宋体" w:eastAsia="宋体" w:cs="宋体"/>
          <w:color w:val="auto"/>
          <w:kern w:val="0"/>
          <w:sz w:val="21"/>
          <w:szCs w:val="24"/>
          <w:highlight w:val="none"/>
          <w:lang w:val="en-US" w:eastAsia="zh-CN"/>
        </w:rPr>
        <w:t>② 政府方未履行其在合同项下的任何其它义务构成对合同的实质性违约，导致社会资本方无法正常运营的。</w:t>
      </w:r>
    </w:p>
    <w:p w14:paraId="72E94D4F">
      <w:pPr>
        <w:keepNext w:val="0"/>
        <w:keepLines w:val="0"/>
        <w:pageBreakBefore w:val="0"/>
        <w:wordWrap/>
        <w:overflowPunct/>
        <w:topLinePunct w:val="0"/>
        <w:bidi w:val="0"/>
        <w:adjustRightInd w:val="0"/>
        <w:snapToGrid w:val="0"/>
        <w:spacing w:beforeAutospacing="0" w:afterAutospacing="0" w:line="360" w:lineRule="auto"/>
        <w:ind w:left="0" w:right="0" w:firstLine="420" w:firstLineChars="200"/>
        <w:jc w:val="both"/>
        <w:textAlignment w:val="baseline"/>
        <w:outlineLvl w:val="9"/>
        <w:rPr>
          <w:rFonts w:hint="eastAsia" w:ascii="宋体" w:hAnsi="宋体" w:eastAsia="宋体" w:cs="宋体"/>
          <w:b w:val="0"/>
          <w:bCs w:val="0"/>
          <w:color w:val="auto"/>
          <w:kern w:val="0"/>
          <w:sz w:val="21"/>
          <w:szCs w:val="24"/>
          <w:highlight w:val="none"/>
          <w:lang w:val="en-US" w:eastAsia="zh-CN"/>
        </w:rPr>
      </w:pPr>
      <w:r>
        <w:rPr>
          <w:rFonts w:hint="eastAsia" w:ascii="宋体" w:hAnsi="宋体" w:eastAsia="宋体" w:cs="宋体"/>
          <w:b w:val="0"/>
          <w:bCs w:val="0"/>
          <w:color w:val="auto"/>
          <w:kern w:val="0"/>
          <w:sz w:val="21"/>
          <w:szCs w:val="24"/>
          <w:highlight w:val="none"/>
          <w:lang w:val="en-US" w:eastAsia="zh-CN"/>
        </w:rPr>
        <w:t>3.因不可抗力事件导致退出</w:t>
      </w:r>
    </w:p>
    <w:p w14:paraId="2C65E6AB">
      <w:pPr>
        <w:rPr>
          <w:rFonts w:hint="eastAsia" w:ascii="宋体" w:hAnsi="宋体" w:eastAsia="宋体" w:cs="宋体"/>
          <w:color w:val="auto"/>
          <w:highlight w:val="none"/>
        </w:rPr>
      </w:pPr>
      <w:r>
        <w:rPr>
          <w:rFonts w:hint="eastAsia" w:ascii="宋体" w:hAnsi="宋体" w:eastAsia="宋体" w:cs="宋体"/>
          <w:color w:val="auto"/>
          <w:kern w:val="0"/>
          <w:sz w:val="21"/>
          <w:szCs w:val="24"/>
          <w:highlight w:val="none"/>
          <w:lang w:val="en-US" w:eastAsia="zh-CN"/>
        </w:rPr>
        <w:t>在合同执行过程中，确系人力不可抗拒因素（如征拆、地震、台风、洪水、战争等）影响合同执行时，双方视具体情况酌情处理，政府方全额退还运营保障金，社会资本方配合做好老人安置及资产移交工作，双方互不承担违约责任。</w:t>
      </w:r>
      <w:bookmarkEnd w:id="29"/>
    </w:p>
    <w:p w14:paraId="1C6BE8F6">
      <w:pPr>
        <w:jc w:val="center"/>
        <w:rPr>
          <w:rFonts w:hint="eastAsia" w:ascii="宋体" w:hAnsi="宋体" w:eastAsia="宋体" w:cs="宋体"/>
          <w:b/>
          <w:color w:val="auto"/>
          <w:kern w:val="44"/>
          <w:sz w:val="44"/>
          <w:highlight w:val="none"/>
        </w:rPr>
        <w:sectPr>
          <w:headerReference r:id="rId5" w:type="default"/>
          <w:footerReference r:id="rId6" w:type="default"/>
          <w:pgSz w:w="11906" w:h="16838"/>
          <w:pgMar w:top="1440" w:right="1803" w:bottom="1440" w:left="1803" w:header="851" w:footer="992" w:gutter="0"/>
          <w:pgNumType w:fmt="decimal"/>
          <w:cols w:space="720" w:num="1"/>
          <w:docGrid w:type="lines" w:linePitch="319" w:charSpace="0"/>
        </w:sectPr>
      </w:pPr>
    </w:p>
    <w:p w14:paraId="0EB3B3AE">
      <w:pPr>
        <w:jc w:val="center"/>
        <w:rPr>
          <w:rFonts w:hint="eastAsia" w:ascii="宋体" w:hAnsi="宋体" w:eastAsia="宋体" w:cs="宋体"/>
          <w:color w:val="auto"/>
          <w:highlight w:val="none"/>
        </w:rPr>
      </w:pPr>
      <w:r>
        <w:rPr>
          <w:rFonts w:hint="eastAsia" w:ascii="宋体" w:hAnsi="宋体" w:eastAsia="宋体" w:cs="宋体"/>
          <w:b/>
          <w:color w:val="auto"/>
          <w:kern w:val="44"/>
          <w:sz w:val="44"/>
          <w:highlight w:val="none"/>
        </w:rPr>
        <w:t>第四章 评标方法</w:t>
      </w:r>
    </w:p>
    <w:p w14:paraId="4AA2A349">
      <w:pPr>
        <w:adjustRightInd w:val="0"/>
        <w:snapToGrid w:val="0"/>
        <w:ind w:firstLine="420" w:firstLineChars="200"/>
        <w:rPr>
          <w:rFonts w:hint="eastAsia" w:ascii="宋体" w:hAnsi="宋体" w:eastAsia="宋体" w:cs="宋体"/>
          <w:b/>
          <w:color w:val="auto"/>
          <w:kern w:val="0"/>
          <w:szCs w:val="21"/>
          <w:highlight w:val="none"/>
        </w:rPr>
      </w:pPr>
      <w:r>
        <w:rPr>
          <w:rFonts w:hint="eastAsia" w:ascii="宋体" w:hAnsi="宋体" w:eastAsia="宋体" w:cs="宋体"/>
          <w:bCs/>
          <w:color w:val="auto"/>
          <w:kern w:val="0"/>
          <w:szCs w:val="21"/>
          <w:highlight w:val="none"/>
        </w:rPr>
        <w:t>本项目将按照招标文件第一章投标人须知中“五 开标及评标”、“六 确定中标”及本章的规定评标。</w:t>
      </w:r>
    </w:p>
    <w:p w14:paraId="55621181">
      <w:pPr>
        <w:adjustRightInd w:val="0"/>
        <w:snapToGrid w:val="0"/>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一、评标方法</w:t>
      </w:r>
    </w:p>
    <w:p w14:paraId="0EC18CCB">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本项目采用</w:t>
      </w:r>
      <w:r>
        <w:rPr>
          <w:rFonts w:hint="eastAsia" w:ascii="宋体" w:hAnsi="宋体" w:eastAsia="宋体" w:cs="宋体"/>
          <w:color w:val="auto"/>
          <w:kern w:val="0"/>
          <w:szCs w:val="21"/>
          <w:highlight w:val="none"/>
          <w:u w:val="single"/>
        </w:rPr>
        <w:t>综合评分法</w:t>
      </w:r>
      <w:r>
        <w:rPr>
          <w:rFonts w:hint="eastAsia" w:ascii="宋体" w:hAnsi="宋体" w:eastAsia="宋体" w:cs="宋体"/>
          <w:color w:val="auto"/>
          <w:kern w:val="0"/>
          <w:szCs w:val="21"/>
          <w:highlight w:val="none"/>
        </w:rPr>
        <w:t>进行评标。采用综合评分法时评分标准和评分细则详见后附《评审细则》。</w:t>
      </w:r>
    </w:p>
    <w:p w14:paraId="0FB0630B">
      <w:pPr>
        <w:adjustRightInd w:val="0"/>
        <w:snapToGrid w:val="0"/>
        <w:ind w:firstLine="422" w:firstLineChars="200"/>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二、评标原则及程序</w:t>
      </w:r>
    </w:p>
    <w:p w14:paraId="37FCF1C1">
      <w:pPr>
        <w:adjustRightInd w:val="0"/>
        <w:snapToGrid w:val="0"/>
        <w:ind w:firstLine="422" w:firstLineChars="200"/>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（一）评标原则</w:t>
      </w:r>
    </w:p>
    <w:p w14:paraId="2E5C1BE4">
      <w:pPr>
        <w:adjustRightInd w:val="0"/>
        <w:snapToGrid w:val="0"/>
        <w:ind w:firstLine="420" w:firstLineChars="200"/>
        <w:textAlignment w:val="baseline"/>
        <w:rPr>
          <w:rFonts w:hint="eastAsia" w:ascii="宋体" w:hAnsi="宋体" w:eastAsia="宋体" w:cs="宋体"/>
          <w:b/>
          <w:color w:val="auto"/>
          <w:kern w:val="0"/>
          <w:szCs w:val="21"/>
          <w:highlight w:val="none"/>
        </w:rPr>
      </w:pPr>
      <w:r>
        <w:rPr>
          <w:rFonts w:hint="eastAsia" w:ascii="宋体" w:hAnsi="宋体" w:eastAsia="宋体" w:cs="宋体"/>
          <w:color w:val="auto"/>
          <w:kern w:val="0"/>
          <w:highlight w:val="none"/>
        </w:rPr>
        <w:t>评标委员会应当按照客观、公正、审慎的原则，根据采购文件规定的评审程序、评审方法和评审标准进行独立评审。采购文件内容违反国家有关强制性规定的，评标委员会应当停止评审并向</w:t>
      </w:r>
      <w:r>
        <w:rPr>
          <w:rFonts w:hint="eastAsia" w:ascii="宋体" w:hAnsi="宋体" w:eastAsia="宋体" w:cs="宋体"/>
          <w:color w:val="auto"/>
          <w:kern w:val="0"/>
          <w:highlight w:val="none"/>
          <w:lang w:eastAsia="zh-CN"/>
        </w:rPr>
        <w:t>招标人</w:t>
      </w:r>
      <w:r>
        <w:rPr>
          <w:rFonts w:hint="eastAsia" w:ascii="宋体" w:hAnsi="宋体" w:eastAsia="宋体" w:cs="宋体"/>
          <w:color w:val="auto"/>
          <w:kern w:val="0"/>
          <w:highlight w:val="none"/>
        </w:rPr>
        <w:t>或者</w:t>
      </w:r>
      <w:r>
        <w:rPr>
          <w:rFonts w:hint="eastAsia" w:ascii="宋体" w:hAnsi="宋体" w:eastAsia="宋体" w:cs="宋体"/>
          <w:color w:val="auto"/>
          <w:kern w:val="0"/>
          <w:highlight w:val="none"/>
          <w:lang w:eastAsia="zh-CN"/>
        </w:rPr>
        <w:t>招标代理机构</w:t>
      </w:r>
      <w:r>
        <w:rPr>
          <w:rFonts w:hint="eastAsia" w:ascii="宋体" w:hAnsi="宋体" w:eastAsia="宋体" w:cs="宋体"/>
          <w:color w:val="auto"/>
          <w:kern w:val="0"/>
          <w:highlight w:val="none"/>
        </w:rPr>
        <w:t>说明情况。</w:t>
      </w:r>
    </w:p>
    <w:p w14:paraId="4FA8F674">
      <w:pPr>
        <w:adjustRightInd w:val="0"/>
        <w:snapToGrid w:val="0"/>
        <w:ind w:firstLine="422" w:firstLineChars="200"/>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（二）评标程序</w:t>
      </w:r>
    </w:p>
    <w:p w14:paraId="2AC3DA49">
      <w:pPr>
        <w:adjustRightInd w:val="0"/>
        <w:snapToGrid w:val="0"/>
        <w:ind w:firstLine="422" w:firstLineChars="200"/>
        <w:textAlignment w:val="baseline"/>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1、资格审查</w:t>
      </w:r>
    </w:p>
    <w:p w14:paraId="786641EB">
      <w:pPr>
        <w:adjustRightInd w:val="0"/>
        <w:snapToGrid w:val="0"/>
        <w:ind w:firstLine="420" w:firstLineChars="200"/>
        <w:textAlignment w:val="baseline"/>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1.1详见投标人须知22条。资格审查表详见本章附件1。</w:t>
      </w:r>
    </w:p>
    <w:p w14:paraId="2D18F3DE">
      <w:pPr>
        <w:adjustRightInd w:val="0"/>
        <w:snapToGrid w:val="0"/>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2、符合性审查</w:t>
      </w:r>
    </w:p>
    <w:p w14:paraId="024F1A06">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2.1详见投标人须知23条。符合性审查表详见本章附件2。</w:t>
      </w:r>
    </w:p>
    <w:p w14:paraId="049BFF16">
      <w:pPr>
        <w:adjustRightInd w:val="0"/>
        <w:snapToGrid w:val="0"/>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3、样品及演示</w:t>
      </w:r>
    </w:p>
    <w:p w14:paraId="3F36A9F0">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r>
        <w:rPr>
          <w:rFonts w:hint="eastAsia" w:ascii="宋体" w:hAnsi="宋体" w:eastAsia="宋体" w:cs="宋体"/>
          <w:color w:val="auto"/>
          <w:kern w:val="0"/>
          <w:szCs w:val="21"/>
          <w:highlight w:val="none"/>
        </w:rPr>
        <w:t>投标人须知表11.3条</w:t>
      </w:r>
      <w:r>
        <w:rPr>
          <w:rFonts w:hint="eastAsia" w:ascii="宋体" w:hAnsi="宋体" w:eastAsia="宋体" w:cs="宋体"/>
          <w:color w:val="auto"/>
          <w:szCs w:val="21"/>
          <w:highlight w:val="none"/>
        </w:rPr>
        <w:t>中要求投标人提供样品或演示的，按照</w:t>
      </w:r>
      <w:r>
        <w:rPr>
          <w:rFonts w:hint="eastAsia" w:ascii="宋体" w:hAnsi="宋体" w:eastAsia="宋体" w:cs="宋体"/>
          <w:color w:val="auto"/>
          <w:kern w:val="0"/>
          <w:szCs w:val="21"/>
          <w:highlight w:val="none"/>
        </w:rPr>
        <w:t>投标人须知表25.1条</w:t>
      </w:r>
      <w:r>
        <w:rPr>
          <w:rFonts w:hint="eastAsia" w:ascii="宋体" w:hAnsi="宋体" w:eastAsia="宋体" w:cs="宋体"/>
          <w:color w:val="auto"/>
          <w:szCs w:val="21"/>
          <w:highlight w:val="none"/>
        </w:rPr>
        <w:t>中确定的评审方法以及评审标准进行评审。(样品或演示属于符合性审查的，按照</w:t>
      </w:r>
      <w:r>
        <w:rPr>
          <w:rFonts w:hint="eastAsia" w:ascii="宋体" w:hAnsi="宋体" w:eastAsia="宋体" w:cs="宋体"/>
          <w:color w:val="auto"/>
          <w:kern w:val="0"/>
          <w:szCs w:val="21"/>
          <w:highlight w:val="none"/>
        </w:rPr>
        <w:t>投标人须知22条</w:t>
      </w:r>
      <w:r>
        <w:rPr>
          <w:rFonts w:hint="eastAsia" w:ascii="宋体" w:hAnsi="宋体" w:eastAsia="宋体" w:cs="宋体"/>
          <w:color w:val="auto"/>
          <w:szCs w:val="21"/>
          <w:highlight w:val="none"/>
        </w:rPr>
        <w:t>规定执行）</w:t>
      </w:r>
    </w:p>
    <w:p w14:paraId="1DB1D32E">
      <w:pPr>
        <w:adjustRightInd w:val="0"/>
        <w:snapToGrid w:val="0"/>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rPr>
        <w:t>4</w:t>
      </w:r>
      <w:r>
        <w:rPr>
          <w:rFonts w:hint="eastAsia" w:ascii="宋体" w:hAnsi="宋体" w:eastAsia="宋体" w:cs="宋体"/>
          <w:b/>
          <w:bCs/>
          <w:color w:val="auto"/>
          <w:kern w:val="0"/>
          <w:szCs w:val="21"/>
          <w:highlight w:val="none"/>
        </w:rPr>
        <w:t>、同一品牌产品</w:t>
      </w:r>
    </w:p>
    <w:p w14:paraId="6B781D1A">
      <w:pPr>
        <w:adjustRightInd w:val="0"/>
        <w:snapToGrid w:val="0"/>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4.1通过资格审查、符合性审查的不同品牌投标人不足3家的，按照</w:t>
      </w:r>
      <w:r>
        <w:rPr>
          <w:rFonts w:hint="eastAsia" w:ascii="宋体" w:hAnsi="宋体" w:eastAsia="宋体" w:cs="宋体"/>
          <w:color w:val="auto"/>
          <w:kern w:val="0"/>
          <w:szCs w:val="21"/>
          <w:highlight w:val="none"/>
        </w:rPr>
        <w:t>投标人须知28条第（1）款</w:t>
      </w:r>
      <w:r>
        <w:rPr>
          <w:rFonts w:hint="eastAsia" w:ascii="宋体" w:hAnsi="宋体" w:eastAsia="宋体" w:cs="宋体"/>
          <w:color w:val="auto"/>
          <w:szCs w:val="21"/>
          <w:highlight w:val="none"/>
        </w:rPr>
        <w:t>执行</w:t>
      </w:r>
      <w:r>
        <w:rPr>
          <w:rFonts w:hint="eastAsia" w:ascii="宋体" w:hAnsi="宋体" w:eastAsia="宋体" w:cs="宋体"/>
          <w:color w:val="auto"/>
          <w:kern w:val="0"/>
          <w:szCs w:val="21"/>
          <w:highlight w:val="none"/>
        </w:rPr>
        <w:t>。</w:t>
      </w:r>
    </w:p>
    <w:p w14:paraId="1980785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4.2提供相同品牌产品且通过资格审查、符合性审查的不同投标人，按一家投标人计算。</w:t>
      </w:r>
    </w:p>
    <w:p w14:paraId="583DA887">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4.3如一个分包内只有一种产品，不同投标人所投产品为同一品牌的，按如下方式处理：</w:t>
      </w:r>
    </w:p>
    <w:p w14:paraId="0C9B3853">
      <w:pPr>
        <w:numPr>
          <w:ilvl w:val="0"/>
          <w:numId w:val="8"/>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如本项目使用最低评标价法，提供相同品牌产品的不同投标人以其中通过资格审查、符合性审查且报价最低的参加比较及评价；报价相同的，按</w:t>
      </w:r>
      <w:r>
        <w:rPr>
          <w:rFonts w:hint="eastAsia" w:ascii="宋体" w:hAnsi="宋体" w:eastAsia="宋体" w:cs="宋体"/>
          <w:color w:val="auto"/>
          <w:kern w:val="0"/>
          <w:szCs w:val="21"/>
          <w:highlight w:val="none"/>
        </w:rPr>
        <w:t>本章第8条</w:t>
      </w:r>
      <w:r>
        <w:rPr>
          <w:rFonts w:hint="eastAsia" w:ascii="宋体" w:hAnsi="宋体" w:eastAsia="宋体" w:cs="宋体"/>
          <w:color w:val="auto"/>
          <w:szCs w:val="21"/>
          <w:highlight w:val="none"/>
        </w:rPr>
        <w:t>“推荐中标候选人的原则”规定执行；未规定的采取随机抽取方式确定，其他</w:t>
      </w:r>
      <w:r>
        <w:rPr>
          <w:rFonts w:hint="eastAsia" w:ascii="宋体" w:hAnsi="宋体" w:eastAsia="宋体" w:cs="宋体"/>
          <w:b/>
          <w:bCs/>
          <w:color w:val="auto"/>
          <w:szCs w:val="21"/>
          <w:highlight w:val="none"/>
        </w:rPr>
        <w:t>投标无效</w:t>
      </w:r>
      <w:r>
        <w:rPr>
          <w:rFonts w:hint="eastAsia" w:ascii="宋体" w:hAnsi="宋体" w:eastAsia="宋体" w:cs="宋体"/>
          <w:color w:val="auto"/>
          <w:szCs w:val="21"/>
          <w:highlight w:val="none"/>
        </w:rPr>
        <w:t>。</w:t>
      </w:r>
    </w:p>
    <w:p w14:paraId="68187207">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如本项目使用综合评分法，评审后得分最高的同品牌投标人获得中标人推荐资格；评审得分相同的，按本章第8条“推荐中标候选人的原则”规定执行；未规定的采取随机抽取方式确定，其他同品牌投标人不作为中标候选人。</w:t>
      </w:r>
    </w:p>
    <w:p w14:paraId="08A11B2C">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4.4如一个分包内包含多种产品的，</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招标代理机构</w:t>
      </w:r>
      <w:r>
        <w:rPr>
          <w:rFonts w:hint="eastAsia" w:ascii="宋体" w:hAnsi="宋体" w:eastAsia="宋体" w:cs="宋体"/>
          <w:color w:val="auto"/>
          <w:szCs w:val="21"/>
          <w:highlight w:val="none"/>
        </w:rPr>
        <w:t>将在招标文件中载明核心产品，多家投标人提供的核心产品品牌相同的，</w:t>
      </w:r>
      <w:r>
        <w:rPr>
          <w:rFonts w:hint="eastAsia" w:ascii="宋体" w:hAnsi="宋体" w:eastAsia="宋体" w:cs="宋体"/>
          <w:color w:val="auto"/>
          <w:kern w:val="0"/>
          <w:szCs w:val="21"/>
          <w:highlight w:val="none"/>
        </w:rPr>
        <w:t>按本章第4.3条规定处理。</w:t>
      </w:r>
    </w:p>
    <w:p w14:paraId="6CB3858C">
      <w:pPr>
        <w:adjustRightInd w:val="0"/>
        <w:snapToGrid w:val="0"/>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rPr>
        <w:t>5</w:t>
      </w:r>
      <w:r>
        <w:rPr>
          <w:rFonts w:hint="eastAsia" w:ascii="宋体" w:hAnsi="宋体" w:eastAsia="宋体" w:cs="宋体"/>
          <w:b/>
          <w:bCs/>
          <w:color w:val="auto"/>
          <w:kern w:val="0"/>
          <w:szCs w:val="21"/>
          <w:highlight w:val="none"/>
        </w:rPr>
        <w:t>、比较及评价</w:t>
      </w:r>
    </w:p>
    <w:p w14:paraId="26F03492">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5.1评标委员会对通过符合性审查的投标文件进行比较和评价。</w:t>
      </w:r>
    </w:p>
    <w:p w14:paraId="2D59B570">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5.2在评标期间，对投标文件的澄清按投标人须知24条内容执行。</w:t>
      </w:r>
    </w:p>
    <w:p w14:paraId="6505C644">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5.3评标委员会认为投标人的报价明显低于其他通过符合性审查的投标人报价，有可能影响产品质量或者不能诚信履约的，评标委员会应当要求其在评标现场合理的时间（</w:t>
      </w:r>
      <w:r>
        <w:rPr>
          <w:rFonts w:hint="eastAsia" w:ascii="宋体" w:hAnsi="宋体" w:eastAsia="宋体" w:cs="宋体"/>
          <w:color w:val="auto"/>
          <w:kern w:val="0"/>
          <w:szCs w:val="21"/>
          <w:highlight w:val="none"/>
        </w:rPr>
        <w:t>接到通知后</w:t>
      </w:r>
      <w:r>
        <w:rPr>
          <w:rFonts w:hint="eastAsia" w:ascii="宋体" w:hAnsi="宋体" w:eastAsia="宋体" w:cs="宋体"/>
          <w:color w:val="auto"/>
          <w:kern w:val="0"/>
          <w:szCs w:val="21"/>
          <w:highlight w:val="none"/>
          <w:u w:val="single"/>
        </w:rPr>
        <w:t xml:space="preserve"> 0.5 </w:t>
      </w:r>
      <w:r>
        <w:rPr>
          <w:rFonts w:hint="eastAsia" w:ascii="宋体" w:hAnsi="宋体" w:eastAsia="宋体" w:cs="宋体"/>
          <w:color w:val="auto"/>
          <w:kern w:val="0"/>
          <w:szCs w:val="21"/>
          <w:highlight w:val="none"/>
        </w:rPr>
        <w:t>小时</w:t>
      </w:r>
      <w:r>
        <w:rPr>
          <w:rFonts w:hint="eastAsia" w:ascii="宋体" w:hAnsi="宋体" w:eastAsia="宋体" w:cs="宋体"/>
          <w:color w:val="auto"/>
          <w:szCs w:val="21"/>
          <w:highlight w:val="none"/>
        </w:rPr>
        <w:t>）内提供书面说明，并提交相关证明材料，</w:t>
      </w:r>
      <w:r>
        <w:rPr>
          <w:rFonts w:hint="eastAsia" w:ascii="宋体" w:hAnsi="宋体" w:eastAsia="宋体" w:cs="宋体"/>
          <w:color w:val="auto"/>
          <w:kern w:val="0"/>
          <w:szCs w:val="21"/>
          <w:highlight w:val="none"/>
        </w:rPr>
        <w:t>投标人不能证明其报价合理性的，评标委员会应当将</w:t>
      </w:r>
      <w:r>
        <w:rPr>
          <w:rFonts w:hint="eastAsia" w:ascii="宋体" w:hAnsi="宋体" w:eastAsia="宋体" w:cs="宋体"/>
          <w:color w:val="auto"/>
          <w:szCs w:val="21"/>
          <w:highlight w:val="none"/>
        </w:rPr>
        <w:t>其投标作为</w:t>
      </w:r>
      <w:r>
        <w:rPr>
          <w:rFonts w:hint="eastAsia" w:ascii="宋体" w:hAnsi="宋体" w:eastAsia="宋体" w:cs="宋体"/>
          <w:b/>
          <w:bCs/>
          <w:color w:val="auto"/>
          <w:szCs w:val="21"/>
          <w:highlight w:val="none"/>
        </w:rPr>
        <w:t>无效投标处理</w:t>
      </w:r>
      <w:r>
        <w:rPr>
          <w:rFonts w:hint="eastAsia" w:ascii="宋体" w:hAnsi="宋体" w:eastAsia="宋体" w:cs="宋体"/>
          <w:color w:val="auto"/>
          <w:szCs w:val="21"/>
          <w:highlight w:val="none"/>
        </w:rPr>
        <w:t>。</w:t>
      </w:r>
    </w:p>
    <w:p w14:paraId="6323AD4F">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投标人的书面说明材料包含货物本身成本、人工费用、运输、税收等，以及报价不会影响产品质量或诚信履约能力的说明等。</w:t>
      </w:r>
    </w:p>
    <w:p w14:paraId="5A4ABAF9">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投标人的书面说明应当签字确认或者加盖公章，否则无效。书面说明的签字确认，由其法定代表人（非法人单位负责人或自然人本人）或者其授权代表签字确认。</w:t>
      </w:r>
    </w:p>
    <w:p w14:paraId="49B7824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投标人提供书面说明后，评标委员会应当结合采购项目采购需求、专业实际情况、</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财务状况报告、与其他投标人比较情况等就投标人的书面说明进行审查评价。投标人如有下列情况的，评标委员会应当将其投标文件作为无效处理：</w:t>
      </w:r>
    </w:p>
    <w:p w14:paraId="141F2E27">
      <w:pPr>
        <w:numPr>
          <w:ilvl w:val="0"/>
          <w:numId w:val="9"/>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拒绝或者变相拒绝提供有效书面说明；</w:t>
      </w:r>
    </w:p>
    <w:p w14:paraId="3AB0D6A5">
      <w:pPr>
        <w:numPr>
          <w:ilvl w:val="0"/>
          <w:numId w:val="9"/>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书面说明不能证明其报价合理性的；</w:t>
      </w:r>
    </w:p>
    <w:p w14:paraId="56FD75EC">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未在规定时间内递交有效书面说明书的。</w:t>
      </w:r>
    </w:p>
    <w:p w14:paraId="45D8CED1">
      <w:pPr>
        <w:adjustRightInd w:val="0"/>
        <w:snapToGrid w:val="0"/>
        <w:ind w:firstLine="422" w:firstLineChars="200"/>
        <w:rPr>
          <w:rFonts w:hint="eastAsia" w:ascii="宋体" w:hAnsi="宋体" w:eastAsia="宋体" w:cs="宋体"/>
          <w:b/>
          <w:bCs/>
          <w:kern w:val="0"/>
          <w:szCs w:val="21"/>
        </w:rPr>
      </w:pPr>
      <w:r>
        <w:rPr>
          <w:rFonts w:hint="eastAsia" w:ascii="宋体" w:hAnsi="宋体" w:eastAsia="宋体" w:cs="宋体"/>
          <w:b/>
          <w:kern w:val="0"/>
          <w:szCs w:val="21"/>
        </w:rPr>
        <w:t>6</w:t>
      </w:r>
      <w:r>
        <w:rPr>
          <w:rFonts w:hint="eastAsia" w:ascii="宋体" w:hAnsi="宋体" w:eastAsia="宋体" w:cs="宋体"/>
          <w:b/>
          <w:bCs/>
          <w:kern w:val="0"/>
          <w:szCs w:val="21"/>
        </w:rPr>
        <w:t>、需落实的政府采购政策性规定：</w:t>
      </w:r>
    </w:p>
    <w:p w14:paraId="5E66A449">
      <w:pPr>
        <w:adjustRightInd w:val="0"/>
        <w:snapToGrid w:val="0"/>
        <w:ind w:firstLine="422" w:firstLineChars="200"/>
        <w:rPr>
          <w:rFonts w:eastAsia="宋体"/>
          <w:b/>
          <w:kern w:val="0"/>
          <w:szCs w:val="21"/>
        </w:rPr>
      </w:pPr>
      <w:r>
        <w:rPr>
          <w:rFonts w:hint="eastAsia" w:eastAsia="宋体"/>
          <w:b/>
          <w:kern w:val="0"/>
          <w:szCs w:val="21"/>
        </w:rPr>
        <w:t>6.1对于中小微企业（含监狱企业、残疾人福利性单位）的相关规定</w:t>
      </w:r>
    </w:p>
    <w:p w14:paraId="2A1EFF0D">
      <w:pPr>
        <w:adjustRightInd w:val="0"/>
        <w:ind w:firstLine="420" w:firstLineChars="200"/>
        <w:jc w:val="left"/>
        <w:rPr>
          <w:rFonts w:eastAsia="宋体"/>
          <w:szCs w:val="21"/>
        </w:rPr>
      </w:pPr>
      <w:r>
        <w:rPr>
          <w:rFonts w:hint="eastAsia" w:eastAsia="宋体"/>
          <w:szCs w:val="21"/>
        </w:rPr>
        <w:t>对于非专门面向中小企业的项目，在满足价格扣除条件且在响应文件中按要求提交了《中小企业声明函》或</w:t>
      </w:r>
      <w:r>
        <w:rPr>
          <w:rFonts w:hint="eastAsia" w:eastAsia="宋体"/>
          <w:kern w:val="0"/>
          <w:szCs w:val="21"/>
        </w:rPr>
        <w:t>《残疾人福利性单位声明函》</w:t>
      </w:r>
      <w:r>
        <w:rPr>
          <w:rFonts w:hint="eastAsia" w:eastAsia="宋体"/>
          <w:szCs w:val="21"/>
        </w:rPr>
        <w:t>或省级以上监狱管理局、戒毒管理局（含新疆生产建设兵团）出具的属于监狱企业的证明文件的响应供应商，对响应报价给予价格扣除，用扣除后的价格参与评审。响应报价扣除比例如下：</w:t>
      </w:r>
    </w:p>
    <w:p w14:paraId="5BC6664A">
      <w:pPr>
        <w:adjustRightInd w:val="0"/>
        <w:ind w:firstLine="210" w:firstLineChars="100"/>
        <w:jc w:val="left"/>
        <w:rPr>
          <w:rFonts w:hint="eastAsia" w:ascii="宋体" w:hAnsi="宋体" w:eastAsia="宋体" w:cs="宋体"/>
          <w:szCs w:val="21"/>
        </w:rPr>
      </w:pPr>
      <w:r>
        <w:rPr>
          <w:rFonts w:hint="eastAsia" w:ascii="宋体" w:hAnsi="宋体" w:eastAsia="宋体" w:cs="宋体"/>
          <w:szCs w:val="21"/>
        </w:rPr>
        <w:t>（1）非联合体</w:t>
      </w:r>
    </w:p>
    <w:p w14:paraId="6C411285">
      <w:pPr>
        <w:adjustRightInd w:val="0"/>
        <w:ind w:firstLine="420" w:firstLineChars="200"/>
        <w:jc w:val="left"/>
        <w:rPr>
          <w:rFonts w:hint="eastAsia" w:ascii="宋体" w:hAnsi="宋体" w:eastAsia="宋体" w:cs="宋体"/>
          <w:szCs w:val="21"/>
        </w:rPr>
      </w:pPr>
      <w:r>
        <w:rPr>
          <w:rFonts w:hint="eastAsia" w:ascii="宋体" w:hAnsi="宋体" w:eastAsia="宋体" w:cs="宋体"/>
          <w:szCs w:val="21"/>
        </w:rPr>
        <w:t>小型和微型企业相应产品投标报价的：</w:t>
      </w:r>
    </w:p>
    <w:p w14:paraId="2BDC40BE">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①货物类项目：10%</w:t>
      </w:r>
    </w:p>
    <w:p w14:paraId="4B957D7C">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②服务类项目：10%</w:t>
      </w:r>
    </w:p>
    <w:p w14:paraId="38A129E2">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③工程类项目：5%</w:t>
      </w:r>
    </w:p>
    <w:p w14:paraId="093F6A85">
      <w:pPr>
        <w:adjustRightInd w:val="0"/>
        <w:ind w:firstLine="210" w:firstLineChars="100"/>
        <w:jc w:val="left"/>
        <w:rPr>
          <w:rFonts w:hint="eastAsia" w:ascii="宋体" w:hAnsi="宋体" w:eastAsia="宋体" w:cs="宋体"/>
          <w:szCs w:val="21"/>
        </w:rPr>
      </w:pPr>
      <w:r>
        <w:rPr>
          <w:rFonts w:hint="eastAsia" w:ascii="宋体" w:hAnsi="宋体" w:eastAsia="宋体" w:cs="宋体"/>
          <w:szCs w:val="21"/>
        </w:rPr>
        <w:t>（2）联合体</w:t>
      </w:r>
    </w:p>
    <w:p w14:paraId="3CDA0844">
      <w:pPr>
        <w:adjustRightInd w:val="0"/>
        <w:ind w:firstLine="420" w:firstLineChars="200"/>
        <w:jc w:val="left"/>
        <w:rPr>
          <w:rFonts w:hint="eastAsia" w:ascii="宋体" w:hAnsi="宋体" w:eastAsia="宋体" w:cs="宋体"/>
          <w:kern w:val="0"/>
          <w:szCs w:val="21"/>
          <w:u w:val="single"/>
        </w:rPr>
      </w:pPr>
      <w:r>
        <w:rPr>
          <w:rFonts w:hint="eastAsia" w:ascii="宋体" w:hAnsi="宋体" w:eastAsia="宋体" w:cs="宋体"/>
          <w:szCs w:val="21"/>
        </w:rPr>
        <w:t>大中型企业和其他自然人、法人或者其他组织与小型、微型企业组成联合体共同参加非专门面向中小企业的政府采购活动的，联合体报价协议中约定，小型、微型企业的协议合同金额占到联合体报价协议合同总金额30%以上的，投标报价扣除</w:t>
      </w:r>
      <w:r>
        <w:rPr>
          <w:rFonts w:hint="eastAsia" w:ascii="宋体" w:hAnsi="宋体" w:eastAsia="宋体" w:cs="宋体"/>
          <w:kern w:val="0"/>
          <w:szCs w:val="21"/>
        </w:rPr>
        <w:t>：</w:t>
      </w:r>
    </w:p>
    <w:p w14:paraId="44D6DF4D">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①货物类项目：4%</w:t>
      </w:r>
    </w:p>
    <w:p w14:paraId="76B7D3C0">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②服务类项目：4%</w:t>
      </w:r>
    </w:p>
    <w:p w14:paraId="586B5CA5">
      <w:pPr>
        <w:adjustRightInd w:val="0"/>
        <w:ind w:firstLine="843" w:firstLineChars="400"/>
        <w:jc w:val="left"/>
        <w:rPr>
          <w:rFonts w:hint="eastAsia" w:ascii="宋体" w:hAnsi="宋体" w:eastAsia="宋体" w:cs="宋体"/>
          <w:b/>
          <w:bCs/>
          <w:szCs w:val="21"/>
        </w:rPr>
      </w:pPr>
      <w:r>
        <w:rPr>
          <w:rFonts w:hint="eastAsia" w:ascii="宋体" w:hAnsi="宋体" w:eastAsia="宋体" w:cs="宋体"/>
          <w:b/>
          <w:bCs/>
          <w:szCs w:val="21"/>
        </w:rPr>
        <w:t>③工程类项目：2%</w:t>
      </w:r>
    </w:p>
    <w:p w14:paraId="19C2C4C0">
      <w:pPr>
        <w:adjustRightInd w:val="0"/>
        <w:ind w:firstLine="420" w:firstLineChars="200"/>
        <w:jc w:val="left"/>
        <w:rPr>
          <w:rFonts w:eastAsia="宋体"/>
          <w:szCs w:val="21"/>
        </w:rPr>
      </w:pPr>
      <w:r>
        <w:rPr>
          <w:rFonts w:hint="eastAsia" w:ascii="宋体" w:hAnsi="宋体" w:eastAsia="宋体" w:cs="宋体"/>
          <w:szCs w:val="21"/>
        </w:rPr>
        <w:t>联合体各方均为小型、微型企业的，联合体视同为小型、微型企业享受规定的扶持政策。组成联合体的大中型企业和其他自然人、法人或</w:t>
      </w:r>
      <w:r>
        <w:rPr>
          <w:rFonts w:hint="eastAsia" w:eastAsia="宋体"/>
          <w:szCs w:val="21"/>
        </w:rPr>
        <w:t>者其他组织，与小型、微型企业之间不得存在投资关系。</w:t>
      </w:r>
    </w:p>
    <w:p w14:paraId="4BB33393">
      <w:pPr>
        <w:adjustRightInd w:val="0"/>
        <w:snapToGrid w:val="0"/>
        <w:ind w:firstLine="420" w:firstLineChars="200"/>
        <w:rPr>
          <w:rFonts w:hint="eastAsia" w:ascii="宋体" w:hAnsi="宋体" w:eastAsia="宋体" w:cs="宋体"/>
          <w:szCs w:val="21"/>
        </w:rPr>
      </w:pPr>
      <w:r>
        <w:rPr>
          <w:rFonts w:hint="eastAsia" w:eastAsia="宋体"/>
          <w:szCs w:val="21"/>
        </w:rPr>
        <w:t>（3）监狱企业、残疾人福利性单位属于小型、微型企业的，不重复享受政策</w:t>
      </w:r>
      <w:r>
        <w:rPr>
          <w:rFonts w:hint="eastAsia" w:ascii="宋体" w:hAnsi="宋体" w:eastAsia="宋体" w:cs="宋体"/>
          <w:szCs w:val="21"/>
        </w:rPr>
        <w:t>。</w:t>
      </w:r>
    </w:p>
    <w:p w14:paraId="66BFEB47">
      <w:pPr>
        <w:adjustRightInd w:val="0"/>
        <w:snapToGrid w:val="0"/>
        <w:ind w:firstLine="422" w:firstLineChars="200"/>
        <w:rPr>
          <w:rFonts w:hint="eastAsia" w:ascii="宋体" w:hAnsi="宋体" w:eastAsia="宋体" w:cs="宋体"/>
          <w:b/>
          <w:kern w:val="0"/>
          <w:szCs w:val="21"/>
        </w:rPr>
      </w:pPr>
      <w:r>
        <w:rPr>
          <w:rFonts w:hint="eastAsia" w:ascii="宋体" w:hAnsi="宋体" w:eastAsia="宋体" w:cs="宋体"/>
          <w:b/>
          <w:kern w:val="0"/>
          <w:szCs w:val="21"/>
        </w:rPr>
        <w:t>6.2对于节能产品、环境标志产品的相关规定</w:t>
      </w:r>
    </w:p>
    <w:p w14:paraId="1B9AD1E2">
      <w:pPr>
        <w:adjustRightInd w:val="0"/>
        <w:snapToGrid w:val="0"/>
        <w:ind w:firstLine="420" w:firstLineChars="200"/>
        <w:jc w:val="left"/>
        <w:rPr>
          <w:rFonts w:eastAsia="宋体"/>
          <w:szCs w:val="21"/>
        </w:rPr>
      </w:pPr>
      <w:r>
        <w:rPr>
          <w:rFonts w:hint="eastAsia" w:eastAsia="宋体"/>
          <w:szCs w:val="21"/>
        </w:rPr>
        <w:t>（1）非政府强制采购的节能产品或环境标志产品，依据品目清单和认证证书实施政府优先采购。供应商应能够提供国家确定的认证机构出具的、处于有效期之内的节能产品、环境标志产品认证证书，方可对获得证书的产品优先推荐。在满足基本技术条件的前提下，对最后报价给予价格扣除，用扣除后的价格参与评审。报价扣除比例为</w:t>
      </w:r>
      <w:r>
        <w:rPr>
          <w:rFonts w:hint="eastAsia" w:eastAsia="宋体"/>
          <w:kern w:val="0"/>
          <w:szCs w:val="21"/>
        </w:rPr>
        <w:t>清单中产品报价的</w:t>
      </w:r>
      <w:r>
        <w:rPr>
          <w:rFonts w:hint="eastAsia" w:ascii="宋体" w:hAnsi="宋体" w:eastAsia="宋体" w:cs="宋体"/>
          <w:szCs w:val="21"/>
        </w:rPr>
        <w:t>：</w:t>
      </w:r>
      <w:r>
        <w:rPr>
          <w:rFonts w:hint="eastAsia" w:ascii="宋体" w:hAnsi="宋体" w:eastAsia="宋体" w:cs="宋体"/>
          <w:b/>
          <w:bCs/>
          <w:szCs w:val="21"/>
          <w:u w:val="single"/>
        </w:rPr>
        <w:t>3%</w:t>
      </w:r>
      <w:r>
        <w:rPr>
          <w:rFonts w:hint="eastAsia" w:ascii="宋体" w:hAnsi="宋体" w:eastAsia="宋体" w:cs="宋体"/>
          <w:szCs w:val="21"/>
        </w:rPr>
        <w:t>。</w:t>
      </w:r>
    </w:p>
    <w:p w14:paraId="21068D5F">
      <w:pPr>
        <w:adjustRightInd w:val="0"/>
        <w:snapToGrid w:val="0"/>
        <w:ind w:firstLine="420" w:firstLineChars="200"/>
        <w:rPr>
          <w:rFonts w:eastAsia="宋体"/>
          <w:szCs w:val="21"/>
        </w:rPr>
      </w:pPr>
      <w:r>
        <w:rPr>
          <w:rFonts w:hint="eastAsia" w:eastAsia="宋体"/>
          <w:szCs w:val="21"/>
        </w:rPr>
        <w:t>（2）供应商应同时提供品目清单网络截图，并以明确标注所报产品信息和位置的方式，用以方便评审。</w:t>
      </w:r>
    </w:p>
    <w:p w14:paraId="147DEB93">
      <w:pPr>
        <w:numPr>
          <w:ilvl w:val="-1"/>
          <w:numId w:val="0"/>
        </w:numPr>
        <w:adjustRightInd w:val="0"/>
        <w:snapToGrid/>
        <w:ind w:firstLine="420" w:firstLineChars="200"/>
        <w:jc w:val="left"/>
        <w:rPr>
          <w:rFonts w:hint="eastAsia" w:ascii="宋体" w:hAnsi="宋体" w:eastAsia="宋体" w:cs="宋体"/>
          <w:color w:val="auto"/>
          <w:szCs w:val="21"/>
          <w:highlight w:val="none"/>
        </w:rPr>
      </w:pPr>
      <w:r>
        <w:rPr>
          <w:rFonts w:hint="eastAsia" w:eastAsia="宋体"/>
          <w:kern w:val="0"/>
          <w:szCs w:val="21"/>
        </w:rPr>
        <w:t>（3）认证机构和获证产品信息发布媒体：详见中国政府采购网（www.ccgp.gov.cn）建立的与认证结果信息发布平台的链接。</w:t>
      </w:r>
    </w:p>
    <w:p w14:paraId="50A8EC39">
      <w:pPr>
        <w:adjustRightInd w:val="0"/>
        <w:snapToGrid w:val="0"/>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lang w:val="en-US" w:eastAsia="zh-CN"/>
        </w:rPr>
        <w:t>7</w:t>
      </w:r>
      <w:r>
        <w:rPr>
          <w:rFonts w:hint="eastAsia" w:ascii="宋体" w:hAnsi="宋体" w:eastAsia="宋体" w:cs="宋体"/>
          <w:b/>
          <w:bCs/>
          <w:color w:val="auto"/>
          <w:kern w:val="0"/>
          <w:szCs w:val="21"/>
          <w:highlight w:val="none"/>
        </w:rPr>
        <w:t>、投标无效情况详见投标人须知。</w:t>
      </w:r>
    </w:p>
    <w:p w14:paraId="002747EC">
      <w:pPr>
        <w:adjustRightInd w:val="0"/>
        <w:snapToGrid w:val="0"/>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lang w:val="en-US" w:eastAsia="zh-CN"/>
        </w:rPr>
        <w:t>8</w:t>
      </w:r>
      <w:r>
        <w:rPr>
          <w:rFonts w:hint="eastAsia" w:ascii="宋体" w:hAnsi="宋体" w:eastAsia="宋体" w:cs="宋体"/>
          <w:b/>
          <w:bCs/>
          <w:color w:val="auto"/>
          <w:kern w:val="0"/>
          <w:szCs w:val="21"/>
          <w:highlight w:val="none"/>
        </w:rPr>
        <w:t>、推荐中标候选人的原则</w:t>
      </w:r>
    </w:p>
    <w:p w14:paraId="2E50E363">
      <w:pPr>
        <w:adjustRightInd w:val="0"/>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详见第一章投标人须知第29条，报价相同的处理办法如下：</w:t>
      </w:r>
    </w:p>
    <w:p w14:paraId="31BADAED">
      <w:pPr>
        <w:numPr>
          <w:ilvl w:val="0"/>
          <w:numId w:val="0"/>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Cs w:val="21"/>
          <w:highlight w:val="none"/>
        </w:rPr>
        <w:t>采用最低评标价法的：</w:t>
      </w:r>
    </w:p>
    <w:p w14:paraId="4C7AC3FF">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扣除后的投标报价相同时，按投标报价由低至高排序；</w:t>
      </w:r>
    </w:p>
    <w:p w14:paraId="08F5DFB6">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按前款不能区分的，优先采购节能产品、环境标志产品；</w:t>
      </w:r>
    </w:p>
    <w:p w14:paraId="3CC44FA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按前款不能区分的，按技术指标优劣排序；</w:t>
      </w:r>
    </w:p>
    <w:p w14:paraId="05AB72E1">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其他情况，由评标委员会集体研究处理。</w:t>
      </w:r>
    </w:p>
    <w:p w14:paraId="721801A9">
      <w:pPr>
        <w:numPr>
          <w:ilvl w:val="0"/>
          <w:numId w:val="0"/>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Cs w:val="21"/>
          <w:highlight w:val="none"/>
        </w:rPr>
        <w:t>采用综合评分法的：</w:t>
      </w:r>
    </w:p>
    <w:p w14:paraId="51F013AB">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得分相同的，按扣除后的投标报价由低到高顺序排列；</w:t>
      </w:r>
    </w:p>
    <w:p w14:paraId="09B40810">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按前款不能区分的，按投标报价由低至高顺序排序；</w:t>
      </w:r>
    </w:p>
    <w:p w14:paraId="090535A7">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按前款不能区分的，优先采购节能产品、环保产品；</w:t>
      </w:r>
    </w:p>
    <w:p w14:paraId="59EC7FBE">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按前款不能区分的，按技术指标优劣排序；</w:t>
      </w:r>
    </w:p>
    <w:p w14:paraId="6F8C2F34">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其他情况，由评标委员会集体研究处理。</w:t>
      </w:r>
    </w:p>
    <w:p w14:paraId="1EC7390B">
      <w:pPr>
        <w:adjustRightInd w:val="0"/>
        <w:snapToGrid w:val="0"/>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szCs w:val="21"/>
          <w:highlight w:val="none"/>
        </w:rPr>
        <w:t>三、</w:t>
      </w:r>
      <w:r>
        <w:rPr>
          <w:rFonts w:hint="eastAsia" w:ascii="宋体" w:hAnsi="宋体" w:eastAsia="宋体" w:cs="宋体"/>
          <w:b/>
          <w:color w:val="auto"/>
          <w:kern w:val="0"/>
          <w:szCs w:val="21"/>
          <w:highlight w:val="none"/>
        </w:rPr>
        <w:t>确定中标人</w:t>
      </w:r>
    </w:p>
    <w:p w14:paraId="7AB66E6D">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评标委员会根据全体评标委员会成员签字的原始评标记录和评标结果编写评标报告，并向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提交书面评标报告。</w:t>
      </w:r>
    </w:p>
    <w:p w14:paraId="13FBE06A">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按照评标报告确定的中标候选人名单按顺序确定中标人，或由</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委托评标委员会按照第一章投标人须知第31条规定的方式确定中标人。</w:t>
      </w:r>
    </w:p>
    <w:p w14:paraId="6702D8BC">
      <w:pPr>
        <w:widowControl/>
        <w:spacing w:line="24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b/>
          <w:color w:val="auto"/>
          <w:kern w:val="2"/>
          <w:sz w:val="28"/>
          <w:szCs w:val="24"/>
          <w:highlight w:val="none"/>
          <w:lang w:val="en-US" w:eastAsia="zh-CN" w:bidi="ar-SA"/>
        </w:rPr>
        <w:t>附件1                   资格审查表</w:t>
      </w:r>
    </w:p>
    <w:tbl>
      <w:tblPr>
        <w:tblStyle w:val="17"/>
        <w:tblW w:w="8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346"/>
        <w:gridCol w:w="5349"/>
      </w:tblGrid>
      <w:tr w14:paraId="3BA9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442D54">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234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3352E1">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审查内容</w:t>
            </w:r>
          </w:p>
        </w:tc>
        <w:tc>
          <w:tcPr>
            <w:tcW w:w="5349"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717E34">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审查标准</w:t>
            </w:r>
          </w:p>
        </w:tc>
      </w:tr>
      <w:tr w14:paraId="1CA5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67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110EE7">
            <w:pPr>
              <w:pStyle w:val="4"/>
              <w:adjustRightInd w:val="0"/>
              <w:snapToGrid w:val="0"/>
              <w:spacing w:before="0" w:after="0" w:line="240" w:lineRule="auto"/>
              <w:rPr>
                <w:rFonts w:hint="eastAsia" w:ascii="宋体" w:hAnsi="宋体" w:eastAsia="宋体" w:cs="宋体"/>
                <w:color w:val="auto"/>
                <w:highlight w:val="none"/>
              </w:rPr>
            </w:pPr>
          </w:p>
        </w:tc>
        <w:tc>
          <w:tcPr>
            <w:tcW w:w="234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B676324">
            <w:pPr>
              <w:pStyle w:val="4"/>
              <w:adjustRightInd w:val="0"/>
              <w:snapToGrid w:val="0"/>
              <w:spacing w:before="0" w:after="0" w:line="240" w:lineRule="auto"/>
              <w:rPr>
                <w:rFonts w:hint="eastAsia" w:ascii="宋体" w:hAnsi="宋体" w:eastAsia="宋体" w:cs="宋体"/>
                <w:color w:val="auto"/>
                <w:sz w:val="21"/>
                <w:szCs w:val="21"/>
                <w:highlight w:val="none"/>
              </w:rPr>
            </w:pPr>
          </w:p>
        </w:tc>
        <w:tc>
          <w:tcPr>
            <w:tcW w:w="5349"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DDB0AA">
            <w:pPr>
              <w:pStyle w:val="4"/>
              <w:adjustRightInd w:val="0"/>
              <w:snapToGrid w:val="0"/>
              <w:spacing w:before="0" w:after="0" w:line="240" w:lineRule="auto"/>
              <w:rPr>
                <w:rFonts w:hint="eastAsia" w:ascii="宋体" w:hAnsi="宋体" w:eastAsia="宋体" w:cs="宋体"/>
                <w:color w:val="auto"/>
                <w:sz w:val="21"/>
                <w:szCs w:val="21"/>
                <w:highlight w:val="none"/>
              </w:rPr>
            </w:pPr>
          </w:p>
        </w:tc>
      </w:tr>
      <w:tr w14:paraId="6EB3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77" w:type="dxa"/>
            <w:tcBorders>
              <w:left w:val="single" w:color="000000" w:sz="8" w:space="0"/>
              <w:bottom w:val="single" w:color="000000" w:sz="8" w:space="0"/>
              <w:right w:val="single" w:color="000000" w:sz="8" w:space="0"/>
            </w:tcBorders>
            <w:shd w:val="clear" w:color="auto" w:fill="FFFFFF"/>
            <w:noWrap w:val="0"/>
            <w:vAlign w:val="center"/>
          </w:tcPr>
          <w:p w14:paraId="32532D1B">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46" w:type="dxa"/>
            <w:tcBorders>
              <w:left w:val="single" w:color="000000" w:sz="8" w:space="0"/>
              <w:bottom w:val="single" w:color="000000" w:sz="8" w:space="0"/>
              <w:right w:val="single" w:color="000000" w:sz="8" w:space="0"/>
            </w:tcBorders>
            <w:shd w:val="clear" w:color="auto" w:fill="FFFFFF"/>
            <w:noWrap w:val="0"/>
            <w:vAlign w:val="center"/>
          </w:tcPr>
          <w:p w14:paraId="12219315">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具有独立承担民事责任的能力；</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E7D689">
            <w:pPr>
              <w:snapToGrid w:val="0"/>
              <w:rPr>
                <w:rFonts w:ascii="宋体" w:hAnsi="宋体" w:eastAsia="宋体" w:cs="宋体"/>
                <w:color w:val="auto"/>
                <w:highlight w:val="none"/>
              </w:rPr>
            </w:pPr>
            <w:r>
              <w:rPr>
                <w:rFonts w:hint="eastAsia" w:ascii="宋体" w:hAnsi="宋体" w:eastAsia="宋体" w:cs="宋体"/>
                <w:color w:val="auto"/>
                <w:highlight w:val="none"/>
              </w:rPr>
              <w:t>①营业执照或事业单位法人证书或执业许可证等证明文件或自然人的身份证明</w:t>
            </w:r>
          </w:p>
          <w:p w14:paraId="09F2BBD7">
            <w:pPr>
              <w:snapToGrid w:val="0"/>
              <w:rPr>
                <w:rFonts w:ascii="宋体" w:hAnsi="宋体" w:eastAsia="宋体" w:cs="宋体"/>
                <w:color w:val="auto"/>
                <w:highlight w:val="none"/>
              </w:rPr>
            </w:pPr>
            <w:r>
              <w:rPr>
                <w:rFonts w:hint="eastAsia" w:ascii="宋体" w:hAnsi="宋体" w:eastAsia="宋体" w:cs="宋体"/>
                <w:color w:val="auto"/>
                <w:highlight w:val="none"/>
              </w:rPr>
              <w:t>②组织机构代码证（复印件，三证合一的不需提供）</w:t>
            </w:r>
          </w:p>
          <w:p w14:paraId="55277A16">
            <w:pPr>
              <w:snapToGrid w:val="0"/>
              <w:rPr>
                <w:rFonts w:ascii="宋体" w:hAnsi="宋体" w:eastAsia="宋体" w:cs="宋体"/>
                <w:color w:val="auto"/>
                <w:highlight w:val="none"/>
              </w:rPr>
            </w:pPr>
            <w:r>
              <w:rPr>
                <w:rFonts w:hint="eastAsia" w:ascii="宋体" w:hAnsi="宋体" w:eastAsia="宋体" w:cs="宋体"/>
                <w:color w:val="auto"/>
                <w:highlight w:val="none"/>
              </w:rPr>
              <w:t>③税务登记证（复印件，三证合一的不需提供）</w:t>
            </w:r>
          </w:p>
          <w:p w14:paraId="48B136DA">
            <w:pPr>
              <w:snapToGrid w:val="0"/>
              <w:rPr>
                <w:rFonts w:ascii="宋体" w:hAnsi="宋体" w:eastAsia="宋体" w:cs="宋体"/>
                <w:color w:val="auto"/>
                <w:highlight w:val="none"/>
              </w:rPr>
            </w:pPr>
            <w:r>
              <w:rPr>
                <w:rFonts w:hint="eastAsia" w:ascii="宋体" w:hAnsi="宋体" w:eastAsia="宋体" w:cs="宋体"/>
                <w:color w:val="auto"/>
                <w:highlight w:val="none"/>
              </w:rPr>
              <w:t>④法定代表人（或非法人组织负责人）身份证明书</w:t>
            </w:r>
          </w:p>
          <w:p w14:paraId="7406435E">
            <w:pPr>
              <w:snapToGrid w:val="0"/>
              <w:rPr>
                <w:rFonts w:hint="eastAsia" w:ascii="宋体" w:hAnsi="宋体" w:eastAsia="宋体" w:cs="宋体"/>
                <w:color w:val="auto"/>
                <w:highlight w:val="none"/>
                <w:lang w:eastAsia="zh-CN"/>
              </w:rPr>
            </w:pPr>
            <w:r>
              <w:rPr>
                <w:rFonts w:hint="eastAsia" w:ascii="宋体" w:hAnsi="宋体" w:eastAsia="宋体" w:cs="宋体"/>
                <w:color w:val="auto"/>
                <w:highlight w:val="none"/>
              </w:rPr>
              <w:t>⑤法定代表人（或非法人组织负责人）授权委托书（授权委托人参加投标的须提供）</w:t>
            </w:r>
          </w:p>
        </w:tc>
      </w:tr>
      <w:tr w14:paraId="34E9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D5C8EB">
            <w:pPr>
              <w:widowControl/>
              <w:snapToGrid w:val="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52D2996">
            <w:pPr>
              <w:snapToGrid w:val="0"/>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具有良好的商业信誉和健全的财务会计制度；</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B701F6">
            <w:pPr>
              <w:snapToGrid w:val="0"/>
              <w:jc w:val="both"/>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投标文件中提供《资格条件承诺函》。</w:t>
            </w:r>
          </w:p>
        </w:tc>
      </w:tr>
      <w:tr w14:paraId="6ACC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E1EAF4">
            <w:pPr>
              <w:widowControl/>
              <w:snapToGrid w:val="0"/>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3</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FAA5C4">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具有履行合同所必需的设备和专业技术能力；</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F3370EA">
            <w:pPr>
              <w:snapToGrid w:val="0"/>
              <w:jc w:val="both"/>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投标文件中提供《资格条件承诺函》。</w:t>
            </w:r>
          </w:p>
        </w:tc>
      </w:tr>
      <w:tr w14:paraId="60E0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5B1BF17">
            <w:pPr>
              <w:widowControl/>
              <w:snapToGrid w:val="0"/>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4</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98AD16">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有依法缴纳税收和社会保障资金的良好记录；</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6026E1">
            <w:pPr>
              <w:snapToGrid w:val="0"/>
              <w:jc w:val="both"/>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投标文件中提供《资格条件承诺函》。</w:t>
            </w:r>
          </w:p>
        </w:tc>
      </w:tr>
      <w:tr w14:paraId="7B35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D38A68">
            <w:pPr>
              <w:widowControl/>
              <w:snapToGrid w:val="0"/>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5</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84CCC2">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参加</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采购活动前三年内，在经营活动中没有重大违法记录；</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49696D">
            <w:pPr>
              <w:snapToGrid w:val="0"/>
              <w:jc w:val="both"/>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投标文件中提供《资格条件承诺函》。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27BE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0"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189819">
            <w:pPr>
              <w:widowControl/>
              <w:snapToGrid w:val="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6</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EA7616">
            <w:pPr>
              <w:snapToGrid w:val="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rPr>
              <w:t>法律、行政法规规定的其他条件。</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6703D3">
            <w:pPr>
              <w:snapToGrid w:val="0"/>
              <w:rPr>
                <w:rFonts w:ascii="宋体" w:hAnsi="宋体" w:eastAsia="宋体" w:cs="宋体"/>
                <w:color w:val="auto"/>
                <w:highlight w:val="none"/>
              </w:rPr>
            </w:pP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未被“信用中国”网站（www.creditchina.gov.cn）列入“记录失信被执行人”、“</w:t>
            </w:r>
            <w:r>
              <w:rPr>
                <w:rFonts w:hint="eastAsia" w:ascii="宋体" w:hAnsi="宋体" w:eastAsia="宋体" w:cs="宋体"/>
                <w:color w:val="auto"/>
                <w:kern w:val="2"/>
                <w:sz w:val="21"/>
                <w:szCs w:val="21"/>
                <w:highlight w:val="none"/>
                <w:lang w:val="en-US" w:eastAsia="zh-CN" w:bidi="ar-SA"/>
              </w:rPr>
              <w:t>重大税收违法失信主体</w:t>
            </w:r>
            <w:r>
              <w:rPr>
                <w:rFonts w:hint="eastAsia" w:ascii="宋体" w:hAnsi="宋体" w:eastAsia="宋体" w:cs="宋体"/>
                <w:color w:val="auto"/>
                <w:highlight w:val="none"/>
              </w:rPr>
              <w:t>”、“政府采购严重违法失信行为”中任意一项或多项记录名单；同时，</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未处于中国政府采购网(www.ccgp.gov.cn)“政府采购严重违法失信行为信息记录”中的禁止参加政府采购活动期间。</w:t>
            </w:r>
          </w:p>
          <w:p w14:paraId="6756AB91">
            <w:pPr>
              <w:snapToGrid w:val="0"/>
              <w:rPr>
                <w:rFonts w:hint="eastAsia" w:ascii="宋体" w:hAnsi="宋体" w:eastAsia="宋体" w:cs="宋体"/>
                <w:color w:val="auto"/>
                <w:highlight w:val="none"/>
              </w:rPr>
            </w:pPr>
            <w:r>
              <w:rPr>
                <w:rFonts w:hint="eastAsia" w:ascii="宋体" w:hAnsi="宋体" w:eastAsia="宋体" w:cs="宋体"/>
                <w:color w:val="auto"/>
                <w:highlight w:val="none"/>
              </w:rPr>
              <w:t>注：以</w:t>
            </w:r>
            <w:r>
              <w:rPr>
                <w:rFonts w:hint="eastAsia" w:ascii="宋体" w:hAnsi="宋体" w:eastAsia="宋体" w:cs="宋体"/>
                <w:color w:val="auto"/>
                <w:highlight w:val="none"/>
                <w:lang w:eastAsia="zh-CN"/>
              </w:rPr>
              <w:t>招标代理机构</w:t>
            </w:r>
            <w:r>
              <w:rPr>
                <w:rFonts w:hint="eastAsia" w:ascii="宋体" w:hAnsi="宋体" w:eastAsia="宋体" w:cs="宋体"/>
                <w:color w:val="auto"/>
                <w:highlight w:val="none"/>
              </w:rPr>
              <w:t>于投标截止时间当天在“信用中国”网站（www.creditchina.gov.cn）及中国政府采购网(www.ccgp.gov.cn)查询结果为准，由</w:t>
            </w:r>
            <w:r>
              <w:rPr>
                <w:rFonts w:hint="eastAsia" w:ascii="宋体" w:hAnsi="宋体" w:eastAsia="宋体" w:cs="宋体"/>
                <w:color w:val="auto"/>
                <w:highlight w:val="none"/>
                <w:lang w:eastAsia="zh-CN"/>
              </w:rPr>
              <w:t>招标代理机构</w:t>
            </w:r>
            <w:r>
              <w:rPr>
                <w:rFonts w:hint="eastAsia" w:ascii="宋体" w:hAnsi="宋体" w:eastAsia="宋体" w:cs="宋体"/>
                <w:color w:val="auto"/>
                <w:highlight w:val="none"/>
              </w:rPr>
              <w:t>打印查询结果提供资格审查，如相关记录信息已失效，</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必须提供由该记录信息的执行或列入单位出具的相关证明材料。</w:t>
            </w:r>
          </w:p>
        </w:tc>
      </w:tr>
      <w:tr w14:paraId="31CB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CDEEEB2">
            <w:pPr>
              <w:snapToGrid w:val="0"/>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7</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25D00E">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关于联合体投标的规定</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C854B9">
            <w:pPr>
              <w:snapToGrid w:val="0"/>
              <w:rPr>
                <w:rFonts w:hint="eastAsia" w:ascii="宋体" w:hAnsi="宋体" w:eastAsia="宋体" w:cs="宋体"/>
                <w:color w:val="auto"/>
                <w:highlight w:val="none"/>
                <w:lang w:eastAsia="zh-CN"/>
              </w:rPr>
            </w:pPr>
            <w:r>
              <w:rPr>
                <w:rFonts w:hint="eastAsia" w:ascii="宋体" w:hAnsi="宋体" w:eastAsia="宋体" w:cs="宋体"/>
                <w:color w:val="000000"/>
                <w:highlight w:val="none"/>
              </w:rPr>
              <w:t>不接受联合体投标时审查</w:t>
            </w:r>
            <w:r>
              <w:rPr>
                <w:rFonts w:hint="eastAsia" w:ascii="宋体" w:hAnsi="宋体" w:eastAsia="宋体" w:cs="宋体"/>
                <w:color w:val="000000"/>
                <w:highlight w:val="none"/>
                <w:lang w:eastAsia="zh-CN"/>
              </w:rPr>
              <w:t>投标人</w:t>
            </w:r>
            <w:r>
              <w:rPr>
                <w:rFonts w:hint="eastAsia" w:ascii="宋体" w:hAnsi="宋体" w:eastAsia="宋体" w:cs="宋体"/>
                <w:color w:val="000000"/>
                <w:highlight w:val="none"/>
              </w:rPr>
              <w:t>是否组成联合体投标</w:t>
            </w:r>
            <w:r>
              <w:rPr>
                <w:rFonts w:hint="eastAsia" w:ascii="宋体" w:hAnsi="宋体" w:eastAsia="宋体" w:cs="宋体"/>
                <w:color w:val="000000"/>
                <w:highlight w:val="none"/>
                <w:lang w:eastAsia="zh-CN"/>
              </w:rPr>
              <w:t>。</w:t>
            </w:r>
          </w:p>
        </w:tc>
      </w:tr>
      <w:tr w14:paraId="033F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594DA37">
            <w:pPr>
              <w:snapToGrid w:val="0"/>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8</w:t>
            </w: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BF6CCC">
            <w:pPr>
              <w:snapToGrid w:val="0"/>
              <w:jc w:val="center"/>
              <w:rPr>
                <w:rFonts w:hint="eastAsia" w:ascii="宋体" w:hAnsi="宋体" w:eastAsia="宋体" w:cs="宋体"/>
                <w:color w:val="auto"/>
                <w:highlight w:val="none"/>
              </w:rPr>
            </w:pPr>
            <w:r>
              <w:rPr>
                <w:rFonts w:hint="eastAsia" w:ascii="宋体" w:hAnsi="宋体" w:eastAsia="宋体" w:cs="宋体"/>
                <w:color w:val="auto"/>
                <w:szCs w:val="21"/>
                <w:highlight w:val="none"/>
              </w:rPr>
              <w:t>其它资格证明文件</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91D4BA">
            <w:pPr>
              <w:snapToGrid w:val="0"/>
              <w:rPr>
                <w:rFonts w:hint="eastAsia" w:ascii="宋体" w:hAnsi="宋体" w:eastAsia="宋体" w:cs="宋体"/>
                <w:color w:val="auto"/>
                <w:highlight w:val="none"/>
              </w:rPr>
            </w:pPr>
            <w:r>
              <w:rPr>
                <w:rFonts w:hint="eastAsia" w:ascii="宋体" w:hAnsi="宋体" w:eastAsia="宋体" w:cs="宋体"/>
                <w:color w:val="auto"/>
                <w:highlight w:val="none"/>
              </w:rPr>
              <w:t>按《招标文件》招标公告中</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资格中其他资格证明文件的要求提供证明文件。</w:t>
            </w:r>
          </w:p>
        </w:tc>
      </w:tr>
      <w:tr w14:paraId="6F9E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E653FC">
            <w:pPr>
              <w:snapToGrid w:val="0"/>
              <w:jc w:val="center"/>
              <w:rPr>
                <w:rFonts w:hint="eastAsia" w:ascii="宋体" w:hAnsi="宋体" w:eastAsia="宋体" w:cs="宋体"/>
                <w:color w:val="auto"/>
                <w:highlight w:val="none"/>
              </w:rPr>
            </w:pPr>
          </w:p>
        </w:tc>
        <w:tc>
          <w:tcPr>
            <w:tcW w:w="23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915A57">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5349"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3E32DA9">
            <w:pPr>
              <w:pStyle w:val="4"/>
              <w:adjustRightInd w:val="0"/>
              <w:snapToGrid w:val="0"/>
              <w:spacing w:before="0" w:after="0" w:line="240" w:lineRule="auto"/>
              <w:rPr>
                <w:rFonts w:hint="eastAsia" w:ascii="宋体" w:hAnsi="宋体" w:eastAsia="宋体" w:cs="宋体"/>
                <w:color w:val="auto"/>
                <w:sz w:val="21"/>
                <w:szCs w:val="21"/>
                <w:highlight w:val="none"/>
              </w:rPr>
            </w:pPr>
          </w:p>
        </w:tc>
      </w:tr>
    </w:tbl>
    <w:p w14:paraId="6093E3AB">
      <w:pPr>
        <w:snapToGrid w:val="0"/>
        <w:spacing w:line="24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注：1、此表内容应当与《招标文件》招标公告中</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资格的内容一致，如有不一致，应当以《招标文件》招标公告中</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资格的内容为准。</w:t>
      </w:r>
    </w:p>
    <w:p w14:paraId="4CDADEA7">
      <w:pPr>
        <w:pStyle w:val="16"/>
        <w:widowControl w:val="0"/>
        <w:snapToGrid w:val="0"/>
        <w:spacing w:before="0" w:beforeAutospacing="0" w:after="0" w:afterAutospacing="0" w:line="240" w:lineRule="auto"/>
        <w:ind w:firstLine="420" w:firstLineChars="200"/>
        <w:jc w:val="both"/>
        <w:rPr>
          <w:rFonts w:hint="eastAsia" w:ascii="宋体" w:hAnsi="宋体" w:eastAsia="宋体" w:cs="宋体"/>
          <w:b/>
          <w:color w:val="auto"/>
          <w:kern w:val="2"/>
          <w:sz w:val="28"/>
          <w:szCs w:val="24"/>
          <w:highlight w:val="none"/>
          <w:lang w:val="en-US" w:eastAsia="zh-CN" w:bidi="ar-SA"/>
        </w:rPr>
      </w:pPr>
      <w:r>
        <w:rPr>
          <w:rFonts w:hint="eastAsia"/>
          <w:color w:val="auto"/>
          <w:kern w:val="2"/>
          <w:sz w:val="21"/>
          <w:highlight w:val="none"/>
        </w:rPr>
        <w:t>2、接受联合体投标时，组成联合体的各方均需提供上述资格证明文件。</w:t>
      </w:r>
      <w:r>
        <w:rPr>
          <w:rFonts w:hint="eastAsia"/>
          <w:b/>
          <w:color w:val="auto"/>
          <w:sz w:val="21"/>
          <w:szCs w:val="21"/>
          <w:highlight w:val="none"/>
        </w:rPr>
        <w:br w:type="page"/>
      </w:r>
      <w:r>
        <w:rPr>
          <w:rFonts w:hint="eastAsia" w:ascii="宋体" w:hAnsi="宋体" w:eastAsia="宋体" w:cs="宋体"/>
          <w:b/>
          <w:color w:val="auto"/>
          <w:kern w:val="2"/>
          <w:sz w:val="28"/>
          <w:szCs w:val="24"/>
          <w:highlight w:val="none"/>
          <w:lang w:val="en-US" w:eastAsia="zh-CN" w:bidi="ar-SA"/>
        </w:rPr>
        <w:t>附件2                  符合性审查表</w:t>
      </w:r>
    </w:p>
    <w:tbl>
      <w:tblPr>
        <w:tblStyle w:val="17"/>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2342"/>
        <w:gridCol w:w="5341"/>
      </w:tblGrid>
      <w:tr w14:paraId="5BA8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4A80BD">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2342"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DB702F">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审查内容</w:t>
            </w:r>
          </w:p>
        </w:tc>
        <w:tc>
          <w:tcPr>
            <w:tcW w:w="5341"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E1AAA7">
            <w:pPr>
              <w:snapToGrid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审查标准</w:t>
            </w:r>
          </w:p>
        </w:tc>
      </w:tr>
      <w:tr w14:paraId="0E8A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2896BC">
            <w:pPr>
              <w:pStyle w:val="4"/>
              <w:adjustRightInd w:val="0"/>
              <w:snapToGrid w:val="0"/>
              <w:spacing w:before="0" w:after="0" w:line="240" w:lineRule="auto"/>
              <w:rPr>
                <w:rFonts w:hint="eastAsia" w:ascii="宋体" w:hAnsi="宋体" w:eastAsia="宋体" w:cs="宋体"/>
                <w:color w:val="auto"/>
                <w:highlight w:val="none"/>
              </w:rPr>
            </w:pPr>
          </w:p>
        </w:tc>
        <w:tc>
          <w:tcPr>
            <w:tcW w:w="2342"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7792F1">
            <w:pPr>
              <w:pStyle w:val="4"/>
              <w:adjustRightInd w:val="0"/>
              <w:snapToGrid w:val="0"/>
              <w:spacing w:before="0" w:after="0" w:line="240" w:lineRule="auto"/>
              <w:rPr>
                <w:rFonts w:hint="eastAsia" w:ascii="宋体" w:hAnsi="宋体" w:eastAsia="宋体" w:cs="宋体"/>
                <w:color w:val="auto"/>
                <w:sz w:val="21"/>
                <w:szCs w:val="21"/>
                <w:highlight w:val="none"/>
              </w:rPr>
            </w:pPr>
          </w:p>
        </w:tc>
        <w:tc>
          <w:tcPr>
            <w:tcW w:w="5341"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3F060B">
            <w:pPr>
              <w:pStyle w:val="4"/>
              <w:adjustRightInd w:val="0"/>
              <w:snapToGrid w:val="0"/>
              <w:spacing w:before="0" w:after="0" w:line="240" w:lineRule="auto"/>
              <w:rPr>
                <w:rFonts w:hint="eastAsia" w:ascii="宋体" w:hAnsi="宋体" w:eastAsia="宋体" w:cs="宋体"/>
                <w:color w:val="auto"/>
                <w:sz w:val="21"/>
                <w:szCs w:val="21"/>
                <w:highlight w:val="none"/>
              </w:rPr>
            </w:pPr>
          </w:p>
        </w:tc>
      </w:tr>
      <w:tr w14:paraId="7B42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A48C2A">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79A6C5">
            <w:pPr>
              <w:snapToGrid w:val="0"/>
              <w:jc w:val="center"/>
              <w:rPr>
                <w:rFonts w:ascii="宋体" w:hAnsi="宋体" w:eastAsia="宋体" w:cs="宋体"/>
                <w:color w:val="auto"/>
                <w:highlight w:val="none"/>
              </w:rPr>
            </w:pPr>
            <w:r>
              <w:rPr>
                <w:rFonts w:hint="eastAsia" w:ascii="宋体" w:hAnsi="宋体" w:eastAsia="宋体" w:cs="宋体"/>
                <w:color w:val="auto"/>
                <w:highlight w:val="none"/>
              </w:rPr>
              <w:t>投标文件的签署、盖章</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919CDE">
            <w:pPr>
              <w:snapToGrid w:val="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按照《招标文件》中的《投标文件格式范本》编制投标文件，并按规定要求签署、盖章</w:t>
            </w:r>
            <w:r>
              <w:rPr>
                <w:rFonts w:hint="eastAsia" w:ascii="宋体" w:hAnsi="宋体" w:eastAsia="宋体" w:cs="宋体"/>
                <w:color w:val="auto"/>
                <w:highlight w:val="none"/>
                <w:lang w:eastAsia="zh-CN"/>
              </w:rPr>
              <w:t>。</w:t>
            </w:r>
          </w:p>
        </w:tc>
      </w:tr>
      <w:tr w14:paraId="77A1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2241A4">
            <w:pPr>
              <w:widowControl/>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C7D4C4">
            <w:pPr>
              <w:snapToGrid w:val="0"/>
              <w:jc w:val="center"/>
              <w:rPr>
                <w:rFonts w:ascii="宋体" w:hAnsi="宋体" w:eastAsia="宋体" w:cs="宋体"/>
                <w:color w:val="auto"/>
                <w:highlight w:val="none"/>
              </w:rPr>
            </w:pPr>
            <w:r>
              <w:rPr>
                <w:rFonts w:hint="eastAsia" w:ascii="宋体" w:hAnsi="宋体" w:eastAsia="宋体" w:cs="宋体"/>
                <w:color w:val="auto"/>
                <w:highlight w:val="none"/>
              </w:rPr>
              <w:t>投标保证金</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650E647">
            <w:pPr>
              <w:snapToGrid w:val="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按《招标文件》的规定提交投标保证金</w:t>
            </w:r>
            <w:r>
              <w:rPr>
                <w:rFonts w:hint="eastAsia" w:ascii="宋体" w:hAnsi="宋体" w:eastAsia="宋体" w:cs="宋体"/>
                <w:color w:val="auto"/>
                <w:highlight w:val="none"/>
                <w:lang w:eastAsia="zh-CN"/>
              </w:rPr>
              <w:t>。</w:t>
            </w:r>
          </w:p>
        </w:tc>
      </w:tr>
      <w:tr w14:paraId="3300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5F00379">
            <w:pPr>
              <w:widowControl/>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56DD84">
            <w:pPr>
              <w:snapToGrid w:val="0"/>
              <w:jc w:val="center"/>
              <w:rPr>
                <w:rFonts w:ascii="宋体" w:hAnsi="宋体" w:eastAsia="宋体" w:cs="宋体"/>
                <w:color w:val="auto"/>
                <w:highlight w:val="none"/>
              </w:rPr>
            </w:pPr>
            <w:r>
              <w:rPr>
                <w:rFonts w:hint="eastAsia" w:ascii="宋体" w:hAnsi="宋体" w:eastAsia="宋体" w:cs="宋体"/>
                <w:color w:val="auto"/>
                <w:highlight w:val="none"/>
              </w:rPr>
              <w:t>★实质性响应条款</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97F87A">
            <w:pPr>
              <w:snapToGrid w:val="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《投标文件》满足《招标文件》中实质性响应条款（即标注★号条款）</w:t>
            </w:r>
            <w:r>
              <w:rPr>
                <w:rFonts w:hint="eastAsia" w:ascii="宋体" w:hAnsi="宋体" w:eastAsia="宋体" w:cs="宋体"/>
                <w:color w:val="auto"/>
                <w:highlight w:val="none"/>
                <w:lang w:eastAsia="zh-CN"/>
              </w:rPr>
              <w:t>。</w:t>
            </w:r>
          </w:p>
        </w:tc>
      </w:tr>
      <w:tr w14:paraId="5126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9EAE8A0">
            <w:pPr>
              <w:widowControl/>
              <w:snapToGrid w:val="0"/>
              <w:jc w:val="center"/>
              <w:rPr>
                <w:rFonts w:hint="eastAsia" w:ascii="宋体" w:hAnsi="宋体" w:eastAsia="宋体" w:cs="宋体"/>
                <w:color w:val="auto"/>
                <w:highlight w:val="none"/>
              </w:rPr>
            </w:pPr>
            <w:r>
              <w:rPr>
                <w:rFonts w:hint="eastAsia" w:ascii="宋体" w:hAnsi="宋体" w:eastAsia="宋体" w:cs="宋体"/>
                <w:color w:val="auto"/>
                <w:szCs w:val="21"/>
                <w:highlight w:val="none"/>
              </w:rPr>
              <w:t>4</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059CDB">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投标文件有效期</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65AED4">
            <w:pPr>
              <w:snapToGrid w:val="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符合招标文件中关于投标文件有效期的要求</w:t>
            </w:r>
            <w:r>
              <w:rPr>
                <w:rFonts w:hint="eastAsia" w:ascii="宋体" w:hAnsi="宋体" w:eastAsia="宋体" w:cs="宋体"/>
                <w:color w:val="auto"/>
                <w:highlight w:val="none"/>
                <w:lang w:eastAsia="zh-CN"/>
              </w:rPr>
              <w:t>。</w:t>
            </w:r>
          </w:p>
        </w:tc>
      </w:tr>
      <w:tr w14:paraId="6B67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032E4D6">
            <w:pPr>
              <w:widowControl/>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5F92F1F">
            <w:pPr>
              <w:snapToGrid w:val="0"/>
              <w:jc w:val="center"/>
              <w:rPr>
                <w:rFonts w:ascii="宋体" w:hAnsi="宋体" w:eastAsia="宋体" w:cs="宋体"/>
                <w:color w:val="auto"/>
                <w:highlight w:val="none"/>
              </w:rPr>
            </w:pPr>
            <w:r>
              <w:rPr>
                <w:rFonts w:hint="eastAsia" w:ascii="宋体" w:hAnsi="宋体" w:eastAsia="宋体" w:cs="宋体"/>
                <w:color w:val="auto"/>
                <w:highlight w:val="none"/>
              </w:rPr>
              <w:t>未出现串通投标情形</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C72E08">
            <w:pPr>
              <w:snapToGrid w:val="0"/>
              <w:jc w:val="left"/>
              <w:rPr>
                <w:rFonts w:ascii="宋体" w:hAnsi="宋体" w:eastAsia="宋体" w:cs="宋体"/>
                <w:color w:val="auto"/>
                <w:highlight w:val="none"/>
              </w:rPr>
            </w:pPr>
            <w:r>
              <w:rPr>
                <w:rFonts w:hint="eastAsia" w:ascii="宋体" w:hAnsi="宋体" w:eastAsia="宋体" w:cs="宋体"/>
                <w:color w:val="auto"/>
                <w:highlight w:val="none"/>
              </w:rPr>
              <w:t>未出现法律、法规所列的视为串通投标情形。</w:t>
            </w:r>
          </w:p>
        </w:tc>
      </w:tr>
      <w:tr w14:paraId="7CB6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891897">
            <w:pPr>
              <w:widowControl/>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71AF42">
            <w:pPr>
              <w:snapToGrid w:val="0"/>
              <w:jc w:val="center"/>
              <w:rPr>
                <w:rFonts w:ascii="宋体" w:hAnsi="宋体" w:eastAsia="宋体" w:cs="宋体"/>
                <w:color w:val="auto"/>
                <w:highlight w:val="none"/>
              </w:rPr>
            </w:pPr>
            <w:r>
              <w:rPr>
                <w:rFonts w:hint="eastAsia" w:ascii="宋体" w:hAnsi="宋体" w:eastAsia="宋体" w:cs="宋体"/>
                <w:color w:val="auto"/>
                <w:highlight w:val="none"/>
              </w:rPr>
              <w:t>其他投标无效情形</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6CE671">
            <w:pPr>
              <w:snapToGrid w:val="0"/>
              <w:jc w:val="left"/>
              <w:rPr>
                <w:rFonts w:hint="eastAsia" w:ascii="宋体" w:hAnsi="宋体" w:eastAsia="宋体" w:cs="宋体"/>
                <w:color w:val="auto"/>
                <w:highlight w:val="none"/>
              </w:rPr>
            </w:pPr>
            <w:r>
              <w:rPr>
                <w:rFonts w:hint="eastAsia" w:ascii="宋体" w:hAnsi="宋体" w:eastAsia="宋体" w:cs="宋体"/>
                <w:color w:val="auto"/>
                <w:highlight w:val="none"/>
              </w:rPr>
              <w:t>①投标文件含有</w:t>
            </w:r>
            <w:r>
              <w:rPr>
                <w:rFonts w:hint="eastAsia" w:ascii="宋体" w:hAnsi="宋体" w:eastAsia="宋体" w:cs="宋体"/>
                <w:color w:val="auto"/>
                <w:highlight w:val="none"/>
                <w:lang w:eastAsia="zh-CN"/>
              </w:rPr>
              <w:t>招标人</w:t>
            </w:r>
            <w:r>
              <w:rPr>
                <w:rFonts w:hint="eastAsia" w:ascii="宋体" w:hAnsi="宋体" w:eastAsia="宋体" w:cs="宋体"/>
                <w:color w:val="auto"/>
                <w:highlight w:val="none"/>
              </w:rPr>
              <w:t>不能接受的附加条件的；</w:t>
            </w:r>
          </w:p>
          <w:p w14:paraId="059F38C1">
            <w:pPr>
              <w:snapToGrid w:val="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②属于法律、法规和招标文件规定的其他投标无效情形</w:t>
            </w:r>
            <w:r>
              <w:rPr>
                <w:rFonts w:hint="eastAsia" w:ascii="宋体" w:hAnsi="宋体" w:eastAsia="宋体" w:cs="宋体"/>
                <w:color w:val="auto"/>
                <w:highlight w:val="none"/>
                <w:lang w:eastAsia="zh-CN"/>
              </w:rPr>
              <w:t>。</w:t>
            </w:r>
          </w:p>
        </w:tc>
      </w:tr>
      <w:tr w14:paraId="13A7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8B8D43">
            <w:pPr>
              <w:snapToGrid w:val="0"/>
              <w:jc w:val="center"/>
              <w:rPr>
                <w:rFonts w:hint="eastAsia" w:ascii="宋体" w:hAnsi="宋体" w:eastAsia="宋体" w:cs="宋体"/>
                <w:color w:val="auto"/>
                <w:highlight w:val="none"/>
              </w:rPr>
            </w:pPr>
          </w:p>
        </w:tc>
        <w:tc>
          <w:tcPr>
            <w:tcW w:w="234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3C61BD">
            <w:pPr>
              <w:snapToGrid w:val="0"/>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5341"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BF3BB33">
            <w:pPr>
              <w:pStyle w:val="4"/>
              <w:adjustRightInd w:val="0"/>
              <w:snapToGrid w:val="0"/>
              <w:spacing w:before="0" w:after="0" w:line="240" w:lineRule="auto"/>
              <w:rPr>
                <w:rFonts w:hint="eastAsia" w:ascii="宋体" w:hAnsi="宋体" w:eastAsia="宋体" w:cs="宋体"/>
                <w:color w:val="auto"/>
                <w:sz w:val="21"/>
                <w:szCs w:val="21"/>
                <w:highlight w:val="none"/>
              </w:rPr>
            </w:pPr>
          </w:p>
        </w:tc>
      </w:tr>
    </w:tbl>
    <w:p w14:paraId="095DB687">
      <w:pPr>
        <w:pStyle w:val="16"/>
        <w:widowControl w:val="0"/>
        <w:snapToGrid w:val="0"/>
        <w:spacing w:before="0" w:beforeAutospacing="0" w:after="0" w:afterAutospacing="0"/>
        <w:ind w:left="5903" w:hanging="5903" w:hangingChars="2800"/>
        <w:rPr>
          <w:rFonts w:hint="eastAsia"/>
          <w:b/>
          <w:color w:val="auto"/>
          <w:sz w:val="21"/>
          <w:szCs w:val="21"/>
          <w:highlight w:val="none"/>
        </w:rPr>
      </w:pPr>
    </w:p>
    <w:p w14:paraId="1F5BCCA8">
      <w:pPr>
        <w:pStyle w:val="16"/>
        <w:widowControl w:val="0"/>
        <w:snapToGrid w:val="0"/>
        <w:spacing w:before="0" w:beforeAutospacing="0" w:after="0" w:afterAutospacing="0"/>
        <w:ind w:left="5903" w:hanging="7871" w:hangingChars="2800"/>
        <w:rPr>
          <w:rFonts w:hint="eastAsia"/>
          <w:b/>
          <w:color w:val="auto"/>
          <w:sz w:val="28"/>
          <w:szCs w:val="28"/>
          <w:highlight w:val="none"/>
        </w:rPr>
      </w:pPr>
      <w:r>
        <w:rPr>
          <w:rFonts w:hint="eastAsia"/>
          <w:b/>
          <w:color w:val="auto"/>
          <w:sz w:val="28"/>
          <w:szCs w:val="28"/>
          <w:highlight w:val="none"/>
        </w:rPr>
        <w:br w:type="page"/>
      </w:r>
    </w:p>
    <w:p w14:paraId="5AD7BA2A">
      <w:pPr>
        <w:pStyle w:val="4"/>
        <w:adjustRightInd w:val="0"/>
        <w:snapToGrid w:val="0"/>
        <w:spacing w:before="0" w:after="0" w:line="240" w:lineRule="auto"/>
        <w:jc w:val="left"/>
        <w:rPr>
          <w:rFonts w:hint="eastAsia" w:ascii="宋体" w:hAnsi="宋体" w:eastAsia="宋体" w:cs="宋体"/>
          <w:color w:val="auto"/>
          <w:sz w:val="32"/>
          <w:szCs w:val="32"/>
          <w:highlight w:val="none"/>
        </w:rPr>
      </w:pPr>
      <w:r>
        <w:rPr>
          <w:rFonts w:hint="eastAsia" w:ascii="宋体" w:hAnsi="宋体" w:eastAsia="宋体" w:cs="宋体"/>
          <w:color w:val="auto"/>
          <w:szCs w:val="28"/>
          <w:highlight w:val="none"/>
        </w:rPr>
        <w:t xml:space="preserve">附件3                   </w:t>
      </w:r>
      <w:r>
        <w:rPr>
          <w:rFonts w:hint="eastAsia" w:ascii="宋体" w:hAnsi="宋体" w:eastAsia="宋体" w:cs="宋体"/>
          <w:color w:val="auto"/>
          <w:sz w:val="32"/>
          <w:szCs w:val="32"/>
          <w:highlight w:val="none"/>
        </w:rPr>
        <w:t xml:space="preserve"> 评分细则</w:t>
      </w:r>
    </w:p>
    <w:tbl>
      <w:tblPr>
        <w:tblStyle w:val="17"/>
        <w:tblpPr w:leftFromText="180" w:rightFromText="180" w:vertAnchor="text" w:horzAnchor="margin" w:tblpY="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279"/>
        <w:gridCol w:w="5218"/>
        <w:gridCol w:w="896"/>
      </w:tblGrid>
      <w:tr w14:paraId="44C2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tcBorders>
              <w:top w:val="single" w:color="auto" w:sz="4" w:space="0"/>
              <w:left w:val="single" w:color="auto" w:sz="4" w:space="0"/>
              <w:bottom w:val="single" w:color="auto" w:sz="4" w:space="0"/>
              <w:right w:val="single" w:color="auto" w:sz="4" w:space="0"/>
            </w:tcBorders>
            <w:noWrap w:val="0"/>
            <w:vAlign w:val="center"/>
          </w:tcPr>
          <w:p w14:paraId="3BC1A042">
            <w:pPr>
              <w:pStyle w:val="16"/>
              <w:snapToGrid w:val="0"/>
              <w:jc w:val="center"/>
              <w:rPr>
                <w:rFonts w:hint="eastAsia"/>
                <w:kern w:val="2"/>
                <w:sz w:val="21"/>
                <w:szCs w:val="21"/>
              </w:rPr>
            </w:pPr>
            <w:r>
              <w:rPr>
                <w:rFonts w:hint="eastAsia"/>
                <w:kern w:val="2"/>
                <w:sz w:val="21"/>
                <w:szCs w:val="21"/>
              </w:rPr>
              <w:t>项目</w:t>
            </w:r>
          </w:p>
        </w:tc>
        <w:tc>
          <w:tcPr>
            <w:tcW w:w="751" w:type="pct"/>
            <w:tcBorders>
              <w:top w:val="single" w:color="auto" w:sz="4" w:space="0"/>
              <w:left w:val="single" w:color="auto" w:sz="4" w:space="0"/>
              <w:bottom w:val="single" w:color="auto" w:sz="4" w:space="0"/>
              <w:right w:val="single" w:color="auto" w:sz="4" w:space="0"/>
            </w:tcBorders>
            <w:noWrap w:val="0"/>
            <w:vAlign w:val="center"/>
          </w:tcPr>
          <w:p w14:paraId="5F693AC3">
            <w:pPr>
              <w:pStyle w:val="16"/>
              <w:snapToGrid w:val="0"/>
              <w:jc w:val="center"/>
              <w:rPr>
                <w:rFonts w:hint="eastAsia"/>
                <w:kern w:val="2"/>
                <w:sz w:val="21"/>
                <w:szCs w:val="21"/>
              </w:rPr>
            </w:pPr>
            <w:r>
              <w:rPr>
                <w:rFonts w:hint="eastAsia"/>
                <w:kern w:val="2"/>
                <w:sz w:val="21"/>
                <w:szCs w:val="21"/>
              </w:rPr>
              <w:t>分项名称</w:t>
            </w:r>
          </w:p>
        </w:tc>
        <w:tc>
          <w:tcPr>
            <w:tcW w:w="3064" w:type="pct"/>
            <w:tcBorders>
              <w:top w:val="single" w:color="auto" w:sz="4" w:space="0"/>
              <w:left w:val="single" w:color="auto" w:sz="4" w:space="0"/>
              <w:bottom w:val="single" w:color="auto" w:sz="4" w:space="0"/>
              <w:right w:val="single" w:color="auto" w:sz="4" w:space="0"/>
            </w:tcBorders>
            <w:noWrap w:val="0"/>
            <w:vAlign w:val="center"/>
          </w:tcPr>
          <w:p w14:paraId="7472A978">
            <w:pPr>
              <w:pStyle w:val="16"/>
              <w:snapToGrid w:val="0"/>
              <w:jc w:val="center"/>
              <w:rPr>
                <w:rFonts w:hint="eastAsia"/>
                <w:kern w:val="2"/>
                <w:sz w:val="21"/>
                <w:szCs w:val="21"/>
              </w:rPr>
            </w:pPr>
            <w:r>
              <w:rPr>
                <w:rFonts w:hint="eastAsia"/>
                <w:kern w:val="2"/>
                <w:sz w:val="21"/>
                <w:szCs w:val="21"/>
              </w:rPr>
              <w:t>评分标准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2534A677">
            <w:pPr>
              <w:pStyle w:val="16"/>
              <w:snapToGrid w:val="0"/>
              <w:jc w:val="center"/>
              <w:rPr>
                <w:rFonts w:hint="eastAsia"/>
                <w:kern w:val="2"/>
                <w:sz w:val="21"/>
                <w:szCs w:val="21"/>
              </w:rPr>
            </w:pPr>
            <w:r>
              <w:rPr>
                <w:rFonts w:hint="eastAsia"/>
                <w:kern w:val="2"/>
                <w:sz w:val="21"/>
                <w:szCs w:val="21"/>
              </w:rPr>
              <w:t>满分</w:t>
            </w:r>
          </w:p>
        </w:tc>
      </w:tr>
      <w:tr w14:paraId="0972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8" w:hRule="atLeast"/>
        </w:trPr>
        <w:tc>
          <w:tcPr>
            <w:tcW w:w="657" w:type="pct"/>
            <w:tcBorders>
              <w:top w:val="single" w:color="auto" w:sz="4" w:space="0"/>
              <w:left w:val="single" w:color="auto" w:sz="4" w:space="0"/>
              <w:bottom w:val="single" w:color="auto" w:sz="4" w:space="0"/>
              <w:right w:val="single" w:color="auto" w:sz="4" w:space="0"/>
            </w:tcBorders>
            <w:noWrap w:val="0"/>
            <w:vAlign w:val="center"/>
          </w:tcPr>
          <w:p w14:paraId="06B73F4B">
            <w:pPr>
              <w:pStyle w:val="16"/>
              <w:snapToGrid w:val="0"/>
              <w:jc w:val="center"/>
              <w:rPr>
                <w:rFonts w:hint="eastAsia"/>
                <w:kern w:val="2"/>
                <w:sz w:val="21"/>
                <w:szCs w:val="21"/>
              </w:rPr>
            </w:pPr>
            <w:r>
              <w:rPr>
                <w:rFonts w:hint="eastAsia"/>
                <w:kern w:val="2"/>
                <w:sz w:val="21"/>
                <w:szCs w:val="21"/>
              </w:rPr>
              <w:t>价格部分</w:t>
            </w:r>
          </w:p>
          <w:p w14:paraId="509090C3">
            <w:pPr>
              <w:pStyle w:val="16"/>
              <w:snapToGrid w:val="0"/>
              <w:jc w:val="center"/>
              <w:rPr>
                <w:rFonts w:hint="eastAsia"/>
                <w:kern w:val="2"/>
                <w:sz w:val="21"/>
                <w:szCs w:val="21"/>
              </w:rPr>
            </w:pPr>
            <w:r>
              <w:rPr>
                <w:rFonts w:hint="eastAsia"/>
                <w:kern w:val="2"/>
                <w:sz w:val="21"/>
                <w:szCs w:val="21"/>
              </w:rPr>
              <w:t>（</w:t>
            </w:r>
            <w:r>
              <w:rPr>
                <w:rFonts w:hint="eastAsia"/>
                <w:kern w:val="2"/>
                <w:sz w:val="21"/>
                <w:szCs w:val="21"/>
                <w:lang w:val="en-US" w:eastAsia="zh-CN"/>
              </w:rPr>
              <w:t>25</w:t>
            </w:r>
            <w:r>
              <w:rPr>
                <w:rFonts w:hint="eastAsia"/>
                <w:kern w:val="2"/>
                <w:sz w:val="21"/>
                <w:szCs w:val="21"/>
              </w:rPr>
              <w:t>分）</w:t>
            </w:r>
          </w:p>
        </w:tc>
        <w:tc>
          <w:tcPr>
            <w:tcW w:w="751" w:type="pct"/>
            <w:tcBorders>
              <w:top w:val="single" w:color="auto" w:sz="4" w:space="0"/>
              <w:left w:val="single" w:color="auto" w:sz="4" w:space="0"/>
              <w:bottom w:val="single" w:color="auto" w:sz="4" w:space="0"/>
              <w:right w:val="single" w:color="auto" w:sz="4" w:space="0"/>
            </w:tcBorders>
            <w:noWrap w:val="0"/>
            <w:vAlign w:val="center"/>
          </w:tcPr>
          <w:p w14:paraId="2E23EBA3">
            <w:pPr>
              <w:jc w:val="center"/>
              <w:rPr>
                <w:rFonts w:hint="eastAsia" w:ascii="宋体" w:hAnsi="宋体" w:eastAsia="宋体" w:cs="宋体"/>
                <w:szCs w:val="21"/>
              </w:rPr>
            </w:pPr>
            <w:r>
              <w:rPr>
                <w:rFonts w:hint="eastAsia" w:ascii="宋体" w:hAnsi="宋体" w:eastAsia="宋体" w:cs="宋体"/>
                <w:kern w:val="0"/>
                <w:szCs w:val="21"/>
              </w:rPr>
              <w:t>价格评审</w:t>
            </w:r>
          </w:p>
        </w:tc>
        <w:tc>
          <w:tcPr>
            <w:tcW w:w="3064" w:type="pct"/>
            <w:tcBorders>
              <w:top w:val="single" w:color="auto" w:sz="4" w:space="0"/>
              <w:left w:val="single" w:color="auto" w:sz="4" w:space="0"/>
              <w:bottom w:val="single" w:color="auto" w:sz="4" w:space="0"/>
              <w:right w:val="single" w:color="auto" w:sz="4" w:space="0"/>
            </w:tcBorders>
            <w:noWrap w:val="0"/>
            <w:vAlign w:val="center"/>
          </w:tcPr>
          <w:p w14:paraId="57E748B6">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rPr>
              <w:t>1.投标报价错误的处理原则：</w:t>
            </w:r>
          </w:p>
          <w:p w14:paraId="6736FC89">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rPr>
              <w:t>1）投标文件中开标一览表（报价表）内容与投标文件中相应内容不一致的，以开标一览表（报价表）为准；大写金额和小写金额不一致的，以大写金额为准；单价金额小数点或者百分比有明显错位的，以开标一览表的总价为准，并修改单价；总价金额与按单价汇总金额不一致的，以单价金额计算结果为准。同时出现上述两种以上不一致的，按照前款规定的顺序修正。</w:t>
            </w:r>
          </w:p>
          <w:p w14:paraId="63E374C3">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rPr>
              <w:t>） 以上修正后的报价应当经投标人采用书面形式，并加盖公章，或者由法定代表人或其授权的代表签字确认，并对投标人产生约束力，投标人不确认的，其投标无效。</w:t>
            </w:r>
          </w:p>
          <w:p w14:paraId="09FC31EE">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rPr>
              <w:t>.评标价的确定：按上述条款的原则校核修正后的价格为评标价。</w:t>
            </w:r>
          </w:p>
          <w:p w14:paraId="3591EE7C">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lang w:val="en-US" w:eastAsia="zh-CN"/>
              </w:rPr>
              <w:t>3</w:t>
            </w:r>
            <w:r>
              <w:rPr>
                <w:rFonts w:hint="eastAsia" w:ascii="宋体" w:hAnsi="宋体" w:eastAsia="宋体" w:cs="宋体"/>
                <w:kern w:val="0"/>
                <w:szCs w:val="21"/>
              </w:rPr>
              <w:t>.计算价格评分：各有效投标人的评标价中，取最高报价作为基准价，各有效投标人的价格评分统一按照下列公式计算：</w:t>
            </w:r>
          </w:p>
          <w:p w14:paraId="0E04BA50">
            <w:pPr>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kern w:val="0"/>
                <w:szCs w:val="21"/>
              </w:rPr>
            </w:pPr>
            <w:r>
              <w:rPr>
                <w:rFonts w:hint="eastAsia" w:ascii="宋体" w:hAnsi="宋体" w:eastAsia="宋体" w:cs="宋体"/>
                <w:kern w:val="0"/>
                <w:szCs w:val="21"/>
              </w:rPr>
              <w:t>价格评分＝（评标价÷基准价）×价格分权重。</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66422D77">
            <w:pPr>
              <w:pStyle w:val="16"/>
              <w:snapToGrid w:val="0"/>
              <w:jc w:val="center"/>
              <w:rPr>
                <w:rFonts w:hint="default" w:eastAsia="宋体"/>
                <w:kern w:val="2"/>
                <w:sz w:val="21"/>
                <w:szCs w:val="21"/>
                <w:lang w:val="en-US" w:eastAsia="zh-CN"/>
              </w:rPr>
            </w:pPr>
            <w:r>
              <w:rPr>
                <w:rFonts w:hint="eastAsia"/>
                <w:kern w:val="2"/>
                <w:sz w:val="21"/>
                <w:szCs w:val="21"/>
                <w:lang w:val="en-US" w:eastAsia="zh-CN"/>
              </w:rPr>
              <w:t>25</w:t>
            </w:r>
          </w:p>
        </w:tc>
      </w:tr>
      <w:tr w14:paraId="09A8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restart"/>
            <w:tcBorders>
              <w:top w:val="single" w:color="auto" w:sz="4" w:space="0"/>
              <w:left w:val="single" w:color="auto" w:sz="4" w:space="0"/>
              <w:right w:val="single" w:color="auto" w:sz="4" w:space="0"/>
            </w:tcBorders>
            <w:noWrap w:val="0"/>
            <w:vAlign w:val="center"/>
          </w:tcPr>
          <w:p w14:paraId="36E8236F">
            <w:pPr>
              <w:pStyle w:val="16"/>
              <w:snapToGrid w:val="0"/>
              <w:jc w:val="center"/>
              <w:rPr>
                <w:rFonts w:hint="eastAsia"/>
                <w:sz w:val="21"/>
                <w:szCs w:val="21"/>
              </w:rPr>
            </w:pPr>
            <w:r>
              <w:rPr>
                <w:rFonts w:hint="eastAsia"/>
                <w:sz w:val="21"/>
                <w:szCs w:val="21"/>
              </w:rPr>
              <w:t>技术部分</w:t>
            </w:r>
          </w:p>
          <w:p w14:paraId="3652912C">
            <w:pPr>
              <w:pStyle w:val="16"/>
              <w:snapToGrid w:val="0"/>
              <w:jc w:val="center"/>
              <w:rPr>
                <w:rFonts w:hint="eastAsia"/>
                <w:sz w:val="21"/>
                <w:szCs w:val="21"/>
              </w:rPr>
            </w:pPr>
            <w:r>
              <w:rPr>
                <w:rFonts w:hint="eastAsia"/>
                <w:sz w:val="21"/>
                <w:szCs w:val="21"/>
              </w:rPr>
              <w:t>（35分）</w:t>
            </w:r>
          </w:p>
        </w:tc>
        <w:tc>
          <w:tcPr>
            <w:tcW w:w="751" w:type="pct"/>
            <w:tcBorders>
              <w:top w:val="single" w:color="auto" w:sz="4" w:space="0"/>
              <w:left w:val="single" w:color="auto" w:sz="4" w:space="0"/>
              <w:right w:val="single" w:color="auto" w:sz="4" w:space="0"/>
            </w:tcBorders>
            <w:noWrap w:val="0"/>
            <w:vAlign w:val="center"/>
          </w:tcPr>
          <w:p w14:paraId="67CB72A9">
            <w:pPr>
              <w:jc w:val="center"/>
              <w:rPr>
                <w:rFonts w:hint="eastAsia" w:ascii="宋体" w:hAnsi="宋体" w:eastAsia="宋体" w:cs="宋体"/>
                <w:kern w:val="0"/>
                <w:szCs w:val="21"/>
              </w:rPr>
            </w:pPr>
            <w:r>
              <w:rPr>
                <w:rFonts w:hint="eastAsia" w:ascii="宋体" w:hAnsi="宋体" w:eastAsia="宋体" w:cs="宋体"/>
                <w:kern w:val="0"/>
                <w:szCs w:val="21"/>
              </w:rPr>
              <w:t>运营服务方案</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56196258">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ascii="宋体" w:hAnsi="宋体" w:eastAsia="宋体" w:cs="宋体"/>
                <w:kern w:val="0"/>
                <w:szCs w:val="21"/>
              </w:rPr>
            </w:pPr>
            <w:r>
              <w:rPr>
                <w:rFonts w:ascii="宋体" w:hAnsi="宋体" w:eastAsia="宋体" w:cs="宋体"/>
                <w:kern w:val="0"/>
                <w:szCs w:val="21"/>
              </w:rPr>
              <w:t>根据</w:t>
            </w:r>
            <w:r>
              <w:rPr>
                <w:rFonts w:hint="eastAsia" w:ascii="宋体" w:hAnsi="宋体" w:eastAsia="宋体" w:cs="宋体"/>
                <w:kern w:val="0"/>
                <w:szCs w:val="21"/>
              </w:rPr>
              <w:t>投标人</w:t>
            </w:r>
            <w:r>
              <w:rPr>
                <w:rFonts w:ascii="宋体" w:hAnsi="宋体" w:eastAsia="宋体" w:cs="宋体"/>
                <w:kern w:val="0"/>
                <w:szCs w:val="21"/>
              </w:rPr>
              <w:t>提供的服务方案及相关管理制度（</w:t>
            </w:r>
            <w:r>
              <w:rPr>
                <w:rFonts w:hint="eastAsia" w:ascii="宋体" w:hAnsi="宋体" w:eastAsia="宋体" w:cs="宋体"/>
                <w:kern w:val="0"/>
                <w:szCs w:val="21"/>
              </w:rPr>
              <w:t>包括不限于</w:t>
            </w:r>
            <w:r>
              <w:rPr>
                <w:rFonts w:ascii="宋体" w:hAnsi="宋体" w:eastAsia="宋体" w:cs="宋体"/>
                <w:kern w:val="0"/>
                <w:szCs w:val="21"/>
              </w:rPr>
              <w:t>工作流程、</w:t>
            </w:r>
            <w:r>
              <w:rPr>
                <w:rFonts w:hint="eastAsia" w:eastAsia="宋体" w:cs="宋体"/>
                <w:kern w:val="0"/>
                <w:szCs w:val="21"/>
              </w:rPr>
              <w:t>文明服务、</w:t>
            </w:r>
            <w:r>
              <w:rPr>
                <w:rFonts w:ascii="宋体" w:hAnsi="宋体" w:eastAsia="宋体" w:cs="宋体"/>
                <w:kern w:val="0"/>
                <w:szCs w:val="21"/>
              </w:rPr>
              <w:t>服务供给等）进行评审：</w:t>
            </w:r>
          </w:p>
          <w:p w14:paraId="36868F9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w:t>
            </w:r>
            <w:r>
              <w:rPr>
                <w:rFonts w:hint="eastAsia" w:eastAsia="宋体" w:cs="宋体"/>
                <w:kern w:val="0"/>
                <w:szCs w:val="21"/>
              </w:rPr>
              <w:t>提供的服务方案详细合理，</w:t>
            </w:r>
            <w:r>
              <w:rPr>
                <w:rFonts w:hint="eastAsia" w:ascii="宋体" w:hAnsi="宋体" w:eastAsia="宋体" w:cs="宋体"/>
                <w:szCs w:val="21"/>
              </w:rPr>
              <w:t>能满足采购要求的</w:t>
            </w:r>
            <w:r>
              <w:rPr>
                <w:rFonts w:hint="eastAsia" w:ascii="宋体" w:hAnsi="宋体" w:eastAsia="宋体" w:cs="宋体"/>
                <w:szCs w:val="21"/>
                <w:lang w:eastAsia="zh-CN"/>
              </w:rPr>
              <w:t>，</w:t>
            </w:r>
            <w:r>
              <w:rPr>
                <w:rFonts w:hint="eastAsia" w:ascii="宋体" w:hAnsi="宋体" w:eastAsia="宋体" w:cs="宋体"/>
                <w:szCs w:val="21"/>
              </w:rPr>
              <w:t>得10分；</w:t>
            </w:r>
          </w:p>
          <w:p w14:paraId="29A13B6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val="en-US" w:eastAsia="zh-CN"/>
              </w:rPr>
              <w:t>.</w:t>
            </w:r>
            <w:r>
              <w:rPr>
                <w:rFonts w:hint="eastAsia" w:eastAsia="宋体" w:cs="宋体"/>
                <w:kern w:val="0"/>
                <w:szCs w:val="21"/>
              </w:rPr>
              <w:t>提供的服务方案详细合理，</w:t>
            </w:r>
            <w:r>
              <w:rPr>
                <w:rFonts w:hint="eastAsia" w:ascii="宋体" w:hAnsi="宋体" w:eastAsia="宋体" w:cs="宋体"/>
                <w:szCs w:val="21"/>
              </w:rPr>
              <w:t>基本满足采购要求</w:t>
            </w:r>
            <w:r>
              <w:rPr>
                <w:rFonts w:hint="eastAsia" w:ascii="宋体" w:hAnsi="宋体" w:eastAsia="宋体" w:cs="宋体"/>
                <w:szCs w:val="21"/>
                <w:lang w:eastAsia="zh-CN"/>
              </w:rPr>
              <w:t>，</w:t>
            </w:r>
            <w:r>
              <w:rPr>
                <w:rFonts w:hint="eastAsia" w:ascii="宋体" w:hAnsi="宋体" w:eastAsia="宋体" w:cs="宋体"/>
                <w:szCs w:val="21"/>
              </w:rPr>
              <w:t>的得7分；</w:t>
            </w:r>
          </w:p>
          <w:p w14:paraId="099B3FA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pPr>
            <w:r>
              <w:rPr>
                <w:rFonts w:ascii="宋体" w:hAnsi="宋体" w:eastAsia="宋体" w:cs="宋体"/>
                <w:szCs w:val="21"/>
              </w:rPr>
              <w:t>3</w:t>
            </w:r>
            <w:r>
              <w:rPr>
                <w:rFonts w:hint="eastAsia" w:ascii="宋体" w:hAnsi="宋体" w:eastAsia="宋体" w:cs="宋体"/>
                <w:szCs w:val="21"/>
                <w:lang w:val="en-US" w:eastAsia="zh-CN"/>
              </w:rPr>
              <w:t>.</w:t>
            </w:r>
            <w:r>
              <w:rPr>
                <w:rFonts w:hint="eastAsia" w:eastAsia="宋体" w:cs="宋体"/>
                <w:kern w:val="0"/>
                <w:szCs w:val="21"/>
              </w:rPr>
              <w:t>提供的服务方案详细合理，</w:t>
            </w:r>
            <w:r>
              <w:rPr>
                <w:rFonts w:hint="eastAsia" w:ascii="宋体" w:hAnsi="宋体" w:eastAsia="宋体" w:cs="宋体"/>
                <w:szCs w:val="21"/>
              </w:rPr>
              <w:t>一般满足采购要求的</w:t>
            </w:r>
            <w:r>
              <w:rPr>
                <w:rFonts w:hint="eastAsia" w:ascii="宋体" w:hAnsi="宋体" w:eastAsia="宋体" w:cs="宋体"/>
                <w:szCs w:val="21"/>
                <w:lang w:eastAsia="zh-CN"/>
              </w:rPr>
              <w:t>，</w:t>
            </w:r>
            <w:r>
              <w:rPr>
                <w:rFonts w:hint="eastAsia" w:ascii="宋体" w:hAnsi="宋体" w:eastAsia="宋体" w:cs="宋体"/>
                <w:szCs w:val="21"/>
              </w:rPr>
              <w:t>得4分；</w:t>
            </w:r>
          </w:p>
          <w:p w14:paraId="23661EC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rPr>
            </w:pPr>
            <w:r>
              <w:rPr>
                <w:rFonts w:hint="eastAsia" w:ascii="宋体" w:hAnsi="宋体" w:eastAsia="宋体" w:cs="宋体"/>
                <w:b w:val="0"/>
                <w:kern w:val="2"/>
                <w:sz w:val="21"/>
                <w:szCs w:val="21"/>
              </w:rPr>
              <w:t>4</w:t>
            </w:r>
            <w:r>
              <w:rPr>
                <w:rFonts w:hint="eastAsia" w:ascii="宋体" w:hAnsi="宋体" w:eastAsia="宋体" w:cs="宋体"/>
                <w:b w:val="0"/>
                <w:kern w:val="2"/>
                <w:sz w:val="21"/>
                <w:szCs w:val="21"/>
                <w:lang w:val="en-US" w:eastAsia="zh-CN"/>
              </w:rPr>
              <w:t>.</w:t>
            </w:r>
            <w:r>
              <w:rPr>
                <w:rFonts w:hint="eastAsia" w:ascii="宋体" w:hAnsi="宋体" w:eastAsia="宋体" w:cs="宋体"/>
                <w:b w:val="0"/>
                <w:kern w:val="2"/>
                <w:sz w:val="21"/>
                <w:szCs w:val="21"/>
              </w:rPr>
              <w:t>不提供的不得分。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52AB745A">
            <w:pPr>
              <w:jc w:val="center"/>
              <w:rPr>
                <w:rFonts w:ascii="宋体" w:hAnsi="宋体" w:eastAsia="宋体" w:cs="宋体"/>
                <w:kern w:val="0"/>
                <w:szCs w:val="21"/>
              </w:rPr>
            </w:pPr>
            <w:r>
              <w:rPr>
                <w:rFonts w:hint="eastAsia" w:ascii="宋体" w:hAnsi="宋体" w:eastAsia="宋体" w:cs="宋体"/>
                <w:kern w:val="0"/>
                <w:szCs w:val="21"/>
              </w:rPr>
              <w:t>10</w:t>
            </w:r>
          </w:p>
        </w:tc>
      </w:tr>
      <w:tr w14:paraId="7A0D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continue"/>
            <w:tcBorders>
              <w:left w:val="single" w:color="auto" w:sz="4" w:space="0"/>
              <w:right w:val="single" w:color="auto" w:sz="4" w:space="0"/>
            </w:tcBorders>
            <w:noWrap w:val="0"/>
            <w:vAlign w:val="center"/>
          </w:tcPr>
          <w:p w14:paraId="336DFDFF">
            <w:pPr>
              <w:pStyle w:val="16"/>
              <w:snapToGrid w:val="0"/>
              <w:jc w:val="center"/>
              <w:rPr>
                <w:rFonts w:hint="eastAsia"/>
                <w:sz w:val="21"/>
                <w:szCs w:val="21"/>
              </w:rPr>
            </w:pPr>
          </w:p>
        </w:tc>
        <w:tc>
          <w:tcPr>
            <w:tcW w:w="751" w:type="pct"/>
            <w:tcBorders>
              <w:top w:val="single" w:color="auto" w:sz="4" w:space="0"/>
              <w:left w:val="single" w:color="auto" w:sz="4" w:space="0"/>
              <w:right w:val="single" w:color="auto" w:sz="4" w:space="0"/>
            </w:tcBorders>
            <w:noWrap w:val="0"/>
            <w:vAlign w:val="center"/>
          </w:tcPr>
          <w:p w14:paraId="20E3CB05">
            <w:pPr>
              <w:jc w:val="center"/>
              <w:rPr>
                <w:rFonts w:hint="eastAsia" w:ascii="宋体" w:hAnsi="宋体" w:eastAsia="宋体" w:cs="宋体"/>
                <w:kern w:val="0"/>
                <w:szCs w:val="21"/>
              </w:rPr>
            </w:pPr>
            <w:r>
              <w:rPr>
                <w:rFonts w:hint="eastAsia" w:ascii="宋体" w:hAnsi="宋体" w:eastAsia="宋体" w:cs="宋体"/>
                <w:kern w:val="0"/>
                <w:szCs w:val="21"/>
              </w:rPr>
              <w:t>项目运营整体规划</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24526A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根据投标人提供的项目整体规划（包括不限于发展规划、专业养老支持、全面运营管理等）进行评审：</w:t>
            </w:r>
          </w:p>
          <w:p w14:paraId="4D327A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w:t>
            </w:r>
            <w:r>
              <w:rPr>
                <w:rFonts w:hint="eastAsia" w:ascii="宋体" w:hAnsi="宋体" w:eastAsia="宋体" w:cs="宋体"/>
                <w:kern w:val="0"/>
                <w:szCs w:val="21"/>
              </w:rPr>
              <w:t>项目运营整体规划</w:t>
            </w:r>
            <w:r>
              <w:rPr>
                <w:rFonts w:hint="eastAsia" w:eastAsia="宋体" w:cs="宋体"/>
                <w:kern w:val="0"/>
                <w:szCs w:val="21"/>
              </w:rPr>
              <w:t>科学合理，可行性高的</w:t>
            </w:r>
            <w:r>
              <w:rPr>
                <w:rFonts w:hint="eastAsia" w:eastAsia="宋体" w:cs="宋体"/>
                <w:kern w:val="0"/>
                <w:szCs w:val="21"/>
                <w:lang w:eastAsia="zh-CN"/>
              </w:rPr>
              <w:t>，</w:t>
            </w:r>
            <w:r>
              <w:rPr>
                <w:rFonts w:hint="eastAsia" w:ascii="宋体" w:hAnsi="宋体" w:eastAsia="宋体" w:cs="宋体"/>
                <w:kern w:val="0"/>
                <w:szCs w:val="21"/>
              </w:rPr>
              <w:t>得8分；</w:t>
            </w:r>
          </w:p>
          <w:p w14:paraId="031E026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项目运营整体规划科学合理、可行性较高的</w:t>
            </w:r>
            <w:r>
              <w:rPr>
                <w:rFonts w:hint="eastAsia" w:ascii="宋体" w:hAnsi="宋体" w:eastAsia="宋体" w:cs="宋体"/>
                <w:kern w:val="0"/>
                <w:szCs w:val="21"/>
                <w:lang w:eastAsia="zh-CN"/>
              </w:rPr>
              <w:t>，</w:t>
            </w:r>
            <w:r>
              <w:rPr>
                <w:rFonts w:hint="eastAsia" w:ascii="宋体" w:hAnsi="宋体" w:eastAsia="宋体" w:cs="宋体"/>
                <w:kern w:val="0"/>
                <w:szCs w:val="21"/>
              </w:rPr>
              <w:t>得5分；</w:t>
            </w:r>
          </w:p>
          <w:p w14:paraId="1ED2819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w:t>
            </w:r>
            <w:r>
              <w:rPr>
                <w:rFonts w:hint="eastAsia" w:ascii="宋体" w:hAnsi="宋体" w:eastAsia="宋体" w:cs="宋体"/>
                <w:kern w:val="0"/>
                <w:szCs w:val="21"/>
              </w:rPr>
              <w:t>项目运营整体规划合理、可行性一般的</w:t>
            </w:r>
            <w:r>
              <w:rPr>
                <w:rFonts w:hint="eastAsia" w:ascii="宋体" w:hAnsi="宋体" w:eastAsia="宋体" w:cs="宋体"/>
                <w:kern w:val="0"/>
                <w:szCs w:val="21"/>
                <w:lang w:eastAsia="zh-CN"/>
              </w:rPr>
              <w:t>，</w:t>
            </w:r>
            <w:r>
              <w:rPr>
                <w:rFonts w:hint="eastAsia" w:ascii="宋体" w:hAnsi="宋体" w:eastAsia="宋体" w:cs="宋体"/>
                <w:kern w:val="0"/>
                <w:szCs w:val="21"/>
              </w:rPr>
              <w:t>得3分；</w:t>
            </w:r>
          </w:p>
          <w:p w14:paraId="428897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4</w:t>
            </w:r>
            <w:r>
              <w:rPr>
                <w:rFonts w:hint="eastAsia" w:ascii="宋体" w:hAnsi="宋体" w:eastAsia="宋体" w:cs="宋体"/>
                <w:kern w:val="0"/>
                <w:szCs w:val="21"/>
                <w:lang w:val="en-US" w:eastAsia="zh-CN"/>
              </w:rPr>
              <w:t>.</w:t>
            </w:r>
            <w:r>
              <w:rPr>
                <w:rFonts w:hint="eastAsia" w:ascii="宋体" w:hAnsi="宋体" w:eastAsia="宋体" w:cs="宋体"/>
                <w:kern w:val="0"/>
                <w:szCs w:val="21"/>
              </w:rPr>
              <w:t>不提供的不得分。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7B90C728">
            <w:pPr>
              <w:pStyle w:val="16"/>
              <w:snapToGrid w:val="0"/>
              <w:jc w:val="center"/>
              <w:rPr>
                <w:rFonts w:hint="eastAsia"/>
                <w:sz w:val="21"/>
                <w:szCs w:val="21"/>
              </w:rPr>
            </w:pPr>
            <w:r>
              <w:rPr>
                <w:rFonts w:hint="eastAsia"/>
                <w:sz w:val="21"/>
                <w:szCs w:val="21"/>
              </w:rPr>
              <w:t>8</w:t>
            </w:r>
          </w:p>
        </w:tc>
      </w:tr>
      <w:tr w14:paraId="3BBC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continue"/>
            <w:tcBorders>
              <w:left w:val="single" w:color="auto" w:sz="4" w:space="0"/>
              <w:right w:val="single" w:color="auto" w:sz="4" w:space="0"/>
            </w:tcBorders>
            <w:noWrap w:val="0"/>
            <w:vAlign w:val="center"/>
          </w:tcPr>
          <w:p w14:paraId="6F0173CF">
            <w:pPr>
              <w:pStyle w:val="16"/>
              <w:snapToGrid w:val="0"/>
              <w:jc w:val="center"/>
              <w:rPr>
                <w:rFonts w:hint="eastAsia"/>
                <w:sz w:val="21"/>
                <w:szCs w:val="21"/>
              </w:rPr>
            </w:pPr>
          </w:p>
        </w:tc>
        <w:tc>
          <w:tcPr>
            <w:tcW w:w="751" w:type="pct"/>
            <w:tcBorders>
              <w:top w:val="single" w:color="auto" w:sz="4" w:space="0"/>
              <w:left w:val="single" w:color="auto" w:sz="4" w:space="0"/>
              <w:right w:val="single" w:color="auto" w:sz="4" w:space="0"/>
            </w:tcBorders>
            <w:noWrap w:val="0"/>
            <w:vAlign w:val="center"/>
          </w:tcPr>
          <w:p w14:paraId="3AA7BD34">
            <w:pPr>
              <w:jc w:val="center"/>
              <w:rPr>
                <w:rFonts w:hint="eastAsia" w:ascii="宋体" w:hAnsi="宋体" w:eastAsia="宋体" w:cs="宋体"/>
                <w:kern w:val="0"/>
                <w:szCs w:val="21"/>
              </w:rPr>
            </w:pPr>
            <w:r>
              <w:rPr>
                <w:rFonts w:hint="eastAsia" w:ascii="宋体" w:hAnsi="宋体" w:eastAsia="宋体" w:cs="宋体"/>
                <w:kern w:val="0"/>
                <w:szCs w:val="21"/>
              </w:rPr>
              <w:t>管理制度</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2A8255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kern w:val="0"/>
                <w:szCs w:val="21"/>
              </w:rPr>
            </w:pPr>
            <w:r>
              <w:rPr>
                <w:rFonts w:ascii="宋体" w:hAnsi="宋体" w:eastAsia="宋体" w:cs="宋体"/>
                <w:kern w:val="0"/>
                <w:szCs w:val="21"/>
              </w:rPr>
              <w:t>根据</w:t>
            </w:r>
            <w:r>
              <w:rPr>
                <w:rFonts w:hint="eastAsia" w:ascii="宋体" w:hAnsi="宋体" w:eastAsia="宋体" w:cs="宋体"/>
                <w:kern w:val="0"/>
                <w:szCs w:val="21"/>
              </w:rPr>
              <w:t>投标人</w:t>
            </w:r>
            <w:r>
              <w:rPr>
                <w:rFonts w:ascii="宋体" w:hAnsi="宋体" w:eastAsia="宋体" w:cs="宋体"/>
                <w:kern w:val="0"/>
                <w:szCs w:val="21"/>
              </w:rPr>
              <w:t>提供的服务方案及相关管理制度（</w:t>
            </w:r>
            <w:r>
              <w:rPr>
                <w:rFonts w:hint="eastAsia" w:ascii="宋体" w:hAnsi="宋体" w:eastAsia="宋体" w:cs="宋体"/>
                <w:kern w:val="0"/>
                <w:szCs w:val="21"/>
              </w:rPr>
              <w:t>包括不限于</w:t>
            </w:r>
            <w:r>
              <w:rPr>
                <w:rFonts w:ascii="宋体" w:hAnsi="宋体" w:eastAsia="宋体" w:cs="宋体"/>
                <w:kern w:val="0"/>
                <w:szCs w:val="21"/>
              </w:rPr>
              <w:t>组织架构、人员分工、规章制度等）进行评审：</w:t>
            </w:r>
          </w:p>
          <w:p w14:paraId="0E33108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w:t>
            </w:r>
            <w:r>
              <w:rPr>
                <w:rFonts w:hint="eastAsia" w:ascii="宋体" w:hAnsi="宋体" w:eastAsia="宋体" w:cs="宋体"/>
                <w:kern w:val="0"/>
                <w:szCs w:val="21"/>
              </w:rPr>
              <w:t>管理制度完善、合理、针对性强的</w:t>
            </w:r>
            <w:r>
              <w:rPr>
                <w:rFonts w:hint="eastAsia" w:ascii="宋体" w:hAnsi="宋体" w:eastAsia="宋体" w:cs="宋体"/>
                <w:kern w:val="0"/>
                <w:szCs w:val="21"/>
                <w:lang w:eastAsia="zh-CN"/>
              </w:rPr>
              <w:t>，</w:t>
            </w:r>
            <w:r>
              <w:rPr>
                <w:rFonts w:hint="eastAsia" w:ascii="宋体" w:hAnsi="宋体" w:eastAsia="宋体" w:cs="宋体"/>
                <w:kern w:val="0"/>
                <w:szCs w:val="21"/>
              </w:rPr>
              <w:t>得6分</w:t>
            </w:r>
          </w:p>
          <w:p w14:paraId="5EE50B7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管理制度完善、合理、针对性较强的</w:t>
            </w:r>
            <w:r>
              <w:rPr>
                <w:rFonts w:hint="eastAsia" w:ascii="宋体" w:hAnsi="宋体" w:eastAsia="宋体" w:cs="宋体"/>
                <w:kern w:val="0"/>
                <w:szCs w:val="21"/>
                <w:lang w:eastAsia="zh-CN"/>
              </w:rPr>
              <w:t>，</w:t>
            </w:r>
            <w:r>
              <w:rPr>
                <w:rFonts w:hint="eastAsia" w:ascii="宋体" w:hAnsi="宋体" w:eastAsia="宋体" w:cs="宋体"/>
                <w:kern w:val="0"/>
                <w:szCs w:val="21"/>
              </w:rPr>
              <w:t>得4分</w:t>
            </w:r>
          </w:p>
          <w:p w14:paraId="409321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w:t>
            </w:r>
            <w:r>
              <w:rPr>
                <w:rFonts w:hint="eastAsia" w:ascii="宋体" w:hAnsi="宋体" w:eastAsia="宋体" w:cs="宋体"/>
                <w:kern w:val="0"/>
                <w:szCs w:val="21"/>
              </w:rPr>
              <w:t>管理制度完善、合理、针对性一般的</w:t>
            </w:r>
            <w:r>
              <w:rPr>
                <w:rFonts w:hint="eastAsia" w:ascii="宋体" w:hAnsi="宋体" w:eastAsia="宋体" w:cs="宋体"/>
                <w:kern w:val="0"/>
                <w:szCs w:val="21"/>
                <w:lang w:eastAsia="zh-CN"/>
              </w:rPr>
              <w:t>，</w:t>
            </w:r>
            <w:r>
              <w:rPr>
                <w:rFonts w:hint="eastAsia" w:ascii="宋体" w:hAnsi="宋体" w:eastAsia="宋体" w:cs="宋体"/>
                <w:kern w:val="0"/>
                <w:szCs w:val="21"/>
              </w:rPr>
              <w:t>得2分</w:t>
            </w:r>
          </w:p>
          <w:p w14:paraId="76E5316E">
            <w:pPr>
              <w:keepNext w:val="0"/>
              <w:keepLines w:val="0"/>
              <w:pageBreakBefore w:val="0"/>
              <w:widowControl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kern w:val="0"/>
                <w:szCs w:val="21"/>
              </w:rPr>
              <w:t>4</w:t>
            </w:r>
            <w:r>
              <w:rPr>
                <w:rFonts w:hint="eastAsia" w:ascii="宋体" w:hAnsi="宋体" w:eastAsia="宋体" w:cs="宋体"/>
                <w:kern w:val="0"/>
                <w:szCs w:val="21"/>
                <w:lang w:val="en-US" w:eastAsia="zh-CN"/>
              </w:rPr>
              <w:t>.</w:t>
            </w:r>
            <w:r>
              <w:rPr>
                <w:rFonts w:hint="eastAsia" w:ascii="宋体" w:hAnsi="宋体" w:eastAsia="宋体" w:cs="宋体"/>
                <w:kern w:val="0"/>
                <w:szCs w:val="21"/>
              </w:rPr>
              <w:t>不提供的不得分。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4E6C9928">
            <w:pPr>
              <w:jc w:val="center"/>
              <w:rPr>
                <w:rFonts w:ascii="宋体" w:hAnsi="宋体" w:eastAsia="宋体" w:cs="宋体"/>
                <w:kern w:val="0"/>
                <w:szCs w:val="21"/>
              </w:rPr>
            </w:pPr>
            <w:r>
              <w:rPr>
                <w:rFonts w:hint="eastAsia" w:ascii="宋体" w:hAnsi="宋体" w:eastAsia="宋体" w:cs="宋体"/>
                <w:kern w:val="0"/>
                <w:szCs w:val="21"/>
              </w:rPr>
              <w:t>6</w:t>
            </w:r>
          </w:p>
        </w:tc>
      </w:tr>
      <w:tr w14:paraId="694B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continue"/>
            <w:tcBorders>
              <w:left w:val="single" w:color="auto" w:sz="4" w:space="0"/>
              <w:right w:val="single" w:color="auto" w:sz="4" w:space="0"/>
            </w:tcBorders>
            <w:noWrap w:val="0"/>
            <w:vAlign w:val="center"/>
          </w:tcPr>
          <w:p w14:paraId="6FA8834A">
            <w:pPr>
              <w:pStyle w:val="16"/>
              <w:snapToGrid w:val="0"/>
              <w:jc w:val="center"/>
              <w:rPr>
                <w:rFonts w:hint="eastAsia"/>
                <w:sz w:val="21"/>
                <w:szCs w:val="21"/>
              </w:rPr>
            </w:pPr>
          </w:p>
        </w:tc>
        <w:tc>
          <w:tcPr>
            <w:tcW w:w="751" w:type="pct"/>
            <w:tcBorders>
              <w:top w:val="single" w:color="auto" w:sz="4" w:space="0"/>
              <w:left w:val="single" w:color="auto" w:sz="4" w:space="0"/>
              <w:right w:val="single" w:color="auto" w:sz="4" w:space="0"/>
            </w:tcBorders>
            <w:noWrap w:val="0"/>
            <w:vAlign w:val="center"/>
          </w:tcPr>
          <w:p w14:paraId="1B33BFA9">
            <w:pPr>
              <w:jc w:val="center"/>
              <w:rPr>
                <w:rFonts w:ascii="宋体" w:hAnsi="宋体" w:eastAsia="宋体" w:cs="宋体"/>
                <w:kern w:val="0"/>
                <w:szCs w:val="21"/>
              </w:rPr>
            </w:pPr>
            <w:r>
              <w:rPr>
                <w:rFonts w:hint="eastAsia" w:ascii="宋体" w:hAnsi="宋体" w:eastAsia="宋体" w:cs="宋体"/>
                <w:kern w:val="0"/>
                <w:szCs w:val="21"/>
              </w:rPr>
              <w:t>应急措施预案</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00FEC6D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根据投标人制定的</w:t>
            </w:r>
            <w:r>
              <w:rPr>
                <w:rFonts w:ascii="宋体" w:hAnsi="宋体" w:eastAsia="宋体" w:cs="宋体"/>
                <w:kern w:val="0"/>
                <w:szCs w:val="21"/>
              </w:rPr>
              <w:t>应急</w:t>
            </w:r>
            <w:r>
              <w:rPr>
                <w:rFonts w:hint="eastAsia" w:ascii="宋体" w:hAnsi="宋体" w:eastAsia="宋体" w:cs="宋体"/>
                <w:kern w:val="0"/>
                <w:szCs w:val="21"/>
              </w:rPr>
              <w:t>措施预案（包括不限于发生疑似食物中毒事件的处理、发生火灾紧急事件等）进行评审：</w:t>
            </w:r>
          </w:p>
          <w:p w14:paraId="0979469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w:t>
            </w:r>
            <w:r>
              <w:rPr>
                <w:rFonts w:hint="eastAsia" w:ascii="宋体" w:hAnsi="宋体" w:eastAsia="宋体" w:cs="宋体"/>
                <w:kern w:val="0"/>
                <w:szCs w:val="21"/>
              </w:rPr>
              <w:t>提供的应急措施预案安全科学、突发事件的处理措施可行的</w:t>
            </w:r>
            <w:r>
              <w:rPr>
                <w:rFonts w:hint="eastAsia" w:ascii="宋体" w:hAnsi="宋体" w:eastAsia="宋体" w:cs="宋体"/>
                <w:kern w:val="0"/>
                <w:szCs w:val="21"/>
                <w:lang w:eastAsia="zh-CN"/>
              </w:rPr>
              <w:t>，</w:t>
            </w:r>
            <w:r>
              <w:rPr>
                <w:rFonts w:hint="eastAsia" w:ascii="宋体" w:hAnsi="宋体" w:eastAsia="宋体" w:cs="宋体"/>
                <w:kern w:val="0"/>
                <w:szCs w:val="21"/>
              </w:rPr>
              <w:t>得6分。</w:t>
            </w:r>
          </w:p>
          <w:p w14:paraId="69E94FD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提供的应急措施预案安全科学、突发事件的处理措施基本可行的</w:t>
            </w:r>
            <w:r>
              <w:rPr>
                <w:rFonts w:hint="eastAsia" w:ascii="宋体" w:hAnsi="宋体" w:eastAsia="宋体" w:cs="宋体"/>
                <w:kern w:val="0"/>
                <w:szCs w:val="21"/>
                <w:lang w:eastAsia="zh-CN"/>
              </w:rPr>
              <w:t>，</w:t>
            </w:r>
            <w:r>
              <w:rPr>
                <w:rFonts w:hint="eastAsia" w:ascii="宋体" w:hAnsi="宋体" w:eastAsia="宋体" w:cs="宋体"/>
                <w:kern w:val="0"/>
                <w:szCs w:val="21"/>
              </w:rPr>
              <w:t>得4分。</w:t>
            </w:r>
          </w:p>
          <w:p w14:paraId="050BACE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w:t>
            </w:r>
            <w:r>
              <w:rPr>
                <w:rFonts w:hint="eastAsia" w:ascii="宋体" w:hAnsi="宋体" w:eastAsia="宋体" w:cs="宋体"/>
                <w:kern w:val="0"/>
                <w:szCs w:val="21"/>
              </w:rPr>
              <w:t>提供的应急措施预案安全科学、突发事件的处理措施一般可行的</w:t>
            </w:r>
            <w:r>
              <w:rPr>
                <w:rFonts w:hint="eastAsia" w:ascii="宋体" w:hAnsi="宋体" w:eastAsia="宋体" w:cs="宋体"/>
                <w:kern w:val="0"/>
                <w:szCs w:val="21"/>
                <w:lang w:eastAsia="zh-CN"/>
              </w:rPr>
              <w:t>，</w:t>
            </w:r>
            <w:r>
              <w:rPr>
                <w:rFonts w:hint="eastAsia" w:ascii="宋体" w:hAnsi="宋体" w:eastAsia="宋体" w:cs="宋体"/>
                <w:kern w:val="0"/>
                <w:szCs w:val="21"/>
              </w:rPr>
              <w:t>得2分。</w:t>
            </w:r>
          </w:p>
          <w:p w14:paraId="3176965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4.不提供的不得分。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317FE39E">
            <w:pPr>
              <w:jc w:val="center"/>
              <w:rPr>
                <w:rFonts w:ascii="宋体" w:hAnsi="宋体" w:eastAsia="宋体" w:cs="宋体"/>
                <w:kern w:val="0"/>
                <w:szCs w:val="21"/>
              </w:rPr>
            </w:pPr>
            <w:r>
              <w:rPr>
                <w:rFonts w:hint="eastAsia" w:ascii="宋体" w:hAnsi="宋体" w:eastAsia="宋体" w:cs="宋体"/>
                <w:kern w:val="0"/>
                <w:szCs w:val="21"/>
              </w:rPr>
              <w:t>6</w:t>
            </w:r>
          </w:p>
        </w:tc>
      </w:tr>
      <w:tr w14:paraId="0843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continue"/>
            <w:tcBorders>
              <w:left w:val="single" w:color="auto" w:sz="4" w:space="0"/>
              <w:right w:val="single" w:color="auto" w:sz="4" w:space="0"/>
            </w:tcBorders>
            <w:noWrap w:val="0"/>
            <w:vAlign w:val="center"/>
          </w:tcPr>
          <w:p w14:paraId="6097F039">
            <w:pPr>
              <w:pStyle w:val="16"/>
              <w:snapToGrid w:val="0"/>
              <w:jc w:val="center"/>
              <w:rPr>
                <w:rFonts w:hint="eastAsia"/>
                <w:sz w:val="21"/>
                <w:szCs w:val="21"/>
              </w:rPr>
            </w:pPr>
          </w:p>
        </w:tc>
        <w:tc>
          <w:tcPr>
            <w:tcW w:w="751" w:type="pct"/>
            <w:tcBorders>
              <w:top w:val="single" w:color="auto" w:sz="4" w:space="0"/>
              <w:left w:val="single" w:color="auto" w:sz="4" w:space="0"/>
              <w:right w:val="single" w:color="auto" w:sz="4" w:space="0"/>
            </w:tcBorders>
            <w:noWrap w:val="0"/>
            <w:vAlign w:val="center"/>
          </w:tcPr>
          <w:p w14:paraId="2BF74FAA">
            <w:pPr>
              <w:jc w:val="center"/>
              <w:rPr>
                <w:rFonts w:ascii="宋体" w:hAnsi="宋体" w:eastAsia="宋体" w:cs="宋体"/>
                <w:kern w:val="0"/>
                <w:szCs w:val="21"/>
              </w:rPr>
            </w:pPr>
            <w:r>
              <w:rPr>
                <w:rFonts w:hint="eastAsia" w:ascii="宋体" w:hAnsi="宋体" w:eastAsia="宋体" w:cs="宋体"/>
                <w:kern w:val="0"/>
                <w:szCs w:val="21"/>
              </w:rPr>
              <w:t>消防安全措施方案</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149F53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根据投标人提供的消防安全防护措施进行评审：</w:t>
            </w:r>
          </w:p>
          <w:p w14:paraId="5A954CD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1.消防安全措施方案科学合理可行的，针对性强</w:t>
            </w:r>
            <w:r>
              <w:rPr>
                <w:rFonts w:hint="eastAsia" w:ascii="宋体" w:hAnsi="宋体" w:eastAsia="宋体" w:cs="宋体"/>
                <w:kern w:val="0"/>
                <w:szCs w:val="21"/>
                <w:lang w:val="en-US" w:eastAsia="zh-CN"/>
              </w:rPr>
              <w:t>的</w:t>
            </w:r>
            <w:r>
              <w:rPr>
                <w:rFonts w:hint="eastAsia" w:ascii="宋体" w:hAnsi="宋体" w:eastAsia="宋体" w:cs="宋体"/>
                <w:kern w:val="0"/>
                <w:szCs w:val="21"/>
              </w:rPr>
              <w:t>，得5分；</w:t>
            </w:r>
          </w:p>
          <w:p w14:paraId="341E267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2.消防安全措施方案科学合理可行的、针对性较强</w:t>
            </w:r>
            <w:r>
              <w:rPr>
                <w:rFonts w:hint="eastAsia" w:ascii="宋体" w:hAnsi="宋体" w:eastAsia="宋体" w:cs="宋体"/>
                <w:kern w:val="0"/>
                <w:szCs w:val="21"/>
                <w:lang w:val="en-US" w:eastAsia="zh-CN"/>
              </w:rPr>
              <w:t>的</w:t>
            </w:r>
            <w:r>
              <w:rPr>
                <w:rFonts w:hint="eastAsia" w:ascii="宋体" w:hAnsi="宋体" w:eastAsia="宋体" w:cs="宋体"/>
                <w:kern w:val="0"/>
                <w:szCs w:val="21"/>
              </w:rPr>
              <w:t>，得3分；</w:t>
            </w:r>
          </w:p>
          <w:p w14:paraId="42DFBBD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3.消防安全措施方案科学合理可行的，有一定针对性</w:t>
            </w:r>
            <w:r>
              <w:rPr>
                <w:rFonts w:hint="eastAsia" w:ascii="宋体" w:hAnsi="宋体" w:eastAsia="宋体" w:cs="宋体"/>
                <w:kern w:val="0"/>
                <w:szCs w:val="21"/>
                <w:lang w:val="en-US" w:eastAsia="zh-CN"/>
              </w:rPr>
              <w:t>的</w:t>
            </w:r>
            <w:r>
              <w:rPr>
                <w:rFonts w:hint="eastAsia" w:ascii="宋体" w:hAnsi="宋体" w:eastAsia="宋体" w:cs="宋体"/>
                <w:kern w:val="0"/>
                <w:szCs w:val="21"/>
              </w:rPr>
              <w:t>，得1分；</w:t>
            </w:r>
          </w:p>
          <w:p w14:paraId="0D2C282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4.不提供的不得分。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03B60F42">
            <w:pPr>
              <w:jc w:val="center"/>
              <w:rPr>
                <w:rFonts w:ascii="宋体" w:hAnsi="宋体" w:eastAsia="宋体" w:cs="宋体"/>
                <w:kern w:val="0"/>
                <w:szCs w:val="21"/>
              </w:rPr>
            </w:pPr>
            <w:r>
              <w:rPr>
                <w:rFonts w:hint="eastAsia" w:ascii="宋体" w:hAnsi="宋体" w:eastAsia="宋体" w:cs="宋体"/>
                <w:kern w:val="0"/>
                <w:szCs w:val="21"/>
              </w:rPr>
              <w:t>5</w:t>
            </w:r>
          </w:p>
        </w:tc>
      </w:tr>
      <w:tr w14:paraId="7BA4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restart"/>
            <w:tcBorders>
              <w:top w:val="single" w:color="auto" w:sz="4" w:space="0"/>
              <w:left w:val="single" w:color="auto" w:sz="4" w:space="0"/>
              <w:bottom w:val="single" w:color="auto" w:sz="4" w:space="0"/>
              <w:right w:val="single" w:color="auto" w:sz="4" w:space="0"/>
            </w:tcBorders>
            <w:noWrap w:val="0"/>
            <w:vAlign w:val="center"/>
          </w:tcPr>
          <w:p w14:paraId="39083815">
            <w:pPr>
              <w:rPr>
                <w:rFonts w:hint="eastAsia" w:ascii="宋体" w:hAnsi="宋体" w:eastAsia="宋体" w:cs="宋体"/>
                <w:kern w:val="0"/>
                <w:szCs w:val="21"/>
              </w:rPr>
            </w:pPr>
            <w:r>
              <w:rPr>
                <w:rFonts w:hint="eastAsia" w:ascii="宋体" w:hAnsi="宋体" w:eastAsia="宋体" w:cs="宋体"/>
                <w:kern w:val="0"/>
                <w:szCs w:val="21"/>
              </w:rPr>
              <w:t>商务部分</w:t>
            </w:r>
          </w:p>
          <w:p w14:paraId="340F8BC2">
            <w:pPr>
              <w:rPr>
                <w:rFonts w:hint="eastAsia"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751" w:type="pct"/>
            <w:tcBorders>
              <w:top w:val="single" w:color="auto" w:sz="4" w:space="0"/>
              <w:left w:val="single" w:color="auto" w:sz="4" w:space="0"/>
              <w:right w:val="single" w:color="auto" w:sz="4" w:space="0"/>
            </w:tcBorders>
            <w:noWrap w:val="0"/>
            <w:vAlign w:val="center"/>
          </w:tcPr>
          <w:p w14:paraId="5EAECF3D">
            <w:pPr>
              <w:jc w:val="center"/>
              <w:rPr>
                <w:rFonts w:hint="eastAsia" w:ascii="宋体" w:hAnsi="宋体" w:eastAsia="宋体" w:cs="宋体"/>
                <w:kern w:val="0"/>
                <w:szCs w:val="21"/>
              </w:rPr>
            </w:pPr>
            <w:r>
              <w:rPr>
                <w:rFonts w:hint="eastAsia" w:ascii="宋体" w:hAnsi="宋体" w:eastAsia="宋体" w:cs="宋体"/>
                <w:kern w:val="0"/>
                <w:szCs w:val="21"/>
              </w:rPr>
              <w:t>同类项目业绩</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71EF71A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投标人或其控股子公司截止至2026年4月30日正在运营的养老机构项目业绩（床位达200张以上的），每提供1个得5分，最高得15分。</w:t>
            </w:r>
          </w:p>
          <w:p w14:paraId="608548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lang w:eastAsia="zh-CN"/>
              </w:rPr>
            </w:pPr>
            <w:r>
              <w:rPr>
                <w:rFonts w:hint="eastAsia" w:ascii="宋体" w:hAnsi="宋体" w:eastAsia="宋体" w:cs="宋体"/>
                <w:kern w:val="0"/>
                <w:szCs w:val="21"/>
              </w:rPr>
              <w:t>注：须提供合同关键页或提供民政局出具的养老机构备案证明材料复印件并加盖公章，上述证明材料须体现床位数，如上述证明材料不能体现床位数的，须提供全国养老服务信息平台截图。若是投标人控股子公司经营的养老机构床位，还需提供控股子公司营业执照复印件、国家企业信用信息公示系统股权关系截图。不提供不得分</w:t>
            </w:r>
            <w:r>
              <w:rPr>
                <w:rFonts w:hint="eastAsia" w:ascii="宋体" w:hAnsi="宋体" w:eastAsia="宋体" w:cs="宋体"/>
                <w:kern w:val="0"/>
                <w:szCs w:val="21"/>
                <w:lang w:eastAsia="zh-CN"/>
              </w:rPr>
              <w:t>。</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3C09DEED">
            <w:pPr>
              <w:pStyle w:val="16"/>
              <w:snapToGrid w:val="0"/>
              <w:jc w:val="center"/>
              <w:rPr>
                <w:rFonts w:hint="default" w:eastAsia="宋体"/>
                <w:szCs w:val="21"/>
                <w:lang w:val="en-US" w:eastAsia="zh-CN"/>
              </w:rPr>
            </w:pPr>
            <w:r>
              <w:rPr>
                <w:rFonts w:hint="eastAsia"/>
                <w:sz w:val="21"/>
                <w:szCs w:val="21"/>
                <w:lang w:val="en-US" w:eastAsia="zh-CN"/>
              </w:rPr>
              <w:t>15</w:t>
            </w:r>
          </w:p>
        </w:tc>
      </w:tr>
      <w:tr w14:paraId="4B07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Merge w:val="continue"/>
            <w:tcBorders>
              <w:left w:val="single" w:color="auto" w:sz="4" w:space="0"/>
              <w:right w:val="single" w:color="auto" w:sz="4" w:space="0"/>
            </w:tcBorders>
            <w:noWrap w:val="0"/>
            <w:vAlign w:val="center"/>
          </w:tcPr>
          <w:p w14:paraId="366181B1">
            <w:pPr>
              <w:widowControl/>
              <w:jc w:val="center"/>
              <w:rPr>
                <w:rFonts w:hint="eastAsia" w:ascii="宋体" w:hAnsi="宋体" w:eastAsia="宋体" w:cs="宋体"/>
                <w:kern w:val="0"/>
                <w:szCs w:val="21"/>
              </w:rPr>
            </w:pPr>
          </w:p>
        </w:tc>
        <w:tc>
          <w:tcPr>
            <w:tcW w:w="751" w:type="pct"/>
            <w:tcBorders>
              <w:top w:val="single" w:color="auto" w:sz="4" w:space="0"/>
              <w:left w:val="single" w:color="auto" w:sz="4" w:space="0"/>
              <w:right w:val="single" w:color="auto" w:sz="4" w:space="0"/>
            </w:tcBorders>
            <w:noWrap w:val="0"/>
            <w:vAlign w:val="center"/>
          </w:tcPr>
          <w:p w14:paraId="603955D8">
            <w:pPr>
              <w:jc w:val="center"/>
              <w:rPr>
                <w:rFonts w:ascii="宋体" w:hAnsi="宋体" w:eastAsia="宋体" w:cs="宋体"/>
                <w:kern w:val="0"/>
                <w:szCs w:val="21"/>
              </w:rPr>
            </w:pPr>
            <w:r>
              <w:rPr>
                <w:rFonts w:hint="eastAsia" w:ascii="宋体" w:hAnsi="宋体" w:eastAsia="宋体" w:cs="宋体"/>
                <w:kern w:val="0"/>
                <w:szCs w:val="21"/>
              </w:rPr>
              <w:t>团队人员</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26AADA3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lang w:val="en-US" w:eastAsia="zh-CN"/>
              </w:rPr>
              <w:t>1.</w:t>
            </w:r>
            <w:r>
              <w:rPr>
                <w:rFonts w:hint="eastAsia" w:ascii="宋体" w:hAnsi="宋体" w:eastAsia="宋体" w:cs="宋体"/>
                <w:kern w:val="0"/>
                <w:szCs w:val="21"/>
              </w:rPr>
              <w:t>项目负责人：</w:t>
            </w:r>
          </w:p>
          <w:p w14:paraId="6B0FF89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lang w:eastAsia="zh-CN"/>
              </w:rPr>
            </w:pPr>
            <w:r>
              <w:rPr>
                <w:rFonts w:hint="eastAsia" w:ascii="宋体" w:hAnsi="宋体" w:eastAsia="宋体" w:cs="宋体"/>
                <w:kern w:val="0"/>
                <w:szCs w:val="21"/>
              </w:rPr>
              <w:t>（1）具有老年人能力评估师</w:t>
            </w:r>
            <w:r>
              <w:rPr>
                <w:rFonts w:hint="eastAsia" w:ascii="宋体" w:hAnsi="宋体" w:eastAsia="宋体" w:cs="宋体"/>
                <w:kern w:val="0"/>
                <w:szCs w:val="21"/>
                <w:lang w:val="en-US" w:eastAsia="zh-CN"/>
              </w:rPr>
              <w:t>的，</w:t>
            </w:r>
            <w:r>
              <w:rPr>
                <w:rFonts w:hint="eastAsia" w:ascii="宋体" w:hAnsi="宋体" w:eastAsia="宋体" w:cs="宋体"/>
                <w:kern w:val="0"/>
                <w:szCs w:val="21"/>
              </w:rPr>
              <w:t>得3分</w:t>
            </w:r>
            <w:r>
              <w:rPr>
                <w:rFonts w:hint="eastAsia" w:ascii="宋体" w:hAnsi="宋体" w:eastAsia="宋体" w:cs="宋体"/>
                <w:kern w:val="0"/>
                <w:szCs w:val="21"/>
                <w:lang w:eastAsia="zh-CN"/>
              </w:rPr>
              <w:t>；</w:t>
            </w:r>
          </w:p>
          <w:p w14:paraId="2101BD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lang w:eastAsia="zh-CN"/>
              </w:rPr>
            </w:pPr>
            <w:r>
              <w:rPr>
                <w:rFonts w:hint="eastAsia" w:ascii="宋体" w:hAnsi="宋体" w:eastAsia="宋体" w:cs="宋体"/>
                <w:kern w:val="0"/>
                <w:szCs w:val="21"/>
              </w:rPr>
              <w:t>（2）具有养老服务类职称证书</w:t>
            </w:r>
            <w:r>
              <w:rPr>
                <w:rFonts w:hint="eastAsia" w:ascii="宋体" w:hAnsi="宋体" w:eastAsia="宋体" w:cs="宋体"/>
                <w:kern w:val="0"/>
                <w:szCs w:val="21"/>
                <w:lang w:val="en-US" w:eastAsia="zh-CN"/>
              </w:rPr>
              <w:t>的，</w:t>
            </w:r>
            <w:r>
              <w:rPr>
                <w:rFonts w:hint="eastAsia" w:ascii="宋体" w:hAnsi="宋体" w:eastAsia="宋体" w:cs="宋体"/>
                <w:kern w:val="0"/>
                <w:szCs w:val="21"/>
              </w:rPr>
              <w:t>得3分</w:t>
            </w:r>
            <w:r>
              <w:rPr>
                <w:rFonts w:hint="eastAsia" w:ascii="宋体" w:hAnsi="宋体" w:eastAsia="宋体" w:cs="宋体"/>
                <w:kern w:val="0"/>
                <w:szCs w:val="21"/>
                <w:lang w:eastAsia="zh-CN"/>
              </w:rPr>
              <w:t>；</w:t>
            </w:r>
          </w:p>
          <w:p w14:paraId="490607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本项最高得6分。</w:t>
            </w:r>
          </w:p>
          <w:p w14:paraId="1848372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投标人配备本项目的服务人员（项目负责人除外）：</w:t>
            </w:r>
            <w:r>
              <w:rPr>
                <w:rFonts w:hint="eastAsia" w:ascii="宋体" w:hAnsi="宋体" w:eastAsia="宋体" w:cs="宋体"/>
                <w:kern w:val="0"/>
                <w:szCs w:val="21"/>
                <w:lang w:val="en-US" w:eastAsia="zh-CN"/>
              </w:rPr>
              <w:t>具有</w:t>
            </w:r>
            <w:r>
              <w:rPr>
                <w:rFonts w:hint="eastAsia" w:ascii="宋体" w:hAnsi="宋体" w:eastAsia="宋体" w:cs="宋体"/>
                <w:kern w:val="0"/>
                <w:szCs w:val="21"/>
              </w:rPr>
              <w:t>（1）医师、（2）营养师、（3）康复师、（4）养老护理员、（5）社会工作师、（6）消防设施操作员，每提供1个得1</w:t>
            </w:r>
            <w:r>
              <w:rPr>
                <w:rFonts w:hint="eastAsia" w:ascii="宋体" w:hAnsi="宋体" w:eastAsia="宋体" w:cs="宋体"/>
                <w:kern w:val="0"/>
                <w:szCs w:val="21"/>
                <w:lang w:val="en-US" w:eastAsia="zh-CN"/>
              </w:rPr>
              <w:t>.5</w:t>
            </w:r>
            <w:r>
              <w:rPr>
                <w:rFonts w:hint="eastAsia" w:ascii="宋体" w:hAnsi="宋体" w:eastAsia="宋体" w:cs="宋体"/>
                <w:kern w:val="0"/>
                <w:szCs w:val="21"/>
              </w:rPr>
              <w:t>分，本项最高得</w:t>
            </w:r>
            <w:r>
              <w:rPr>
                <w:rFonts w:hint="eastAsia" w:ascii="宋体" w:hAnsi="宋体" w:eastAsia="宋体" w:cs="宋体"/>
                <w:kern w:val="0"/>
                <w:szCs w:val="21"/>
                <w:lang w:val="en-US" w:eastAsia="zh-CN"/>
              </w:rPr>
              <w:t>9</w:t>
            </w:r>
            <w:r>
              <w:rPr>
                <w:rFonts w:hint="eastAsia" w:ascii="宋体" w:hAnsi="宋体" w:eastAsia="宋体" w:cs="宋体"/>
                <w:kern w:val="0"/>
                <w:szCs w:val="21"/>
              </w:rPr>
              <w:t>分。</w:t>
            </w:r>
          </w:p>
          <w:p w14:paraId="3378AC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注：须提供以上人员职称证书或职业资格或职业技能证书</w:t>
            </w:r>
            <w:r>
              <w:rPr>
                <w:rFonts w:hint="eastAsia" w:ascii="宋体" w:hAnsi="宋体" w:eastAsia="宋体" w:cs="宋体"/>
                <w:kern w:val="0"/>
                <w:szCs w:val="21"/>
                <w:lang w:val="en-US" w:eastAsia="zh-CN"/>
              </w:rPr>
              <w:t>及</w:t>
            </w:r>
            <w:r>
              <w:rPr>
                <w:rFonts w:hint="eastAsia" w:ascii="宋体" w:hAnsi="宋体" w:eastAsia="宋体" w:cs="宋体"/>
                <w:kern w:val="0"/>
                <w:szCs w:val="21"/>
              </w:rPr>
              <w:t>在投标单位</w:t>
            </w:r>
            <w:r>
              <w:rPr>
                <w:rFonts w:hint="eastAsia" w:ascii="宋体" w:hAnsi="宋体" w:eastAsia="宋体" w:cs="宋体"/>
                <w:kern w:val="0"/>
                <w:szCs w:val="21"/>
                <w:lang w:val="en-US" w:eastAsia="zh-CN"/>
              </w:rPr>
              <w:t>近半年内任意一个月</w:t>
            </w:r>
            <w:r>
              <w:rPr>
                <w:rFonts w:hint="eastAsia" w:ascii="宋体" w:hAnsi="宋体" w:eastAsia="宋体" w:cs="宋体"/>
                <w:kern w:val="0"/>
                <w:szCs w:val="21"/>
              </w:rPr>
              <w:t>的社保证明的复印件并加盖公章，不提供不得分。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023CFCE0">
            <w:pPr>
              <w:pStyle w:val="16"/>
              <w:snapToGrid w:val="0"/>
              <w:jc w:val="center"/>
              <w:rPr>
                <w:rFonts w:hint="eastAsia" w:eastAsia="宋体"/>
                <w:sz w:val="21"/>
                <w:szCs w:val="21"/>
                <w:lang w:eastAsia="zh-CN"/>
              </w:rPr>
            </w:pPr>
            <w:r>
              <w:rPr>
                <w:rFonts w:hint="eastAsia"/>
                <w:sz w:val="21"/>
                <w:szCs w:val="21"/>
              </w:rPr>
              <w:t>1</w:t>
            </w:r>
            <w:r>
              <w:rPr>
                <w:rFonts w:hint="eastAsia"/>
                <w:sz w:val="21"/>
                <w:szCs w:val="21"/>
                <w:lang w:val="en-US" w:eastAsia="zh-CN"/>
              </w:rPr>
              <w:t>5</w:t>
            </w:r>
          </w:p>
        </w:tc>
      </w:tr>
      <w:tr w14:paraId="09F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657" w:type="pct"/>
            <w:vMerge w:val="continue"/>
            <w:tcBorders>
              <w:left w:val="single" w:color="auto" w:sz="4" w:space="0"/>
              <w:right w:val="single" w:color="auto" w:sz="4" w:space="0"/>
            </w:tcBorders>
            <w:noWrap w:val="0"/>
            <w:vAlign w:val="center"/>
          </w:tcPr>
          <w:p w14:paraId="31DB318E">
            <w:pPr>
              <w:widowControl/>
              <w:jc w:val="center"/>
              <w:rPr>
                <w:rFonts w:hint="eastAsia" w:ascii="宋体" w:hAnsi="宋体" w:eastAsia="宋体" w:cs="宋体"/>
                <w:kern w:val="0"/>
                <w:szCs w:val="21"/>
              </w:rPr>
            </w:pPr>
          </w:p>
        </w:tc>
        <w:tc>
          <w:tcPr>
            <w:tcW w:w="751" w:type="pct"/>
            <w:tcBorders>
              <w:top w:val="single" w:color="auto" w:sz="4" w:space="0"/>
              <w:left w:val="single" w:color="auto" w:sz="4" w:space="0"/>
              <w:right w:val="single" w:color="auto" w:sz="4" w:space="0"/>
            </w:tcBorders>
            <w:noWrap w:val="0"/>
            <w:vAlign w:val="center"/>
          </w:tcPr>
          <w:p w14:paraId="5C0EF4DF">
            <w:pPr>
              <w:jc w:val="center"/>
              <w:rPr>
                <w:rFonts w:ascii="宋体" w:hAnsi="宋体" w:eastAsia="宋体" w:cs="宋体"/>
                <w:kern w:val="0"/>
                <w:szCs w:val="21"/>
              </w:rPr>
            </w:pPr>
            <w:r>
              <w:rPr>
                <w:rFonts w:hint="eastAsia" w:ascii="宋体" w:hAnsi="宋体" w:eastAsia="宋体" w:cs="宋体"/>
                <w:kern w:val="0"/>
                <w:szCs w:val="21"/>
              </w:rPr>
              <w:t>企业服务星级评审</w:t>
            </w:r>
          </w:p>
        </w:tc>
        <w:tc>
          <w:tcPr>
            <w:tcW w:w="3064" w:type="pct"/>
            <w:tcBorders>
              <w:top w:val="single" w:color="auto" w:sz="4" w:space="0"/>
              <w:left w:val="single" w:color="auto" w:sz="4" w:space="0"/>
              <w:bottom w:val="single" w:color="auto" w:sz="4" w:space="0"/>
              <w:right w:val="single" w:color="auto" w:sz="4" w:space="0"/>
            </w:tcBorders>
            <w:noWrap w:val="0"/>
            <w:vAlign w:val="top"/>
          </w:tcPr>
          <w:p w14:paraId="669E5D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投标人或其控股子公司截止至2026年4月30日运营的养老机构项目在省（部）级民政厅（部）星级评比中获得的星级进行评审：</w:t>
            </w:r>
          </w:p>
          <w:p w14:paraId="7248D2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1.获得五星级</w:t>
            </w:r>
            <w:r>
              <w:rPr>
                <w:rFonts w:hint="eastAsia" w:ascii="宋体" w:hAnsi="宋体" w:eastAsia="宋体" w:cs="宋体"/>
                <w:kern w:val="0"/>
                <w:szCs w:val="21"/>
                <w:lang w:val="en-US" w:eastAsia="zh-CN"/>
              </w:rPr>
              <w:t>及</w:t>
            </w:r>
            <w:r>
              <w:rPr>
                <w:rFonts w:hint="eastAsia" w:ascii="宋体" w:hAnsi="宋体" w:eastAsia="宋体" w:cs="宋体"/>
                <w:kern w:val="0"/>
                <w:szCs w:val="21"/>
              </w:rPr>
              <w:t>以上养老机构的</w:t>
            </w:r>
            <w:r>
              <w:rPr>
                <w:rFonts w:hint="eastAsia" w:ascii="宋体" w:hAnsi="宋体" w:eastAsia="宋体" w:cs="宋体"/>
                <w:kern w:val="0"/>
                <w:szCs w:val="21"/>
                <w:lang w:eastAsia="zh-CN"/>
              </w:rPr>
              <w:t>，</w:t>
            </w:r>
            <w:r>
              <w:rPr>
                <w:rFonts w:hint="eastAsia" w:ascii="宋体" w:hAnsi="宋体" w:eastAsia="宋体" w:cs="宋体"/>
                <w:kern w:val="0"/>
                <w:szCs w:val="21"/>
              </w:rPr>
              <w:t>得</w:t>
            </w:r>
            <w:r>
              <w:rPr>
                <w:rFonts w:hint="eastAsia" w:ascii="宋体" w:hAnsi="宋体" w:eastAsia="宋体" w:cs="宋体"/>
                <w:kern w:val="0"/>
                <w:szCs w:val="21"/>
                <w:lang w:val="en-US" w:eastAsia="zh-CN"/>
              </w:rPr>
              <w:t>10</w:t>
            </w:r>
            <w:r>
              <w:rPr>
                <w:rFonts w:hint="eastAsia" w:ascii="宋体" w:hAnsi="宋体" w:eastAsia="宋体" w:cs="宋体"/>
                <w:kern w:val="0"/>
                <w:szCs w:val="21"/>
              </w:rPr>
              <w:t>分</w:t>
            </w:r>
          </w:p>
          <w:p w14:paraId="4E3EAF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2.获得四星级养老机构的</w:t>
            </w:r>
            <w:r>
              <w:rPr>
                <w:rFonts w:hint="eastAsia" w:ascii="宋体" w:hAnsi="宋体" w:eastAsia="宋体" w:cs="宋体"/>
                <w:kern w:val="0"/>
                <w:szCs w:val="21"/>
                <w:lang w:eastAsia="zh-CN"/>
              </w:rPr>
              <w:t>，</w:t>
            </w:r>
            <w:r>
              <w:rPr>
                <w:rFonts w:hint="eastAsia" w:ascii="宋体" w:hAnsi="宋体" w:eastAsia="宋体" w:cs="宋体"/>
                <w:kern w:val="0"/>
                <w:szCs w:val="21"/>
              </w:rPr>
              <w:t>得</w:t>
            </w:r>
            <w:r>
              <w:rPr>
                <w:rFonts w:hint="eastAsia" w:ascii="宋体" w:hAnsi="宋体" w:eastAsia="宋体" w:cs="宋体"/>
                <w:kern w:val="0"/>
                <w:szCs w:val="21"/>
                <w:lang w:val="en-US" w:eastAsia="zh-CN"/>
              </w:rPr>
              <w:t>5</w:t>
            </w:r>
            <w:r>
              <w:rPr>
                <w:rFonts w:hint="eastAsia" w:ascii="宋体" w:hAnsi="宋体" w:eastAsia="宋体" w:cs="宋体"/>
                <w:kern w:val="0"/>
                <w:szCs w:val="21"/>
              </w:rPr>
              <w:t>分</w:t>
            </w:r>
          </w:p>
          <w:p w14:paraId="650B55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3.获得三星级及以下的</w:t>
            </w:r>
            <w:r>
              <w:rPr>
                <w:rFonts w:hint="eastAsia" w:ascii="宋体" w:hAnsi="宋体" w:eastAsia="宋体" w:cs="宋体"/>
                <w:kern w:val="0"/>
                <w:szCs w:val="21"/>
                <w:lang w:eastAsia="zh-CN"/>
              </w:rPr>
              <w:t>，</w:t>
            </w:r>
            <w:r>
              <w:rPr>
                <w:rFonts w:hint="eastAsia" w:ascii="宋体" w:hAnsi="宋体" w:eastAsia="宋体" w:cs="宋体"/>
                <w:kern w:val="0"/>
                <w:szCs w:val="21"/>
              </w:rPr>
              <w:t>不得分；</w:t>
            </w:r>
          </w:p>
          <w:p w14:paraId="519ADA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注：须提供相关证明</w:t>
            </w:r>
            <w:r>
              <w:rPr>
                <w:rFonts w:hint="eastAsia" w:ascii="宋体" w:hAnsi="宋体" w:eastAsia="宋体" w:cs="宋体"/>
                <w:kern w:val="0"/>
                <w:szCs w:val="21"/>
                <w:lang w:val="en-US" w:eastAsia="zh-CN"/>
              </w:rPr>
              <w:t>材料</w:t>
            </w:r>
            <w:r>
              <w:rPr>
                <w:rFonts w:hint="eastAsia" w:ascii="宋体" w:hAnsi="宋体" w:eastAsia="宋体" w:cs="宋体"/>
                <w:kern w:val="0"/>
                <w:szCs w:val="21"/>
              </w:rPr>
              <w:t>复印件并加盖公章，不提供不得分。</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6F848E95">
            <w:pPr>
              <w:pStyle w:val="16"/>
              <w:snapToGrid w:val="0"/>
              <w:jc w:val="center"/>
              <w:rPr>
                <w:rFonts w:hint="default" w:eastAsia="宋体"/>
                <w:sz w:val="21"/>
                <w:szCs w:val="21"/>
                <w:lang w:val="en-US" w:eastAsia="zh-CN"/>
              </w:rPr>
            </w:pPr>
            <w:r>
              <w:rPr>
                <w:rFonts w:hint="eastAsia"/>
                <w:sz w:val="21"/>
                <w:szCs w:val="21"/>
                <w:highlight w:val="none"/>
                <w:lang w:val="en-US" w:eastAsia="zh-CN"/>
              </w:rPr>
              <w:t>10</w:t>
            </w:r>
          </w:p>
        </w:tc>
      </w:tr>
      <w:tr w14:paraId="4B3B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473" w:type="pct"/>
            <w:gridSpan w:val="3"/>
            <w:tcBorders>
              <w:top w:val="single" w:color="auto" w:sz="4" w:space="0"/>
              <w:left w:val="single" w:color="auto" w:sz="4" w:space="0"/>
              <w:bottom w:val="single" w:color="auto" w:sz="4" w:space="0"/>
              <w:right w:val="single" w:color="auto" w:sz="4" w:space="0"/>
            </w:tcBorders>
            <w:noWrap w:val="0"/>
            <w:vAlign w:val="center"/>
          </w:tcPr>
          <w:p w14:paraId="1159CD33">
            <w:pPr>
              <w:jc w:val="center"/>
              <w:rPr>
                <w:rFonts w:hint="eastAsia" w:ascii="宋体" w:hAnsi="宋体" w:eastAsia="宋体" w:cs="宋体"/>
                <w:kern w:val="0"/>
                <w:szCs w:val="21"/>
              </w:rPr>
            </w:pPr>
            <w:r>
              <w:rPr>
                <w:rFonts w:hint="eastAsia" w:ascii="宋体" w:hAnsi="宋体" w:eastAsia="宋体" w:cs="宋体"/>
                <w:kern w:val="0"/>
                <w:szCs w:val="21"/>
              </w:rPr>
              <w:t>合  计</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0723AC72">
            <w:pPr>
              <w:jc w:val="center"/>
              <w:rPr>
                <w:rFonts w:hint="eastAsia" w:ascii="宋体" w:hAnsi="宋体" w:eastAsia="宋体" w:cs="宋体"/>
                <w:kern w:val="0"/>
                <w:szCs w:val="21"/>
              </w:rPr>
            </w:pPr>
            <w:r>
              <w:rPr>
                <w:rFonts w:hint="eastAsia" w:ascii="宋体" w:hAnsi="宋体" w:eastAsia="宋体" w:cs="宋体"/>
                <w:kern w:val="0"/>
                <w:szCs w:val="21"/>
              </w:rPr>
              <w:t>100</w:t>
            </w:r>
          </w:p>
        </w:tc>
      </w:tr>
    </w:tbl>
    <w:p w14:paraId="25510332">
      <w:pPr>
        <w:pStyle w:val="3"/>
        <w:rPr>
          <w:rFonts w:hint="eastAsia" w:ascii="宋体" w:hAnsi="宋体" w:eastAsia="宋体" w:cs="宋体"/>
          <w:color w:val="auto"/>
          <w:highlight w:val="none"/>
        </w:rPr>
      </w:pPr>
    </w:p>
    <w:p w14:paraId="2B15A21B">
      <w:pPr>
        <w:pStyle w:val="3"/>
        <w:rPr>
          <w:rFonts w:hint="eastAsia" w:ascii="宋体" w:hAnsi="宋体" w:eastAsia="宋体" w:cs="宋体"/>
          <w:color w:val="auto"/>
          <w:highlight w:val="none"/>
        </w:rPr>
      </w:pPr>
    </w:p>
    <w:p w14:paraId="2D5CFCBE">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F64BC68">
      <w:pPr>
        <w:pStyle w:val="3"/>
        <w:rPr>
          <w:rFonts w:hint="eastAsia" w:ascii="宋体" w:hAnsi="宋体" w:eastAsia="宋体" w:cs="宋体"/>
          <w:color w:val="auto"/>
          <w:highlight w:val="none"/>
        </w:rPr>
      </w:pPr>
      <w:r>
        <w:rPr>
          <w:rFonts w:hint="eastAsia" w:ascii="宋体" w:hAnsi="宋体" w:eastAsia="宋体" w:cs="宋体"/>
          <w:color w:val="auto"/>
          <w:highlight w:val="none"/>
        </w:rPr>
        <w:t>第五章 采购合同条款及格式</w:t>
      </w:r>
    </w:p>
    <w:p w14:paraId="6B54E5A7">
      <w:pPr>
        <w:rPr>
          <w:rFonts w:hint="eastAsia" w:ascii="宋体" w:hAnsi="宋体" w:eastAsia="宋体" w:cs="宋体"/>
          <w:color w:val="auto"/>
          <w:highlight w:val="none"/>
        </w:rPr>
      </w:pPr>
    </w:p>
    <w:p w14:paraId="094677FB">
      <w:pPr>
        <w:pStyle w:val="26"/>
        <w:ind w:left="0" w:leftChars="0" w:firstLine="0" w:firstLineChars="0"/>
        <w:rPr>
          <w:rFonts w:hint="eastAsia" w:ascii="宋体" w:hAnsi="宋体" w:eastAsia="宋体" w:cs="宋体"/>
          <w:color w:val="auto"/>
          <w:szCs w:val="21"/>
          <w:highlight w:val="none"/>
        </w:rPr>
      </w:pPr>
    </w:p>
    <w:p w14:paraId="0E5C8831">
      <w:pPr>
        <w:tabs>
          <w:tab w:val="left" w:pos="720"/>
        </w:tabs>
        <w:jc w:val="both"/>
        <w:rPr>
          <w:rFonts w:hint="eastAsia" w:ascii="宋体" w:hAnsi="宋体" w:eastAsia="宋体" w:cs="宋体"/>
          <w:b/>
          <w:color w:val="auto"/>
          <w:sz w:val="84"/>
          <w:szCs w:val="84"/>
          <w:highlight w:val="none"/>
        </w:rPr>
      </w:pPr>
    </w:p>
    <w:p w14:paraId="59A3F63B">
      <w:pPr>
        <w:tabs>
          <w:tab w:val="left" w:pos="720"/>
        </w:tabs>
        <w:rPr>
          <w:rFonts w:hint="eastAsia" w:ascii="宋体" w:hAnsi="宋体" w:eastAsia="宋体" w:cs="宋体"/>
          <w:b/>
          <w:color w:val="auto"/>
          <w:szCs w:val="21"/>
          <w:highlight w:val="none"/>
        </w:rPr>
      </w:pPr>
    </w:p>
    <w:p w14:paraId="2741FC09">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sz w:val="72"/>
          <w:szCs w:val="72"/>
        </w:rPr>
      </w:pPr>
      <w:r>
        <w:rPr>
          <w:rFonts w:hint="eastAsia" w:ascii="宋体" w:hAnsi="宋体" w:eastAsia="宋体" w:cs="宋体"/>
          <w:b/>
          <w:sz w:val="72"/>
          <w:szCs w:val="72"/>
          <w:lang w:val="en-US" w:eastAsia="zh-CN"/>
        </w:rPr>
        <w:t>韶关市武江区养老服务中心（一期）委托运营管理项目</w:t>
      </w:r>
      <w:r>
        <w:rPr>
          <w:rFonts w:hint="eastAsia" w:ascii="宋体" w:hAnsi="宋体" w:eastAsia="宋体" w:cs="宋体"/>
          <w:b/>
          <w:sz w:val="72"/>
          <w:szCs w:val="72"/>
        </w:rPr>
        <w:t>合同书</w:t>
      </w:r>
    </w:p>
    <w:p w14:paraId="6B7FD58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1"/>
          <w:szCs w:val="21"/>
          <w:lang w:eastAsia="zh-CN"/>
        </w:rPr>
      </w:pPr>
    </w:p>
    <w:p w14:paraId="795B519E">
      <w:pPr>
        <w:keepNext w:val="0"/>
        <w:keepLines w:val="0"/>
        <w:pageBreakBefore w:val="0"/>
        <w:kinsoku/>
        <w:wordWrap/>
        <w:overflowPunct/>
        <w:topLinePunct w:val="0"/>
        <w:autoSpaceDE/>
        <w:autoSpaceDN/>
        <w:bidi w:val="0"/>
        <w:adjustRightInd/>
        <w:snapToGrid/>
        <w:ind w:firstLine="0" w:firstLineChars="0"/>
        <w:textAlignment w:val="auto"/>
        <w:rPr>
          <w:rFonts w:hint="eastAsia" w:ascii="宋体" w:hAnsi="宋体" w:eastAsia="宋体" w:cs="宋体"/>
          <w:sz w:val="21"/>
          <w:szCs w:val="21"/>
        </w:rPr>
      </w:pPr>
    </w:p>
    <w:p w14:paraId="156FCBF8">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　</w:t>
      </w:r>
    </w:p>
    <w:p w14:paraId="71893D3B">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1"/>
          <w:szCs w:val="21"/>
        </w:rPr>
      </w:pPr>
    </w:p>
    <w:p w14:paraId="454D5580">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21"/>
          <w:szCs w:val="21"/>
        </w:rPr>
      </w:pPr>
    </w:p>
    <w:p w14:paraId="2641E84A">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21"/>
          <w:szCs w:val="21"/>
        </w:rPr>
      </w:pPr>
    </w:p>
    <w:p w14:paraId="680A31DA">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21"/>
          <w:szCs w:val="21"/>
        </w:rPr>
      </w:pPr>
    </w:p>
    <w:p w14:paraId="52C1E14D">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21"/>
          <w:szCs w:val="21"/>
        </w:rPr>
      </w:pPr>
    </w:p>
    <w:p w14:paraId="2D6F0B71">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30"/>
          <w:szCs w:val="30"/>
          <w:lang w:val="en-US" w:eastAsia="zh-CN"/>
        </w:rPr>
      </w:pPr>
      <w:r>
        <w:rPr>
          <w:rFonts w:hint="eastAsia" w:ascii="宋体" w:hAnsi="宋体" w:eastAsia="宋体" w:cs="宋体"/>
          <w:b/>
          <w:sz w:val="30"/>
          <w:szCs w:val="30"/>
        </w:rPr>
        <w:t>项目编号：</w:t>
      </w:r>
      <w:r>
        <w:rPr>
          <w:rFonts w:hint="eastAsia" w:ascii="宋体" w:hAnsi="宋体" w:eastAsia="宋体" w:cs="宋体"/>
          <w:b/>
          <w:sz w:val="30"/>
          <w:szCs w:val="30"/>
          <w:lang w:val="en-US" w:eastAsia="zh-CN"/>
        </w:rPr>
        <w:t>XXX</w:t>
      </w:r>
      <w:r>
        <w:rPr>
          <w:rFonts w:hint="eastAsia" w:ascii="宋体" w:hAnsi="宋体" w:eastAsia="宋体" w:cs="宋体"/>
          <w:b/>
          <w:sz w:val="30"/>
          <w:szCs w:val="30"/>
        </w:rPr>
        <w:t>X-202</w:t>
      </w:r>
      <w:r>
        <w:rPr>
          <w:rFonts w:hint="eastAsia" w:ascii="宋体" w:hAnsi="宋体" w:eastAsia="宋体" w:cs="宋体"/>
          <w:b/>
          <w:sz w:val="30"/>
          <w:szCs w:val="30"/>
          <w:lang w:val="en-US" w:eastAsia="zh-CN"/>
        </w:rPr>
        <w:t>5</w:t>
      </w:r>
      <w:r>
        <w:rPr>
          <w:rFonts w:hint="eastAsia" w:ascii="宋体" w:hAnsi="宋体" w:eastAsia="宋体" w:cs="宋体"/>
          <w:b/>
          <w:sz w:val="30"/>
          <w:szCs w:val="30"/>
        </w:rPr>
        <w:t>-</w:t>
      </w:r>
      <w:r>
        <w:rPr>
          <w:rFonts w:hint="eastAsia" w:ascii="宋体" w:hAnsi="宋体" w:eastAsia="宋体" w:cs="宋体"/>
          <w:b/>
          <w:sz w:val="30"/>
          <w:szCs w:val="30"/>
          <w:lang w:val="en-US" w:eastAsia="zh-CN"/>
        </w:rPr>
        <w:t>XXX</w:t>
      </w:r>
    </w:p>
    <w:p w14:paraId="08E46A50">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甲方：</w:t>
      </w:r>
    </w:p>
    <w:p w14:paraId="5CF89505">
      <w:pPr>
        <w:keepNext w:val="0"/>
        <w:keepLines w:val="0"/>
        <w:pageBreakBefore w:val="0"/>
        <w:tabs>
          <w:tab w:val="left" w:pos="720"/>
        </w:tabs>
        <w:kinsoku/>
        <w:wordWrap/>
        <w:overflowPunct/>
        <w:topLinePunct w:val="0"/>
        <w:autoSpaceDE/>
        <w:autoSpaceDN/>
        <w:bidi w:val="0"/>
        <w:adjustRightInd/>
        <w:snapToGrid/>
        <w:spacing w:line="360" w:lineRule="auto"/>
        <w:ind w:leftChars="800" w:firstLine="0" w:firstLineChars="0"/>
        <w:jc w:val="both"/>
        <w:textAlignment w:val="auto"/>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乙方：xx公司</w:t>
      </w:r>
    </w:p>
    <w:p w14:paraId="3D348200">
      <w:pPr>
        <w:rPr>
          <w:rFonts w:hint="eastAsia" w:ascii="宋体" w:hAnsi="宋体" w:eastAsia="宋体" w:cs="宋体"/>
          <w:b/>
          <w:color w:val="auto"/>
          <w:szCs w:val="21"/>
        </w:rPr>
      </w:pPr>
    </w:p>
    <w:p w14:paraId="29BD18E3">
      <w:pPr>
        <w:rPr>
          <w:rFonts w:hint="eastAsia" w:ascii="宋体" w:hAnsi="宋体" w:eastAsia="宋体" w:cs="宋体"/>
          <w:b/>
          <w:color w:val="auto"/>
          <w:szCs w:val="21"/>
        </w:rPr>
      </w:pPr>
    </w:p>
    <w:p w14:paraId="019CCDE6">
      <w:pPr>
        <w:rPr>
          <w:rFonts w:hint="eastAsia" w:ascii="宋体" w:hAnsi="宋体" w:eastAsia="宋体" w:cs="宋体"/>
          <w:b/>
          <w:color w:val="auto"/>
          <w:szCs w:val="21"/>
        </w:rPr>
      </w:pPr>
    </w:p>
    <w:p w14:paraId="50E65EE9">
      <w:pPr>
        <w:rPr>
          <w:rFonts w:hint="eastAsia" w:ascii="宋体" w:hAnsi="宋体" w:eastAsia="宋体" w:cs="宋体"/>
          <w:b/>
          <w:color w:val="auto"/>
          <w:szCs w:val="21"/>
        </w:rPr>
      </w:pPr>
    </w:p>
    <w:p w14:paraId="5AC2DA77">
      <w:pPr>
        <w:rPr>
          <w:rFonts w:hint="eastAsia" w:ascii="宋体" w:hAnsi="宋体" w:eastAsia="宋体" w:cs="宋体"/>
          <w:b/>
          <w:color w:val="auto"/>
          <w:szCs w:val="21"/>
        </w:rPr>
      </w:pPr>
    </w:p>
    <w:p w14:paraId="6AE04DEF">
      <w:pPr>
        <w:rPr>
          <w:rFonts w:hint="eastAsia" w:ascii="宋体" w:hAnsi="宋体" w:eastAsia="宋体" w:cs="宋体"/>
          <w:b/>
          <w:color w:val="auto"/>
          <w:szCs w:val="21"/>
        </w:rPr>
      </w:pPr>
    </w:p>
    <w:p w14:paraId="1DAB5A10">
      <w:pPr>
        <w:jc w:val="center"/>
        <w:rPr>
          <w:rFonts w:hint="eastAsia" w:ascii="宋体" w:hAnsi="宋体" w:eastAsia="宋体" w:cs="宋体"/>
          <w:b w:val="0"/>
          <w:bCs/>
          <w:color w:val="auto"/>
          <w:szCs w:val="21"/>
        </w:rPr>
      </w:pPr>
      <w:r>
        <w:rPr>
          <w:rFonts w:hint="eastAsia" w:ascii="宋体" w:hAnsi="宋体" w:eastAsia="宋体" w:cs="宋体"/>
          <w:b w:val="0"/>
          <w:bCs/>
          <w:color w:val="auto"/>
          <w:szCs w:val="21"/>
        </w:rPr>
        <w:t>注：本合同仅为合同的参考文本，合同签订双方可根据项目的具体要求进行修订。</w:t>
      </w:r>
    </w:p>
    <w:p w14:paraId="15C99F41">
      <w:pPr>
        <w:keepNext w:val="0"/>
        <w:keepLines w:val="0"/>
        <w:pageBreakBefore w:val="0"/>
        <w:kinsoku/>
        <w:wordWrap w:val="0"/>
        <w:overflowPunct/>
        <w:topLinePunct w:val="0"/>
        <w:autoSpaceDE/>
        <w:autoSpaceDN/>
        <w:bidi w:val="0"/>
        <w:adjustRightInd w:val="0"/>
        <w:snapToGrid w:val="0"/>
        <w:spacing w:line="360" w:lineRule="auto"/>
        <w:ind w:firstLine="211" w:firstLineChars="100"/>
        <w:jc w:val="center"/>
        <w:textAlignment w:val="auto"/>
        <w:rPr>
          <w:rFonts w:hint="eastAsia" w:ascii="宋体" w:hAnsi="宋体" w:eastAsia="宋体" w:cs="宋体"/>
          <w:sz w:val="21"/>
          <w:szCs w:val="21"/>
          <w:lang w:eastAsia="zh-CN"/>
        </w:rPr>
      </w:pPr>
      <w:r>
        <w:rPr>
          <w:rFonts w:hint="eastAsia" w:ascii="宋体" w:hAnsi="宋体" w:eastAsia="宋体" w:cs="宋体"/>
          <w:b/>
          <w:sz w:val="21"/>
          <w:szCs w:val="21"/>
        </w:rPr>
        <w:br w:type="page"/>
      </w:r>
    </w:p>
    <w:p w14:paraId="4022F4BF">
      <w:pPr>
        <w:keepNext w:val="0"/>
        <w:keepLines w:val="0"/>
        <w:pageBreakBefore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rPr>
      </w:pPr>
    </w:p>
    <w:p w14:paraId="50035576">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lang w:eastAsia="zh-CN"/>
        </w:rPr>
        <w:t>甲方</w:t>
      </w:r>
      <w:r>
        <w:rPr>
          <w:rFonts w:hint="eastAsia" w:ascii="宋体" w:hAnsi="宋体" w:eastAsia="宋体" w:cs="宋体"/>
          <w:sz w:val="21"/>
          <w:szCs w:val="21"/>
        </w:rPr>
        <w:t>）：_________________________________</w:t>
      </w:r>
    </w:p>
    <w:p w14:paraId="37BCE7C1">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地址：_________________________________</w:t>
      </w:r>
    </w:p>
    <w:p w14:paraId="3E0BD6D0">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法定代表人：_________________________________</w:t>
      </w:r>
    </w:p>
    <w:p w14:paraId="355D941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p>
    <w:p w14:paraId="28E11600">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乙方（中标方）：_________________________________</w:t>
      </w:r>
    </w:p>
    <w:p w14:paraId="6A413A2A">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地址：_________________________________</w:t>
      </w:r>
    </w:p>
    <w:p w14:paraId="3AB675C6">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法定代表人：_________________________________</w:t>
      </w:r>
    </w:p>
    <w:p w14:paraId="66DA52D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lang w:eastAsia="zh-CN"/>
        </w:rPr>
        <w:t>韶关市武江区养老服务中心（一期）</w:t>
      </w:r>
      <w:r>
        <w:rPr>
          <w:rFonts w:hint="eastAsia" w:ascii="宋体" w:hAnsi="宋体" w:eastAsia="宋体" w:cs="宋体"/>
          <w:color w:val="auto"/>
          <w:sz w:val="21"/>
          <w:szCs w:val="21"/>
          <w:highlight w:val="none"/>
          <w:lang w:val="en-US" w:eastAsia="zh-CN"/>
        </w:rPr>
        <w:t>概算</w:t>
      </w:r>
      <w:r>
        <w:rPr>
          <w:rFonts w:hint="eastAsia" w:ascii="宋体" w:hAnsi="宋体" w:eastAsia="宋体" w:cs="宋体"/>
          <w:color w:val="auto"/>
          <w:sz w:val="21"/>
          <w:szCs w:val="21"/>
          <w:highlight w:val="none"/>
        </w:rPr>
        <w:t>总投资11290.79万元，总用地面积</w:t>
      </w:r>
      <w:r>
        <w:rPr>
          <w:rFonts w:hint="eastAsia" w:ascii="宋体" w:hAnsi="宋体" w:eastAsia="宋体" w:cs="宋体"/>
          <w:color w:val="auto"/>
          <w:sz w:val="21"/>
          <w:szCs w:val="21"/>
          <w:highlight w:val="none"/>
          <w:lang w:val="en-US" w:eastAsia="zh-CN"/>
        </w:rPr>
        <w:t>9814</w:t>
      </w:r>
      <w:r>
        <w:rPr>
          <w:rFonts w:hint="eastAsia" w:ascii="宋体" w:hAnsi="宋体" w:eastAsia="宋体" w:cs="宋体"/>
          <w:color w:val="auto"/>
          <w:sz w:val="21"/>
          <w:szCs w:val="21"/>
          <w:highlight w:val="none"/>
        </w:rPr>
        <w:t>平方米（折合</w:t>
      </w:r>
      <w:r>
        <w:rPr>
          <w:rFonts w:hint="eastAsia" w:ascii="宋体" w:hAnsi="宋体" w:eastAsia="宋体" w:cs="宋体"/>
          <w:color w:val="auto"/>
          <w:sz w:val="21"/>
          <w:szCs w:val="21"/>
          <w:highlight w:val="none"/>
          <w:lang w:val="en-US" w:eastAsia="zh-CN"/>
        </w:rPr>
        <w:t>14.72</w:t>
      </w:r>
      <w:r>
        <w:rPr>
          <w:rFonts w:hint="eastAsia" w:ascii="宋体" w:hAnsi="宋体" w:eastAsia="宋体" w:cs="宋体"/>
          <w:color w:val="auto"/>
          <w:sz w:val="21"/>
          <w:szCs w:val="21"/>
          <w:highlight w:val="none"/>
        </w:rPr>
        <w:t>亩），总建筑面积为</w:t>
      </w:r>
      <w:r>
        <w:rPr>
          <w:rFonts w:hint="eastAsia" w:ascii="宋体" w:hAnsi="宋体" w:eastAsia="宋体" w:cs="宋体"/>
          <w:color w:val="auto"/>
          <w:sz w:val="21"/>
          <w:szCs w:val="21"/>
          <w:highlight w:val="none"/>
          <w:lang w:eastAsia="zh-CN"/>
        </w:rPr>
        <w:t>20509.91</w:t>
      </w:r>
      <w:r>
        <w:rPr>
          <w:rFonts w:hint="eastAsia" w:ascii="宋体" w:hAnsi="宋体" w:eastAsia="宋体" w:cs="宋体"/>
          <w:color w:val="auto"/>
          <w:sz w:val="21"/>
          <w:szCs w:val="21"/>
          <w:highlight w:val="none"/>
        </w:rPr>
        <w:t>平方米。主要建设为8栋建筑及连廊、一层地下室，1号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建筑面积为1283.11平方米，2号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建筑面积为8661.99平方米，</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建筑面积为5423.43平方米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建筑面积为2778.92平方米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建筑面积为24.84平方米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建筑面积为30.66平方米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楼</w:t>
      </w:r>
      <w:r>
        <w:rPr>
          <w:rFonts w:hint="eastAsia" w:ascii="宋体" w:hAnsi="宋体" w:eastAsia="宋体" w:cs="宋体"/>
          <w:color w:val="auto"/>
          <w:sz w:val="21"/>
          <w:szCs w:val="21"/>
          <w:highlight w:val="none"/>
        </w:rPr>
        <w:t>建筑面积为148.50平方米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地下室</w:t>
      </w:r>
      <w:r>
        <w:rPr>
          <w:rFonts w:hint="eastAsia" w:ascii="宋体" w:hAnsi="宋体" w:eastAsia="宋体" w:cs="宋体"/>
          <w:color w:val="auto"/>
          <w:sz w:val="21"/>
          <w:szCs w:val="21"/>
          <w:highlight w:val="none"/>
        </w:rPr>
        <w:t>建筑面积为</w:t>
      </w:r>
      <w:r>
        <w:rPr>
          <w:rFonts w:hint="eastAsia" w:ascii="宋体" w:hAnsi="宋体" w:eastAsia="宋体" w:cs="宋体"/>
          <w:color w:val="auto"/>
          <w:sz w:val="21"/>
          <w:szCs w:val="21"/>
          <w:highlight w:val="none"/>
          <w:lang w:val="en-US" w:eastAsia="zh-CN"/>
        </w:rPr>
        <w:t>3323.42㎡，旅居楼</w:t>
      </w:r>
      <w:r>
        <w:rPr>
          <w:rFonts w:hint="eastAsia" w:ascii="宋体" w:hAnsi="宋体" w:eastAsia="宋体" w:cs="宋体"/>
          <w:color w:val="auto"/>
          <w:sz w:val="21"/>
          <w:szCs w:val="21"/>
          <w:highlight w:val="none"/>
        </w:rPr>
        <w:t>建筑面积为</w:t>
      </w:r>
      <w:r>
        <w:rPr>
          <w:rFonts w:hint="eastAsia" w:ascii="宋体" w:hAnsi="宋体" w:eastAsia="宋体" w:cs="宋体"/>
          <w:color w:val="auto"/>
          <w:sz w:val="21"/>
          <w:szCs w:val="21"/>
          <w:highlight w:val="none"/>
          <w:lang w:val="en-US" w:eastAsia="zh-CN"/>
        </w:rPr>
        <w:t>1613.96㎡</w:t>
      </w:r>
      <w:r>
        <w:rPr>
          <w:rFonts w:hint="eastAsia" w:ascii="宋体" w:hAnsi="宋体" w:eastAsia="宋体" w:cs="宋体"/>
          <w:color w:val="auto"/>
          <w:sz w:val="21"/>
          <w:szCs w:val="21"/>
          <w:highlight w:val="none"/>
        </w:rPr>
        <w:t>。还包括附属工程：大院周围围墙、室外活动绿化、停车场等建设内容。</w:t>
      </w:r>
    </w:p>
    <w:p w14:paraId="6C955E0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521</w:t>
      </w:r>
      <w:r>
        <w:rPr>
          <w:rFonts w:hint="eastAsia" w:ascii="宋体" w:hAnsi="宋体" w:eastAsia="宋体" w:cs="宋体"/>
          <w:color w:val="auto"/>
          <w:sz w:val="21"/>
          <w:szCs w:val="21"/>
          <w:highlight w:val="none"/>
        </w:rPr>
        <w:t>个服务床位，其中</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%为政府兜底床位（</w:t>
      </w:r>
      <w:r>
        <w:rPr>
          <w:rFonts w:hint="eastAsia" w:ascii="宋体" w:hAnsi="宋体" w:eastAsia="宋体" w:cs="宋体"/>
          <w:color w:val="auto"/>
          <w:sz w:val="21"/>
          <w:szCs w:val="21"/>
          <w:highlight w:val="none"/>
          <w:lang w:val="en-US" w:eastAsia="zh-CN"/>
        </w:rPr>
        <w:t>约100</w:t>
      </w:r>
      <w:r>
        <w:rPr>
          <w:rFonts w:hint="eastAsia" w:ascii="宋体" w:hAnsi="宋体" w:eastAsia="宋体" w:cs="宋体"/>
          <w:color w:val="auto"/>
          <w:sz w:val="21"/>
          <w:szCs w:val="21"/>
          <w:highlight w:val="none"/>
        </w:rPr>
        <w:t>个床位），</w:t>
      </w: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普惠性</w:t>
      </w:r>
      <w:r>
        <w:rPr>
          <w:rFonts w:hint="eastAsia" w:ascii="宋体" w:hAnsi="宋体" w:eastAsia="宋体" w:cs="宋体"/>
          <w:color w:val="auto"/>
          <w:sz w:val="21"/>
          <w:szCs w:val="21"/>
          <w:highlight w:val="none"/>
        </w:rPr>
        <w:t>床位（</w:t>
      </w:r>
      <w:r>
        <w:rPr>
          <w:rFonts w:hint="eastAsia" w:ascii="宋体" w:hAnsi="宋体" w:eastAsia="宋体" w:cs="宋体"/>
          <w:color w:val="auto"/>
          <w:sz w:val="21"/>
          <w:szCs w:val="21"/>
          <w:highlight w:val="none"/>
          <w:lang w:val="en-US" w:eastAsia="zh-CN"/>
        </w:rPr>
        <w:t>约150</w:t>
      </w:r>
      <w:r>
        <w:rPr>
          <w:rFonts w:hint="eastAsia" w:ascii="宋体" w:hAnsi="宋体" w:eastAsia="宋体" w:cs="宋体"/>
          <w:color w:val="auto"/>
          <w:sz w:val="21"/>
          <w:szCs w:val="21"/>
          <w:highlight w:val="none"/>
        </w:rPr>
        <w:t>个床位）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%为社会化运营单位自营床位（</w:t>
      </w:r>
      <w:r>
        <w:rPr>
          <w:rFonts w:hint="eastAsia" w:ascii="宋体" w:hAnsi="宋体" w:eastAsia="宋体" w:cs="宋体"/>
          <w:color w:val="auto"/>
          <w:sz w:val="21"/>
          <w:szCs w:val="21"/>
          <w:highlight w:val="none"/>
          <w:lang w:val="en-US" w:eastAsia="zh-CN"/>
        </w:rPr>
        <w:t>约241</w:t>
      </w:r>
      <w:r>
        <w:rPr>
          <w:rFonts w:hint="eastAsia" w:ascii="宋体" w:hAnsi="宋体" w:eastAsia="宋体" w:cs="宋体"/>
          <w:color w:val="auto"/>
          <w:sz w:val="21"/>
          <w:szCs w:val="21"/>
          <w:highlight w:val="none"/>
        </w:rPr>
        <w:t>个床位）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6%为旅居床位（约30个床位）</w:t>
      </w:r>
      <w:r>
        <w:rPr>
          <w:rFonts w:hint="eastAsia" w:ascii="宋体" w:hAnsi="宋体" w:eastAsia="宋体" w:cs="宋体"/>
          <w:color w:val="auto"/>
          <w:sz w:val="21"/>
          <w:szCs w:val="21"/>
          <w:highlight w:val="none"/>
        </w:rPr>
        <w:t>。</w:t>
      </w:r>
    </w:p>
    <w:p w14:paraId="41C2320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为使</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达到保障效能，激发社会力量参与养老服务，进一步实现养老服务资源优化配置，根据《中华人民共和国政府采购法》及其实施条例、《中华人民共和国民法典》、</w:t>
      </w:r>
      <w:r>
        <w:rPr>
          <w:rFonts w:hint="eastAsia" w:ascii="宋体" w:hAnsi="宋体" w:eastAsia="宋体" w:cs="宋体"/>
          <w:color w:val="auto"/>
          <w:sz w:val="21"/>
          <w:szCs w:val="21"/>
          <w:highlight w:val="none"/>
          <w:lang w:eastAsia="zh-CN"/>
        </w:rPr>
        <w:t>韶关市武江区养老服务中心（一期）委托运营管理项目</w:t>
      </w:r>
      <w:r>
        <w:rPr>
          <w:rFonts w:hint="eastAsia" w:ascii="宋体" w:hAnsi="宋体" w:eastAsia="宋体" w:cs="宋体"/>
          <w:color w:val="auto"/>
          <w:sz w:val="21"/>
          <w:szCs w:val="21"/>
          <w:highlight w:val="none"/>
        </w:rPr>
        <w:t>的招标结果，经双方协商一致，本着平等互利和诚实信用的原则，一致同意签订本合同：</w:t>
      </w:r>
    </w:p>
    <w:p w14:paraId="4CA95F00">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p>
    <w:p w14:paraId="351C8D29">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一、</w:t>
      </w:r>
      <w:r>
        <w:rPr>
          <w:rFonts w:hint="eastAsia" w:ascii="宋体" w:hAnsi="宋体" w:eastAsia="宋体" w:cs="宋体"/>
          <w:b/>
          <w:bCs/>
          <w:color w:val="auto"/>
          <w:sz w:val="21"/>
          <w:szCs w:val="21"/>
          <w:highlight w:val="none"/>
          <w:lang w:val="en-US" w:eastAsia="zh-CN"/>
        </w:rPr>
        <w:t>租金、支付</w:t>
      </w:r>
      <w:r>
        <w:rPr>
          <w:rFonts w:hint="eastAsia" w:ascii="宋体" w:hAnsi="宋体" w:eastAsia="宋体" w:cs="宋体"/>
          <w:b/>
          <w:bCs/>
          <w:color w:val="auto"/>
          <w:sz w:val="21"/>
          <w:szCs w:val="21"/>
          <w:highlight w:val="none"/>
        </w:rPr>
        <w:t>方式</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具体以中标方案为准</w:t>
      </w:r>
      <w:r>
        <w:rPr>
          <w:rFonts w:hint="eastAsia" w:ascii="宋体" w:hAnsi="宋体" w:eastAsia="宋体" w:cs="宋体"/>
          <w:b/>
          <w:bCs/>
          <w:color w:val="auto"/>
          <w:sz w:val="21"/>
          <w:szCs w:val="21"/>
          <w:highlight w:val="none"/>
          <w:lang w:eastAsia="zh-CN"/>
        </w:rPr>
        <w:t>）</w:t>
      </w:r>
    </w:p>
    <w:p w14:paraId="294F87B6">
      <w:pPr>
        <w:keepNext w:val="0"/>
        <w:keepLines w:val="0"/>
        <w:pageBreakBefore w:val="0"/>
        <w:widowControl w:val="0"/>
        <w:kinsoku/>
        <w:wordWrap/>
        <w:overflowPunct/>
        <w:topLinePunct w:val="0"/>
        <w:autoSpaceDN/>
        <w:bidi w:val="0"/>
        <w:adjustRightInd/>
        <w:snapToGrid/>
        <w:spacing w:line="560" w:lineRule="exact"/>
        <w:ind w:left="0" w:leftChars="0" w:firstLine="422" w:firstLineChars="200"/>
        <w:textAlignment w:val="auto"/>
        <w:rPr>
          <w:rFonts w:hint="default" w:ascii="宋体" w:hAnsi="宋体" w:eastAsia="宋体" w:cs="宋体"/>
          <w:b/>
          <w:bCs/>
          <w:color w:val="auto"/>
          <w:sz w:val="21"/>
          <w:szCs w:val="21"/>
          <w:highlight w:val="none"/>
          <w:u w:val="none"/>
          <w:shd w:val="clear" w:color="auto" w:fill="auto"/>
          <w:lang w:val="en-US" w:eastAsia="zh-CN"/>
        </w:rPr>
      </w:pPr>
      <w:r>
        <w:rPr>
          <w:rFonts w:hint="eastAsia" w:ascii="宋体" w:hAnsi="宋体" w:eastAsia="宋体" w:cs="宋体"/>
          <w:b/>
          <w:bCs/>
          <w:color w:val="auto"/>
          <w:sz w:val="21"/>
          <w:szCs w:val="21"/>
          <w:highlight w:val="none"/>
          <w:u w:val="none"/>
          <w:shd w:val="clear" w:color="auto" w:fill="auto"/>
          <w:lang w:val="en-US" w:eastAsia="zh-CN"/>
        </w:rPr>
        <w:t>1.租金标准</w:t>
      </w:r>
    </w:p>
    <w:tbl>
      <w:tblPr>
        <w:tblStyle w:val="17"/>
        <w:tblW w:w="55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
        <w:gridCol w:w="2909"/>
        <w:gridCol w:w="777"/>
        <w:gridCol w:w="1502"/>
        <w:gridCol w:w="1095"/>
        <w:gridCol w:w="1477"/>
        <w:gridCol w:w="1446"/>
      </w:tblGrid>
      <w:tr w14:paraId="5E74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73" w:type="pct"/>
            <w:noWrap/>
            <w:vAlign w:val="center"/>
          </w:tcPr>
          <w:p w14:paraId="72665106">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525" w:type="pct"/>
            <w:noWrap/>
            <w:vAlign w:val="center"/>
          </w:tcPr>
          <w:p w14:paraId="5DF6F594">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采购标的</w:t>
            </w:r>
          </w:p>
        </w:tc>
        <w:tc>
          <w:tcPr>
            <w:tcW w:w="407" w:type="pct"/>
            <w:noWrap/>
            <w:vAlign w:val="center"/>
          </w:tcPr>
          <w:p w14:paraId="464797A1">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787" w:type="pct"/>
            <w:noWrap/>
            <w:vAlign w:val="center"/>
          </w:tcPr>
          <w:p w14:paraId="7C4D18A5">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shd w:val="clear" w:color="auto" w:fill="auto"/>
              </w:rPr>
              <w:t>运营期限</w:t>
            </w:r>
          </w:p>
        </w:tc>
        <w:tc>
          <w:tcPr>
            <w:tcW w:w="574" w:type="pct"/>
            <w:noWrap/>
            <w:vAlign w:val="center"/>
          </w:tcPr>
          <w:p w14:paraId="1ED7BC30">
            <w:pPr>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shd w:val="clear" w:color="auto" w:fill="auto"/>
                <w:lang w:val="en-US" w:eastAsia="zh-CN"/>
              </w:rPr>
              <w:t>免租期限</w:t>
            </w:r>
          </w:p>
        </w:tc>
        <w:tc>
          <w:tcPr>
            <w:tcW w:w="774" w:type="pct"/>
            <w:noWrap/>
            <w:vAlign w:val="center"/>
          </w:tcPr>
          <w:p w14:paraId="45857F48">
            <w:pPr>
              <w:jc w:val="center"/>
              <w:rPr>
                <w:rFonts w:hint="eastAsia" w:ascii="宋体" w:hAnsi="宋体" w:eastAsia="宋体" w:cs="宋体"/>
                <w:b/>
                <w:bCs/>
                <w:color w:val="auto"/>
                <w:sz w:val="21"/>
                <w:szCs w:val="21"/>
                <w:highlight w:val="none"/>
                <w:shd w:val="clear" w:color="auto" w:fill="auto"/>
              </w:rPr>
            </w:pPr>
            <w:r>
              <w:rPr>
                <w:rFonts w:hint="eastAsia" w:eastAsia="宋体" w:cs="宋体"/>
                <w:b/>
                <w:bCs/>
                <w:szCs w:val="21"/>
              </w:rPr>
              <w:t>面积</w:t>
            </w:r>
            <w:r>
              <w:rPr>
                <w:rFonts w:hint="eastAsia" w:ascii="宋体" w:hAnsi="宋体" w:eastAsia="宋体" w:cs="宋体"/>
                <w:b/>
                <w:bCs/>
                <w:szCs w:val="21"/>
              </w:rPr>
              <w:t>M²</w:t>
            </w:r>
          </w:p>
        </w:tc>
        <w:tc>
          <w:tcPr>
            <w:tcW w:w="758" w:type="pct"/>
            <w:noWrap/>
            <w:vAlign w:val="center"/>
          </w:tcPr>
          <w:p w14:paraId="104B6908">
            <w:pPr>
              <w:jc w:val="center"/>
              <w:rPr>
                <w:rFonts w:hint="eastAsia" w:ascii="宋体" w:hAnsi="宋体" w:eastAsia="宋体" w:cs="宋体"/>
                <w:b/>
                <w:bCs/>
                <w:color w:val="auto"/>
                <w:sz w:val="21"/>
                <w:szCs w:val="21"/>
                <w:highlight w:val="none"/>
                <w:shd w:val="clear" w:color="auto" w:fill="auto"/>
              </w:rPr>
            </w:pPr>
            <w:r>
              <w:rPr>
                <w:rFonts w:hint="eastAsia" w:eastAsia="宋体" w:cs="宋体"/>
                <w:b/>
                <w:bCs/>
                <w:szCs w:val="21"/>
              </w:rPr>
              <w:t>最低限价金额（元/</w:t>
            </w:r>
            <w:r>
              <w:rPr>
                <w:rFonts w:hint="eastAsia" w:ascii="宋体" w:hAnsi="宋体" w:eastAsia="宋体" w:cs="宋体"/>
                <w:b/>
                <w:bCs/>
                <w:szCs w:val="21"/>
              </w:rPr>
              <w:t>M²/月</w:t>
            </w:r>
            <w:r>
              <w:rPr>
                <w:rFonts w:hint="eastAsia" w:eastAsia="宋体" w:cs="宋体"/>
                <w:b/>
                <w:bCs/>
                <w:szCs w:val="21"/>
              </w:rPr>
              <w:t>）</w:t>
            </w:r>
          </w:p>
        </w:tc>
      </w:tr>
      <w:tr w14:paraId="0642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73" w:type="pct"/>
            <w:noWrap/>
            <w:vAlign w:val="center"/>
          </w:tcPr>
          <w:p w14:paraId="58307F5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25" w:type="pct"/>
            <w:noWrap/>
            <w:vAlign w:val="center"/>
          </w:tcPr>
          <w:p w14:paraId="60095FB8">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韶关市武江区养老服务中心（一期）委托运营管理项目</w:t>
            </w:r>
          </w:p>
        </w:tc>
        <w:tc>
          <w:tcPr>
            <w:tcW w:w="407" w:type="pct"/>
            <w:noWrap/>
            <w:vAlign w:val="center"/>
          </w:tcPr>
          <w:p w14:paraId="72635F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787" w:type="pct"/>
            <w:noWrap/>
            <w:vAlign w:val="center"/>
          </w:tcPr>
          <w:p w14:paraId="39327B98">
            <w:pPr>
              <w:jc w:val="center"/>
              <w:rPr>
                <w:rFonts w:hint="eastAsia" w:ascii="宋体" w:hAnsi="宋体" w:eastAsia="宋体" w:cs="宋体"/>
                <w:color w:val="auto"/>
                <w:sz w:val="21"/>
                <w:szCs w:val="21"/>
                <w:highlight w:val="none"/>
              </w:rPr>
            </w:pPr>
            <w:r>
              <w:rPr>
                <w:rFonts w:hint="eastAsia" w:ascii="宋体" w:hAnsi="宋体" w:eastAsia="宋体" w:cs="宋体"/>
                <w:color w:val="auto"/>
                <w:kern w:val="16"/>
                <w:sz w:val="21"/>
                <w:szCs w:val="21"/>
                <w:highlight w:val="none"/>
                <w:shd w:val="clear" w:color="auto" w:fill="auto"/>
                <w:lang w:eastAsia="zh-CN"/>
              </w:rPr>
              <w:t>自</w:t>
            </w:r>
            <w:r>
              <w:rPr>
                <w:rFonts w:hint="eastAsia" w:ascii="宋体" w:hAnsi="宋体" w:eastAsia="宋体" w:cs="宋体"/>
                <w:color w:val="auto"/>
                <w:kern w:val="16"/>
                <w:sz w:val="21"/>
                <w:szCs w:val="21"/>
                <w:highlight w:val="none"/>
                <w:shd w:val="clear" w:color="auto" w:fill="auto"/>
                <w:lang w:val="en-US" w:eastAsia="zh-CN"/>
              </w:rPr>
              <w:t>合同签订之日起</w:t>
            </w:r>
            <w:r>
              <w:rPr>
                <w:rFonts w:hint="eastAsia" w:ascii="宋体" w:hAnsi="宋体" w:eastAsia="宋体" w:cs="宋体"/>
                <w:color w:val="auto"/>
                <w:kern w:val="16"/>
                <w:sz w:val="21"/>
                <w:szCs w:val="21"/>
                <w:highlight w:val="none"/>
                <w:shd w:val="clear" w:color="auto" w:fill="auto"/>
                <w:lang w:eastAsia="zh-CN"/>
              </w:rPr>
              <w:t>20年</w:t>
            </w:r>
          </w:p>
        </w:tc>
        <w:tc>
          <w:tcPr>
            <w:tcW w:w="574" w:type="pct"/>
            <w:noWrap/>
            <w:vAlign w:val="center"/>
          </w:tcPr>
          <w:p w14:paraId="779EDA3F">
            <w:pPr>
              <w:jc w:val="center"/>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shd w:val="clear" w:color="auto" w:fill="auto"/>
                <w:lang w:val="en-US" w:eastAsia="zh-CN"/>
              </w:rPr>
              <w:t>半年</w:t>
            </w:r>
          </w:p>
        </w:tc>
        <w:tc>
          <w:tcPr>
            <w:tcW w:w="774" w:type="pct"/>
            <w:noWrap/>
            <w:vAlign w:val="center"/>
          </w:tcPr>
          <w:p w14:paraId="7CC0D855">
            <w:pPr>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b w:val="0"/>
                <w:bCs/>
                <w:color w:val="auto"/>
                <w:sz w:val="22"/>
                <w:highlight w:val="none"/>
                <w:lang w:val="en-US" w:eastAsia="zh-CN"/>
              </w:rPr>
              <w:t>20509.91</w:t>
            </w:r>
          </w:p>
        </w:tc>
        <w:tc>
          <w:tcPr>
            <w:tcW w:w="758" w:type="pct"/>
            <w:noWrap/>
            <w:vAlign w:val="center"/>
          </w:tcPr>
          <w:p w14:paraId="1D0F7E21">
            <w:pPr>
              <w:jc w:val="center"/>
              <w:rPr>
                <w:rFonts w:hint="default" w:ascii="宋体" w:hAnsi="宋体" w:eastAsia="宋体" w:cs="宋体"/>
                <w:color w:val="auto"/>
                <w:kern w:val="16"/>
                <w:sz w:val="21"/>
                <w:szCs w:val="21"/>
                <w:highlight w:val="none"/>
                <w:shd w:val="clear" w:color="auto" w:fill="auto"/>
                <w:lang w:val="en-US" w:eastAsia="zh-CN"/>
              </w:rPr>
            </w:pPr>
            <w:r>
              <w:rPr>
                <w:rFonts w:hint="eastAsia" w:ascii="宋体" w:hAnsi="宋体" w:eastAsia="宋体" w:cs="宋体"/>
                <w:color w:val="auto"/>
                <w:kern w:val="16"/>
                <w:sz w:val="21"/>
                <w:szCs w:val="21"/>
                <w:highlight w:val="none"/>
                <w:shd w:val="clear" w:color="auto" w:fill="auto"/>
                <w:lang w:val="en-US" w:eastAsia="zh-CN"/>
              </w:rPr>
              <w:t>3.1</w:t>
            </w:r>
          </w:p>
        </w:tc>
      </w:tr>
    </w:tbl>
    <w:p w14:paraId="4EA52C13">
      <w:pPr>
        <w:keepNext w:val="0"/>
        <w:keepLines w:val="0"/>
        <w:pageBreakBefore w:val="0"/>
        <w:widowControl w:val="0"/>
        <w:kinsoku/>
        <w:wordWrap/>
        <w:overflowPunct/>
        <w:topLinePunct w:val="0"/>
        <w:autoSpaceDE/>
        <w:autoSpaceDN/>
        <w:bidi w:val="0"/>
        <w:adjustRightInd/>
        <w:snapToGrid/>
        <w:spacing w:before="161" w:beforeLines="50" w:line="360" w:lineRule="auto"/>
        <w:ind w:firstLine="420" w:firstLineChars="200"/>
        <w:textAlignment w:val="auto"/>
        <w:rPr>
          <w:rFonts w:hint="eastAsia" w:ascii="宋体" w:hAnsi="宋体" w:eastAsia="宋体" w:cs="宋体"/>
          <w:b w:val="0"/>
          <w:bCs w:val="0"/>
          <w:color w:val="auto"/>
          <w:sz w:val="21"/>
          <w:szCs w:val="21"/>
          <w:highlight w:val="none"/>
          <w:u w:val="none"/>
          <w:shd w:val="clear" w:color="auto" w:fill="auto"/>
          <w:lang w:val="en-US" w:eastAsia="zh-CN"/>
        </w:rPr>
      </w:pPr>
      <w:r>
        <w:rPr>
          <w:rFonts w:hint="eastAsia" w:asciiTheme="minorEastAsia" w:hAnsiTheme="minorEastAsia" w:eastAsiaTheme="minorEastAsia" w:cstheme="minorEastAsia"/>
          <w:color w:val="auto"/>
          <w:kern w:val="2"/>
          <w:sz w:val="21"/>
          <w:szCs w:val="21"/>
          <w:highlight w:val="none"/>
          <w:lang w:val="en-US" w:eastAsia="zh-CN" w:bidi="ar-SA"/>
        </w:rPr>
        <w:t>免租期半年。</w:t>
      </w:r>
    </w:p>
    <w:p w14:paraId="7561D85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sz w:val="21"/>
          <w:szCs w:val="21"/>
          <w:highlight w:val="none"/>
          <w:u w:val="none"/>
          <w:shd w:val="clear" w:color="auto" w:fill="auto"/>
          <w:lang w:val="en-US" w:eastAsia="zh-CN"/>
        </w:rPr>
      </w:pPr>
      <w:r>
        <w:rPr>
          <w:rFonts w:hint="eastAsia" w:ascii="宋体" w:hAnsi="宋体" w:eastAsia="宋体" w:cs="宋体"/>
          <w:b w:val="0"/>
          <w:bCs w:val="0"/>
          <w:color w:val="auto"/>
          <w:sz w:val="21"/>
          <w:szCs w:val="21"/>
          <w:highlight w:val="none"/>
          <w:u w:val="none"/>
          <w:shd w:val="clear" w:color="auto" w:fill="auto"/>
          <w:lang w:val="en-US" w:eastAsia="zh-CN"/>
        </w:rPr>
        <w:t>注：</w:t>
      </w:r>
      <w:r>
        <w:rPr>
          <w:rFonts w:hint="eastAsia" w:ascii="宋体" w:hAnsi="宋体" w:eastAsia="宋体" w:cs="宋体"/>
          <w:b w:val="0"/>
          <w:bCs/>
          <w:color w:val="auto"/>
          <w:kern w:val="2"/>
          <w:sz w:val="21"/>
          <w:szCs w:val="21"/>
          <w:highlight w:val="none"/>
          <w:lang w:val="en-US" w:eastAsia="zh-CN" w:bidi="ar-SA"/>
        </w:rPr>
        <w:t>综合报价低于金额3.1元/M²/月的列为无效报价处理，各有效投标人对报价自行评估风险。</w:t>
      </w:r>
    </w:p>
    <w:p w14:paraId="7D9A6BCD">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2"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2</w:t>
      </w:r>
      <w:r>
        <w:rPr>
          <w:rFonts w:hint="default" w:ascii="宋体" w:hAnsi="宋体" w:eastAsia="宋体" w:cs="宋体"/>
          <w:b/>
          <w:bCs/>
          <w:color w:val="auto"/>
          <w:kern w:val="2"/>
          <w:sz w:val="21"/>
          <w:szCs w:val="21"/>
          <w:highlight w:val="none"/>
          <w:u w:val="none"/>
          <w:shd w:val="clear" w:color="auto" w:fill="auto"/>
          <w:lang w:val="en-US" w:eastAsia="zh-CN" w:bidi="ar-SA"/>
        </w:rPr>
        <w:t>.</w:t>
      </w:r>
      <w:r>
        <w:rPr>
          <w:rFonts w:hint="eastAsia" w:ascii="宋体" w:hAnsi="宋体" w:eastAsia="宋体" w:cs="宋体"/>
          <w:b/>
          <w:bCs/>
          <w:color w:val="auto"/>
          <w:kern w:val="2"/>
          <w:sz w:val="21"/>
          <w:szCs w:val="21"/>
          <w:highlight w:val="none"/>
          <w:u w:val="none"/>
          <w:shd w:val="clear" w:color="auto" w:fill="auto"/>
          <w:lang w:val="en-US" w:eastAsia="zh-CN" w:bidi="ar-SA"/>
        </w:rPr>
        <w:t>免租与支付起始：</w:t>
      </w:r>
      <w:r>
        <w:rPr>
          <w:rFonts w:hint="eastAsia" w:asciiTheme="minorEastAsia" w:hAnsiTheme="minorEastAsia" w:eastAsiaTheme="minorEastAsia" w:cstheme="minorEastAsia"/>
          <w:color w:val="auto"/>
          <w:kern w:val="2"/>
          <w:sz w:val="21"/>
          <w:szCs w:val="21"/>
          <w:highlight w:val="none"/>
          <w:lang w:val="en-US" w:eastAsia="zh-CN" w:bidi="ar-SA"/>
        </w:rPr>
        <w:t>首半年免收租金，租金自本项目生效后第7个月起计提。</w:t>
      </w:r>
    </w:p>
    <w:p w14:paraId="20A4B2A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3.付款方式：</w:t>
      </w:r>
    </w:p>
    <w:p w14:paraId="72833807">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leftChars="0"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1）按“先付后使用”原则，每月10日前向招标人指定账户支付当月租金，支付方式为银行转账；</w:t>
      </w:r>
    </w:p>
    <w:p w14:paraId="4C07372A">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firstLine="422" w:firstLineChars="200"/>
        <w:textAlignment w:val="auto"/>
        <w:rPr>
          <w:rFonts w:hint="eastAsia" w:ascii="宋体" w:hAnsi="宋体" w:eastAsia="宋体" w:cs="宋体"/>
          <w:b/>
          <w:bCs/>
          <w:color w:val="auto"/>
          <w:kern w:val="2"/>
          <w:sz w:val="21"/>
          <w:szCs w:val="21"/>
          <w:highlight w:val="none"/>
          <w:u w:val="none"/>
          <w:shd w:val="clear" w:color="auto" w:fill="auto"/>
          <w:lang w:val="en-US" w:eastAsia="zh-CN" w:bidi="ar-SA"/>
        </w:rPr>
      </w:pPr>
      <w:r>
        <w:rPr>
          <w:rFonts w:hint="eastAsia" w:ascii="宋体" w:hAnsi="宋体" w:eastAsia="宋体" w:cs="宋体"/>
          <w:b/>
          <w:bCs/>
          <w:color w:val="auto"/>
          <w:kern w:val="2"/>
          <w:sz w:val="21"/>
          <w:szCs w:val="21"/>
          <w:highlight w:val="none"/>
          <w:u w:val="none"/>
          <w:shd w:val="clear" w:color="auto" w:fill="auto"/>
          <w:lang w:val="en-US" w:eastAsia="zh-CN" w:bidi="ar-SA"/>
        </w:rPr>
        <w:t>4</w:t>
      </w:r>
      <w:r>
        <w:rPr>
          <w:rFonts w:hint="default" w:ascii="宋体" w:hAnsi="宋体" w:eastAsia="宋体" w:cs="宋体"/>
          <w:b/>
          <w:bCs/>
          <w:color w:val="auto"/>
          <w:kern w:val="2"/>
          <w:sz w:val="21"/>
          <w:szCs w:val="21"/>
          <w:highlight w:val="none"/>
          <w:u w:val="none"/>
          <w:shd w:val="clear" w:color="auto" w:fill="auto"/>
          <w:lang w:val="en-US" w:eastAsia="zh-CN" w:bidi="ar-SA"/>
        </w:rPr>
        <w:t>.</w:t>
      </w:r>
      <w:r>
        <w:rPr>
          <w:rFonts w:hint="eastAsia" w:ascii="宋体" w:hAnsi="宋体" w:eastAsia="宋体" w:cs="宋体"/>
          <w:b/>
          <w:bCs/>
          <w:color w:val="auto"/>
          <w:kern w:val="2"/>
          <w:sz w:val="21"/>
          <w:szCs w:val="21"/>
          <w:highlight w:val="none"/>
          <w:u w:val="none"/>
          <w:shd w:val="clear" w:color="auto" w:fill="auto"/>
          <w:lang w:val="en-US" w:eastAsia="zh-CN" w:bidi="ar-SA"/>
        </w:rPr>
        <w:t>兜底床位约定：</w:t>
      </w:r>
    </w:p>
    <w:p w14:paraId="50B3DB77">
      <w:pPr>
        <w:pStyle w:val="106"/>
        <w:keepNext w:val="0"/>
        <w:keepLines w:val="0"/>
        <w:pageBreakBefore w:val="0"/>
        <w:numPr>
          <w:ilvl w:val="0"/>
          <w:numId w:val="0"/>
        </w:numPr>
        <w:kinsoku/>
        <w:wordWrap/>
        <w:overflowPunct/>
        <w:topLinePunct w:val="0"/>
        <w:autoSpaceDE/>
        <w:autoSpaceDN/>
        <w:bidi w:val="0"/>
        <w:adjustRightInd/>
        <w:snapToGrid/>
        <w:spacing w:before="0" w:after="0" w:line="360" w:lineRule="auto"/>
        <w:ind w:leftChars="0"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1）兜底型床位收费标准按照国家对特困供养人员保障标准收取费用，并按民政部门要求比例每月给付特困供养人每月零用钱，特困人员入住费用差额部分由运营机构负担。</w:t>
      </w:r>
    </w:p>
    <w:p w14:paraId="6A3201D1">
      <w:pPr>
        <w:keepNext w:val="0"/>
        <w:keepLines w:val="0"/>
        <w:pageBreakBefore w:val="0"/>
        <w:widowControl w:val="0"/>
        <w:kinsoku/>
        <w:wordWrap w:val="0"/>
        <w:overflowPunct/>
        <w:topLinePunct w:val="0"/>
        <w:autoSpaceDE/>
        <w:autoSpaceDN/>
        <w:bidi w:val="0"/>
        <w:adjustRightInd w:val="0"/>
        <w:snapToGrid w:val="0"/>
        <w:spacing w:before="161" w:beforeLines="50" w:line="36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二、委托事项和期限</w:t>
      </w:r>
    </w:p>
    <w:p w14:paraId="59091B1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（一）甲方依照有关规定程序，以招标方式选取特许运营管理单位，确认委托乙方对</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（含物业、设备设施等）进行运营管理，并为入住的老年人提供养老服务；乙方经招标程序，自愿接受甲方委托，依照国家有关规定和本合同约定，独立开展运营管理和服务，并独立承担相关法律责任。</w:t>
      </w:r>
    </w:p>
    <w:p w14:paraId="7C09D22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运营服务期限</w:t>
      </w:r>
    </w:p>
    <w:p w14:paraId="2E717E7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本合同签订后，乙方拥有</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highlight w:val="none"/>
          <w:lang w:val="en-US" w:eastAsia="zh-CN"/>
        </w:rPr>
        <w:t>20</w:t>
      </w:r>
      <w:r>
        <w:rPr>
          <w:rFonts w:hint="eastAsia" w:ascii="宋体" w:hAnsi="宋体" w:eastAsia="宋体" w:cs="宋体"/>
          <w:sz w:val="21"/>
          <w:szCs w:val="21"/>
          <w:highlight w:val="none"/>
        </w:rPr>
        <w:t>年的运营管理</w:t>
      </w:r>
      <w:r>
        <w:rPr>
          <w:rFonts w:hint="eastAsia" w:ascii="宋体" w:hAnsi="宋体" w:eastAsia="宋体" w:cs="宋体"/>
          <w:sz w:val="21"/>
          <w:szCs w:val="21"/>
        </w:rPr>
        <w:t>权。运营服务期限自_____年____月___日起至_____年____月___日止。</w:t>
      </w:r>
    </w:p>
    <w:p w14:paraId="6F2E7EA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p>
    <w:p w14:paraId="215A5DB5">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三、服务范围和目标</w:t>
      </w:r>
    </w:p>
    <w:p w14:paraId="3BFDAAF3">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所有权与运营权分离，所有权</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武江区</w:t>
      </w:r>
      <w:r>
        <w:rPr>
          <w:rFonts w:hint="eastAsia" w:ascii="宋体" w:hAnsi="宋体" w:eastAsia="宋体" w:cs="宋体"/>
          <w:color w:val="auto"/>
          <w:sz w:val="21"/>
          <w:szCs w:val="21"/>
          <w:highlight w:val="none"/>
        </w:rPr>
        <w:t>人民政府所有（由甲方代为持有权属并作为合同主体），乙方承接</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的运营管理权，通过本合同明确甲、乙双方的权利与义务，为政府供养人员以及社会有需求的老人提供养老、托老、医疗康复、介入护理等优质服务，努力实现</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的长期健康稳定发展，不断满足入住老年人多层次、多样化的服务需求。</w:t>
      </w:r>
    </w:p>
    <w:p w14:paraId="09C3FD97">
      <w:pPr>
        <w:pStyle w:val="91"/>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hint="eastAsia" w:ascii="宋体" w:hAnsi="宋体" w:eastAsia="宋体" w:cs="宋体"/>
          <w:color w:val="FF0000"/>
          <w:sz w:val="21"/>
          <w:szCs w:val="21"/>
          <w:highlight w:val="none"/>
          <w:lang w:val="en-US" w:eastAsia="zh-CN"/>
        </w:rPr>
      </w:pPr>
      <w:r>
        <w:rPr>
          <w:rFonts w:hint="eastAsia" w:ascii="宋体" w:hAnsi="宋体" w:eastAsia="宋体" w:cs="宋体"/>
          <w:sz w:val="21"/>
          <w:szCs w:val="21"/>
          <w:highlight w:val="none"/>
          <w:lang w:eastAsia="zh-CN"/>
        </w:rPr>
        <w:t>韶关市武江区养老服务中心（一期）</w:t>
      </w:r>
      <w:r>
        <w:rPr>
          <w:rFonts w:hint="eastAsia" w:ascii="宋体" w:hAnsi="宋体" w:eastAsia="宋体" w:cs="宋体"/>
          <w:sz w:val="21"/>
          <w:szCs w:val="21"/>
          <w:highlight w:val="none"/>
        </w:rPr>
        <w:t>提供</w:t>
      </w:r>
      <w:r>
        <w:rPr>
          <w:rFonts w:hint="eastAsia" w:ascii="宋体" w:hAnsi="宋体" w:eastAsia="宋体" w:cs="宋体"/>
          <w:sz w:val="21"/>
          <w:szCs w:val="21"/>
          <w:highlight w:val="none"/>
          <w:lang w:val="en-US" w:eastAsia="zh-CN"/>
        </w:rPr>
        <w:t>521</w:t>
      </w:r>
      <w:r>
        <w:rPr>
          <w:rFonts w:hint="eastAsia" w:ascii="宋体" w:hAnsi="宋体" w:eastAsia="宋体" w:cs="宋体"/>
          <w:sz w:val="21"/>
          <w:szCs w:val="21"/>
          <w:highlight w:val="none"/>
        </w:rPr>
        <w:t>个服务床位，其中</w:t>
      </w:r>
      <w:r>
        <w:rPr>
          <w:rFonts w:hint="eastAsia" w:ascii="宋体" w:hAnsi="宋体" w:eastAsia="宋体" w:cs="宋体"/>
          <w:sz w:val="21"/>
          <w:szCs w:val="21"/>
          <w:highlight w:val="none"/>
          <w:lang w:val="en-US" w:eastAsia="zh-CN"/>
        </w:rPr>
        <w:t>19</w:t>
      </w:r>
      <w:r>
        <w:rPr>
          <w:rFonts w:hint="eastAsia" w:ascii="宋体" w:hAnsi="宋体" w:eastAsia="宋体" w:cs="宋体"/>
          <w:sz w:val="21"/>
          <w:szCs w:val="21"/>
          <w:highlight w:val="none"/>
        </w:rPr>
        <w:t>%为政府兜底床位（</w:t>
      </w:r>
      <w:r>
        <w:rPr>
          <w:rFonts w:hint="eastAsia" w:ascii="宋体" w:hAnsi="宋体" w:eastAsia="宋体" w:cs="宋体"/>
          <w:sz w:val="21"/>
          <w:szCs w:val="21"/>
          <w:highlight w:val="none"/>
          <w:lang w:val="en-US" w:eastAsia="zh-CN"/>
        </w:rPr>
        <w:t>约100</w:t>
      </w:r>
      <w:r>
        <w:rPr>
          <w:rFonts w:hint="eastAsia" w:ascii="宋体" w:hAnsi="宋体" w:eastAsia="宋体" w:cs="宋体"/>
          <w:sz w:val="21"/>
          <w:szCs w:val="21"/>
          <w:highlight w:val="none"/>
        </w:rPr>
        <w:t>个床位）</w:t>
      </w:r>
      <w:r>
        <w:rPr>
          <w:rFonts w:hint="eastAsia" w:ascii="宋体" w:hAnsi="宋体" w:eastAsia="宋体" w:cs="宋体"/>
          <w:sz w:val="21"/>
          <w:szCs w:val="21"/>
          <w:highlight w:val="none"/>
          <w:lang w:val="en-US" w:eastAsia="zh-CN"/>
        </w:rPr>
        <w:t>用于收住需要政府兜底保障的特困老人，此部分床位收住的特困老人，除政府支付给中</w:t>
      </w:r>
      <w:r>
        <w:rPr>
          <w:rFonts w:hint="eastAsia" w:ascii="宋体" w:hAnsi="宋体" w:eastAsia="宋体" w:cs="宋体"/>
          <w:color w:val="auto"/>
          <w:sz w:val="21"/>
          <w:szCs w:val="21"/>
          <w:highlight w:val="none"/>
          <w:lang w:val="en-US" w:eastAsia="zh-CN"/>
        </w:rPr>
        <w:t>标人的韶关市特困人员基本生活供养金和照料护理标准费外，政府不再额外支付任何服务费用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普惠性</w:t>
      </w:r>
      <w:r>
        <w:rPr>
          <w:rFonts w:hint="eastAsia" w:ascii="宋体" w:hAnsi="宋体" w:eastAsia="宋体" w:cs="宋体"/>
          <w:color w:val="auto"/>
          <w:sz w:val="21"/>
          <w:szCs w:val="21"/>
          <w:highlight w:val="none"/>
        </w:rPr>
        <w:t>床位（</w:t>
      </w:r>
      <w:r>
        <w:rPr>
          <w:rFonts w:hint="eastAsia" w:ascii="宋体" w:hAnsi="宋体" w:eastAsia="宋体" w:cs="宋体"/>
          <w:color w:val="auto"/>
          <w:sz w:val="21"/>
          <w:szCs w:val="21"/>
          <w:highlight w:val="none"/>
          <w:lang w:val="en-US" w:eastAsia="zh-CN"/>
        </w:rPr>
        <w:t>约150</w:t>
      </w:r>
      <w:r>
        <w:rPr>
          <w:rFonts w:hint="eastAsia" w:ascii="宋体" w:hAnsi="宋体" w:eastAsia="宋体" w:cs="宋体"/>
          <w:color w:val="auto"/>
          <w:sz w:val="21"/>
          <w:szCs w:val="21"/>
          <w:highlight w:val="none"/>
        </w:rPr>
        <w:t>个床位）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面向武江区户籍老人，优惠入住</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%为社会化运营单位自营床位（</w:t>
      </w:r>
      <w:r>
        <w:rPr>
          <w:rFonts w:hint="eastAsia" w:ascii="宋体" w:hAnsi="宋体" w:eastAsia="宋体" w:cs="宋体"/>
          <w:color w:val="auto"/>
          <w:sz w:val="21"/>
          <w:szCs w:val="21"/>
          <w:highlight w:val="none"/>
          <w:lang w:val="en-US" w:eastAsia="zh-CN"/>
        </w:rPr>
        <w:t>约241</w:t>
      </w:r>
      <w:r>
        <w:rPr>
          <w:rFonts w:hint="eastAsia" w:ascii="宋体" w:hAnsi="宋体" w:eastAsia="宋体" w:cs="宋体"/>
          <w:color w:val="auto"/>
          <w:sz w:val="21"/>
          <w:szCs w:val="21"/>
          <w:highlight w:val="none"/>
        </w:rPr>
        <w:t>个床位）可面向社会有需求的老人提供服务，优先为失能、失智、独居、留守、计划生育特殊家庭老人等提供照护服务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6%为旅居床位面向社会有旅居养老需求的老人，以短期休养、休闲旅居相结合的模式提供服务，兼顾养老照料与休闲体验。根据实际情况，允许合理合规增加床位。</w:t>
      </w:r>
    </w:p>
    <w:p w14:paraId="1A657B00">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FF0000"/>
          <w:sz w:val="21"/>
          <w:szCs w:val="21"/>
          <w:u w:val="single"/>
        </w:rPr>
      </w:pPr>
      <w:r>
        <w:rPr>
          <w:rFonts w:hint="eastAsia" w:ascii="宋体" w:hAnsi="宋体" w:eastAsia="宋体" w:cs="宋体"/>
          <w:color w:val="auto"/>
          <w:sz w:val="21"/>
          <w:szCs w:val="21"/>
          <w:highlight w:val="none"/>
        </w:rPr>
        <w:t>若政府兜底对象增加，需要使用社会化床位时，则超出兜底性床位的部分，</w:t>
      </w:r>
      <w:r>
        <w:rPr>
          <w:rFonts w:hint="eastAsia" w:ascii="宋体" w:hAnsi="宋体" w:eastAsia="宋体" w:cs="宋体"/>
          <w:color w:val="auto"/>
          <w:sz w:val="21"/>
          <w:szCs w:val="21"/>
          <w:highlight w:val="none"/>
          <w:lang w:val="en-US" w:eastAsia="zh-CN"/>
        </w:rPr>
        <w:t>区</w:t>
      </w:r>
      <w:r>
        <w:rPr>
          <w:rFonts w:hint="eastAsia" w:ascii="宋体" w:hAnsi="宋体" w:eastAsia="宋体" w:cs="宋体"/>
          <w:color w:val="auto"/>
          <w:sz w:val="21"/>
          <w:szCs w:val="21"/>
          <w:highlight w:val="none"/>
        </w:rPr>
        <w:t>财政局需按普惠性床位的收费标准补给乙方差额，普惠性收费标准原则上不高于上一年度我</w:t>
      </w:r>
      <w:r>
        <w:rPr>
          <w:rFonts w:hint="eastAsia" w:ascii="宋体" w:hAnsi="宋体" w:eastAsia="宋体" w:cs="宋体"/>
          <w:color w:val="auto"/>
          <w:sz w:val="21"/>
          <w:szCs w:val="21"/>
          <w:highlight w:val="none"/>
          <w:lang w:val="en-US" w:eastAsia="zh-CN"/>
        </w:rPr>
        <w:t>区</w:t>
      </w:r>
      <w:r>
        <w:rPr>
          <w:rFonts w:hint="eastAsia" w:ascii="宋体" w:hAnsi="宋体" w:eastAsia="宋体" w:cs="宋体"/>
          <w:color w:val="auto"/>
          <w:sz w:val="21"/>
          <w:szCs w:val="21"/>
          <w:highlight w:val="none"/>
        </w:rPr>
        <w:t>城镇人均</w:t>
      </w:r>
      <w:r>
        <w:rPr>
          <w:rFonts w:hint="eastAsia" w:ascii="宋体" w:hAnsi="宋体" w:eastAsia="宋体" w:cs="宋体"/>
          <w:sz w:val="21"/>
          <w:szCs w:val="21"/>
        </w:rPr>
        <w:t>可支配收入的1.</w:t>
      </w:r>
      <w:r>
        <w:rPr>
          <w:rFonts w:hint="eastAsia" w:ascii="宋体" w:hAnsi="宋体" w:eastAsia="宋体" w:cs="宋体"/>
          <w:color w:val="auto"/>
          <w:sz w:val="21"/>
          <w:szCs w:val="21"/>
        </w:rPr>
        <w:t>3倍</w:t>
      </w:r>
      <w:r>
        <w:rPr>
          <w:rFonts w:hint="eastAsia" w:ascii="宋体" w:hAnsi="宋体" w:eastAsia="宋体" w:cs="宋体"/>
          <w:color w:val="auto"/>
          <w:sz w:val="21"/>
          <w:szCs w:val="21"/>
          <w:u w:val="none"/>
        </w:rPr>
        <w:t>。</w:t>
      </w:r>
    </w:p>
    <w:p w14:paraId="26194BAF">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双方投资建设和购置设施设备及用品，应定期进行清产核资，确认双方资产，并造册登记建档。</w:t>
      </w:r>
    </w:p>
    <w:p w14:paraId="70D6119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服务标准：</w:t>
      </w:r>
    </w:p>
    <w:p w14:paraId="634E9D0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护理等级划分：参照《老年人能力评估》（GB/T 42000-2022），明确自理、半失能、失能、失智老人的护理等级判定标准；其中失能老人每2小时巡房1次、每日记录护理情况不少于3次，半失能老人每4小时巡房1次、每日记录护理情况不少于2次，自理老人每日巡房1次。</w:t>
      </w:r>
    </w:p>
    <w:p w14:paraId="47FB0EC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餐饮服务标准：每日膳食需满足老年人蛋白质、膳食纤维等营养配比要求（蛋白质摄入量≥1.2g/kg体重，膳食纤维摄入量≥25g/人）；每周食谱需提前3天公示，支持糖尿病、素食等特殊饮食定制，定制流程需在72小时内响应并落实。</w:t>
      </w:r>
    </w:p>
    <w:p w14:paraId="3CB875C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活动服务要求：每月组织不少于4次文化娱乐活动、</w:t>
      </w: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2次健康讲座，确保入住老人日均户外活动时间≥1小时（特殊天气除外），活动记录及老人参与情况需建档备查。</w:t>
      </w:r>
    </w:p>
    <w:p w14:paraId="4A6EFA9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入住与退出流程：</w:t>
      </w:r>
    </w:p>
    <w:p w14:paraId="30453B1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（1）入住评估：乙方需对申请入住老人进行能力评估，评估结果需经甲方备案；政府兜底床位入住对象严格按甲方出具的审批手续执行，不得擅自替换。</w:t>
      </w:r>
    </w:p>
    <w:p w14:paraId="4D62FE6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bCs/>
          <w:sz w:val="21"/>
          <w:szCs w:val="21"/>
        </w:rPr>
      </w:pPr>
      <w:r>
        <w:rPr>
          <w:rFonts w:hint="eastAsia" w:ascii="宋体" w:hAnsi="宋体" w:eastAsia="宋体" w:cs="宋体"/>
          <w:b w:val="0"/>
          <w:bCs w:val="0"/>
          <w:color w:val="auto"/>
          <w:sz w:val="21"/>
          <w:szCs w:val="21"/>
        </w:rPr>
        <w:t>（2）退出机制：老人因健康状况不再适合入住、违反机构管理规定且拒不整改的，乙方需提前15日书面告知甲方及家属，共同制定安置方案，不得擅自驱离。</w:t>
      </w:r>
    </w:p>
    <w:p w14:paraId="109075B4">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p>
    <w:p w14:paraId="197C48F6">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四、甲方的权利和义务</w:t>
      </w:r>
    </w:p>
    <w:p w14:paraId="000F06B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（一）甲方承诺其拥有签订并履行本合同的全部、充分的权利与授权，并依据法律具有签订本合同的行为能力。</w:t>
      </w:r>
    </w:p>
    <w:p w14:paraId="7922F12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（二）在本合同运营期限内，甲方全力支持乙方独立自主、自负盈亏运营</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，积极帮助乙方协调各种关系，促进</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的长期健康稳定发展。</w:t>
      </w:r>
    </w:p>
    <w:p w14:paraId="0BAD71D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（三）在本合同运营期限内，甲方有权依照本合同约定监督乙方对</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的运营管理行为，并在本合同约定的情形下行使临时接管权，但除本合同约定的情形外，甲方不干预乙方对</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的正常运营管理活动。</w:t>
      </w:r>
    </w:p>
    <w:p w14:paraId="7CB0892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（四）甲方向乙方移交的建筑物必须取得工程竣工验收报告（包括但不限于规划、建设、消防、环保、水、电等验收报告），移交前对已有资产（含土地）进行登记，制定固定资产清单，由双方确认后移交。</w:t>
      </w:r>
    </w:p>
    <w:p w14:paraId="597DF1B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（五）甲方需帮助乙方积极争取各级政府及组织的专项资金和优惠政策。</w:t>
      </w:r>
    </w:p>
    <w:p w14:paraId="277D7E1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（六）甲方负责的政府供养人员的费用，按照提供服务当年的政府供养标准由甲方按入住实际人数向乙方支付。甲方供养人员入住的对象包括</w:t>
      </w:r>
      <w:r>
        <w:rPr>
          <w:rFonts w:hint="eastAsia" w:ascii="宋体" w:hAnsi="宋体" w:eastAsia="宋体" w:cs="宋体"/>
          <w:sz w:val="21"/>
          <w:szCs w:val="21"/>
          <w:lang w:val="en-US" w:eastAsia="zh-CN"/>
        </w:rPr>
        <w:t>武江区</w:t>
      </w:r>
      <w:r>
        <w:rPr>
          <w:rFonts w:hint="eastAsia" w:ascii="宋体" w:hAnsi="宋体" w:eastAsia="宋体" w:cs="宋体"/>
          <w:sz w:val="21"/>
          <w:szCs w:val="21"/>
        </w:rPr>
        <w:t>有入住意愿的特困供养人员和甲方确定的其他人员，优先安排入住上述特困供养人员中的失能、半失能、失智老人。甲方供养人员入住的对象身份由甲方确定，乙方凭甲方出具的集中供养审批手续办理入住手续。</w:t>
      </w:r>
    </w:p>
    <w:p w14:paraId="5C464DB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（七）甲方保证在本合同期限内，甲方享有</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所在区域土地及土地上建筑物的所有权，并保证乙方享有</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的土地和建筑物的充分使用权。</w:t>
      </w:r>
    </w:p>
    <w:p w14:paraId="711ACAB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（八）在本合同有效期内，甲方不得因人员的变动单方面调整本合同约定。</w:t>
      </w:r>
    </w:p>
    <w:p w14:paraId="6D21D94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（九）在本合同期内，甲方积极帮助乙方处理与</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周边居民之间的关系。</w:t>
      </w:r>
    </w:p>
    <w:p w14:paraId="411A721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（十）为了能够更好地了解</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运营管理情况，确保</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管理能够按照本合同约定履行，甲方依照有关法律法规和本合同约定行使监督权利。甲方可以根据情况每年单独委托有法定资质的第三方评估机构对乙方的日常管理运营和服务质量进行监督和综合评估，根据评估情况加强监督管理。</w:t>
      </w:r>
    </w:p>
    <w:p w14:paraId="72A8019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一）甲方可以根据情况每年单独委托有资质的第三方机构对乙方的运营财务状况进行定期审计，制定乙方异常退出时的风险防控应急预案。甲方会定期组织资产核验，委托有资质的第三方机构对国有资产及乙方投入资产进行阶</w:t>
      </w:r>
      <w:r>
        <w:rPr>
          <w:rFonts w:hint="eastAsia" w:ascii="宋体" w:hAnsi="宋体" w:eastAsia="宋体" w:cs="宋体"/>
          <w:sz w:val="21"/>
          <w:szCs w:val="21"/>
          <w:lang w:eastAsia="zh-CN"/>
        </w:rPr>
        <w:t>段性</w:t>
      </w:r>
      <w:r>
        <w:rPr>
          <w:rFonts w:hint="eastAsia" w:ascii="宋体" w:hAnsi="宋体" w:eastAsia="宋体" w:cs="宋体"/>
          <w:sz w:val="21"/>
          <w:szCs w:val="21"/>
        </w:rPr>
        <w:t>评估，清点核对资产造册情况。重点核查乙方在合同期内是否独立运营、独立核算、自负盈亏，是否对机构日常</w:t>
      </w:r>
      <w:r>
        <w:rPr>
          <w:rFonts w:hint="eastAsia" w:ascii="宋体" w:hAnsi="宋体" w:eastAsia="宋体" w:cs="宋体"/>
          <w:sz w:val="21"/>
          <w:szCs w:val="21"/>
          <w:lang w:eastAsia="zh-CN"/>
        </w:rPr>
        <w:t>消耗性</w:t>
      </w:r>
      <w:r>
        <w:rPr>
          <w:rFonts w:hint="eastAsia" w:ascii="宋体" w:hAnsi="宋体" w:eastAsia="宋体" w:cs="宋体"/>
          <w:sz w:val="21"/>
          <w:szCs w:val="21"/>
        </w:rPr>
        <w:t>设施、设备加以维护和修缮，是否有擅自出租、出借、处置国有资产或以国有资产进行抵押、贷款行为。对国有资产造成损失的，依法追究乙方赔偿责任；构成犯罪的，依法追究乙方刑事责任。</w:t>
      </w:r>
    </w:p>
    <w:p w14:paraId="7F5726C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二）定期开展服务质量监督评估，对服务投诉进行调查处理，保障在院老人的合法权益。甲方有权组织或委托第三方评估机构对乙方维护老年人权益情况进行检查及每年或不定期对入住对象满意度开展调查。定期核查运营方是否严格按照《养老机构管理办法》（民政部令第66号）等有关法规规定进行运营管理，重点对运营期间存在的安全隐患、服务质量等问题有无进行整改；发现问题，要限期整改，拒不整改或整改不力、情节严重的，可启动退出机制。</w:t>
      </w:r>
    </w:p>
    <w:p w14:paraId="1D08DCC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甲方的监督权须在不影响</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正常运营的前提下行使（特殊时期严重情况除外）。</w:t>
      </w:r>
    </w:p>
    <w:p w14:paraId="3E50009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（十三）甲方设立监督管理机构，负责对</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运营管理实行监督，并督导乙方及时向甲方及监管机构报告重大事项，提交年度情况报告。在特定情形下（如发生乙方无法掌控的紧急情况或者乙方严重违约）甲方有直接介入</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运营管理的权利。</w:t>
      </w:r>
    </w:p>
    <w:p w14:paraId="56F010B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（十四）甲方有权</w:t>
      </w:r>
      <w:r>
        <w:rPr>
          <w:rFonts w:hint="eastAsia" w:ascii="宋体" w:hAnsi="宋体" w:eastAsia="宋体" w:cs="宋体"/>
          <w:color w:val="auto"/>
          <w:sz w:val="21"/>
          <w:szCs w:val="21"/>
          <w:lang w:eastAsia="zh-CN"/>
        </w:rPr>
        <w:t>对</w:t>
      </w:r>
      <w:r>
        <w:rPr>
          <w:rFonts w:hint="eastAsia" w:ascii="宋体" w:hAnsi="宋体" w:eastAsia="宋体" w:cs="宋体"/>
          <w:color w:val="auto"/>
          <w:sz w:val="21"/>
          <w:szCs w:val="21"/>
        </w:rPr>
        <w:t>乙方经营情况进行随机检查，重点检查兜底床位占用情况，兜底床位使用与供养人员是否相符等。</w:t>
      </w:r>
    </w:p>
    <w:p w14:paraId="0C89813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十五</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政策变更告知义务：若国家、省、市出台养老服务相关新政策（如收费标准、安全规范），甲方需在政策生效前30日书面告知乙方，双方协商调整合同相关条款。</w:t>
      </w:r>
    </w:p>
    <w:p w14:paraId="6F73FA1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十六</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专项资金拨付时限：政府供养人员的供养费、护理补贴等经费，甲方需在每月15日前足额拨付至乙方账户。</w:t>
      </w:r>
    </w:p>
    <w:p w14:paraId="120FA21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投诉处理机制：甲方设立24小时投诉热线（号码：_________），负责接收入住老人及家属的投诉，乙方需在接到甲方转办的投诉后48小时内提交处理方案，7日内办结并反馈，投诉处理结果纳入年度考核。</w:t>
      </w:r>
    </w:p>
    <w:p w14:paraId="32643C4A">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p>
    <w:p w14:paraId="4EF551EC">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五、乙方的权利和义务</w:t>
      </w:r>
    </w:p>
    <w:p w14:paraId="7A44E4A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（一）乙方为依据法律正式成立并有效存续的法人，并具有完全民事行为能力。</w:t>
      </w:r>
    </w:p>
    <w:p w14:paraId="5392777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（二）乙方拥有签订并履行本合同的全部、充分的权利与授权，并依据法律具有签订本合同的行为能力。</w:t>
      </w:r>
    </w:p>
    <w:p w14:paraId="363EF92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（三）在本合同运营期限内，乙方应遵守国家法律法规和政策文件有关规定保障入住老人权益，自觉接受和配合甲方对</w:t>
      </w:r>
      <w:r>
        <w:rPr>
          <w:rFonts w:hint="eastAsia" w:ascii="宋体" w:hAnsi="宋体" w:eastAsia="宋体" w:cs="宋体"/>
          <w:sz w:val="21"/>
          <w:szCs w:val="21"/>
          <w:lang w:eastAsia="zh-CN"/>
        </w:rPr>
        <w:t>韶关市武江区养老服务中心（一期）老年人权益保障</w:t>
      </w:r>
      <w:r>
        <w:rPr>
          <w:rFonts w:hint="eastAsia" w:ascii="宋体" w:hAnsi="宋体" w:eastAsia="宋体" w:cs="宋体"/>
          <w:sz w:val="21"/>
          <w:szCs w:val="21"/>
        </w:rPr>
        <w:t>和运营管理的监督，但乙方有权拒绝甲方违反法律法规的要求。</w:t>
      </w:r>
    </w:p>
    <w:p w14:paraId="3333893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（四）在本合同有效期限内，乙方对本合同范围内的建筑物、设施设备拥有使用权，拥有</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自主运营管理权和收益权，自负盈亏，独立承担运营过程中产生的费用和债权债务。</w:t>
      </w:r>
    </w:p>
    <w:p w14:paraId="77DBE08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rPr>
        <w:t>（五）乙方必须按规定建立财务账目，规范财务管理</w:t>
      </w:r>
      <w:r>
        <w:rPr>
          <w:rFonts w:hint="eastAsia" w:ascii="宋体" w:hAnsi="宋体" w:eastAsia="宋体" w:cs="宋体"/>
          <w:color w:val="auto"/>
          <w:sz w:val="21"/>
          <w:szCs w:val="21"/>
          <w:highlight w:val="none"/>
        </w:rPr>
        <w:t>，并向甲方提供财务报表，季度财务报表在季度终了之日起15日内报送，年度财务报表在年度终了之日起</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个月内报送。每年提交工作报告，内容主要包括</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服务范围、服务对象、服务质量、运营管理、运营收支等相关情况。运营期内，乙方应针对兜底对象的人员护理照料费用使用明细账进行登记，便于甲方对本项目兜底对象救助供养金和护理照料费明细进行监管及财务审计进行核查。</w:t>
      </w:r>
    </w:p>
    <w:p w14:paraId="5D55EA6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（六）在本合同运营期内，凡以</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名义向各级政府和组织申请的专项资金，应专款专用，并设立台账，便于甲方财务审计核查。专项资金的投入作为政府国有资产，乙方要按当年</w:t>
      </w:r>
      <w:r>
        <w:rPr>
          <w:rFonts w:hint="eastAsia" w:ascii="宋体" w:hAnsi="宋体" w:eastAsia="宋体" w:cs="宋体"/>
          <w:color w:val="auto"/>
          <w:sz w:val="21"/>
          <w:szCs w:val="21"/>
          <w:highlight w:val="none"/>
          <w:lang w:eastAsia="zh-CN"/>
        </w:rPr>
        <w:t>区</w:t>
      </w:r>
      <w:r>
        <w:rPr>
          <w:rFonts w:hint="eastAsia" w:ascii="宋体" w:hAnsi="宋体" w:eastAsia="宋体" w:cs="宋体"/>
          <w:color w:val="auto"/>
          <w:sz w:val="21"/>
          <w:szCs w:val="21"/>
          <w:highlight w:val="none"/>
        </w:rPr>
        <w:t>财政与银行协定的利率计算利息并上缴给</w:t>
      </w:r>
      <w:r>
        <w:rPr>
          <w:rFonts w:hint="eastAsia" w:ascii="宋体" w:hAnsi="宋体" w:eastAsia="宋体" w:cs="宋体"/>
          <w:color w:val="auto"/>
          <w:sz w:val="21"/>
          <w:szCs w:val="21"/>
          <w:highlight w:val="none"/>
          <w:lang w:eastAsia="zh-CN"/>
        </w:rPr>
        <w:t>区</w:t>
      </w:r>
      <w:r>
        <w:rPr>
          <w:rFonts w:hint="eastAsia" w:ascii="宋体" w:hAnsi="宋体" w:eastAsia="宋体" w:cs="宋体"/>
          <w:color w:val="auto"/>
          <w:sz w:val="21"/>
          <w:szCs w:val="21"/>
          <w:highlight w:val="none"/>
        </w:rPr>
        <w:t>财政。缴交利息时间为每年的12月31日前，否则按合同违约处理。</w:t>
      </w:r>
    </w:p>
    <w:p w14:paraId="2CBF6D6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面向社会入住老人的收费标准，由乙方依照</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机构设施设备条件、管理水平、服务质量、护理等级、市场物价等因素确定提出方案，按规定程序报甲方审核同意，按规定程序报发改物价部门备案。</w:t>
      </w:r>
    </w:p>
    <w:p w14:paraId="169591B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（八）乙方应根据服务需求，建立健全的</w:t>
      </w:r>
      <w:r>
        <w:rPr>
          <w:rFonts w:hint="eastAsia" w:ascii="宋体" w:hAnsi="宋体" w:eastAsia="宋体" w:cs="宋体"/>
          <w:color w:val="auto"/>
          <w:sz w:val="21"/>
          <w:szCs w:val="21"/>
          <w:highlight w:val="none"/>
          <w:lang w:val="en-US" w:eastAsia="zh-CN"/>
        </w:rPr>
        <w:t>机构内部</w:t>
      </w:r>
      <w:r>
        <w:rPr>
          <w:rFonts w:hint="eastAsia" w:ascii="宋体" w:hAnsi="宋体" w:eastAsia="宋体" w:cs="宋体"/>
          <w:color w:val="auto"/>
          <w:sz w:val="21"/>
          <w:szCs w:val="21"/>
          <w:highlight w:val="none"/>
        </w:rPr>
        <w:t>信息管理系统，</w:t>
      </w:r>
      <w:r>
        <w:rPr>
          <w:rFonts w:hint="eastAsia" w:ascii="宋体" w:hAnsi="宋体" w:eastAsia="宋体" w:cs="宋体"/>
          <w:color w:val="auto"/>
          <w:sz w:val="21"/>
          <w:szCs w:val="21"/>
          <w:highlight w:val="none"/>
          <w:lang w:val="en-US" w:eastAsia="zh-CN"/>
        </w:rPr>
        <w:t>实现机构内部信息化管理，并能</w:t>
      </w:r>
      <w:r>
        <w:rPr>
          <w:rFonts w:hint="eastAsia" w:ascii="宋体" w:hAnsi="宋体" w:eastAsia="宋体" w:cs="宋体"/>
          <w:color w:val="auto"/>
          <w:sz w:val="21"/>
          <w:szCs w:val="21"/>
          <w:highlight w:val="none"/>
        </w:rPr>
        <w:t>不断完善各项管理规章制度、人力资源管理、具体的日常岗位工作安排和应急管理方案，</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有权要求其修订相关制度并监督其执行。</w:t>
      </w:r>
    </w:p>
    <w:p w14:paraId="5E6ED85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乙方对入住的特困供养人员和面向社会入住人员，应按法律法规、政策规定及供养费用水平、收费标准等，提供适当水平档次的饮食、生活起居、照料护理、医养健康等服务，不得克扣钱物、降低服务水平和档次。对入住的特困供养人员，乙方每月应按照不低于</w:t>
      </w:r>
      <w:r>
        <w:rPr>
          <w:rFonts w:hint="eastAsia" w:ascii="宋体" w:hAnsi="宋体" w:eastAsia="宋体" w:cs="宋体"/>
          <w:color w:val="auto"/>
          <w:sz w:val="21"/>
          <w:szCs w:val="21"/>
          <w:highlight w:val="none"/>
          <w:lang w:val="en-US" w:eastAsia="zh-CN"/>
        </w:rPr>
        <w:t>约10%</w:t>
      </w:r>
      <w:r>
        <w:rPr>
          <w:rFonts w:hint="eastAsia" w:ascii="宋体" w:hAnsi="宋体" w:eastAsia="宋体" w:cs="宋体"/>
          <w:color w:val="auto"/>
          <w:sz w:val="21"/>
          <w:szCs w:val="21"/>
          <w:highlight w:val="none"/>
        </w:rPr>
        <w:t>供养费</w:t>
      </w:r>
      <w:r>
        <w:rPr>
          <w:rFonts w:hint="eastAsia" w:ascii="宋体" w:hAnsi="宋体" w:eastAsia="宋体" w:cs="宋体"/>
          <w:color w:val="auto"/>
          <w:sz w:val="21"/>
          <w:szCs w:val="21"/>
          <w:highlight w:val="none"/>
          <w:lang w:val="en-US" w:eastAsia="zh-CN"/>
        </w:rPr>
        <w:t>计算</w:t>
      </w:r>
      <w:r>
        <w:rPr>
          <w:rFonts w:hint="eastAsia" w:ascii="宋体" w:hAnsi="宋体" w:eastAsia="宋体" w:cs="宋体"/>
          <w:color w:val="auto"/>
          <w:sz w:val="21"/>
          <w:szCs w:val="21"/>
          <w:highlight w:val="none"/>
        </w:rPr>
        <w:t>发放零用钱。</w:t>
      </w:r>
    </w:p>
    <w:p w14:paraId="4EDC9F6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（十）乙方负责按照国家相关标准和规范对</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机构进行运营管理，并对固定资产进行日常管理维护</w:t>
      </w:r>
      <w:r>
        <w:rPr>
          <w:rFonts w:hint="eastAsia" w:ascii="宋体" w:hAnsi="宋体" w:eastAsia="宋体" w:cs="宋体"/>
          <w:bCs/>
          <w:color w:val="auto"/>
          <w:sz w:val="21"/>
          <w:szCs w:val="21"/>
          <w:highlight w:val="none"/>
          <w:lang w:eastAsia="zh-CN"/>
        </w:rPr>
        <w:t>（消防、燃气、电梯等设施应聘请有资质的第三方进行年检，定期维护）</w:t>
      </w:r>
      <w:r>
        <w:rPr>
          <w:rFonts w:hint="eastAsia" w:ascii="宋体" w:hAnsi="宋体" w:eastAsia="宋体" w:cs="宋体"/>
          <w:color w:val="auto"/>
          <w:sz w:val="21"/>
          <w:szCs w:val="21"/>
          <w:highlight w:val="none"/>
        </w:rPr>
        <w:t>，不得从事与养老服务无关的运营活动，不得出租、出借、处置</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的资产，不得以</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的资产进行抵押、贷款等活动。</w:t>
      </w:r>
    </w:p>
    <w:p w14:paraId="741E7A4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（十一）乙方应按上级对</w:t>
      </w:r>
      <w:r>
        <w:rPr>
          <w:rFonts w:hint="eastAsia" w:ascii="宋体" w:hAnsi="宋体" w:eastAsia="宋体" w:cs="宋体"/>
          <w:color w:val="auto"/>
          <w:sz w:val="21"/>
          <w:szCs w:val="21"/>
          <w:highlight w:val="none"/>
          <w:lang w:eastAsia="zh-CN"/>
        </w:rPr>
        <w:t>区</w:t>
      </w:r>
      <w:r>
        <w:rPr>
          <w:rFonts w:hint="eastAsia" w:ascii="宋体" w:hAnsi="宋体" w:eastAsia="宋体" w:cs="宋体"/>
          <w:color w:val="auto"/>
          <w:sz w:val="21"/>
          <w:szCs w:val="21"/>
          <w:highlight w:val="none"/>
        </w:rPr>
        <w:t>级公办养老机构的统一政策规定和部署安排，达到相应的养老机构等级和标准。</w:t>
      </w:r>
    </w:p>
    <w:p w14:paraId="0DDE8D5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（十二）乙方</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保证</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正式运营时的设施设备、床位设置、护理及服务人员配置等符合相关法律法规和规范的要求。上述设施设备的维护、更新、添置等</w:t>
      </w:r>
      <w:r>
        <w:rPr>
          <w:rFonts w:hint="eastAsia" w:ascii="宋体" w:hAnsi="宋体" w:eastAsia="宋体" w:cs="宋体"/>
          <w:color w:val="auto"/>
          <w:sz w:val="21"/>
          <w:szCs w:val="21"/>
          <w:highlight w:val="none"/>
          <w:lang w:eastAsia="zh-CN"/>
        </w:rPr>
        <w:t>费用</w:t>
      </w:r>
      <w:r>
        <w:rPr>
          <w:rFonts w:hint="eastAsia" w:ascii="宋体" w:hAnsi="宋体" w:eastAsia="宋体" w:cs="宋体"/>
          <w:color w:val="auto"/>
          <w:sz w:val="21"/>
          <w:szCs w:val="21"/>
          <w:highlight w:val="none"/>
        </w:rPr>
        <w:t>由乙方负责。</w:t>
      </w:r>
    </w:p>
    <w:p w14:paraId="09E1E3D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（十三）乙方应保证充足的开业资金和维持</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正常运营的资金。</w:t>
      </w:r>
    </w:p>
    <w:p w14:paraId="2371419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（十四）乙方在经营过程中，设备及固定资产需要更换或维修，须向甲方报备，并经甲方同意，确认资产，并造册登记。合同期满后，资产移交给甲方。</w:t>
      </w:r>
    </w:p>
    <w:p w14:paraId="182DA89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（十五）乙方建设期间因安全、劳资纠纷等产生的问题，乙方负全责并妥善处理，甲方</w:t>
      </w:r>
      <w:r>
        <w:rPr>
          <w:rFonts w:hint="eastAsia" w:ascii="宋体" w:hAnsi="宋体" w:eastAsia="宋体" w:cs="宋体"/>
          <w:color w:val="auto"/>
          <w:sz w:val="21"/>
          <w:szCs w:val="21"/>
        </w:rPr>
        <w:t>保留追究相关经济和法律责任</w:t>
      </w:r>
      <w:r>
        <w:rPr>
          <w:rFonts w:hint="eastAsia" w:ascii="宋体" w:hAnsi="宋体" w:eastAsia="宋体" w:cs="宋体"/>
          <w:color w:val="auto"/>
          <w:sz w:val="21"/>
          <w:szCs w:val="21"/>
          <w:lang w:eastAsia="zh-CN"/>
        </w:rPr>
        <w:t>的</w:t>
      </w:r>
      <w:r>
        <w:rPr>
          <w:rFonts w:hint="eastAsia" w:ascii="宋体" w:hAnsi="宋体" w:eastAsia="宋体" w:cs="宋体"/>
          <w:color w:val="auto"/>
          <w:sz w:val="21"/>
          <w:szCs w:val="21"/>
        </w:rPr>
        <w:t>权利。</w:t>
      </w:r>
    </w:p>
    <w:p w14:paraId="1298874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（十六）运营期间如</w:t>
      </w:r>
      <w:r>
        <w:rPr>
          <w:rFonts w:hint="eastAsia" w:ascii="宋体" w:hAnsi="宋体" w:eastAsia="宋体" w:cs="宋体"/>
          <w:color w:val="auto"/>
          <w:sz w:val="21"/>
          <w:szCs w:val="21"/>
          <w:lang w:eastAsia="zh-CN"/>
        </w:rPr>
        <w:t>存在</w:t>
      </w:r>
      <w:r>
        <w:rPr>
          <w:rFonts w:hint="eastAsia" w:ascii="宋体" w:hAnsi="宋体" w:eastAsia="宋体" w:cs="宋体"/>
          <w:color w:val="auto"/>
          <w:sz w:val="21"/>
          <w:szCs w:val="21"/>
        </w:rPr>
        <w:t>安全隐患、服务质量等问题，要限时进行整改，乙方应无条件配合甲方进行整</w:t>
      </w:r>
      <w:r>
        <w:rPr>
          <w:rFonts w:hint="eastAsia" w:ascii="宋体" w:hAnsi="宋体" w:eastAsia="宋体" w:cs="宋体"/>
          <w:color w:val="auto"/>
          <w:sz w:val="21"/>
          <w:szCs w:val="21"/>
          <w:highlight w:val="none"/>
        </w:rPr>
        <w:t>改并承担相应责任。</w:t>
      </w:r>
    </w:p>
    <w:p w14:paraId="744552EC">
      <w:pPr>
        <w:keepNext w:val="0"/>
        <w:keepLines w:val="0"/>
        <w:pageBreakBefore w:val="0"/>
        <w:numPr>
          <w:ilvl w:val="0"/>
          <w:numId w:val="0"/>
        </w:numPr>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十七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人在运营期前五年达到广东省养老机构星级评定标准中四星级标准，则自评定后的下一年起政府返还当年租金20%。中标人在运营期前五年达到广东省养老机构星级评定标准五星级标准，则自评定后的下一年起政府返还当年租金30%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返还租金累计不超过三年。</w:t>
      </w:r>
      <w:r>
        <w:rPr>
          <w:rFonts w:hint="eastAsia" w:ascii="宋体" w:hAnsi="宋体" w:eastAsia="宋体" w:cs="宋体"/>
          <w:color w:val="auto"/>
          <w:sz w:val="21"/>
          <w:szCs w:val="21"/>
          <w:highlight w:val="none"/>
        </w:rPr>
        <w:t>中标人在运营期前五年未能达到广东省养老机构星级评定标准中</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星级</w:t>
      </w:r>
      <w:r>
        <w:rPr>
          <w:rFonts w:hint="eastAsia" w:ascii="宋体" w:hAnsi="宋体" w:eastAsia="宋体" w:cs="宋体"/>
          <w:color w:val="auto"/>
          <w:sz w:val="21"/>
          <w:szCs w:val="21"/>
          <w:highlight w:val="none"/>
          <w:lang w:val="en-US" w:eastAsia="zh-CN"/>
        </w:rPr>
        <w:t>及以上</w:t>
      </w:r>
      <w:r>
        <w:rPr>
          <w:rFonts w:hint="eastAsia" w:ascii="宋体" w:hAnsi="宋体" w:eastAsia="宋体" w:cs="宋体"/>
          <w:color w:val="auto"/>
          <w:sz w:val="21"/>
          <w:szCs w:val="21"/>
          <w:highlight w:val="none"/>
        </w:rPr>
        <w:t>养老机构标准，则租金没有任何返还</w:t>
      </w:r>
      <w:r>
        <w:rPr>
          <w:rFonts w:hint="eastAsia" w:ascii="宋体" w:hAnsi="宋体" w:eastAsia="宋体" w:cs="宋体"/>
          <w:color w:val="auto"/>
          <w:sz w:val="21"/>
          <w:szCs w:val="21"/>
          <w:highlight w:val="none"/>
          <w:lang w:eastAsia="zh-CN"/>
        </w:rPr>
        <w:t>。</w:t>
      </w:r>
    </w:p>
    <w:p w14:paraId="193119B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十八</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人员配置标准：护理人员与床位配比需满足：失能床位1:3、半失能床位1:6、自理床位1:10；所有护理人员需持有效职业资格证书上岗，每年参加专业培训时长≥40小时，培训记录报甲方备案。</w:t>
      </w:r>
    </w:p>
    <w:p w14:paraId="36BE8DF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十九</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资产维护责任划分：</w:t>
      </w:r>
    </w:p>
    <w:p w14:paraId="23477B7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日常小额维修（单次费用≤5000元）：乙方72小时内响应并完成；</w:t>
      </w:r>
    </w:p>
    <w:p w14:paraId="75989C1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中大额维修（5000元＜单次费用≤5万元）：乙方3日内提交维修方案，经甲方同意后15日内完成；</w:t>
      </w:r>
    </w:p>
    <w:p w14:paraId="6E12377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建筑物本体结构性维修：乙方发现后24小时内上报甲方，由甲方牵头组织维修，费用按本合同第六条第（五）项执行。</w:t>
      </w:r>
    </w:p>
    <w:p w14:paraId="2CBB111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二十</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乙方需制定自然灾害、公共卫生事件、老人突发疾病等6类应急预案，每季度组织1次演练，演练记录报甲方备案；发生重大事件（如老人意外伤亡、较大安全事故），乙方需在2小时内上报甲方及相关部门。</w:t>
      </w:r>
    </w:p>
    <w:p w14:paraId="65015A6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十一）若乙方运营期间需向用户收取养老押金的，须建立养老押金三方监管机制，开立专用存款账户，对押金的收取、存储、支取、退回全流程闭环管控，严格依据《养老机构预收费存管工作指引》等政策执行，确保资金专款专用、安全可追溯。</w:t>
      </w:r>
    </w:p>
    <w:p w14:paraId="4F3837F4">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p>
    <w:p w14:paraId="2E0A9A7B">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六、特别约定</w:t>
      </w:r>
    </w:p>
    <w:p w14:paraId="1A7AE50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（一）乙方应遵循的相关法律法规及政策文件</w:t>
      </w:r>
    </w:p>
    <w:p w14:paraId="353070E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1.《中华人民共和国老年人权益保障法》</w:t>
      </w:r>
    </w:p>
    <w:p w14:paraId="64F9BB6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2.《广东省老年人权益保障条例》</w:t>
      </w:r>
    </w:p>
    <w:p w14:paraId="6C06F8B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3.《广东省养老机构规范化建设指引》</w:t>
      </w:r>
    </w:p>
    <w:p w14:paraId="5670D6C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4.《广东省民办社会福利机构管理规定》（广东省人民政府令第 275 号（2020 年 5 月 12 日修订））</w:t>
      </w:r>
    </w:p>
    <w:p w14:paraId="7818A97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5.《养老机构消防安全管理规定》（民政部 国家消防救援局 民发〔2023〕37 号）</w:t>
      </w:r>
    </w:p>
    <w:p w14:paraId="79E9C34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6.《养老机构管理办法》（中华人民共和国民政部令第66号）</w:t>
      </w:r>
    </w:p>
    <w:p w14:paraId="41E9536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r>
        <w:rPr>
          <w:rFonts w:hint="eastAsia" w:ascii="宋体" w:hAnsi="宋体" w:eastAsia="宋体" w:cs="宋体"/>
          <w:color w:val="auto"/>
          <w:sz w:val="21"/>
          <w:szCs w:val="21"/>
          <w:lang w:eastAsia="zh-CN"/>
        </w:rPr>
        <w:t>《养老机构护理站基本标准（试行）》</w:t>
      </w:r>
    </w:p>
    <w:p w14:paraId="25246F9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w:t>
      </w:r>
      <w:r>
        <w:rPr>
          <w:rFonts w:hint="eastAsia" w:ascii="宋体" w:hAnsi="宋体" w:eastAsia="宋体" w:cs="宋体"/>
          <w:color w:val="auto"/>
          <w:sz w:val="21"/>
          <w:szCs w:val="21"/>
          <w:lang w:eastAsia="zh-CN"/>
        </w:rPr>
        <w:t>《养老机构医务室基本标准（试行）》</w:t>
      </w:r>
    </w:p>
    <w:p w14:paraId="09F6C66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9.《广东省民政厅关于印发广东省特困人员供养服务机构公建民营社会化改革实施方案的通知》（粤民发〔2016〕77号）</w:t>
      </w:r>
    </w:p>
    <w:p w14:paraId="480E228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10.《广东省民政厅关于进一步加强养老机构公建民营社会化改革监督指导的通知》（粤民函〔2020〕265号）</w:t>
      </w:r>
    </w:p>
    <w:p w14:paraId="17600F1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①《老年人照料设施建筑设计标准》（JGJ450-2018）</w:t>
      </w:r>
    </w:p>
    <w:p w14:paraId="5C80674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②《养老机构服务安全基本规范》（GB38600-2019）</w:t>
      </w:r>
    </w:p>
    <w:p w14:paraId="7AF9DD3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③《养老机构服务质量基本规范》（GB/T35796-2017）</w:t>
      </w:r>
    </w:p>
    <w:p w14:paraId="5195AF2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④《农村特困人员供养服务机构运营规范》（DB44/T2200-2019）</w:t>
      </w:r>
    </w:p>
    <w:p w14:paraId="0F9A211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11.其他相关的法律法规和政策文件</w:t>
      </w:r>
    </w:p>
    <w:p w14:paraId="35F2F5B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（二）运营保障金</w:t>
      </w:r>
    </w:p>
    <w:p w14:paraId="6340B27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乙方应于本项目签订之日起30个工作日内，按规定向甲方提交运营保障金为人民币壹佰万元整(￥1,000,000.00元)，缴纳现金不能少于人民币贰拾万元整(￥200,000.00元)，并划入甲方指定的银行账户，余下金额可以采取银行保函形式，保函失效前三个月乙方应做好保函续开手续或缴纳等额现金。乙方支付完成后，应将转账凭证复印件提交招标人备案，招标人在收到凭证并确认款项到账后，出具收款确认函。</w:t>
      </w:r>
    </w:p>
    <w:p w14:paraId="78E6705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乙方现金实缴运营保障金于合同期满，在乙方完全履行合同义务，结清所有费用（包括经营期间所有债务，产生的水电费用等）并经韶关市武江区养老服务中心（一期）交接验收合格后30个工作日内无息一次性退还。如经营期间，乙方自行终止合同或违反合同有关规定被招标人终止合同的，运营保障金将全部归招标人所有，运营保障金金额不足以弥补乙方违约行为导致的损失的，招标人可继续追偿。</w:t>
      </w:r>
    </w:p>
    <w:p w14:paraId="0D7CACC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如乙方未能在规定的时间内将运营保障金划入招标人指定的账户，视同自动放弃中标资格。在此情况下，招标人有权把合同授予排名在乙方之后的第二中标候选人或采用重新招标的方式重新确定承包经营商，由此带来的一切损失由乙方自行承担。</w:t>
      </w:r>
    </w:p>
    <w:p w14:paraId="3DB0975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乙方需在签订合同30天内在武江区注册成立项目管理公司。</w:t>
      </w:r>
    </w:p>
    <w:p w14:paraId="7778BEF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）政府补贴</w:t>
      </w:r>
    </w:p>
    <w:p w14:paraId="43E45A7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1.甲方每月应向</w:t>
      </w:r>
      <w:r>
        <w:rPr>
          <w:rFonts w:hint="eastAsia" w:ascii="宋体" w:hAnsi="宋体" w:eastAsia="宋体" w:cs="宋体"/>
          <w:color w:val="auto"/>
          <w:sz w:val="21"/>
          <w:szCs w:val="21"/>
          <w:highlight w:val="none"/>
          <w:lang w:eastAsia="zh-CN"/>
        </w:rPr>
        <w:t>区</w:t>
      </w:r>
      <w:r>
        <w:rPr>
          <w:rFonts w:hint="eastAsia" w:ascii="宋体" w:hAnsi="宋体" w:eastAsia="宋体" w:cs="宋体"/>
          <w:color w:val="auto"/>
          <w:sz w:val="21"/>
          <w:szCs w:val="21"/>
          <w:highlight w:val="none"/>
        </w:rPr>
        <w:t>财政申请拨付政府供养人员的供养费、护理补贴等经费。</w:t>
      </w:r>
    </w:p>
    <w:p w14:paraId="5E3BF19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2.如甲方需购买除本合同约定外的其他服务的，双方须另行协商签约。</w:t>
      </w:r>
    </w:p>
    <w:p w14:paraId="26C11E7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）维修费用</w:t>
      </w:r>
    </w:p>
    <w:p w14:paraId="76F83C9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乙方应从社会养老每年营业总额中安排3%的资金作为</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的维修费用（主要用于</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日常设施维护及升级改造），留存到由甲方和乙方共同设立的监管账户中，实行专户管理。维修及升级改造方案和资金使用需由甲方同意后方可实施。若需进行结构性大修时，优先使用维修监管账户的资金，不足部分由双方共同协商解决。</w:t>
      </w:r>
    </w:p>
    <w:p w14:paraId="4DE35F4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双方就不足部分费用分担协商不一致的，应在争议发生之日起 15 日内，共同选定具备资质的第三方工程造价咨询机构对大修工程合理造价进行审核确认，审核结果对双方具有约束力；双方对第三方选定无法达成一致的，由项目所在地住建部门推荐资质机构进行审核，审核费用由提出异议一方先行垫付，最终由双方按责任比例承担；审核后仍无法协商一致的，任何一方均有权向项目所在地人民法院提起诉讼解决，大修工程期间不得影响项目正常养老服务运营。</w:t>
      </w:r>
    </w:p>
    <w:p w14:paraId="72BB9669">
      <w:pPr>
        <w:keepNext w:val="0"/>
        <w:keepLines w:val="0"/>
        <w:pageBreakBefore w:val="0"/>
        <w:numPr>
          <w:ilvl w:val="0"/>
          <w:numId w:val="0"/>
        </w:numPr>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经营期内乙方对</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自行管理及使用，自负盈亏、自担风险。因此产生的债务、损害赔偿、工伤赔偿、追偿、追诉等争议纠纷、民事责任、行政责任及刑事责任，由乙方自行承担，因各种纠纷影响</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声誉和工作秩序，甲方有权解除合同，收回经营权并没收全额运营保障金。引起</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遭受损失的，甲方有权对乙方提出索赔。</w:t>
      </w:r>
    </w:p>
    <w:p w14:paraId="2C5DDAA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（七）保险与风险转移</w:t>
      </w:r>
    </w:p>
    <w:p w14:paraId="339B8C9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乙方需在合同生效后30日内，投保以下保险并将保单副本提交甲方备案：</w:t>
      </w:r>
    </w:p>
    <w:p w14:paraId="7A15E4BE">
      <w:pPr>
        <w:keepNext w:val="0"/>
        <w:keepLines w:val="0"/>
        <w:pageBreakBefore w:val="0"/>
        <w:kinsoku/>
        <w:wordWrap w:val="0"/>
        <w:overflowPunct/>
        <w:topLinePunct w:val="0"/>
        <w:autoSpaceDE/>
        <w:autoSpaceDN/>
        <w:bidi w:val="0"/>
        <w:adjustRightInd w:val="0"/>
        <w:snapToGrid w:val="0"/>
        <w:spacing w:line="360" w:lineRule="auto"/>
        <w:ind w:leftChars="100" w:firstLine="0" w:firstLineChars="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（1）养老机构责任险（保额≥200万元/每次事故，年度累计保额≥500万元）；</w:t>
      </w:r>
    </w:p>
    <w:p w14:paraId="319AF8F3">
      <w:pPr>
        <w:keepNext w:val="0"/>
        <w:keepLines w:val="0"/>
        <w:pageBreakBefore w:val="0"/>
        <w:kinsoku/>
        <w:wordWrap w:val="0"/>
        <w:overflowPunct/>
        <w:topLinePunct w:val="0"/>
        <w:autoSpaceDE/>
        <w:autoSpaceDN/>
        <w:bidi w:val="0"/>
        <w:adjustRightInd w:val="0"/>
        <w:snapToGrid w:val="0"/>
        <w:spacing w:line="360" w:lineRule="auto"/>
        <w:ind w:leftChars="100" w:firstLine="0" w:firstLineChars="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（2）入住老人意外险（保额≥50万元/人）；</w:t>
      </w:r>
    </w:p>
    <w:p w14:paraId="2592FCD2">
      <w:pPr>
        <w:keepNext w:val="0"/>
        <w:keepLines w:val="0"/>
        <w:pageBreakBefore w:val="0"/>
        <w:kinsoku/>
        <w:wordWrap w:val="0"/>
        <w:overflowPunct/>
        <w:topLinePunct w:val="0"/>
        <w:autoSpaceDE/>
        <w:autoSpaceDN/>
        <w:bidi w:val="0"/>
        <w:adjustRightInd w:val="0"/>
        <w:snapToGrid w:val="0"/>
        <w:spacing w:line="360" w:lineRule="auto"/>
        <w:ind w:leftChars="100" w:firstLine="0" w:firstLineChars="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（3）雇主责任险（覆盖所有员工，保额≥80万元/人）。</w:t>
      </w:r>
    </w:p>
    <w:p w14:paraId="41D0367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保险期限需与本合同运营期一致，乙方需在保险到期前30日完成续保，未按时续保视为违约。</w:t>
      </w:r>
    </w:p>
    <w:p w14:paraId="593E0646">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14:textFill>
            <w14:solidFill>
              <w14:schemeClr w14:val="tx1"/>
            </w14:solidFill>
          </w14:textFill>
        </w:rPr>
        <w:t>（八）个人信息与隐私保护</w:t>
      </w:r>
    </w:p>
    <w:p w14:paraId="4C6681D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乙方需遵守《中华人民共和国个人信息保护法》，建立老人个人信息（含健康数据、身份信息）的收集、存储、使用管理制度。</w:t>
      </w:r>
    </w:p>
    <w:p w14:paraId="3965A23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禁止向第三方泄露老人信息（法律法规要求除外），合同终止时需全额返还或销毁老人信息资料，甲方有权监督核查。</w:t>
      </w:r>
    </w:p>
    <w:p w14:paraId="1920EFC5">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14:textFill>
            <w14:solidFill>
              <w14:schemeClr w14:val="tx1"/>
            </w14:solidFill>
          </w14:textFill>
        </w:rPr>
        <w:t>（九）合规性补充要求</w:t>
      </w:r>
    </w:p>
    <w:p w14:paraId="0E647CA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乙方需遵守《反食品浪费法》，餐饮浪费率控制在5%以内，甲方定期核查，超标一次扣除当月</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租金</w:t>
      </w:r>
      <w:r>
        <w:rPr>
          <w:rFonts w:hint="eastAsia" w:ascii="宋体" w:hAnsi="宋体" w:eastAsia="宋体" w:cs="宋体"/>
          <w:b w:val="0"/>
          <w:bCs w:val="0"/>
          <w:color w:val="000000" w:themeColor="text1"/>
          <w:sz w:val="21"/>
          <w:szCs w:val="21"/>
          <w:highlight w:val="none"/>
          <w14:textFill>
            <w14:solidFill>
              <w14:schemeClr w14:val="tx1"/>
            </w14:solidFill>
          </w14:textFill>
        </w:rPr>
        <w:t>的1%。</w:t>
      </w:r>
    </w:p>
    <w:p w14:paraId="483BE09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乙方需建立反欺老虐老长效机制，在公共区域安装监控（隐私区域除外），监控保存时长≥90天，甲方有权调阅核查。</w:t>
      </w:r>
    </w:p>
    <w:p w14:paraId="263A71B5">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p>
    <w:p w14:paraId="2F1A7E9F">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七、临时接管预案</w:t>
      </w:r>
    </w:p>
    <w:p w14:paraId="0B59771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本合同运营期内，如乙方出现以下情况，甲方有权实施临时接管：</w:t>
      </w:r>
    </w:p>
    <w:p w14:paraId="4EA8E47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（一）因经营管理不善，发生较大安全生产责任事故且不做善后处理或善后处置不及时不合理的；</w:t>
      </w:r>
    </w:p>
    <w:p w14:paraId="56AB808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（二）严重违约、不尽管理职责或运营管理不善严重</w:t>
      </w:r>
      <w:r>
        <w:rPr>
          <w:rFonts w:hint="eastAsia" w:ascii="宋体" w:hAnsi="宋体" w:eastAsia="宋体" w:cs="宋体"/>
          <w:color w:val="auto"/>
          <w:sz w:val="21"/>
          <w:szCs w:val="21"/>
          <w:highlight w:val="none"/>
          <w:lang w:eastAsia="zh-CN"/>
        </w:rPr>
        <w:t>影响</w:t>
      </w:r>
      <w:r>
        <w:rPr>
          <w:rFonts w:hint="eastAsia" w:ascii="宋体" w:hAnsi="宋体" w:eastAsia="宋体" w:cs="宋体"/>
          <w:color w:val="auto"/>
          <w:sz w:val="21"/>
          <w:szCs w:val="21"/>
          <w:highlight w:val="none"/>
        </w:rPr>
        <w:t>社会公共利益和安全的；</w:t>
      </w:r>
    </w:p>
    <w:p w14:paraId="5743EE6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（三）擅自停业、歇业的；</w:t>
      </w:r>
    </w:p>
    <w:p w14:paraId="5F7C843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（四）擅自将</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转包给第三方经营的；</w:t>
      </w:r>
    </w:p>
    <w:p w14:paraId="377D0C2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（五）擅自将</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财产转让、抵押给第三方的；</w:t>
      </w:r>
    </w:p>
    <w:p w14:paraId="0C73E48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（六）一年内发生3次以上（含3次）欺老虐老事件的；</w:t>
      </w:r>
    </w:p>
    <w:p w14:paraId="5AB0F11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（七）法律法规禁止的其他相关行为。</w:t>
      </w:r>
    </w:p>
    <w:p w14:paraId="4232E8B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以上情况</w:t>
      </w:r>
      <w:r>
        <w:rPr>
          <w:rFonts w:hint="eastAsia" w:ascii="宋体" w:hAnsi="宋体" w:eastAsia="宋体" w:cs="宋体"/>
          <w:color w:val="auto"/>
          <w:sz w:val="21"/>
          <w:szCs w:val="21"/>
          <w:highlight w:val="none"/>
          <w:lang w:val="en-US" w:eastAsia="zh-CN"/>
        </w:rPr>
        <w:t>直到</w:t>
      </w:r>
      <w:r>
        <w:rPr>
          <w:rFonts w:hint="eastAsia" w:ascii="宋体" w:hAnsi="宋体" w:eastAsia="宋体" w:cs="宋体"/>
          <w:color w:val="auto"/>
          <w:sz w:val="21"/>
          <w:szCs w:val="21"/>
          <w:highlight w:val="none"/>
        </w:rPr>
        <w:t>乙方采取整改措施并达到符合合同约定及有关</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运营规范，乙方可以正常运营时，甲方终止接管。接管期不超过半年，半年后若乙方整改效果还不满足运营条件，甲方有权解除合同，临时接管期间所产生的相关费用，由乙方承担。</w:t>
      </w:r>
    </w:p>
    <w:p w14:paraId="1F0273B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（八）续约流程</w:t>
      </w:r>
    </w:p>
    <w:p w14:paraId="1A820BB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乙方需在合同期满前12个月提交续约申请及运营情况报告，甲方6个月内组织第三方评估，评估合格且无违约记录的，乙方享有优先续约权；</w:t>
      </w:r>
    </w:p>
    <w:p w14:paraId="1CA3D91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续约谈判期限为3个月，未达成一致的，乙方按本条款约定执行移交。</w:t>
      </w:r>
    </w:p>
    <w:p w14:paraId="66D0FDC3">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p>
    <w:p w14:paraId="6A7CD401">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八、合同期满约定</w:t>
      </w:r>
    </w:p>
    <w:p w14:paraId="6207FA9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期满或乙方提前退出等情况需终止合同的，乙方应在合同终止前6个月向甲方提交终止合同情况报告及入住对象安置方案，经批准后实施。双方为此共同委托专业会计师事务所进行资产清算，妥善做好资产和账目交接。运营期限届满移交政府，移交前产生的一切债务或纠纷由乙方负责。</w:t>
      </w:r>
    </w:p>
    <w:p w14:paraId="33E529B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运营期限届满后，在同等条件下，乙方享有优先继续运营的权利。如乙方不再运营，或第三方以更有利条件取得运营权，双方按以下方式进行移交：</w:t>
      </w:r>
    </w:p>
    <w:p w14:paraId="229CE61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（一）由甲方所在地人民政府成立由财政、审计、发改、住建等主管部门及甲乙双方参与的移交委员会，负责确定移交清单，办理资产移交事宜。</w:t>
      </w:r>
    </w:p>
    <w:p w14:paraId="2C4CD6B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（二）在运营期满乙方不再运营管理时，乙方应确保</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设施设备正常使用。若不能满足正常使用，乙方应及时修复（但建筑物本体缺陷除外），如乙方拒不修复，则相应扣除运营保障金或修复到正常使用所需的费用。办理移交手续后，乙方不再负责任何维修费用。</w:t>
      </w:r>
    </w:p>
    <w:p w14:paraId="01BACA7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（三）乙方在运营管理期间对</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所形成的资产无偿向甲方移交，移交后产权归甲方所有。</w:t>
      </w:r>
    </w:p>
    <w:p w14:paraId="3B9F03F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（四）乙方应确保移交的</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物业不存在任何抵押、质押和索赔权，并在合同期限届满之日将</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的资产及相关的文件、资料、经营权移交给甲方或由甲方指定的经营管理者。</w:t>
      </w:r>
    </w:p>
    <w:p w14:paraId="6541703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（五）合同期限及相关事宜</w:t>
      </w:r>
    </w:p>
    <w:p w14:paraId="222C209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rPr>
        <w:t>乙方在与第三方签订管理养护合同、设备维护合同及其他合同时，应使合同的有效期不超过</w:t>
      </w:r>
      <w:r>
        <w:rPr>
          <w:rFonts w:hint="eastAsia" w:ascii="宋体" w:hAnsi="宋体" w:eastAsia="宋体" w:cs="宋体"/>
          <w:sz w:val="21"/>
          <w:szCs w:val="21"/>
          <w:lang w:eastAsia="zh-CN"/>
        </w:rPr>
        <w:t>韶关市武江区养老服务中心（一期）</w:t>
      </w:r>
      <w:r>
        <w:rPr>
          <w:rFonts w:hint="eastAsia" w:ascii="宋体" w:hAnsi="宋体" w:eastAsia="宋体" w:cs="宋体"/>
          <w:sz w:val="21"/>
          <w:szCs w:val="21"/>
        </w:rPr>
        <w:t>运营期限届满日</w:t>
      </w:r>
      <w:r>
        <w:rPr>
          <w:rFonts w:hint="eastAsia" w:ascii="宋体" w:hAnsi="宋体" w:eastAsia="宋体" w:cs="宋体"/>
          <w:color w:val="auto"/>
          <w:sz w:val="21"/>
          <w:szCs w:val="21"/>
          <w:highlight w:val="none"/>
        </w:rPr>
        <w:t>，否则因此产生的延期服务费用由乙方承担。</w:t>
      </w:r>
    </w:p>
    <w:p w14:paraId="7B7B3D7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如在移交日前，乙方需签订维护合同、设备合同及其他合同的，且合同在</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运营期届满后仍有效的，则乙方应在该合同签订前报经甲方同意。未经甲方同意的，运营期满后合同无效，由乙方承担相应责任。</w:t>
      </w:r>
    </w:p>
    <w:p w14:paraId="63072B9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（六）移走乙方相关的物品</w:t>
      </w:r>
    </w:p>
    <w:p w14:paraId="6E21F50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非双方另有合同，乙方应于移交日期之后15日内，自费移走乙方员工个人物品。如果乙方在上述时间内没有移走这些物品，甲方在通知乙方之后，可以移走并将物品转运至适当的地点安全保管，乙方应承担搬移、运输和保管的合理费用和风险，乙方未通知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甲方可自行处理相应物品。</w:t>
      </w:r>
    </w:p>
    <w:p w14:paraId="5CA913B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（七）本合同移交后的效力</w:t>
      </w:r>
    </w:p>
    <w:p w14:paraId="38FB426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乙方在本合同到期，其权利和义务即应终止，本合同另有规定的除外。移交日之前发生的债权债务或纠纷由乙方承担，与甲方无关。</w:t>
      </w:r>
    </w:p>
    <w:p w14:paraId="39E2A308">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p>
    <w:p w14:paraId="162402B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九、合同的变更、终止</w:t>
      </w:r>
    </w:p>
    <w:p w14:paraId="290AB55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（一）本合同生效后即具有法律约束力，甲乙双方均不得随意变更。合同需要变更时需经甲乙双方协商，达成一致意见，明确合同变更、补充或终止的情形。</w:t>
      </w:r>
    </w:p>
    <w:p w14:paraId="53F75D4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任何一方要求变更或终止本合同的，须提前30日向另一方提出书面意见。双方协商未达成一致前，双方应履行原有合同规定。协商达成一致后，甲方在达成协议后30日内委托具有资质的会计师事务所或其他专业评估机构进行国有资产比对评估，同时，双方进行</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移交的相关事宜，乙方在合同终止之日起10日内将</w:t>
      </w:r>
      <w:r>
        <w:rPr>
          <w:rFonts w:hint="eastAsia" w:ascii="宋体" w:hAnsi="宋体" w:eastAsia="宋体" w:cs="宋体"/>
          <w:color w:val="auto"/>
          <w:sz w:val="21"/>
          <w:szCs w:val="21"/>
          <w:highlight w:val="none"/>
          <w:lang w:eastAsia="zh-CN"/>
        </w:rPr>
        <w:t>韶关市武江区养老服务中心（一期）</w:t>
      </w:r>
      <w:r>
        <w:rPr>
          <w:rFonts w:hint="eastAsia" w:ascii="宋体" w:hAnsi="宋体" w:eastAsia="宋体" w:cs="宋体"/>
          <w:color w:val="auto"/>
          <w:sz w:val="21"/>
          <w:szCs w:val="21"/>
          <w:highlight w:val="none"/>
        </w:rPr>
        <w:t>的资产及相关文件、资料、经营权等移交给甲方。</w:t>
      </w:r>
    </w:p>
    <w:p w14:paraId="460B192B">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十、</w:t>
      </w:r>
      <w:r>
        <w:rPr>
          <w:rFonts w:hint="eastAsia" w:ascii="宋体" w:hAnsi="宋体" w:eastAsia="宋体" w:cs="宋体"/>
          <w:b/>
          <w:bCs/>
          <w:color w:val="auto"/>
          <w:sz w:val="21"/>
          <w:szCs w:val="21"/>
          <w:highlight w:val="none"/>
          <w:lang w:val="en-US" w:eastAsia="zh-CN"/>
        </w:rPr>
        <w:t>考核机制</w:t>
      </w:r>
    </w:p>
    <w:p w14:paraId="674C322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auto"/>
          <w:sz w:val="21"/>
          <w:szCs w:val="21"/>
          <w:highlight w:val="none"/>
          <w:lang w:eastAsia="zh-CN"/>
        </w:rPr>
        <w:t>甲方负责对乙方的运营服务质量实施定期考核与不定期抽查，考核方式</w:t>
      </w:r>
      <w:r>
        <w:rPr>
          <w:rFonts w:hint="eastAsia" w:ascii="宋体" w:hAnsi="宋体" w:eastAsia="宋体" w:cs="宋体"/>
          <w:color w:val="000000" w:themeColor="text1"/>
          <w:sz w:val="21"/>
          <w:szCs w:val="21"/>
          <w:highlight w:val="none"/>
          <w:lang w:eastAsia="zh-CN"/>
          <w14:textFill>
            <w14:solidFill>
              <w14:schemeClr w14:val="tx1"/>
            </w14:solidFill>
          </w14:textFill>
        </w:rPr>
        <w:t>采用现场查验、资料审核、满意度测评相结合。</w:t>
      </w:r>
    </w:p>
    <w:p w14:paraId="531C6EE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1.考核频次：</w:t>
      </w:r>
      <w:r>
        <w:rPr>
          <w:rFonts w:hint="eastAsia" w:ascii="宋体" w:hAnsi="宋体" w:eastAsia="宋体" w:cs="宋体"/>
          <w:kern w:val="2"/>
          <w:sz w:val="21"/>
          <w:szCs w:val="21"/>
          <w:highlight w:val="none"/>
          <w:lang w:val="en-US" w:eastAsia="zh-CN" w:bidi="ar-SA"/>
        </w:rPr>
        <w:t>日常考核（</w:t>
      </w:r>
      <w:r>
        <w:rPr>
          <w:rFonts w:hint="default" w:asciiTheme="minorEastAsia" w:hAnsiTheme="minorEastAsia" w:eastAsiaTheme="minorEastAsia" w:cstheme="minorEastAsia"/>
          <w:sz w:val="21"/>
          <w:szCs w:val="21"/>
          <w:highlight w:val="none"/>
          <w:lang w:val="en-US" w:eastAsia="zh-CN"/>
        </w:rPr>
        <w:t>由运营方内部监督小组负责</w:t>
      </w:r>
      <w:r>
        <w:rPr>
          <w:rFonts w:hint="eastAsia" w:ascii="宋体" w:hAnsi="宋体" w:eastAsia="宋体" w:cs="宋体"/>
          <w:kern w:val="2"/>
          <w:sz w:val="21"/>
          <w:szCs w:val="21"/>
          <w:highlight w:val="none"/>
          <w:lang w:val="en-US" w:eastAsia="zh-CN" w:bidi="ar-SA"/>
        </w:rPr>
        <w:t>，根据落实情况进行评分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占季度考核权重30%）、每季度一次综合评估（占年度考核权重40%）、每年一次年度考核（占总权重30%）、半年度专项抽查（重点核查安全管理与服务质量）。</w:t>
      </w:r>
    </w:p>
    <w:p w14:paraId="4A50982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奖惩措施：</w:t>
      </w:r>
    </w:p>
    <w:p w14:paraId="10CA757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季度不合格需15日内整改，整改后仍不合格予以通报；连续两次年度不合格或累计三次季度不合格，招标人启动退出机制。不定期抽查发现严重违规（如擅自停业、降低特困人员待遇）的，直接判定不合格并责令立即整改。</w:t>
      </w:r>
    </w:p>
    <w:p w14:paraId="63A6583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年度优秀（90 分及以上）：优先推荐申报省级养老服务示范项目；</w:t>
      </w:r>
    </w:p>
    <w:p w14:paraId="7880277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季度不合格（69分及以下）：15日内提交整改报告，逾期未整改或整改不合格的，扣运营保障金的3%；累计2次季度不合格，通报批评并扣除5%运营保障金。</w:t>
      </w:r>
    </w:p>
    <w:p w14:paraId="26D3EB9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年度不合格（69分及以下）：扣除10%运营保障金，限期3个月整改；连续2次年度不合格或累计3次季度不合格，启动退出机制。</w:t>
      </w:r>
    </w:p>
    <w:p w14:paraId="39018EB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重大违规奖惩：发生欺老虐老事件1次扣20分，年内累计2次直接判定年度不合格；</w:t>
      </w:r>
    </w:p>
    <w:p w14:paraId="7AAC5210">
      <w:pPr>
        <w:pStyle w:val="9"/>
        <w:ind w:firstLine="420" w:firstLineChars="200"/>
        <w:rPr>
          <w:rFonts w:hint="eastAsia"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eastAsia="宋体" w:cs="宋体"/>
          <w:color w:val="000000" w:themeColor="text1"/>
          <w:sz w:val="21"/>
          <w:szCs w:val="21"/>
          <w:highlight w:val="none"/>
          <w:lang w:val="en-US" w:eastAsia="zh-CN"/>
          <w14:textFill>
            <w14:solidFill>
              <w14:schemeClr w14:val="tx1"/>
            </w14:solidFill>
          </w14:textFill>
        </w:rPr>
        <w:t>.星级评定奖励</w:t>
      </w:r>
    </w:p>
    <w:p w14:paraId="4B6C8173">
      <w:pPr>
        <w:pStyle w:val="9"/>
        <w:ind w:firstLine="420" w:firstLineChars="200"/>
        <w:rPr>
          <w:rFonts w:hint="eastAsia" w:eastAsia="宋体" w:cs="宋体"/>
          <w:color w:val="000000" w:themeColor="text1"/>
          <w:sz w:val="21"/>
          <w:szCs w:val="21"/>
          <w:highlight w:val="none"/>
          <w:lang w:val="en-US" w:eastAsia="zh-CN"/>
          <w14:textFill>
            <w14:solidFill>
              <w14:schemeClr w14:val="tx1"/>
            </w14:solidFill>
          </w14:textFill>
        </w:rPr>
      </w:pPr>
      <w:r>
        <w:rPr>
          <w:rFonts w:hint="eastAsia" w:eastAsia="宋体" w:cs="宋体"/>
          <w:color w:val="000000" w:themeColor="text1"/>
          <w:sz w:val="21"/>
          <w:szCs w:val="21"/>
          <w:highlight w:val="none"/>
          <w:lang w:val="en-US" w:eastAsia="zh-CN"/>
          <w14:textFill>
            <w14:solidFill>
              <w14:schemeClr w14:val="tx1"/>
            </w14:solidFill>
          </w14:textFill>
        </w:rPr>
        <w:t>运营期前五年获评广东省四星级养老机构：自评定下一年起，政府返还当年租金 20%，返还累计不超过 3 年；</w:t>
      </w:r>
    </w:p>
    <w:p w14:paraId="7D77D5CB">
      <w:pPr>
        <w:pStyle w:val="9"/>
        <w:ind w:firstLine="420" w:firstLineChars="200"/>
        <w:rPr>
          <w:rFonts w:hint="eastAsia" w:eastAsia="宋体" w:cs="宋体"/>
          <w:color w:val="000000" w:themeColor="text1"/>
          <w:sz w:val="21"/>
          <w:szCs w:val="21"/>
          <w:highlight w:val="none"/>
          <w:lang w:val="en-US" w:eastAsia="zh-CN"/>
          <w14:textFill>
            <w14:solidFill>
              <w14:schemeClr w14:val="tx1"/>
            </w14:solidFill>
          </w14:textFill>
        </w:rPr>
      </w:pPr>
      <w:r>
        <w:rPr>
          <w:rFonts w:hint="eastAsia" w:eastAsia="宋体" w:cs="宋体"/>
          <w:color w:val="000000" w:themeColor="text1"/>
          <w:sz w:val="21"/>
          <w:szCs w:val="21"/>
          <w:highlight w:val="none"/>
          <w:lang w:val="en-US" w:eastAsia="zh-CN"/>
          <w14:textFill>
            <w14:solidFill>
              <w14:schemeClr w14:val="tx1"/>
            </w14:solidFill>
          </w14:textFill>
        </w:rPr>
        <w:t>运营期前五年获评广东省五星级养老机构：自评定下一年起，政府返还当年租金 30%，返还累计不超过 3 年；</w:t>
      </w:r>
    </w:p>
    <w:p w14:paraId="1A75B659">
      <w:pPr>
        <w:pStyle w:val="9"/>
        <w:ind w:firstLine="420" w:firstLineChars="200"/>
        <w:rPr>
          <w:rFonts w:hint="eastAsia" w:eastAsia="宋体" w:cs="宋体"/>
          <w:color w:val="000000" w:themeColor="text1"/>
          <w:sz w:val="21"/>
          <w:szCs w:val="21"/>
          <w:highlight w:val="none"/>
          <w:lang w:val="en-US" w:eastAsia="zh-CN"/>
          <w14:textFill>
            <w14:solidFill>
              <w14:schemeClr w14:val="tx1"/>
            </w14:solidFill>
          </w14:textFill>
        </w:rPr>
      </w:pPr>
      <w:r>
        <w:rPr>
          <w:rFonts w:hint="eastAsia" w:eastAsia="宋体" w:cs="宋体"/>
          <w:color w:val="000000" w:themeColor="text1"/>
          <w:sz w:val="21"/>
          <w:szCs w:val="21"/>
          <w:highlight w:val="none"/>
          <w:lang w:val="en-US" w:eastAsia="zh-CN"/>
          <w14:textFill>
            <w14:solidFill>
              <w14:schemeClr w14:val="tx1"/>
            </w14:solidFill>
          </w14:textFill>
        </w:rPr>
        <w:t>运营期前五年未达四星级标准：无租金返还。</w:t>
      </w:r>
    </w:p>
    <w:p w14:paraId="7B7F91F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考核组织与监督</w:t>
      </w:r>
    </w:p>
    <w:p w14:paraId="2C02E5BB">
      <w:pPr>
        <w:keepNext w:val="0"/>
        <w:keepLines w:val="0"/>
        <w:pageBreakBefore w:val="0"/>
        <w:kinsoku/>
        <w:wordWrap w:val="0"/>
        <w:overflowPunct/>
        <w:topLinePunct w:val="0"/>
        <w:autoSpaceDE/>
        <w:autoSpaceDN/>
        <w:bidi w:val="0"/>
        <w:adjustRightInd w:val="0"/>
        <w:snapToGrid w:val="0"/>
        <w:spacing w:line="360" w:lineRule="auto"/>
        <w:ind w:firstLine="422" w:firstLineChars="200"/>
        <w:textAlignment w:val="auto"/>
        <w:rPr>
          <w:rFonts w:hint="default" w:asciiTheme="minorEastAsia" w:hAnsiTheme="minorEastAsia" w:eastAsiaTheme="minorEastAsia" w:cstheme="minorEastAsia"/>
          <w:sz w:val="21"/>
          <w:szCs w:val="21"/>
          <w:highlight w:val="none"/>
          <w:lang w:val="en-US" w:eastAsia="zh-CN"/>
        </w:rPr>
      </w:pPr>
      <w:r>
        <w:rPr>
          <w:rFonts w:hint="default" w:asciiTheme="minorEastAsia" w:hAnsiTheme="minorEastAsia" w:eastAsiaTheme="minorEastAsia" w:cstheme="minorEastAsia"/>
          <w:b/>
          <w:bCs/>
          <w:sz w:val="21"/>
          <w:szCs w:val="21"/>
          <w:highlight w:val="none"/>
          <w:lang w:val="en-US" w:eastAsia="zh-CN"/>
        </w:rPr>
        <w:t>政府监督：</w:t>
      </w:r>
      <w:r>
        <w:rPr>
          <w:rFonts w:hint="default" w:asciiTheme="minorEastAsia" w:hAnsiTheme="minorEastAsia" w:eastAsiaTheme="minorEastAsia" w:cstheme="minorEastAsia"/>
          <w:sz w:val="21"/>
          <w:szCs w:val="21"/>
          <w:highlight w:val="none"/>
          <w:lang w:val="en-US" w:eastAsia="zh-CN"/>
        </w:rPr>
        <w:t>由武江区民政局牵头，联合财政局、卫健委、发改委、应急管理局、市场监管局等相关部门，组成政府监督小组，负责对项目运营情况进行常态化监督、专项检查及年度考核；</w:t>
      </w:r>
    </w:p>
    <w:p w14:paraId="26FDB7A7">
      <w:pPr>
        <w:keepNext w:val="0"/>
        <w:keepLines w:val="0"/>
        <w:pageBreakBefore w:val="0"/>
        <w:kinsoku/>
        <w:wordWrap w:val="0"/>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Theme="minorEastAsia" w:hAnsiTheme="minorEastAsia" w:eastAsiaTheme="minorEastAsia" w:cstheme="minorEastAsia"/>
          <w:b/>
          <w:bCs/>
          <w:sz w:val="21"/>
          <w:szCs w:val="21"/>
          <w:lang w:val="en-US" w:eastAsia="zh-CN"/>
        </w:rPr>
        <w:t>运营方自律监督：</w:t>
      </w:r>
      <w:r>
        <w:rPr>
          <w:rFonts w:hint="default" w:asciiTheme="minorEastAsia" w:hAnsiTheme="minorEastAsia" w:eastAsiaTheme="minorEastAsia" w:cstheme="minorEastAsia"/>
          <w:sz w:val="21"/>
          <w:szCs w:val="21"/>
          <w:lang w:val="en-US" w:eastAsia="zh-CN"/>
        </w:rPr>
        <w:t>运营方建立内部监督机制，成立内部监督小组（由院长牵头，各部门负责人、员工代表、老人代表组成），负责对内部运营管理、服务质量、安全管理、财务收支等情况进行日常监督、自查自纠；</w:t>
      </w:r>
    </w:p>
    <w:p w14:paraId="51F4BE0A">
      <w:pPr>
        <w:keepNext w:val="0"/>
        <w:keepLines w:val="0"/>
        <w:pageBreakBefore w:val="0"/>
        <w:kinsoku/>
        <w:wordWrap w:val="0"/>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结果公示与申诉：</w:t>
      </w:r>
      <w:r>
        <w:rPr>
          <w:rFonts w:hint="eastAsia" w:ascii="宋体" w:hAnsi="宋体" w:eastAsia="宋体" w:cs="宋体"/>
          <w:color w:val="000000" w:themeColor="text1"/>
          <w:sz w:val="21"/>
          <w:szCs w:val="21"/>
          <w:highlight w:val="none"/>
          <w:lang w:eastAsia="zh-CN"/>
          <w14:textFill>
            <w14:solidFill>
              <w14:schemeClr w14:val="tx1"/>
            </w14:solidFill>
          </w14:textFill>
        </w:rPr>
        <w:t>考核结果在5个工作日内书面告知乙方，乙方有异议的可在7个工作日内提交申诉材料，考核小组15日内复核并反馈结果。</w:t>
      </w:r>
    </w:p>
    <w:p w14:paraId="02DA54A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考核内容涵盖以下核心维度：</w:t>
      </w:r>
    </w:p>
    <w:p w14:paraId="1774681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服务质量：入住老人及家属对饮食、生活起居、照料护理、医养健康服务的满意度（通过问卷调查、访谈等方式，满意度需达85%以上）；特困供养人员零用钱按月足额发放情况（核查发放记录及老人签收凭证）；是否存在克扣钱物、降低服务档次等违规行为。</w:t>
      </w:r>
    </w:p>
    <w:p w14:paraId="08D0C5F0">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）运营合规：固定资产（消防、燃气、电梯等）第三方年检及维护记录完整性；是否从事养老服务无关活动或违规出租、出借资产；养老机构等级标准（如四星级）达标情况。</w:t>
      </w:r>
    </w:p>
    <w:p w14:paraId="59DE75A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）安全管理：是否存在安全隐患及整改闭环情况；是否发生欺老虐老事件、安全生产责任事故；应急预案的制定与演练效果。</w:t>
      </w:r>
    </w:p>
    <w:p w14:paraId="4657E66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社会责任</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公益性服务开展情况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83C34F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6.考核指标与评分标准：</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1"/>
        <w:gridCol w:w="2307"/>
        <w:gridCol w:w="3933"/>
        <w:gridCol w:w="1010"/>
      </w:tblGrid>
      <w:tr w14:paraId="643C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Align w:val="center"/>
          </w:tcPr>
          <w:p w14:paraId="5636406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考核维度</w:t>
            </w:r>
          </w:p>
        </w:tc>
        <w:tc>
          <w:tcPr>
            <w:tcW w:w="2307" w:type="dxa"/>
            <w:vAlign w:val="center"/>
          </w:tcPr>
          <w:p w14:paraId="2A337A2A">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细分指标</w:t>
            </w:r>
          </w:p>
        </w:tc>
        <w:tc>
          <w:tcPr>
            <w:tcW w:w="3933" w:type="dxa"/>
            <w:vAlign w:val="center"/>
          </w:tcPr>
          <w:p w14:paraId="6B2BB2DC">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评分标准（量化）</w:t>
            </w:r>
          </w:p>
        </w:tc>
        <w:tc>
          <w:tcPr>
            <w:tcW w:w="1010" w:type="dxa"/>
            <w:vAlign w:val="center"/>
          </w:tcPr>
          <w:p w14:paraId="61EF3E5F">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权重</w:t>
            </w:r>
          </w:p>
        </w:tc>
      </w:tr>
      <w:tr w14:paraId="4A51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64A1476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服务质量（40分）</w:t>
            </w:r>
          </w:p>
        </w:tc>
        <w:tc>
          <w:tcPr>
            <w:tcW w:w="2307" w:type="dxa"/>
            <w:vAlign w:val="center"/>
          </w:tcPr>
          <w:p w14:paraId="0E0C5903">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老人满意度</w:t>
            </w:r>
          </w:p>
        </w:tc>
        <w:tc>
          <w:tcPr>
            <w:tcW w:w="3933" w:type="dxa"/>
            <w:vAlign w:val="center"/>
          </w:tcPr>
          <w:p w14:paraId="2FEE5464">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满意度≥90分得10分，85%-89分得8分，80%-84分得5分，＜80分不得分（抽样比例≥30%）</w:t>
            </w:r>
          </w:p>
        </w:tc>
        <w:tc>
          <w:tcPr>
            <w:tcW w:w="1010" w:type="dxa"/>
            <w:vAlign w:val="center"/>
          </w:tcPr>
          <w:p w14:paraId="7D117BE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765A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592C781E">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862E60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特困人员零用钱发放</w:t>
            </w:r>
          </w:p>
        </w:tc>
        <w:tc>
          <w:tcPr>
            <w:tcW w:w="3933" w:type="dxa"/>
            <w:vAlign w:val="center"/>
          </w:tcPr>
          <w:p w14:paraId="64F14F55">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按月足额发放得8分，漏发1次扣4分，扣完为止（核查发放记录与老人签收凭证）</w:t>
            </w:r>
          </w:p>
        </w:tc>
        <w:tc>
          <w:tcPr>
            <w:tcW w:w="1010" w:type="dxa"/>
            <w:vAlign w:val="center"/>
          </w:tcPr>
          <w:p w14:paraId="61E1EF9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8分</w:t>
            </w:r>
          </w:p>
        </w:tc>
      </w:tr>
      <w:tr w14:paraId="4EA6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336FF6CA">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5ED220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护理服务合规性</w:t>
            </w:r>
          </w:p>
        </w:tc>
        <w:tc>
          <w:tcPr>
            <w:tcW w:w="3933" w:type="dxa"/>
            <w:vAlign w:val="center"/>
          </w:tcPr>
          <w:p w14:paraId="57AF1CF7">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无违规操作得12分，发现1次操作不合规扣3分（随机抽查护理记录、现场实操考核）</w:t>
            </w:r>
          </w:p>
        </w:tc>
        <w:tc>
          <w:tcPr>
            <w:tcW w:w="1010" w:type="dxa"/>
            <w:vAlign w:val="center"/>
          </w:tcPr>
          <w:p w14:paraId="5CC95FB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12分</w:t>
            </w:r>
          </w:p>
        </w:tc>
      </w:tr>
      <w:tr w14:paraId="3556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5A84EEC9">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C7A8FE1">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饮食与生活服务</w:t>
            </w:r>
          </w:p>
        </w:tc>
        <w:tc>
          <w:tcPr>
            <w:tcW w:w="3933" w:type="dxa"/>
            <w:vAlign w:val="center"/>
          </w:tcPr>
          <w:p w14:paraId="408BF668">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食谱公示及时、营养达标得10分，未公示扣5分，营养不达标扣3分</w:t>
            </w:r>
          </w:p>
        </w:tc>
        <w:tc>
          <w:tcPr>
            <w:tcW w:w="1010" w:type="dxa"/>
            <w:vAlign w:val="center"/>
          </w:tcPr>
          <w:p w14:paraId="2ACB0393">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4667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4D4138CE">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运营合规（30分）</w:t>
            </w:r>
          </w:p>
        </w:tc>
        <w:tc>
          <w:tcPr>
            <w:tcW w:w="2307" w:type="dxa"/>
            <w:vAlign w:val="center"/>
          </w:tcPr>
          <w:p w14:paraId="5B390E3F">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资产合规管理</w:t>
            </w:r>
          </w:p>
        </w:tc>
        <w:tc>
          <w:tcPr>
            <w:tcW w:w="3933" w:type="dxa"/>
            <w:vAlign w:val="center"/>
          </w:tcPr>
          <w:p w14:paraId="64022D19">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无违规处置资产得8分，违规1次扣8分（核查资产台账与现场核验）</w:t>
            </w:r>
          </w:p>
        </w:tc>
        <w:tc>
          <w:tcPr>
            <w:tcW w:w="1010" w:type="dxa"/>
            <w:vAlign w:val="center"/>
          </w:tcPr>
          <w:p w14:paraId="78B98D91">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1BB2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7336E88C">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4DC25F0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固定资产维护</w:t>
            </w:r>
          </w:p>
        </w:tc>
        <w:tc>
          <w:tcPr>
            <w:tcW w:w="3933" w:type="dxa"/>
            <w:vAlign w:val="center"/>
          </w:tcPr>
          <w:p w14:paraId="6EB1444A">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年检记录完整、无安全隐患得7分，1项未年检扣2分（核查消防、电梯等年检报告）</w:t>
            </w:r>
          </w:p>
        </w:tc>
        <w:tc>
          <w:tcPr>
            <w:tcW w:w="1010" w:type="dxa"/>
            <w:vAlign w:val="center"/>
          </w:tcPr>
          <w:p w14:paraId="1D7949CF">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7F7B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7E62194D">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5C24377E">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财务规范</w:t>
            </w:r>
          </w:p>
        </w:tc>
        <w:tc>
          <w:tcPr>
            <w:tcW w:w="3933" w:type="dxa"/>
            <w:vAlign w:val="center"/>
          </w:tcPr>
          <w:p w14:paraId="02FA7D6E">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报表按时报送、维修资金足额计提得8分，迟报1次扣2分，未足额计提扣5分</w:t>
            </w:r>
          </w:p>
        </w:tc>
        <w:tc>
          <w:tcPr>
            <w:tcW w:w="1010" w:type="dxa"/>
            <w:vAlign w:val="center"/>
          </w:tcPr>
          <w:p w14:paraId="0BB4BA13">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r w14:paraId="53E2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restart"/>
            <w:vAlign w:val="center"/>
          </w:tcPr>
          <w:p w14:paraId="446AB23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安全管理（20分）</w:t>
            </w:r>
          </w:p>
        </w:tc>
        <w:tc>
          <w:tcPr>
            <w:tcW w:w="2307" w:type="dxa"/>
            <w:vAlign w:val="center"/>
          </w:tcPr>
          <w:p w14:paraId="5E038E9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安全隐患整改</w:t>
            </w:r>
          </w:p>
        </w:tc>
        <w:tc>
          <w:tcPr>
            <w:tcW w:w="3933" w:type="dxa"/>
            <w:vAlign w:val="center"/>
          </w:tcPr>
          <w:p w14:paraId="31253FE8">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无重大隐患得8分，发现1项未整改扣4分（现场查验与整改台账）</w:t>
            </w:r>
          </w:p>
        </w:tc>
        <w:tc>
          <w:tcPr>
            <w:tcW w:w="1010" w:type="dxa"/>
            <w:vAlign w:val="center"/>
          </w:tcPr>
          <w:p w14:paraId="4896D27E">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8分</w:t>
            </w:r>
          </w:p>
        </w:tc>
      </w:tr>
      <w:tr w14:paraId="51E5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199425C0">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3AA5E1E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事故发生率</w:t>
            </w:r>
          </w:p>
        </w:tc>
        <w:tc>
          <w:tcPr>
            <w:tcW w:w="3933" w:type="dxa"/>
            <w:vAlign w:val="center"/>
          </w:tcPr>
          <w:p w14:paraId="6FB33D36">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无安全事故得6分，一般事故1次扣3分，较大事故不得分</w:t>
            </w:r>
          </w:p>
        </w:tc>
        <w:tc>
          <w:tcPr>
            <w:tcW w:w="1010" w:type="dxa"/>
            <w:vAlign w:val="center"/>
          </w:tcPr>
          <w:p w14:paraId="6A932460">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6分</w:t>
            </w:r>
          </w:p>
        </w:tc>
      </w:tr>
      <w:tr w14:paraId="06A0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vAlign w:val="center"/>
          </w:tcPr>
          <w:p w14:paraId="3272BCDB">
            <w:pPr>
              <w:jc w:val="center"/>
              <w:rPr>
                <w:rFonts w:hint="eastAsia" w:ascii="宋体" w:hAnsi="宋体" w:eastAsia="宋体" w:cs="宋体"/>
                <w:color w:val="000000" w:themeColor="text1"/>
                <w:sz w:val="21"/>
                <w:szCs w:val="21"/>
                <w:lang w:eastAsia="zh-CN"/>
                <w14:textFill>
                  <w14:solidFill>
                    <w14:schemeClr w14:val="tx1"/>
                  </w14:solidFill>
                </w14:textFill>
              </w:rPr>
            </w:pPr>
          </w:p>
        </w:tc>
        <w:tc>
          <w:tcPr>
            <w:tcW w:w="2307" w:type="dxa"/>
            <w:vAlign w:val="center"/>
          </w:tcPr>
          <w:p w14:paraId="7F3024AA">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应急演练与预案</w:t>
            </w:r>
          </w:p>
        </w:tc>
        <w:tc>
          <w:tcPr>
            <w:tcW w:w="3933" w:type="dxa"/>
            <w:vAlign w:val="center"/>
          </w:tcPr>
          <w:p w14:paraId="165BA02A">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每季度演练1次且预案完善得6分，少1次演练扣2分</w:t>
            </w:r>
          </w:p>
        </w:tc>
        <w:tc>
          <w:tcPr>
            <w:tcW w:w="1010" w:type="dxa"/>
            <w:vAlign w:val="center"/>
          </w:tcPr>
          <w:p w14:paraId="30721BA9">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6分</w:t>
            </w:r>
          </w:p>
        </w:tc>
      </w:tr>
      <w:tr w14:paraId="3669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811" w:type="dxa"/>
            <w:vAlign w:val="center"/>
          </w:tcPr>
          <w:p w14:paraId="3A024F76">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社会责任（10分）</w:t>
            </w:r>
          </w:p>
        </w:tc>
        <w:tc>
          <w:tcPr>
            <w:tcW w:w="2307" w:type="dxa"/>
            <w:vAlign w:val="center"/>
          </w:tcPr>
          <w:p w14:paraId="124A2017">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公益服务开展</w:t>
            </w:r>
          </w:p>
        </w:tc>
        <w:tc>
          <w:tcPr>
            <w:tcW w:w="3933" w:type="dxa"/>
            <w:vAlign w:val="center"/>
          </w:tcPr>
          <w:p w14:paraId="5665B699">
            <w:pPr>
              <w:ind w:left="0" w:leftChars="0" w:firstLine="0" w:firstLineChars="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每年开展≥2次公益养老讲座/义诊得5分，未开展不得分</w:t>
            </w:r>
          </w:p>
        </w:tc>
        <w:tc>
          <w:tcPr>
            <w:tcW w:w="1010" w:type="dxa"/>
            <w:vAlign w:val="center"/>
          </w:tcPr>
          <w:p w14:paraId="49C25A79">
            <w:pPr>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10分</w:t>
            </w:r>
          </w:p>
        </w:tc>
      </w:tr>
    </w:tbl>
    <w:p w14:paraId="2488B63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39D14EB8">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十一、</w:t>
      </w:r>
      <w:r>
        <w:rPr>
          <w:rFonts w:hint="eastAsia" w:ascii="宋体" w:hAnsi="宋体" w:eastAsia="宋体" w:cs="宋体"/>
          <w:b/>
          <w:bCs/>
          <w:color w:val="000000" w:themeColor="text1"/>
          <w:sz w:val="21"/>
          <w:szCs w:val="21"/>
          <w:highlight w:val="none"/>
          <w14:textFill>
            <w14:solidFill>
              <w14:schemeClr w14:val="tx1"/>
            </w14:solidFill>
          </w14:textFill>
        </w:rPr>
        <w:t>退出机制</w:t>
      </w:r>
    </w:p>
    <w:p w14:paraId="18A1BCD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（一）合同期满的退出</w:t>
      </w:r>
    </w:p>
    <w:p w14:paraId="10F0C74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在合同期满时，社会化运营单位在无违约记录、考核合格的前提下享有优先续约权，若社会化运营单位选择不续约或未取得优先续约权，则按照合同约定办理移交手续并退出本项目。在经营期结束 6 个月前，由社会化运营单位和实施机构共同组成移交委员会，具体负责办理资产清算、老人安置、资料移交等工作，由社会化运营单位向实施机构无偿移交全部资产及运营资料。至此，社会化运营单位完全退出该项目，项目所有权益全部归属政府，项目回归其公共服务设施性质。</w:t>
      </w:r>
    </w:p>
    <w:p w14:paraId="567FE7E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（二）合同提前终止的退出</w:t>
      </w:r>
    </w:p>
    <w:p w14:paraId="0F2D58B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在以下情形下，项目可提前终止：社会资本方违约导致的提前终止、政府方违约导致的提前终止、不可抗力导致的提前终止，不同情形按合同约定分别处理，并依据项目合同计算合理的费用或赔偿金额。</w:t>
      </w:r>
    </w:p>
    <w:p w14:paraId="10FA7FE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1.社会化运营单位违约</w:t>
      </w:r>
    </w:p>
    <w:p w14:paraId="62E66F9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存在如下社会化运营单位违约事件时，政府方有权立即发出终止意向通知，兑取运营保障金，并要求社会资本方承担全部赔偿责任，情节严重的强制清退并没收场内所有固定投资：</w:t>
      </w:r>
    </w:p>
    <w:p w14:paraId="4C5294E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① 社会化运营单位擅自转让、出租、变相转包项目经营权；</w:t>
      </w:r>
    </w:p>
    <w:p w14:paraId="5883692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② 社会化运营单位擅自将所经营的项目财产进行处置、抵押、出借，或从事与养老服务无关的运营活动；</w:t>
      </w:r>
    </w:p>
    <w:p w14:paraId="4286A7E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③ 社会化运营单位因管理不善，发生较大及以上安全生产责任事故、医疗事故、消防安全事故、食品安全事故，或一年内发生 3 次及以上欺老虐老事件，且未妥善处理或拒不赔偿的；</w:t>
      </w:r>
    </w:p>
    <w:p w14:paraId="08A6EFE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④ 社会化运营单位擅自停业、歇业，严重影响到社会公共利益和安全；</w:t>
      </w:r>
    </w:p>
    <w:p w14:paraId="72765AC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⑤ 根据中国法律社会化运营单位进行清算或资不抵债；</w:t>
      </w:r>
    </w:p>
    <w:p w14:paraId="17F4DC2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⑥ 社会化运营单位在签订合同时的任何声明被证明在做出时即有严重错误，使社会化运营单位履行合同的能力受到严重的不利影响；</w:t>
      </w:r>
    </w:p>
    <w:p w14:paraId="741798B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⑦ 社会化运营单位未能根据合同规定提交并保持运营保障金足额有效，逾期 7 个工作日未补足的；</w:t>
      </w:r>
    </w:p>
    <w:p w14:paraId="7BBB2E1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⑧ 绩效考核连续 2 次年度不合格或累计 3 次季度不合格，或重大违规经整改仍不到位的；</w:t>
      </w:r>
    </w:p>
    <w:p w14:paraId="3E699C2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⑨ 社会化运营单位未按约定在武江区注册成立项目管理公司、未按要求投保相关保险、未足额计提维修资金等，经书面催告后 30 日内仍未整改的；</w:t>
      </w:r>
    </w:p>
    <w:p w14:paraId="3FA9550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⑩ 拖欠租金累计达 6 个月、拖欠工人工资累计达 3 个月未整改的；</w:t>
      </w:r>
    </w:p>
    <w:p w14:paraId="410F2E6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⑪ 项目运营至第五年年末，未评上四星级及以上养老机构且存在重大运营问题的。</w:t>
      </w:r>
    </w:p>
    <w:p w14:paraId="7CA143A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2.政府方违约</w:t>
      </w:r>
    </w:p>
    <w:p w14:paraId="477D4CD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存在如下政府方违约事件时，社会化运营单位有权立即发出终止意向通知，并有权按照实际损失要求政府方赔偿，政府方全额退还运营保障金：</w:t>
      </w:r>
    </w:p>
    <w:p w14:paraId="32266E8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① 非政策变动及不可抗力因素，政府方要求社会化运营单位强制退出的；</w:t>
      </w:r>
    </w:p>
    <w:p w14:paraId="4500E60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② 政府方未履行其在合同项下的任何其它义务构成对合同的实质性违约，导致社会资本方无法正常运营的。</w:t>
      </w:r>
    </w:p>
    <w:p w14:paraId="024BC34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3.因不可抗力事件导致退出</w:t>
      </w:r>
    </w:p>
    <w:p w14:paraId="7465A48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在合同执行过程中，确系人力不可抗拒因素（如征拆、地震、台风、洪水、战争等）影响合同执行时，双方视具体情况酌情处理，政府方全额退还运营保障金，社会资本方配合做好老人安置及资产移交工作，双方互不承担违约责任。</w:t>
      </w:r>
    </w:p>
    <w:p w14:paraId="04F6B6A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highlight w:val="none"/>
          <w14:textFill>
            <w14:solidFill>
              <w14:schemeClr w14:val="tx1"/>
            </w14:solidFill>
          </w14:textFill>
        </w:rPr>
      </w:pPr>
    </w:p>
    <w:p w14:paraId="63F6B658">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sz w:val="21"/>
          <w:szCs w:val="21"/>
          <w:highlight w:val="none"/>
          <w14:textFill>
            <w14:solidFill>
              <w14:schemeClr w14:val="tx1"/>
            </w14:solidFill>
          </w14:textFill>
        </w:rPr>
        <w:t>、违约责任与赔偿损失</w:t>
      </w:r>
    </w:p>
    <w:p w14:paraId="059DC1A9">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（一）甲方应保证：</w:t>
      </w:r>
    </w:p>
    <w:p w14:paraId="11BBB75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1.享有对</w:t>
      </w:r>
      <w:r>
        <w:rPr>
          <w:rFonts w:hint="eastAsia" w:ascii="宋体" w:hAnsi="宋体" w:eastAsia="宋体" w:cs="宋体"/>
          <w:color w:val="000000" w:themeColor="text1"/>
          <w:sz w:val="21"/>
          <w:szCs w:val="21"/>
          <w:highlight w:val="none"/>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highlight w:val="none"/>
          <w14:textFill>
            <w14:solidFill>
              <w14:schemeClr w14:val="tx1"/>
            </w14:solidFill>
          </w14:textFill>
        </w:rPr>
        <w:t>不动产包括土地、房屋及移交给乙方的有关设施的所有权和使用权，如因权属产生争议，甲方应予解决，如因此造成乙方无法正常运营的，应赔偿乙方的损失；</w:t>
      </w:r>
    </w:p>
    <w:p w14:paraId="632BBE85">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2.不得无理对乙方的自主运营进行干涉，或以国家法律法规及政策以外的情况变化为由要求乙方停止运营；</w:t>
      </w:r>
    </w:p>
    <w:p w14:paraId="05D0E25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3.不得无理扣押或侵占应支付给乙方的财政拨款，从而影响乙方的正常运营。</w:t>
      </w:r>
    </w:p>
    <w:p w14:paraId="1D216A6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（二）乙方应保证：</w:t>
      </w:r>
    </w:p>
    <w:p w14:paraId="1E117262">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1.按时足额投入资金，保证</w:t>
      </w:r>
      <w:r>
        <w:rPr>
          <w:rFonts w:hint="eastAsia" w:ascii="宋体" w:hAnsi="宋体" w:eastAsia="宋体" w:cs="宋体"/>
          <w:color w:val="000000" w:themeColor="text1"/>
          <w:sz w:val="21"/>
          <w:szCs w:val="21"/>
          <w:highlight w:val="none"/>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highlight w:val="none"/>
          <w14:textFill>
            <w14:solidFill>
              <w14:schemeClr w14:val="tx1"/>
            </w14:solidFill>
          </w14:textFill>
        </w:rPr>
        <w:t>的正常运营和运作；</w:t>
      </w:r>
    </w:p>
    <w:p w14:paraId="3280A5E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2.按相关的法律法规、规章的规定运营；</w:t>
      </w:r>
    </w:p>
    <w:p w14:paraId="13A6161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3.保护甲方提供的设施设备，不得存在蓄意破坏、抵押或质押甲方财产的行为；</w:t>
      </w:r>
    </w:p>
    <w:p w14:paraId="2F53779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4.保证</w:t>
      </w:r>
      <w:r>
        <w:rPr>
          <w:rFonts w:hint="eastAsia" w:ascii="宋体" w:hAnsi="宋体" w:eastAsia="宋体" w:cs="宋体"/>
          <w:color w:val="000000" w:themeColor="text1"/>
          <w:sz w:val="21"/>
          <w:szCs w:val="21"/>
          <w:highlight w:val="none"/>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highlight w:val="none"/>
          <w14:textFill>
            <w14:solidFill>
              <w14:schemeClr w14:val="tx1"/>
            </w14:solidFill>
          </w14:textFill>
        </w:rPr>
        <w:t>在合同约定的期限内达</w:t>
      </w:r>
      <w:r>
        <w:rPr>
          <w:rFonts w:hint="eastAsia" w:ascii="宋体" w:hAnsi="宋体" w:eastAsia="宋体" w:cs="宋体"/>
          <w:color w:val="000000" w:themeColor="text1"/>
          <w:sz w:val="21"/>
          <w:szCs w:val="21"/>
          <w:highlight w:val="none"/>
          <w:lang w:val="en-US" w:eastAsia="zh-CN"/>
          <w14:textFill>
            <w14:solidFill>
              <w14:schemeClr w14:val="tx1"/>
            </w14:solidFill>
          </w14:textFill>
        </w:rPr>
        <w:t>到招标文件内采购需求的标准</w:t>
      </w:r>
      <w:r>
        <w:rPr>
          <w:rFonts w:hint="eastAsia" w:ascii="宋体" w:hAnsi="宋体" w:eastAsia="宋体" w:cs="宋体"/>
          <w:color w:val="000000" w:themeColor="text1"/>
          <w:sz w:val="21"/>
          <w:szCs w:val="21"/>
          <w:highlight w:val="none"/>
          <w14:textFill>
            <w14:solidFill>
              <w14:schemeClr w14:val="tx1"/>
            </w14:solidFill>
          </w14:textFill>
        </w:rPr>
        <w:t>；</w:t>
      </w:r>
    </w:p>
    <w:p w14:paraId="2684278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5.保障安全运营。如存在违约行为，造成甲方损失的应予赔偿；如因此造成甲方损失巨大或无法继续运营，甲方可以单方解除合同，收回</w:t>
      </w:r>
      <w:r>
        <w:rPr>
          <w:rFonts w:hint="eastAsia" w:ascii="宋体" w:hAnsi="宋体" w:eastAsia="宋体" w:cs="宋体"/>
          <w:color w:val="000000" w:themeColor="text1"/>
          <w:sz w:val="21"/>
          <w:szCs w:val="21"/>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14:textFill>
            <w14:solidFill>
              <w14:schemeClr w14:val="tx1"/>
            </w14:solidFill>
          </w14:textFill>
        </w:rPr>
        <w:t>的运营权，</w:t>
      </w:r>
      <w:r>
        <w:rPr>
          <w:rFonts w:hint="eastAsia" w:ascii="宋体" w:hAnsi="宋体" w:eastAsia="宋体" w:cs="宋体"/>
          <w:color w:val="000000" w:themeColor="text1"/>
          <w:sz w:val="21"/>
          <w:szCs w:val="21"/>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14:textFill>
            <w14:solidFill>
              <w14:schemeClr w14:val="tx1"/>
            </w14:solidFill>
          </w14:textFill>
        </w:rPr>
        <w:t>届时所添设的设施设备等财产，归甲方所有；乙方还需赔偿甲方违约金，违约金为全额运营保障金，违约金不足以弥补甲方损失的，乙方应赔偿甲方未能弥补所有遭受的损失。本款中的违约金责任，适用所有本合同中甲方解除合同的情形。</w:t>
      </w:r>
    </w:p>
    <w:p w14:paraId="3C44B35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乙方未按约定期限缴足管理发展基金，且经甲方书面催告后仍未补足的，甲方有权要求乙方每日承担未补足金额万分之二的违约金，逾期超过90日，甲方有权解除本合同，并从运营保障金中扣除相应违约金数额。</w:t>
      </w:r>
    </w:p>
    <w:p w14:paraId="12AF6B3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（三）出现以下情况甲方有权全额扣除其运营保障金甚至终止乙方的运营资格：</w:t>
      </w:r>
    </w:p>
    <w:p w14:paraId="67B6AD5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1.未经甲方同意，乙方擅自出租、质押、转让</w:t>
      </w:r>
      <w:r>
        <w:rPr>
          <w:rFonts w:hint="eastAsia" w:ascii="宋体" w:hAnsi="宋体" w:eastAsia="宋体" w:cs="宋体"/>
          <w:color w:val="000000" w:themeColor="text1"/>
          <w:sz w:val="21"/>
          <w:szCs w:val="21"/>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14:textFill>
            <w14:solidFill>
              <w14:schemeClr w14:val="tx1"/>
            </w14:solidFill>
          </w14:textFill>
        </w:rPr>
        <w:t>甲方资产的；</w:t>
      </w:r>
    </w:p>
    <w:p w14:paraId="3256D1E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2.因乙方原因造成重大安全生产责任事故，乙方不妥善处理或拒不赔偿的；</w:t>
      </w:r>
    </w:p>
    <w:p w14:paraId="48E3F46E">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3.违反国家有关法律法规，严重损害了公众利益的；</w:t>
      </w:r>
    </w:p>
    <w:p w14:paraId="4AD13C9A">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4.擅自停业、歇业，严重影响社会公共利益的；</w:t>
      </w:r>
    </w:p>
    <w:p w14:paraId="1FE9BC9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5.没有遵守国家有关养老规范和本合同规定，没有按本合同规定接收甲方指定的老人入住，入住老人没有得到应有的护理照料和相关服务，以及其他造成严重不良影响的情况。</w:t>
      </w:r>
    </w:p>
    <w:p w14:paraId="4BF6F774">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（四）在本合同有效期内，乙方除本合同约定的情形外，不得擅自终止本合同约定的运营管理义务，由此造成甲方损失的，乙方应承担相应的法律和经济责任。</w:t>
      </w:r>
    </w:p>
    <w:p w14:paraId="0F60A41D">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（五）在乙方履行本合同运营过程中，甲方违反本合同约定，单方面解除本合同，乙方有权要求甲方全额退回运营保障金，并赔偿乙方因此遭受的损失。</w:t>
      </w:r>
    </w:p>
    <w:p w14:paraId="74E60A8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（六）因国家建设需要征收</w:t>
      </w:r>
      <w:r>
        <w:rPr>
          <w:rFonts w:hint="eastAsia" w:ascii="宋体" w:hAnsi="宋体" w:eastAsia="宋体" w:cs="宋体"/>
          <w:color w:val="000000" w:themeColor="text1"/>
          <w:sz w:val="21"/>
          <w:szCs w:val="21"/>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14:textFill>
            <w14:solidFill>
              <w14:schemeClr w14:val="tx1"/>
            </w14:solidFill>
          </w14:textFill>
        </w:rPr>
        <w:t>用地，造成</w:t>
      </w:r>
      <w:r>
        <w:rPr>
          <w:rFonts w:hint="eastAsia" w:ascii="宋体" w:hAnsi="宋体" w:eastAsia="宋体" w:cs="宋体"/>
          <w:color w:val="000000" w:themeColor="text1"/>
          <w:sz w:val="21"/>
          <w:szCs w:val="21"/>
          <w:lang w:eastAsia="zh-CN"/>
          <w14:textFill>
            <w14:solidFill>
              <w14:schemeClr w14:val="tx1"/>
            </w14:solidFill>
          </w14:textFill>
        </w:rPr>
        <w:t>韶关市武江区养老服务中心（一期）</w:t>
      </w:r>
      <w:r>
        <w:rPr>
          <w:rFonts w:hint="eastAsia" w:ascii="宋体" w:hAnsi="宋体" w:eastAsia="宋体" w:cs="宋体"/>
          <w:color w:val="000000" w:themeColor="text1"/>
          <w:sz w:val="21"/>
          <w:szCs w:val="21"/>
          <w14:textFill>
            <w14:solidFill>
              <w14:schemeClr w14:val="tx1"/>
            </w14:solidFill>
          </w14:textFill>
        </w:rPr>
        <w:t>无法继续运营，甲方应全额退回运营保障金，相关事宜按合同约定和法律法规规定处理。</w:t>
      </w:r>
    </w:p>
    <w:p w14:paraId="467E911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（七）乙方违反本合同第六条第（七）项保险约定，未按要求投保或续保的，甲方有权要求乙方限期整改，逾期未整改的，扣除50%运营保障金；造成损失的，乙方承担全部赔偿责任。</w:t>
      </w:r>
    </w:p>
    <w:p w14:paraId="5E5F7C3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（八）乙方违反本合同第六条第（八）项隐私保护约定，泄露老人个人信息的，每次扣除10%运营保障金；造成严重后果的，甲方有权解除合同并没收剩余运营保障金。</w:t>
      </w:r>
    </w:p>
    <w:p w14:paraId="35269DC5">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14:textFill>
            <w14:solidFill>
              <w14:schemeClr w14:val="tx1"/>
            </w14:solidFill>
          </w14:textFill>
        </w:rPr>
      </w:pPr>
    </w:p>
    <w:p w14:paraId="27FC0566">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十</w:t>
      </w:r>
      <w:r>
        <w:rPr>
          <w:rFonts w:hint="eastAsia" w:ascii="宋体" w:hAnsi="宋体" w:eastAsia="宋体" w:cs="宋体"/>
          <w:b/>
          <w:bCs/>
          <w:color w:val="000000" w:themeColor="text1"/>
          <w:sz w:val="21"/>
          <w:szCs w:val="21"/>
          <w:lang w:eastAsia="zh-CN"/>
          <w14:textFill>
            <w14:solidFill>
              <w14:schemeClr w14:val="tx1"/>
            </w14:solidFill>
          </w14:textFill>
        </w:rPr>
        <w:t>三</w:t>
      </w:r>
      <w:r>
        <w:rPr>
          <w:rFonts w:hint="eastAsia" w:ascii="宋体" w:hAnsi="宋体" w:eastAsia="宋体" w:cs="宋体"/>
          <w:b/>
          <w:bCs/>
          <w:color w:val="000000" w:themeColor="text1"/>
          <w:sz w:val="21"/>
          <w:szCs w:val="21"/>
          <w14:textFill>
            <w14:solidFill>
              <w14:schemeClr w14:val="tx1"/>
            </w14:solidFill>
          </w14:textFill>
        </w:rPr>
        <w:t>、不可抗力</w:t>
      </w:r>
    </w:p>
    <w:p w14:paraId="0E664E16">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任何一方由于不可抗力原因不能履行合同时，应在不可抗力事件结束后3日内向对方通报，以减轻可能给对方造成的损失，在取得有关机构的不可抗力证明或双方谅解确认后，允许延期履行或修订合同，并根据情况可部分或全部免于承担违约责任。</w:t>
      </w:r>
    </w:p>
    <w:p w14:paraId="101F858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如果因政策变动需要更改运营模式，</w:t>
      </w:r>
      <w:r>
        <w:rPr>
          <w:rFonts w:hint="eastAsia" w:ascii="宋体" w:hAnsi="宋体" w:eastAsia="宋体" w:cs="宋体"/>
          <w:color w:val="000000" w:themeColor="text1"/>
          <w:sz w:val="21"/>
          <w:szCs w:val="21"/>
          <w:highlight w:val="none"/>
          <w14:textFill>
            <w14:solidFill>
              <w14:schemeClr w14:val="tx1"/>
            </w14:solidFill>
          </w14:textFill>
        </w:rPr>
        <w:t>则乙方需无偿放弃运营。</w:t>
      </w:r>
    </w:p>
    <w:p w14:paraId="47422E8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14:textFill>
            <w14:solidFill>
              <w14:schemeClr w14:val="tx1"/>
            </w14:solidFill>
          </w14:textFill>
        </w:rPr>
      </w:pPr>
    </w:p>
    <w:p w14:paraId="4C450377">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十</w:t>
      </w:r>
      <w:r>
        <w:rPr>
          <w:rFonts w:hint="eastAsia" w:ascii="宋体" w:hAnsi="宋体" w:eastAsia="宋体" w:cs="宋体"/>
          <w:b/>
          <w:bCs/>
          <w:color w:val="000000" w:themeColor="text1"/>
          <w:sz w:val="21"/>
          <w:szCs w:val="21"/>
          <w:lang w:eastAsia="zh-CN"/>
          <w14:textFill>
            <w14:solidFill>
              <w14:schemeClr w14:val="tx1"/>
            </w14:solidFill>
          </w14:textFill>
        </w:rPr>
        <w:t>四</w:t>
      </w:r>
      <w:r>
        <w:rPr>
          <w:rFonts w:hint="eastAsia" w:ascii="宋体" w:hAnsi="宋体" w:eastAsia="宋体" w:cs="宋体"/>
          <w:b/>
          <w:bCs/>
          <w:color w:val="000000" w:themeColor="text1"/>
          <w:sz w:val="21"/>
          <w:szCs w:val="21"/>
          <w14:textFill>
            <w14:solidFill>
              <w14:schemeClr w14:val="tx1"/>
            </w14:solidFill>
          </w14:textFill>
        </w:rPr>
        <w:t>、适用法律及争议解决</w:t>
      </w:r>
    </w:p>
    <w:p w14:paraId="7D194093">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（一）适用法律</w:t>
      </w:r>
    </w:p>
    <w:p w14:paraId="607EA36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本合同适用中华人民共和国法律法规和部省规章。</w:t>
      </w:r>
    </w:p>
    <w:p w14:paraId="041D4218">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（二）争议解决</w:t>
      </w:r>
    </w:p>
    <w:p w14:paraId="2105E257">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1.协商</w:t>
      </w:r>
    </w:p>
    <w:p w14:paraId="392A2DFF">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因解释或履行本合同过程中产生的任何争议通过甲、乙双方进行友好协商或提请相关业务主管部门协调解决。</w:t>
      </w:r>
    </w:p>
    <w:p w14:paraId="46318BC1">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2.争议解决</w:t>
      </w:r>
    </w:p>
    <w:p w14:paraId="1CC54CBB">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若协商不成，任何一方均可向</w:t>
      </w:r>
      <w:r>
        <w:rPr>
          <w:rFonts w:hint="eastAsia" w:ascii="宋体" w:hAnsi="宋体" w:eastAsia="宋体" w:cs="宋体"/>
          <w:color w:val="000000" w:themeColor="text1"/>
          <w:sz w:val="21"/>
          <w:szCs w:val="21"/>
          <w:lang w:eastAsia="zh-CN"/>
          <w14:textFill>
            <w14:solidFill>
              <w14:schemeClr w14:val="tx1"/>
            </w14:solidFill>
          </w14:textFill>
        </w:rPr>
        <w:t>武江区</w:t>
      </w:r>
      <w:r>
        <w:rPr>
          <w:rFonts w:hint="eastAsia" w:ascii="宋体" w:hAnsi="宋体" w:eastAsia="宋体" w:cs="宋体"/>
          <w:color w:val="000000" w:themeColor="text1"/>
          <w:sz w:val="21"/>
          <w:szCs w:val="21"/>
          <w14:textFill>
            <w14:solidFill>
              <w14:schemeClr w14:val="tx1"/>
            </w14:solidFill>
          </w14:textFill>
        </w:rPr>
        <w:t>人民法院提起诉讼。</w:t>
      </w:r>
    </w:p>
    <w:p w14:paraId="2772D33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3.争议解决期间的继续履行</w:t>
      </w:r>
    </w:p>
    <w:p w14:paraId="3985690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在争议解决期间，各方在争议得到解决前继续履行</w:t>
      </w:r>
      <w:r>
        <w:rPr>
          <w:rFonts w:hint="eastAsia" w:ascii="宋体" w:hAnsi="宋体" w:eastAsia="宋体" w:cs="宋体"/>
          <w:sz w:val="21"/>
          <w:szCs w:val="21"/>
        </w:rPr>
        <w:t>其在本合同项下的各项义务并继续享有其在本合同项下的所有权利，而不影响以后根据上述判决进行最终调整。</w:t>
      </w:r>
    </w:p>
    <w:p w14:paraId="7668BD3C">
      <w:pPr>
        <w:keepNext w:val="0"/>
        <w:keepLines w:val="0"/>
        <w:pageBreakBefore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本合同一式五份，经双方签字盖章即生效，甲乙双方各执两份，招标代理执一份，</w:t>
      </w:r>
      <w:r>
        <w:rPr>
          <w:rFonts w:hint="eastAsia" w:ascii="宋体" w:hAnsi="宋体" w:eastAsia="宋体" w:cs="宋体"/>
          <w:sz w:val="21"/>
          <w:szCs w:val="21"/>
          <w:lang w:eastAsia="zh-CN"/>
        </w:rPr>
        <w:t>具有</w:t>
      </w:r>
      <w:r>
        <w:rPr>
          <w:rFonts w:hint="eastAsia" w:ascii="宋体" w:hAnsi="宋体" w:eastAsia="宋体" w:cs="宋体"/>
          <w:sz w:val="21"/>
          <w:szCs w:val="21"/>
        </w:rPr>
        <w:t>同等法律效力。</w:t>
      </w:r>
    </w:p>
    <w:p w14:paraId="72AD7F2C">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----------------以下为签字页-------------------</w:t>
      </w:r>
    </w:p>
    <w:p w14:paraId="1854114A">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甲方（盖章）：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法定代表人或授权代理人（签字）：</w:t>
      </w:r>
    </w:p>
    <w:p w14:paraId="09C83572">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乙方（盖章）：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法定代表人或授权代理人（签字）：</w:t>
      </w:r>
    </w:p>
    <w:p w14:paraId="57DED7A4">
      <w:pPr>
        <w:keepNext w:val="0"/>
        <w:keepLines w:val="0"/>
        <w:pageBreakBefore w:val="0"/>
        <w:kinsoku/>
        <w:wordWrap w:val="0"/>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签约日期：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签约地点：</w:t>
      </w:r>
    </w:p>
    <w:p w14:paraId="2E7025A7">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Theme="majorEastAsia" w:hAnsiTheme="majorEastAsia" w:eastAsiaTheme="majorEastAsia" w:cstheme="majorEastAsia"/>
          <w:color w:val="auto"/>
          <w:szCs w:val="21"/>
          <w:highlight w:val="none"/>
        </w:rPr>
      </w:pPr>
      <w:r>
        <w:rPr>
          <w:rFonts w:hint="eastAsia" w:ascii="宋体" w:hAnsi="宋体" w:eastAsia="宋体" w:cs="宋体"/>
          <w:sz w:val="21"/>
          <w:szCs w:val="21"/>
        </w:rPr>
        <w:t>甲方联</w:t>
      </w:r>
      <w:r>
        <w:rPr>
          <w:rFonts w:hint="eastAsia" w:ascii="宋体" w:hAnsi="宋体" w:eastAsia="宋体" w:cs="宋体"/>
          <w:sz w:val="21"/>
          <w:szCs w:val="21"/>
          <w:lang w:val="en-US" w:eastAsia="zh-CN"/>
        </w:rPr>
        <w:t>系</w:t>
      </w:r>
      <w:r>
        <w:rPr>
          <w:rFonts w:hint="eastAsia" w:ascii="宋体" w:hAnsi="宋体" w:eastAsia="宋体" w:cs="宋体"/>
          <w:sz w:val="21"/>
          <w:szCs w:val="21"/>
        </w:rPr>
        <w:t>人及电话：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乙方联</w:t>
      </w:r>
      <w:r>
        <w:rPr>
          <w:rFonts w:hint="eastAsia" w:ascii="宋体" w:hAnsi="宋体" w:eastAsia="宋体" w:cs="宋体"/>
          <w:sz w:val="21"/>
          <w:szCs w:val="21"/>
          <w:lang w:val="en-US" w:eastAsia="zh-CN"/>
        </w:rPr>
        <w:t>系</w:t>
      </w:r>
      <w:r>
        <w:rPr>
          <w:rFonts w:hint="eastAsia" w:ascii="宋体" w:hAnsi="宋体" w:eastAsia="宋体" w:cs="宋体"/>
          <w:sz w:val="21"/>
          <w:szCs w:val="21"/>
        </w:rPr>
        <w:t>人及电话：</w:t>
      </w:r>
    </w:p>
    <w:sectPr>
      <w:pgSz w:w="11906" w:h="16838"/>
      <w:pgMar w:top="1440" w:right="1803" w:bottom="1440" w:left="1803"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1B72E65-4605-4F1F-BAF9-D2312EF5BCEB}"/>
  </w:font>
  <w:font w:name="Arial">
    <w:panose1 w:val="020B0604020202020204"/>
    <w:charset w:val="01"/>
    <w:family w:val="swiss"/>
    <w:pitch w:val="default"/>
    <w:sig w:usb0="E0002EFF" w:usb1="C000785B" w:usb2="00000009" w:usb3="00000000" w:csb0="400001FF" w:csb1="FFFF0000"/>
    <w:embedRegular r:id="rId2" w:fontKey="{9AFFC90D-66CA-4576-9B2C-EA2950F0EE4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3" w:fontKey="{F4F95D90-79EB-42AD-892C-36149E6498B3}"/>
  </w:font>
  <w:font w:name="WPSEMBED2">
    <w:panose1 w:val="02000000000000000000"/>
    <w:charset w:val="86"/>
    <w:family w:val="auto"/>
    <w:pitch w:val="default"/>
    <w:sig w:usb0="A00002BF" w:usb1="184F6CFA" w:usb2="00000012"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2418E">
    <w:pPr>
      <w:pStyle w:val="9"/>
      <w:spacing w:line="209" w:lineRule="auto"/>
      <w:ind w:left="4345"/>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7C690">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7C690">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66AB4">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65083">
                          <w:pPr>
                            <w:pStyle w:val="12"/>
                          </w:pPr>
                          <w:r>
                            <w:t xml:space="preserve">第 </w:t>
                          </w:r>
                          <w:r>
                            <w:fldChar w:fldCharType="begin"/>
                          </w:r>
                          <w:r>
                            <w:instrText xml:space="preserve"> PAGE  \* MERGEFORMAT </w:instrText>
                          </w:r>
                          <w:r>
                            <w:fldChar w:fldCharType="separate"/>
                          </w:r>
                          <w:r>
                            <w:t>30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7065083">
                    <w:pPr>
                      <w:pStyle w:val="12"/>
                    </w:pPr>
                    <w:r>
                      <w:t xml:space="preserve">第 </w:t>
                    </w:r>
                    <w:r>
                      <w:fldChar w:fldCharType="begin"/>
                    </w:r>
                    <w:r>
                      <w:instrText xml:space="preserve"> PAGE  \* MERGEFORMAT </w:instrText>
                    </w:r>
                    <w:r>
                      <w:fldChar w:fldCharType="separate"/>
                    </w:r>
                    <w:r>
                      <w:t>30</w:t>
                    </w:r>
                    <w:r>
                      <w:fldChar w:fldCharType="end"/>
                    </w:r>
                    <w:r>
                      <w:t xml:space="preserve"> 页</w:t>
                    </w:r>
                  </w:p>
                </w:txbxContent>
              </v:textbox>
            </v:shape>
          </w:pict>
        </mc:Fallback>
      </mc:AlternateContent>
    </w:r>
  </w:p>
  <w:p w14:paraId="4EA124B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8DFB">
    <w:pPr>
      <w:pStyle w:val="13"/>
      <w:pBdr>
        <w:bottom w:val="none" w:color="auto" w:sz="0" w:space="1"/>
      </w:pBdr>
      <w:ind w:left="7440" w:hanging="7440" w:hangingChars="3100"/>
      <w:jc w:val="left"/>
    </w:pPr>
    <w:r>
      <w:rPr>
        <w:rFonts w:hint="eastAsia" w:ascii="宋体" w:hAnsi="宋体" w:cs="宋体"/>
        <w:sz w:val="24"/>
      </w:rPr>
      <w:drawing>
        <wp:anchor distT="0" distB="0" distL="114300" distR="114300" simplePos="0" relativeHeight="251662336" behindDoc="1" locked="0" layoutInCell="1" allowOverlap="1">
          <wp:simplePos x="0" y="0"/>
          <wp:positionH relativeFrom="column">
            <wp:posOffset>146050</wp:posOffset>
          </wp:positionH>
          <wp:positionV relativeFrom="paragraph">
            <wp:posOffset>-424180</wp:posOffset>
          </wp:positionV>
          <wp:extent cx="3006725" cy="589915"/>
          <wp:effectExtent l="0" t="0" r="3175" b="635"/>
          <wp:wrapNone/>
          <wp:docPr id="3" name="图片 3" descr="b0c1b9a8b59dfc2201fe54339c8de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0c1b9a8b59dfc2201fe54339c8deac1"/>
                  <pic:cNvPicPr>
                    <a:picLocks noChangeAspect="1"/>
                  </pic:cNvPicPr>
                </pic:nvPicPr>
                <pic:blipFill>
                  <a:blip r:embed="rId1"/>
                  <a:srcRect t="6954" b="8363"/>
                  <a:stretch>
                    <a:fillRect/>
                  </a:stretch>
                </pic:blipFill>
                <pic:spPr>
                  <a:xfrm>
                    <a:off x="0" y="0"/>
                    <a:ext cx="3006725" cy="589915"/>
                  </a:xfrm>
                  <a:prstGeom prst="rect">
                    <a:avLst/>
                  </a:prstGeom>
                </pic:spPr>
              </pic:pic>
            </a:graphicData>
          </a:graphic>
        </wp:anchor>
      </w:drawing>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1"/>
        <w:szCs w:val="21"/>
      </w:rPr>
      <w:t>|道同志合 平心持正|</w:t>
    </w:r>
  </w:p>
  <w:p w14:paraId="06232C9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AFFD">
    <w:pPr>
      <w:pStyle w:val="13"/>
      <w:pBdr>
        <w:bottom w:val="none" w:color="auto" w:sz="0" w:space="1"/>
      </w:pBdr>
      <w:ind w:left="7440" w:hanging="7440" w:hangingChars="3100"/>
      <w:jc w:val="left"/>
    </w:pPr>
    <w:r>
      <w:rPr>
        <w:rFonts w:hint="eastAsia" w:ascii="宋体" w:hAnsi="宋体" w:cs="宋体"/>
        <w:sz w:val="24"/>
      </w:rPr>
      <w:drawing>
        <wp:anchor distT="0" distB="0" distL="114300" distR="114300" simplePos="0" relativeHeight="251663360" behindDoc="1" locked="0" layoutInCell="1" allowOverlap="1">
          <wp:simplePos x="0" y="0"/>
          <wp:positionH relativeFrom="column">
            <wp:posOffset>-67945</wp:posOffset>
          </wp:positionH>
          <wp:positionV relativeFrom="paragraph">
            <wp:posOffset>-245745</wp:posOffset>
          </wp:positionV>
          <wp:extent cx="3006725" cy="589915"/>
          <wp:effectExtent l="0" t="0" r="3175" b="635"/>
          <wp:wrapNone/>
          <wp:docPr id="1" name="图片 1" descr="b0c1b9a8b59dfc2201fe54339c8de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0c1b9a8b59dfc2201fe54339c8deac1"/>
                  <pic:cNvPicPr>
                    <a:picLocks noChangeAspect="1"/>
                  </pic:cNvPicPr>
                </pic:nvPicPr>
                <pic:blipFill>
                  <a:blip r:embed="rId1"/>
                  <a:srcRect t="6954" b="8363"/>
                  <a:stretch>
                    <a:fillRect/>
                  </a:stretch>
                </pic:blipFill>
                <pic:spPr>
                  <a:xfrm>
                    <a:off x="0" y="0"/>
                    <a:ext cx="3006725" cy="589915"/>
                  </a:xfrm>
                  <a:prstGeom prst="rect">
                    <a:avLst/>
                  </a:prstGeom>
                </pic:spPr>
              </pic:pic>
            </a:graphicData>
          </a:graphic>
        </wp:anchor>
      </w:drawing>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1"/>
        <w:szCs w:val="21"/>
      </w:rPr>
      <w:t>|道同志合 平心持正|</w:t>
    </w:r>
  </w:p>
  <w:p w14:paraId="021C4AD9">
    <w:pPr>
      <w:pStyle w:val="13"/>
      <w:pBdr>
        <w:bottom w:val="none" w:color="auto" w:sz="0" w:space="1"/>
      </w:pBdr>
      <w:jc w:val="both"/>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800A4"/>
    <w:multiLevelType w:val="singleLevel"/>
    <w:tmpl w:val="8D7800A4"/>
    <w:lvl w:ilvl="0" w:tentative="0">
      <w:start w:val="1"/>
      <w:numFmt w:val="chineseCounting"/>
      <w:suff w:val="space"/>
      <w:lvlText w:val="第%1章"/>
      <w:lvlJc w:val="left"/>
      <w:rPr>
        <w:rFonts w:hint="eastAsia"/>
      </w:rPr>
    </w:lvl>
  </w:abstractNum>
  <w:abstractNum w:abstractNumId="1">
    <w:nsid w:val="A9396156"/>
    <w:multiLevelType w:val="singleLevel"/>
    <w:tmpl w:val="A9396156"/>
    <w:lvl w:ilvl="0" w:tentative="0">
      <w:start w:val="5"/>
      <w:numFmt w:val="decimal"/>
      <w:suff w:val="nothing"/>
      <w:lvlText w:val="（%1）"/>
      <w:lvlJc w:val="left"/>
    </w:lvl>
  </w:abstractNum>
  <w:abstractNum w:abstractNumId="2">
    <w:nsid w:val="B4FDF470"/>
    <w:multiLevelType w:val="singleLevel"/>
    <w:tmpl w:val="B4FDF470"/>
    <w:lvl w:ilvl="0" w:tentative="0">
      <w:start w:val="1"/>
      <w:numFmt w:val="decimal"/>
      <w:suff w:val="nothing"/>
      <w:lvlText w:val="（%1）"/>
      <w:lvlJc w:val="left"/>
    </w:lvl>
  </w:abstractNum>
  <w:abstractNum w:abstractNumId="3">
    <w:nsid w:val="D94E9609"/>
    <w:multiLevelType w:val="multilevel"/>
    <w:tmpl w:val="D94E9609"/>
    <w:lvl w:ilvl="0" w:tentative="0">
      <w:start w:val="18"/>
      <w:numFmt w:val="decimal"/>
      <w:suff w:val="space"/>
      <w:lvlText w:val="%1."/>
      <w:lvlJc w:val="left"/>
    </w:lvl>
    <w:lvl w:ilvl="1" w:tentative="0">
      <w:start w:val="1"/>
      <w:numFmt w:val="decimal"/>
      <w:suff w:val="space"/>
      <w:lvlText w:val="%1.%2"/>
      <w:lvlJc w:val="left"/>
      <w:pPr>
        <w:ind w:left="0" w:leftChars="0" w:firstLine="0" w:firstLineChars="0"/>
      </w:pPr>
      <w:rPr>
        <w:rFonts w:hint="default"/>
        <w:b/>
        <w:bCs/>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27E8E525"/>
    <w:multiLevelType w:val="singleLevel"/>
    <w:tmpl w:val="27E8E525"/>
    <w:lvl w:ilvl="0" w:tentative="0">
      <w:start w:val="1"/>
      <w:numFmt w:val="decimal"/>
      <w:suff w:val="nothing"/>
      <w:lvlText w:val="（%1）"/>
      <w:lvlJc w:val="left"/>
    </w:lvl>
  </w:abstractNum>
  <w:abstractNum w:abstractNumId="5">
    <w:nsid w:val="420C153B"/>
    <w:multiLevelType w:val="multilevel"/>
    <w:tmpl w:val="420C153B"/>
    <w:lvl w:ilvl="0" w:tentative="0">
      <w:start w:val="1"/>
      <w:numFmt w:val="decimal"/>
      <w:pStyle w:val="8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4DE76CC5"/>
    <w:multiLevelType w:val="multilevel"/>
    <w:tmpl w:val="4DE76CC5"/>
    <w:lvl w:ilvl="0" w:tentative="0">
      <w:start w:val="1"/>
      <w:numFmt w:val="chineseCountingThousand"/>
      <w:pStyle w:val="96"/>
      <w:isLgl/>
      <w:lvlText w:val="第%1章"/>
      <w:lvlJc w:val="left"/>
      <w:pPr>
        <w:ind w:left="0" w:firstLine="0"/>
      </w:pPr>
      <w:rPr>
        <w:rFonts w:hint="eastAsia" w:eastAsia="黑体"/>
        <w:b/>
        <w:i w:val="0"/>
        <w:sz w:val="44"/>
        <w:szCs w:val="32"/>
      </w:rPr>
    </w:lvl>
    <w:lvl w:ilvl="1" w:tentative="0">
      <w:start w:val="1"/>
      <w:numFmt w:val="decimal"/>
      <w:isLgl/>
      <w:lvlText w:val="%1.%2"/>
      <w:lvlJc w:val="left"/>
      <w:pPr>
        <w:ind w:left="0" w:firstLine="0"/>
      </w:pPr>
      <w:rPr>
        <w:rFonts w:hint="eastAsia" w:eastAsia="黑体"/>
        <w:b/>
        <w:i w:val="0"/>
        <w:sz w:val="32"/>
      </w:rPr>
    </w:lvl>
    <w:lvl w:ilvl="2" w:tentative="0">
      <w:start w:val="1"/>
      <w:numFmt w:val="lowerLetter"/>
      <w:lvlText w:val="%3)"/>
      <w:lvlJc w:val="left"/>
      <w:pPr>
        <w:ind w:left="0" w:firstLine="0"/>
      </w:pPr>
      <w:rPr>
        <w:rFonts w:hint="eastAsia"/>
        <w:b/>
        <w:i w:val="0"/>
        <w:sz w:val="24"/>
        <w:szCs w:val="24"/>
      </w:rPr>
    </w:lvl>
    <w:lvl w:ilvl="3" w:tentative="0">
      <w:start w:val="1"/>
      <w:numFmt w:val="decimal"/>
      <w:lvlText w:val="%4)"/>
      <w:lvlJc w:val="left"/>
      <w:pPr>
        <w:ind w:left="0" w:firstLine="0"/>
      </w:pPr>
      <w:rPr>
        <w:rFonts w:hint="eastAsia"/>
        <w:b/>
        <w:i w:val="0"/>
        <w:sz w:val="24"/>
        <w:szCs w:val="24"/>
      </w:rPr>
    </w:lvl>
    <w:lvl w:ilvl="4" w:tentative="0">
      <w:start w:val="1"/>
      <w:numFmt w:val="lowerLetter"/>
      <w:lvlText w:val="%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6CB3DE2F"/>
    <w:multiLevelType w:val="singleLevel"/>
    <w:tmpl w:val="6CB3DE2F"/>
    <w:lvl w:ilvl="0" w:tentative="0">
      <w:start w:val="17"/>
      <w:numFmt w:val="decimal"/>
      <w:suff w:val="space"/>
      <w:lvlText w:val="%1."/>
      <w:lvlJc w:val="left"/>
    </w:lvl>
  </w:abstractNum>
  <w:abstractNum w:abstractNumId="8">
    <w:nsid w:val="76778866"/>
    <w:multiLevelType w:val="multilevel"/>
    <w:tmpl w:val="76778866"/>
    <w:lvl w:ilvl="0" w:tentative="0">
      <w:start w:val="8"/>
      <w:numFmt w:val="decimal"/>
      <w:lvlText w:val="%1."/>
      <w:lvlJc w:val="left"/>
      <w:pPr>
        <w:tabs>
          <w:tab w:val="left" w:pos="312"/>
        </w:tabs>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5"/>
  </w:num>
  <w:num w:numId="2">
    <w:abstractNumId w:val="6"/>
  </w:num>
  <w:num w:numId="3">
    <w:abstractNumId w:val="1"/>
  </w:num>
  <w:num w:numId="4">
    <w:abstractNumId w:val="8"/>
  </w:num>
  <w:num w:numId="5">
    <w:abstractNumId w:val="0"/>
  </w:num>
  <w:num w:numId="6">
    <w:abstractNumId w:val="7"/>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yOWJlODNjY2E1NzJmNTdiYmIxMjdjZWNhMDFlZTcifQ=="/>
    <w:docVar w:name="KSO_WPS_MARK_KEY" w:val="7e9b7307-f205-4894-b144-972786b662e7"/>
  </w:docVars>
  <w:rsids>
    <w:rsidRoot w:val="35AB3B2B"/>
    <w:rsid w:val="00043144"/>
    <w:rsid w:val="00051172"/>
    <w:rsid w:val="000A696E"/>
    <w:rsid w:val="000C3DA7"/>
    <w:rsid w:val="000E5816"/>
    <w:rsid w:val="00112D2F"/>
    <w:rsid w:val="00191629"/>
    <w:rsid w:val="001D4F4F"/>
    <w:rsid w:val="00285E04"/>
    <w:rsid w:val="002B7AA0"/>
    <w:rsid w:val="003216E0"/>
    <w:rsid w:val="0033690E"/>
    <w:rsid w:val="0035078C"/>
    <w:rsid w:val="00351550"/>
    <w:rsid w:val="003879AD"/>
    <w:rsid w:val="00440750"/>
    <w:rsid w:val="00465D3D"/>
    <w:rsid w:val="0048013C"/>
    <w:rsid w:val="004A1A92"/>
    <w:rsid w:val="004C5563"/>
    <w:rsid w:val="004E3769"/>
    <w:rsid w:val="004E4BAC"/>
    <w:rsid w:val="00502E90"/>
    <w:rsid w:val="00513444"/>
    <w:rsid w:val="0055604D"/>
    <w:rsid w:val="0055608C"/>
    <w:rsid w:val="00575A00"/>
    <w:rsid w:val="00635F97"/>
    <w:rsid w:val="00642EAC"/>
    <w:rsid w:val="00684C44"/>
    <w:rsid w:val="006F2901"/>
    <w:rsid w:val="007C2CCC"/>
    <w:rsid w:val="00851CC2"/>
    <w:rsid w:val="0085543B"/>
    <w:rsid w:val="00A66F03"/>
    <w:rsid w:val="00A82127"/>
    <w:rsid w:val="00B2258B"/>
    <w:rsid w:val="00B34B5B"/>
    <w:rsid w:val="00BB1D83"/>
    <w:rsid w:val="00BB6AEE"/>
    <w:rsid w:val="00BC22DA"/>
    <w:rsid w:val="00BF2574"/>
    <w:rsid w:val="00C85AB7"/>
    <w:rsid w:val="00D8435D"/>
    <w:rsid w:val="00DB10A5"/>
    <w:rsid w:val="00DB41F3"/>
    <w:rsid w:val="00DD084B"/>
    <w:rsid w:val="00E01590"/>
    <w:rsid w:val="00EC4BCA"/>
    <w:rsid w:val="00EE68FA"/>
    <w:rsid w:val="00F05317"/>
    <w:rsid w:val="00F2137E"/>
    <w:rsid w:val="00F3061C"/>
    <w:rsid w:val="00F64DEA"/>
    <w:rsid w:val="00F9432B"/>
    <w:rsid w:val="00FC15F9"/>
    <w:rsid w:val="01007E42"/>
    <w:rsid w:val="01275D20"/>
    <w:rsid w:val="014557C2"/>
    <w:rsid w:val="01556EA9"/>
    <w:rsid w:val="017734C4"/>
    <w:rsid w:val="01864D83"/>
    <w:rsid w:val="019A5532"/>
    <w:rsid w:val="01B3097E"/>
    <w:rsid w:val="02271F96"/>
    <w:rsid w:val="022D0673"/>
    <w:rsid w:val="02313125"/>
    <w:rsid w:val="02393D62"/>
    <w:rsid w:val="02405F8A"/>
    <w:rsid w:val="029E7AD0"/>
    <w:rsid w:val="02B250DA"/>
    <w:rsid w:val="02C300D1"/>
    <w:rsid w:val="02D23086"/>
    <w:rsid w:val="02DD4F9C"/>
    <w:rsid w:val="02F545EC"/>
    <w:rsid w:val="02FA30D3"/>
    <w:rsid w:val="02FF1F50"/>
    <w:rsid w:val="03090322"/>
    <w:rsid w:val="031C07A5"/>
    <w:rsid w:val="032759B1"/>
    <w:rsid w:val="033F1FD5"/>
    <w:rsid w:val="033F6241"/>
    <w:rsid w:val="03640239"/>
    <w:rsid w:val="036F159C"/>
    <w:rsid w:val="03804DFA"/>
    <w:rsid w:val="03942A31"/>
    <w:rsid w:val="03A07AD7"/>
    <w:rsid w:val="03BB041B"/>
    <w:rsid w:val="03D96696"/>
    <w:rsid w:val="042C4A18"/>
    <w:rsid w:val="045C1399"/>
    <w:rsid w:val="047C02C2"/>
    <w:rsid w:val="04803322"/>
    <w:rsid w:val="04AC6B21"/>
    <w:rsid w:val="04AC72EC"/>
    <w:rsid w:val="05056200"/>
    <w:rsid w:val="05190704"/>
    <w:rsid w:val="056D353A"/>
    <w:rsid w:val="057B7AFF"/>
    <w:rsid w:val="057C552B"/>
    <w:rsid w:val="0580226C"/>
    <w:rsid w:val="058D14E6"/>
    <w:rsid w:val="059B2E14"/>
    <w:rsid w:val="05AA531D"/>
    <w:rsid w:val="05B66E6A"/>
    <w:rsid w:val="05CD3179"/>
    <w:rsid w:val="05D067D9"/>
    <w:rsid w:val="05DE2D7B"/>
    <w:rsid w:val="06055520"/>
    <w:rsid w:val="0609510A"/>
    <w:rsid w:val="06191E5A"/>
    <w:rsid w:val="061D6D0E"/>
    <w:rsid w:val="0639166E"/>
    <w:rsid w:val="06750C66"/>
    <w:rsid w:val="068E082F"/>
    <w:rsid w:val="069F3FEC"/>
    <w:rsid w:val="06CD51CF"/>
    <w:rsid w:val="06CF4120"/>
    <w:rsid w:val="06DB7470"/>
    <w:rsid w:val="06DF5D71"/>
    <w:rsid w:val="06EF58D3"/>
    <w:rsid w:val="07116147"/>
    <w:rsid w:val="072D4D2F"/>
    <w:rsid w:val="073001EA"/>
    <w:rsid w:val="074107DA"/>
    <w:rsid w:val="075E76FE"/>
    <w:rsid w:val="07936827"/>
    <w:rsid w:val="079B0BC0"/>
    <w:rsid w:val="07B34DB3"/>
    <w:rsid w:val="084A21A0"/>
    <w:rsid w:val="0855720F"/>
    <w:rsid w:val="085B4F44"/>
    <w:rsid w:val="088D5F5C"/>
    <w:rsid w:val="08987A66"/>
    <w:rsid w:val="08F63846"/>
    <w:rsid w:val="09007CEC"/>
    <w:rsid w:val="092F7B18"/>
    <w:rsid w:val="09475E50"/>
    <w:rsid w:val="094C565A"/>
    <w:rsid w:val="096D5AA7"/>
    <w:rsid w:val="0997077C"/>
    <w:rsid w:val="09AB7B18"/>
    <w:rsid w:val="09B0234C"/>
    <w:rsid w:val="09C12E52"/>
    <w:rsid w:val="09ED6CA1"/>
    <w:rsid w:val="09FD11BF"/>
    <w:rsid w:val="0A091FDE"/>
    <w:rsid w:val="0A260FC3"/>
    <w:rsid w:val="0A261F09"/>
    <w:rsid w:val="0A2B6A3F"/>
    <w:rsid w:val="0AB823C4"/>
    <w:rsid w:val="0ACA4546"/>
    <w:rsid w:val="0AF27E57"/>
    <w:rsid w:val="0AF357B1"/>
    <w:rsid w:val="0AF542EF"/>
    <w:rsid w:val="0B41349E"/>
    <w:rsid w:val="0B753148"/>
    <w:rsid w:val="0B825441"/>
    <w:rsid w:val="0BA525D8"/>
    <w:rsid w:val="0BA537F2"/>
    <w:rsid w:val="0BB71F8D"/>
    <w:rsid w:val="0BD50CE3"/>
    <w:rsid w:val="0BDA2FAB"/>
    <w:rsid w:val="0BDC0B16"/>
    <w:rsid w:val="0C0A7D34"/>
    <w:rsid w:val="0C2F6006"/>
    <w:rsid w:val="0C426CB3"/>
    <w:rsid w:val="0C454256"/>
    <w:rsid w:val="0C5056AF"/>
    <w:rsid w:val="0C51597A"/>
    <w:rsid w:val="0C5B37C6"/>
    <w:rsid w:val="0C602928"/>
    <w:rsid w:val="0C8352C9"/>
    <w:rsid w:val="0C88726E"/>
    <w:rsid w:val="0CCB7B51"/>
    <w:rsid w:val="0CEA36C2"/>
    <w:rsid w:val="0D164A4D"/>
    <w:rsid w:val="0D7910E2"/>
    <w:rsid w:val="0D8F1B47"/>
    <w:rsid w:val="0DB56D9E"/>
    <w:rsid w:val="0DB73DA5"/>
    <w:rsid w:val="0DC134A7"/>
    <w:rsid w:val="0DE6032D"/>
    <w:rsid w:val="0DF90060"/>
    <w:rsid w:val="0E235597"/>
    <w:rsid w:val="0E2475FA"/>
    <w:rsid w:val="0E343F36"/>
    <w:rsid w:val="0E4D03C4"/>
    <w:rsid w:val="0E511C4A"/>
    <w:rsid w:val="0E512BF8"/>
    <w:rsid w:val="0ECD6DF7"/>
    <w:rsid w:val="0ED45967"/>
    <w:rsid w:val="0ED939EE"/>
    <w:rsid w:val="0EE34DB9"/>
    <w:rsid w:val="0EE82D0D"/>
    <w:rsid w:val="0EEF4FBF"/>
    <w:rsid w:val="0EF46240"/>
    <w:rsid w:val="0F465E03"/>
    <w:rsid w:val="0F4B0AC5"/>
    <w:rsid w:val="0F5A7458"/>
    <w:rsid w:val="0F620FFF"/>
    <w:rsid w:val="0F681E22"/>
    <w:rsid w:val="0F6C20F8"/>
    <w:rsid w:val="0F9262E5"/>
    <w:rsid w:val="0FA11886"/>
    <w:rsid w:val="0FD018B6"/>
    <w:rsid w:val="0FED28F4"/>
    <w:rsid w:val="0FEE60A0"/>
    <w:rsid w:val="100B5B75"/>
    <w:rsid w:val="10306B91"/>
    <w:rsid w:val="10390CED"/>
    <w:rsid w:val="105651B6"/>
    <w:rsid w:val="105D45B9"/>
    <w:rsid w:val="10741C20"/>
    <w:rsid w:val="10760AEF"/>
    <w:rsid w:val="10797991"/>
    <w:rsid w:val="108D7FEC"/>
    <w:rsid w:val="10C34A85"/>
    <w:rsid w:val="10E86A85"/>
    <w:rsid w:val="10EB0A61"/>
    <w:rsid w:val="10F96CD3"/>
    <w:rsid w:val="10FD1C16"/>
    <w:rsid w:val="110D477C"/>
    <w:rsid w:val="11230728"/>
    <w:rsid w:val="1134494C"/>
    <w:rsid w:val="114317C8"/>
    <w:rsid w:val="1149436B"/>
    <w:rsid w:val="11551C27"/>
    <w:rsid w:val="116F7948"/>
    <w:rsid w:val="117E3EBF"/>
    <w:rsid w:val="11A63895"/>
    <w:rsid w:val="11AA0E33"/>
    <w:rsid w:val="11D465DE"/>
    <w:rsid w:val="11DC0024"/>
    <w:rsid w:val="11F35E10"/>
    <w:rsid w:val="121E003E"/>
    <w:rsid w:val="12313361"/>
    <w:rsid w:val="123238F4"/>
    <w:rsid w:val="124E6914"/>
    <w:rsid w:val="129B7938"/>
    <w:rsid w:val="12AA4371"/>
    <w:rsid w:val="12CC26ED"/>
    <w:rsid w:val="12D84CD4"/>
    <w:rsid w:val="12E84200"/>
    <w:rsid w:val="12F51579"/>
    <w:rsid w:val="12F65A31"/>
    <w:rsid w:val="12F86B39"/>
    <w:rsid w:val="12FD7CCA"/>
    <w:rsid w:val="13042B7A"/>
    <w:rsid w:val="131909C4"/>
    <w:rsid w:val="131F2662"/>
    <w:rsid w:val="137139DD"/>
    <w:rsid w:val="13852ECA"/>
    <w:rsid w:val="13BA2040"/>
    <w:rsid w:val="13C139AF"/>
    <w:rsid w:val="13E01C4A"/>
    <w:rsid w:val="14032E1B"/>
    <w:rsid w:val="142B3045"/>
    <w:rsid w:val="14333776"/>
    <w:rsid w:val="1437543F"/>
    <w:rsid w:val="14450EEB"/>
    <w:rsid w:val="144E16AB"/>
    <w:rsid w:val="144F6715"/>
    <w:rsid w:val="14740A1C"/>
    <w:rsid w:val="147A16BB"/>
    <w:rsid w:val="14AA5797"/>
    <w:rsid w:val="14D53C37"/>
    <w:rsid w:val="15283DF9"/>
    <w:rsid w:val="154D743D"/>
    <w:rsid w:val="15667555"/>
    <w:rsid w:val="1588503E"/>
    <w:rsid w:val="15997A33"/>
    <w:rsid w:val="15A97268"/>
    <w:rsid w:val="15B52B26"/>
    <w:rsid w:val="15CF1DD7"/>
    <w:rsid w:val="15E224A7"/>
    <w:rsid w:val="16150220"/>
    <w:rsid w:val="164342FA"/>
    <w:rsid w:val="16482398"/>
    <w:rsid w:val="16536803"/>
    <w:rsid w:val="16573DB1"/>
    <w:rsid w:val="165770B0"/>
    <w:rsid w:val="16777D74"/>
    <w:rsid w:val="16900E36"/>
    <w:rsid w:val="16A22BEB"/>
    <w:rsid w:val="16C43712"/>
    <w:rsid w:val="16CB645F"/>
    <w:rsid w:val="16D74B46"/>
    <w:rsid w:val="16FC1F08"/>
    <w:rsid w:val="170830C2"/>
    <w:rsid w:val="171820A2"/>
    <w:rsid w:val="171877C6"/>
    <w:rsid w:val="17571001"/>
    <w:rsid w:val="17707BBF"/>
    <w:rsid w:val="17776970"/>
    <w:rsid w:val="17996410"/>
    <w:rsid w:val="179E6119"/>
    <w:rsid w:val="17B374D2"/>
    <w:rsid w:val="17B80644"/>
    <w:rsid w:val="17BA1FA3"/>
    <w:rsid w:val="17C7601A"/>
    <w:rsid w:val="17CF624F"/>
    <w:rsid w:val="181270D8"/>
    <w:rsid w:val="183A7AB3"/>
    <w:rsid w:val="183C74C7"/>
    <w:rsid w:val="18402742"/>
    <w:rsid w:val="185C4B83"/>
    <w:rsid w:val="18930869"/>
    <w:rsid w:val="18B01FA4"/>
    <w:rsid w:val="190C0B53"/>
    <w:rsid w:val="19434185"/>
    <w:rsid w:val="19540841"/>
    <w:rsid w:val="1962480C"/>
    <w:rsid w:val="196A5697"/>
    <w:rsid w:val="196F11D7"/>
    <w:rsid w:val="19A60971"/>
    <w:rsid w:val="1A6257C6"/>
    <w:rsid w:val="1A7B185F"/>
    <w:rsid w:val="1AA66E7A"/>
    <w:rsid w:val="1ABD41C4"/>
    <w:rsid w:val="1ACA77FB"/>
    <w:rsid w:val="1ACC5BF8"/>
    <w:rsid w:val="1AD774CB"/>
    <w:rsid w:val="1AE95C52"/>
    <w:rsid w:val="1B124510"/>
    <w:rsid w:val="1B1A33C4"/>
    <w:rsid w:val="1B1E67F8"/>
    <w:rsid w:val="1B200CF6"/>
    <w:rsid w:val="1B373C75"/>
    <w:rsid w:val="1B390BDC"/>
    <w:rsid w:val="1B440CBF"/>
    <w:rsid w:val="1B5C1AF3"/>
    <w:rsid w:val="1B770817"/>
    <w:rsid w:val="1B8972B8"/>
    <w:rsid w:val="1B8E7170"/>
    <w:rsid w:val="1BA55443"/>
    <w:rsid w:val="1BAD7680"/>
    <w:rsid w:val="1BBD111D"/>
    <w:rsid w:val="1BE0443F"/>
    <w:rsid w:val="1BEF6F49"/>
    <w:rsid w:val="1C13053F"/>
    <w:rsid w:val="1C471722"/>
    <w:rsid w:val="1C5C588F"/>
    <w:rsid w:val="1C821221"/>
    <w:rsid w:val="1C983F97"/>
    <w:rsid w:val="1CB1569A"/>
    <w:rsid w:val="1CB313F6"/>
    <w:rsid w:val="1CEF0D6A"/>
    <w:rsid w:val="1CFB6B14"/>
    <w:rsid w:val="1D3C3AC6"/>
    <w:rsid w:val="1D3C45B0"/>
    <w:rsid w:val="1D4028B0"/>
    <w:rsid w:val="1D9F75B3"/>
    <w:rsid w:val="1DD9385C"/>
    <w:rsid w:val="1E00462C"/>
    <w:rsid w:val="1E1C5E73"/>
    <w:rsid w:val="1E1C7453"/>
    <w:rsid w:val="1E3D5BFF"/>
    <w:rsid w:val="1E3F5B0A"/>
    <w:rsid w:val="1E402DD2"/>
    <w:rsid w:val="1E590153"/>
    <w:rsid w:val="1E5B585E"/>
    <w:rsid w:val="1E703E54"/>
    <w:rsid w:val="1EA0459D"/>
    <w:rsid w:val="1EAE00EE"/>
    <w:rsid w:val="1EB21D4C"/>
    <w:rsid w:val="1EBC5938"/>
    <w:rsid w:val="1EBD353C"/>
    <w:rsid w:val="1ECC5D06"/>
    <w:rsid w:val="1ED42809"/>
    <w:rsid w:val="1EF26162"/>
    <w:rsid w:val="1EFC4C0E"/>
    <w:rsid w:val="1F6A2CF4"/>
    <w:rsid w:val="1F796CCC"/>
    <w:rsid w:val="1F9F2549"/>
    <w:rsid w:val="1FC81641"/>
    <w:rsid w:val="1FCC5382"/>
    <w:rsid w:val="1FD86B10"/>
    <w:rsid w:val="1FFD6FC8"/>
    <w:rsid w:val="1FFE3AC1"/>
    <w:rsid w:val="202279CC"/>
    <w:rsid w:val="202E28C0"/>
    <w:rsid w:val="20322F5E"/>
    <w:rsid w:val="20441B19"/>
    <w:rsid w:val="20550C1B"/>
    <w:rsid w:val="205A3A16"/>
    <w:rsid w:val="20663493"/>
    <w:rsid w:val="2069018D"/>
    <w:rsid w:val="20A0219D"/>
    <w:rsid w:val="20A0784C"/>
    <w:rsid w:val="20B87A68"/>
    <w:rsid w:val="20BF45FE"/>
    <w:rsid w:val="20C70459"/>
    <w:rsid w:val="20E94DEB"/>
    <w:rsid w:val="2102069D"/>
    <w:rsid w:val="21072432"/>
    <w:rsid w:val="21082292"/>
    <w:rsid w:val="216C5A83"/>
    <w:rsid w:val="21A06E5B"/>
    <w:rsid w:val="21C9221A"/>
    <w:rsid w:val="21DF2C72"/>
    <w:rsid w:val="21E8394E"/>
    <w:rsid w:val="21EC0C0F"/>
    <w:rsid w:val="21F00C93"/>
    <w:rsid w:val="21FB5C14"/>
    <w:rsid w:val="21FB60D3"/>
    <w:rsid w:val="220C72DA"/>
    <w:rsid w:val="22160B82"/>
    <w:rsid w:val="22166C27"/>
    <w:rsid w:val="2265761B"/>
    <w:rsid w:val="228952D6"/>
    <w:rsid w:val="2297314D"/>
    <w:rsid w:val="229F23A9"/>
    <w:rsid w:val="22A23130"/>
    <w:rsid w:val="22A279E3"/>
    <w:rsid w:val="22A30143"/>
    <w:rsid w:val="22BA2B41"/>
    <w:rsid w:val="22C179E6"/>
    <w:rsid w:val="22D26F9A"/>
    <w:rsid w:val="22E3461C"/>
    <w:rsid w:val="22F15352"/>
    <w:rsid w:val="23280DAF"/>
    <w:rsid w:val="23305E7B"/>
    <w:rsid w:val="235D05EE"/>
    <w:rsid w:val="2374034F"/>
    <w:rsid w:val="23A3664D"/>
    <w:rsid w:val="23AB72AF"/>
    <w:rsid w:val="23AF69F1"/>
    <w:rsid w:val="23B12896"/>
    <w:rsid w:val="23CB0902"/>
    <w:rsid w:val="23EF0A76"/>
    <w:rsid w:val="23F316BB"/>
    <w:rsid w:val="240D4FC4"/>
    <w:rsid w:val="245C759D"/>
    <w:rsid w:val="246F2CB5"/>
    <w:rsid w:val="24763848"/>
    <w:rsid w:val="247C12B5"/>
    <w:rsid w:val="24827E18"/>
    <w:rsid w:val="24963225"/>
    <w:rsid w:val="24BE4734"/>
    <w:rsid w:val="24C31569"/>
    <w:rsid w:val="252D0794"/>
    <w:rsid w:val="25377C12"/>
    <w:rsid w:val="25442225"/>
    <w:rsid w:val="255505B4"/>
    <w:rsid w:val="255D0A7D"/>
    <w:rsid w:val="25902E9C"/>
    <w:rsid w:val="259C15A5"/>
    <w:rsid w:val="25B0273C"/>
    <w:rsid w:val="25D45C3E"/>
    <w:rsid w:val="25DD61F7"/>
    <w:rsid w:val="25E81861"/>
    <w:rsid w:val="26034EF6"/>
    <w:rsid w:val="260E6047"/>
    <w:rsid w:val="263D5C2C"/>
    <w:rsid w:val="264E5AA3"/>
    <w:rsid w:val="268100BF"/>
    <w:rsid w:val="268C4476"/>
    <w:rsid w:val="26AE1FC0"/>
    <w:rsid w:val="26AF70B6"/>
    <w:rsid w:val="26AF716B"/>
    <w:rsid w:val="26F55B81"/>
    <w:rsid w:val="27126E5B"/>
    <w:rsid w:val="27331CE1"/>
    <w:rsid w:val="27437FDF"/>
    <w:rsid w:val="276E7580"/>
    <w:rsid w:val="277B5D96"/>
    <w:rsid w:val="2797604D"/>
    <w:rsid w:val="279E1806"/>
    <w:rsid w:val="279F27E3"/>
    <w:rsid w:val="28133675"/>
    <w:rsid w:val="281E11E4"/>
    <w:rsid w:val="2858552C"/>
    <w:rsid w:val="28776B74"/>
    <w:rsid w:val="28936921"/>
    <w:rsid w:val="28B92147"/>
    <w:rsid w:val="292875F4"/>
    <w:rsid w:val="293624BD"/>
    <w:rsid w:val="29453D02"/>
    <w:rsid w:val="294D49C5"/>
    <w:rsid w:val="296231D6"/>
    <w:rsid w:val="29BA0A21"/>
    <w:rsid w:val="2A0E67EA"/>
    <w:rsid w:val="2A19597B"/>
    <w:rsid w:val="2A23324E"/>
    <w:rsid w:val="2A6C2D68"/>
    <w:rsid w:val="2A6F5C00"/>
    <w:rsid w:val="2A7439F6"/>
    <w:rsid w:val="2ACA1805"/>
    <w:rsid w:val="2AFD4EC5"/>
    <w:rsid w:val="2AFF1738"/>
    <w:rsid w:val="2B046437"/>
    <w:rsid w:val="2B1B420B"/>
    <w:rsid w:val="2B376F2C"/>
    <w:rsid w:val="2B417276"/>
    <w:rsid w:val="2B5A5895"/>
    <w:rsid w:val="2B780DBB"/>
    <w:rsid w:val="2BB619B3"/>
    <w:rsid w:val="2BDA5C4B"/>
    <w:rsid w:val="2BF8505C"/>
    <w:rsid w:val="2C13295B"/>
    <w:rsid w:val="2C297A7F"/>
    <w:rsid w:val="2C3F2C8B"/>
    <w:rsid w:val="2C4E7FB0"/>
    <w:rsid w:val="2C5A2AE8"/>
    <w:rsid w:val="2C685386"/>
    <w:rsid w:val="2C852F06"/>
    <w:rsid w:val="2C905476"/>
    <w:rsid w:val="2C981CCD"/>
    <w:rsid w:val="2C9F53AF"/>
    <w:rsid w:val="2CA13945"/>
    <w:rsid w:val="2CAE2083"/>
    <w:rsid w:val="2CB84072"/>
    <w:rsid w:val="2CBA641B"/>
    <w:rsid w:val="2CDF7FCA"/>
    <w:rsid w:val="2CED6B8B"/>
    <w:rsid w:val="2CFD0054"/>
    <w:rsid w:val="2D040C32"/>
    <w:rsid w:val="2D0757A6"/>
    <w:rsid w:val="2D11636C"/>
    <w:rsid w:val="2D576C63"/>
    <w:rsid w:val="2D7A4E0A"/>
    <w:rsid w:val="2D982E0B"/>
    <w:rsid w:val="2DB53B3B"/>
    <w:rsid w:val="2DB63DDF"/>
    <w:rsid w:val="2DBD030B"/>
    <w:rsid w:val="2DCC44FF"/>
    <w:rsid w:val="2DD744DA"/>
    <w:rsid w:val="2E072654"/>
    <w:rsid w:val="2E5E1319"/>
    <w:rsid w:val="2E6F38EF"/>
    <w:rsid w:val="2E7D4B79"/>
    <w:rsid w:val="2EC24EAE"/>
    <w:rsid w:val="2EC3575E"/>
    <w:rsid w:val="2EF91817"/>
    <w:rsid w:val="2F466CCF"/>
    <w:rsid w:val="2F47109C"/>
    <w:rsid w:val="2F4B2213"/>
    <w:rsid w:val="2F9075F6"/>
    <w:rsid w:val="2F990904"/>
    <w:rsid w:val="2F9A594D"/>
    <w:rsid w:val="2FE778C1"/>
    <w:rsid w:val="2FF3519E"/>
    <w:rsid w:val="302B69D3"/>
    <w:rsid w:val="305F6960"/>
    <w:rsid w:val="307B4A76"/>
    <w:rsid w:val="30E14F3B"/>
    <w:rsid w:val="30ED5CE0"/>
    <w:rsid w:val="313279B0"/>
    <w:rsid w:val="317F3D7D"/>
    <w:rsid w:val="31960D20"/>
    <w:rsid w:val="31A435DE"/>
    <w:rsid w:val="31AB42A0"/>
    <w:rsid w:val="31CD0C24"/>
    <w:rsid w:val="31D66DA6"/>
    <w:rsid w:val="31F0559B"/>
    <w:rsid w:val="31FF60CF"/>
    <w:rsid w:val="322963D4"/>
    <w:rsid w:val="324C7494"/>
    <w:rsid w:val="324E528F"/>
    <w:rsid w:val="32642296"/>
    <w:rsid w:val="329655CE"/>
    <w:rsid w:val="32A01606"/>
    <w:rsid w:val="32C1089D"/>
    <w:rsid w:val="32C94A9C"/>
    <w:rsid w:val="32D217C2"/>
    <w:rsid w:val="32D91662"/>
    <w:rsid w:val="32D93D68"/>
    <w:rsid w:val="32E120A3"/>
    <w:rsid w:val="32E7407C"/>
    <w:rsid w:val="32E752BB"/>
    <w:rsid w:val="32F84566"/>
    <w:rsid w:val="332D454F"/>
    <w:rsid w:val="332E5CC1"/>
    <w:rsid w:val="334E1463"/>
    <w:rsid w:val="33A61841"/>
    <w:rsid w:val="33C54B71"/>
    <w:rsid w:val="33C87A09"/>
    <w:rsid w:val="33F16F60"/>
    <w:rsid w:val="34126ECB"/>
    <w:rsid w:val="348C0A37"/>
    <w:rsid w:val="348C6C89"/>
    <w:rsid w:val="348E3F5F"/>
    <w:rsid w:val="34997580"/>
    <w:rsid w:val="34A07D70"/>
    <w:rsid w:val="34A65EB2"/>
    <w:rsid w:val="34A9791B"/>
    <w:rsid w:val="34AE125F"/>
    <w:rsid w:val="34D84426"/>
    <w:rsid w:val="34D85063"/>
    <w:rsid w:val="34E70363"/>
    <w:rsid w:val="350318B2"/>
    <w:rsid w:val="351729F7"/>
    <w:rsid w:val="351F5D4F"/>
    <w:rsid w:val="352548D7"/>
    <w:rsid w:val="352A70A8"/>
    <w:rsid w:val="35740CF0"/>
    <w:rsid w:val="35981787"/>
    <w:rsid w:val="359B5E22"/>
    <w:rsid w:val="359C1AAB"/>
    <w:rsid w:val="35A63D95"/>
    <w:rsid w:val="35AB3B2B"/>
    <w:rsid w:val="35B11597"/>
    <w:rsid w:val="35B828FE"/>
    <w:rsid w:val="35C366DA"/>
    <w:rsid w:val="35C54E2A"/>
    <w:rsid w:val="35F7478C"/>
    <w:rsid w:val="360B3E62"/>
    <w:rsid w:val="3632560E"/>
    <w:rsid w:val="364E1FAC"/>
    <w:rsid w:val="36502FEF"/>
    <w:rsid w:val="365878E4"/>
    <w:rsid w:val="367F29FE"/>
    <w:rsid w:val="36927BAE"/>
    <w:rsid w:val="36B06732"/>
    <w:rsid w:val="36C24DA9"/>
    <w:rsid w:val="36C26B8E"/>
    <w:rsid w:val="36E41E01"/>
    <w:rsid w:val="36F42649"/>
    <w:rsid w:val="370020BB"/>
    <w:rsid w:val="370945C1"/>
    <w:rsid w:val="37250D2B"/>
    <w:rsid w:val="373B4B09"/>
    <w:rsid w:val="3744619F"/>
    <w:rsid w:val="375F48B5"/>
    <w:rsid w:val="376D2DA2"/>
    <w:rsid w:val="37797AAB"/>
    <w:rsid w:val="37965565"/>
    <w:rsid w:val="37EE4E6A"/>
    <w:rsid w:val="37FF7C7E"/>
    <w:rsid w:val="3842422E"/>
    <w:rsid w:val="384348C7"/>
    <w:rsid w:val="386D6DD1"/>
    <w:rsid w:val="386F48F8"/>
    <w:rsid w:val="389649C5"/>
    <w:rsid w:val="3971655D"/>
    <w:rsid w:val="39735B4B"/>
    <w:rsid w:val="39912D3E"/>
    <w:rsid w:val="39BA1ADC"/>
    <w:rsid w:val="39BE0E02"/>
    <w:rsid w:val="39EC3774"/>
    <w:rsid w:val="39EF0137"/>
    <w:rsid w:val="3A1B2D69"/>
    <w:rsid w:val="3A5E59CC"/>
    <w:rsid w:val="3A735F50"/>
    <w:rsid w:val="3A8202CA"/>
    <w:rsid w:val="3A854074"/>
    <w:rsid w:val="3A8D08BE"/>
    <w:rsid w:val="3ABB3E24"/>
    <w:rsid w:val="3AC740E5"/>
    <w:rsid w:val="3AE83416"/>
    <w:rsid w:val="3B0D21A6"/>
    <w:rsid w:val="3B1E1277"/>
    <w:rsid w:val="3B241639"/>
    <w:rsid w:val="3B2958E9"/>
    <w:rsid w:val="3B340B10"/>
    <w:rsid w:val="3B4342F2"/>
    <w:rsid w:val="3BAC54A0"/>
    <w:rsid w:val="3BB450D2"/>
    <w:rsid w:val="3BB83A55"/>
    <w:rsid w:val="3C016259"/>
    <w:rsid w:val="3C07263B"/>
    <w:rsid w:val="3C1F6635"/>
    <w:rsid w:val="3C4E319D"/>
    <w:rsid w:val="3C70334F"/>
    <w:rsid w:val="3C797D13"/>
    <w:rsid w:val="3C806348"/>
    <w:rsid w:val="3CD2615F"/>
    <w:rsid w:val="3D11205B"/>
    <w:rsid w:val="3D385754"/>
    <w:rsid w:val="3D3D55B3"/>
    <w:rsid w:val="3D50398D"/>
    <w:rsid w:val="3D5619DA"/>
    <w:rsid w:val="3D5F6A55"/>
    <w:rsid w:val="3D604ED5"/>
    <w:rsid w:val="3D780336"/>
    <w:rsid w:val="3DC92CFC"/>
    <w:rsid w:val="3DE25DB3"/>
    <w:rsid w:val="3DE6670E"/>
    <w:rsid w:val="3E0D2B9C"/>
    <w:rsid w:val="3E1E1446"/>
    <w:rsid w:val="3E445CEF"/>
    <w:rsid w:val="3E4D7BE8"/>
    <w:rsid w:val="3E5325C6"/>
    <w:rsid w:val="3E7A463F"/>
    <w:rsid w:val="3E925B12"/>
    <w:rsid w:val="3EA45827"/>
    <w:rsid w:val="3EB10774"/>
    <w:rsid w:val="3EF07329"/>
    <w:rsid w:val="3EFB0FE0"/>
    <w:rsid w:val="3F0128C7"/>
    <w:rsid w:val="3F12480E"/>
    <w:rsid w:val="3F3428F7"/>
    <w:rsid w:val="3F50722A"/>
    <w:rsid w:val="3F645D9C"/>
    <w:rsid w:val="3F8E1AF4"/>
    <w:rsid w:val="3F95733A"/>
    <w:rsid w:val="3FA35235"/>
    <w:rsid w:val="3FA82D7F"/>
    <w:rsid w:val="3FC12F2F"/>
    <w:rsid w:val="3FCB2B69"/>
    <w:rsid w:val="3FCF3ECE"/>
    <w:rsid w:val="3FFD4490"/>
    <w:rsid w:val="4026608A"/>
    <w:rsid w:val="402823B4"/>
    <w:rsid w:val="405A34BE"/>
    <w:rsid w:val="40650AB8"/>
    <w:rsid w:val="40A73A11"/>
    <w:rsid w:val="40D50F73"/>
    <w:rsid w:val="40E765BD"/>
    <w:rsid w:val="40F97CA8"/>
    <w:rsid w:val="410D6E30"/>
    <w:rsid w:val="41271078"/>
    <w:rsid w:val="412A6279"/>
    <w:rsid w:val="41412351"/>
    <w:rsid w:val="414E6719"/>
    <w:rsid w:val="416D4D8C"/>
    <w:rsid w:val="417A46D4"/>
    <w:rsid w:val="419345E1"/>
    <w:rsid w:val="41940CDA"/>
    <w:rsid w:val="41AA2509"/>
    <w:rsid w:val="41CF0BCF"/>
    <w:rsid w:val="41D427C4"/>
    <w:rsid w:val="41E04248"/>
    <w:rsid w:val="41FF785B"/>
    <w:rsid w:val="42027434"/>
    <w:rsid w:val="42042CCA"/>
    <w:rsid w:val="42073265"/>
    <w:rsid w:val="425A3F23"/>
    <w:rsid w:val="42812A86"/>
    <w:rsid w:val="42817701"/>
    <w:rsid w:val="428F4403"/>
    <w:rsid w:val="42A86998"/>
    <w:rsid w:val="42B56350"/>
    <w:rsid w:val="42EA15F6"/>
    <w:rsid w:val="432C5504"/>
    <w:rsid w:val="43365770"/>
    <w:rsid w:val="43423D8B"/>
    <w:rsid w:val="43482809"/>
    <w:rsid w:val="436D237B"/>
    <w:rsid w:val="43727FC7"/>
    <w:rsid w:val="43794BD1"/>
    <w:rsid w:val="438815DB"/>
    <w:rsid w:val="439006C3"/>
    <w:rsid w:val="43942E6F"/>
    <w:rsid w:val="43A22025"/>
    <w:rsid w:val="44085AC7"/>
    <w:rsid w:val="440D2E29"/>
    <w:rsid w:val="44211E13"/>
    <w:rsid w:val="445B0426"/>
    <w:rsid w:val="449C1209"/>
    <w:rsid w:val="44C409AF"/>
    <w:rsid w:val="44CB6471"/>
    <w:rsid w:val="44D70159"/>
    <w:rsid w:val="44E977E0"/>
    <w:rsid w:val="4504471C"/>
    <w:rsid w:val="45152417"/>
    <w:rsid w:val="4567448A"/>
    <w:rsid w:val="45791C6C"/>
    <w:rsid w:val="45B002FD"/>
    <w:rsid w:val="45D05F89"/>
    <w:rsid w:val="45E16709"/>
    <w:rsid w:val="460008CE"/>
    <w:rsid w:val="46155582"/>
    <w:rsid w:val="46212412"/>
    <w:rsid w:val="46A301C2"/>
    <w:rsid w:val="46A83331"/>
    <w:rsid w:val="46B215A3"/>
    <w:rsid w:val="46C36755"/>
    <w:rsid w:val="46D027AA"/>
    <w:rsid w:val="46D611A0"/>
    <w:rsid w:val="471A1ED2"/>
    <w:rsid w:val="473531B0"/>
    <w:rsid w:val="47396823"/>
    <w:rsid w:val="476D5EBB"/>
    <w:rsid w:val="47711558"/>
    <w:rsid w:val="47723768"/>
    <w:rsid w:val="479512C3"/>
    <w:rsid w:val="47D9353C"/>
    <w:rsid w:val="47E54F55"/>
    <w:rsid w:val="48056A06"/>
    <w:rsid w:val="48652BD4"/>
    <w:rsid w:val="48693454"/>
    <w:rsid w:val="489062EC"/>
    <w:rsid w:val="48961FF5"/>
    <w:rsid w:val="48A25DD0"/>
    <w:rsid w:val="48DD2962"/>
    <w:rsid w:val="48DF5182"/>
    <w:rsid w:val="49490BB1"/>
    <w:rsid w:val="494B36B3"/>
    <w:rsid w:val="494D47E1"/>
    <w:rsid w:val="49692915"/>
    <w:rsid w:val="496E65D0"/>
    <w:rsid w:val="49902920"/>
    <w:rsid w:val="49CA7BE0"/>
    <w:rsid w:val="49FE271D"/>
    <w:rsid w:val="4A111CB3"/>
    <w:rsid w:val="4A3847B0"/>
    <w:rsid w:val="4A3F772C"/>
    <w:rsid w:val="4A492B02"/>
    <w:rsid w:val="4A584C12"/>
    <w:rsid w:val="4A653EE0"/>
    <w:rsid w:val="4A6603DD"/>
    <w:rsid w:val="4A6E7668"/>
    <w:rsid w:val="4A8E08A1"/>
    <w:rsid w:val="4A9D3546"/>
    <w:rsid w:val="4ABC719B"/>
    <w:rsid w:val="4AFF5FAF"/>
    <w:rsid w:val="4B040E73"/>
    <w:rsid w:val="4B054806"/>
    <w:rsid w:val="4B217C72"/>
    <w:rsid w:val="4B323DAD"/>
    <w:rsid w:val="4B6C0448"/>
    <w:rsid w:val="4B78366B"/>
    <w:rsid w:val="4B992729"/>
    <w:rsid w:val="4BB548C0"/>
    <w:rsid w:val="4BD22D93"/>
    <w:rsid w:val="4BF14E5C"/>
    <w:rsid w:val="4BF21670"/>
    <w:rsid w:val="4BF6455A"/>
    <w:rsid w:val="4C2C72E7"/>
    <w:rsid w:val="4C2F6420"/>
    <w:rsid w:val="4C4E0422"/>
    <w:rsid w:val="4CA960C3"/>
    <w:rsid w:val="4CB2203E"/>
    <w:rsid w:val="4CD3679A"/>
    <w:rsid w:val="4D2F1ADF"/>
    <w:rsid w:val="4D397E04"/>
    <w:rsid w:val="4D5B3007"/>
    <w:rsid w:val="4D815039"/>
    <w:rsid w:val="4D83282D"/>
    <w:rsid w:val="4DA70238"/>
    <w:rsid w:val="4DA8648A"/>
    <w:rsid w:val="4DA92202"/>
    <w:rsid w:val="4DB91463"/>
    <w:rsid w:val="4DBC3CE3"/>
    <w:rsid w:val="4DD26CD8"/>
    <w:rsid w:val="4DE16570"/>
    <w:rsid w:val="4DF64A7C"/>
    <w:rsid w:val="4E546612"/>
    <w:rsid w:val="4E663FE6"/>
    <w:rsid w:val="4E7543F1"/>
    <w:rsid w:val="4E802F63"/>
    <w:rsid w:val="4EA355D2"/>
    <w:rsid w:val="4EBC4081"/>
    <w:rsid w:val="4ECB206C"/>
    <w:rsid w:val="4ED02D42"/>
    <w:rsid w:val="4F377CE8"/>
    <w:rsid w:val="4F4026F2"/>
    <w:rsid w:val="4F48599F"/>
    <w:rsid w:val="4F604C84"/>
    <w:rsid w:val="4F7A0880"/>
    <w:rsid w:val="4F96706C"/>
    <w:rsid w:val="4F9B3924"/>
    <w:rsid w:val="4FA060F5"/>
    <w:rsid w:val="4FC915F8"/>
    <w:rsid w:val="4FD05E0A"/>
    <w:rsid w:val="4FDF63AF"/>
    <w:rsid w:val="500B0F52"/>
    <w:rsid w:val="50421741"/>
    <w:rsid w:val="504E4277"/>
    <w:rsid w:val="50532ED8"/>
    <w:rsid w:val="506F3038"/>
    <w:rsid w:val="507256E0"/>
    <w:rsid w:val="508E3509"/>
    <w:rsid w:val="50B02BCA"/>
    <w:rsid w:val="50B213CE"/>
    <w:rsid w:val="50CC1832"/>
    <w:rsid w:val="50F07683"/>
    <w:rsid w:val="51316332"/>
    <w:rsid w:val="515B3813"/>
    <w:rsid w:val="516C70A1"/>
    <w:rsid w:val="52264998"/>
    <w:rsid w:val="52854FEC"/>
    <w:rsid w:val="528A6B3C"/>
    <w:rsid w:val="52C62A59"/>
    <w:rsid w:val="52ED3DDA"/>
    <w:rsid w:val="5302247A"/>
    <w:rsid w:val="5322669A"/>
    <w:rsid w:val="53315390"/>
    <w:rsid w:val="533A5121"/>
    <w:rsid w:val="534B0C47"/>
    <w:rsid w:val="534E5872"/>
    <w:rsid w:val="5360776D"/>
    <w:rsid w:val="53620E89"/>
    <w:rsid w:val="53676546"/>
    <w:rsid w:val="537261AA"/>
    <w:rsid w:val="53E411F3"/>
    <w:rsid w:val="53EC4002"/>
    <w:rsid w:val="54481B45"/>
    <w:rsid w:val="544D59FD"/>
    <w:rsid w:val="54A2438E"/>
    <w:rsid w:val="54AF3BD4"/>
    <w:rsid w:val="54B24092"/>
    <w:rsid w:val="54B73456"/>
    <w:rsid w:val="54F70838"/>
    <w:rsid w:val="54FD0B04"/>
    <w:rsid w:val="550479F9"/>
    <w:rsid w:val="553065EA"/>
    <w:rsid w:val="554051FA"/>
    <w:rsid w:val="554054D5"/>
    <w:rsid w:val="554C3CA8"/>
    <w:rsid w:val="5565242B"/>
    <w:rsid w:val="55717AA9"/>
    <w:rsid w:val="558B0EF2"/>
    <w:rsid w:val="55974F06"/>
    <w:rsid w:val="55A7171D"/>
    <w:rsid w:val="55EE5892"/>
    <w:rsid w:val="56195DC5"/>
    <w:rsid w:val="561F7505"/>
    <w:rsid w:val="56396D9A"/>
    <w:rsid w:val="564B02FA"/>
    <w:rsid w:val="565C42B5"/>
    <w:rsid w:val="56624044"/>
    <w:rsid w:val="5671771B"/>
    <w:rsid w:val="56735D02"/>
    <w:rsid w:val="56835CE6"/>
    <w:rsid w:val="569F5204"/>
    <w:rsid w:val="56A40F80"/>
    <w:rsid w:val="56CE6835"/>
    <w:rsid w:val="56E30A23"/>
    <w:rsid w:val="56E7781E"/>
    <w:rsid w:val="56F805D3"/>
    <w:rsid w:val="572F2122"/>
    <w:rsid w:val="5732282D"/>
    <w:rsid w:val="573F41BC"/>
    <w:rsid w:val="57513E3C"/>
    <w:rsid w:val="575E71D1"/>
    <w:rsid w:val="57656AAF"/>
    <w:rsid w:val="57780285"/>
    <w:rsid w:val="57895841"/>
    <w:rsid w:val="578D66F1"/>
    <w:rsid w:val="57CB7122"/>
    <w:rsid w:val="57D64F3C"/>
    <w:rsid w:val="580F49BF"/>
    <w:rsid w:val="58167EF7"/>
    <w:rsid w:val="58280B32"/>
    <w:rsid w:val="58371999"/>
    <w:rsid w:val="58726008"/>
    <w:rsid w:val="58C67724"/>
    <w:rsid w:val="58F74373"/>
    <w:rsid w:val="59002D5A"/>
    <w:rsid w:val="590F1AB3"/>
    <w:rsid w:val="5913685F"/>
    <w:rsid w:val="5915699E"/>
    <w:rsid w:val="591E3AA4"/>
    <w:rsid w:val="592B2BC8"/>
    <w:rsid w:val="5932697F"/>
    <w:rsid w:val="593C03CE"/>
    <w:rsid w:val="5945570A"/>
    <w:rsid w:val="59843CBF"/>
    <w:rsid w:val="598A1022"/>
    <w:rsid w:val="59B44E5D"/>
    <w:rsid w:val="59B93578"/>
    <w:rsid w:val="59BD32BD"/>
    <w:rsid w:val="59C60319"/>
    <w:rsid w:val="5A636A25"/>
    <w:rsid w:val="5A643739"/>
    <w:rsid w:val="5A967AC9"/>
    <w:rsid w:val="5A9F0C15"/>
    <w:rsid w:val="5AC36C93"/>
    <w:rsid w:val="5B0D5B7E"/>
    <w:rsid w:val="5B207244"/>
    <w:rsid w:val="5B2335F4"/>
    <w:rsid w:val="5B5267B9"/>
    <w:rsid w:val="5B5F034D"/>
    <w:rsid w:val="5B64318C"/>
    <w:rsid w:val="5B7A2A80"/>
    <w:rsid w:val="5B9242D5"/>
    <w:rsid w:val="5B931DA5"/>
    <w:rsid w:val="5BC00E23"/>
    <w:rsid w:val="5BC05588"/>
    <w:rsid w:val="5BCC5A39"/>
    <w:rsid w:val="5BD42E24"/>
    <w:rsid w:val="5BE21F66"/>
    <w:rsid w:val="5BFB37A6"/>
    <w:rsid w:val="5C166CB5"/>
    <w:rsid w:val="5C240C7B"/>
    <w:rsid w:val="5C2F7D76"/>
    <w:rsid w:val="5C871C50"/>
    <w:rsid w:val="5C8D51F6"/>
    <w:rsid w:val="5CA52AF5"/>
    <w:rsid w:val="5CB963A2"/>
    <w:rsid w:val="5CC41C0D"/>
    <w:rsid w:val="5CCE1A7B"/>
    <w:rsid w:val="5CE42D12"/>
    <w:rsid w:val="5CF36FF6"/>
    <w:rsid w:val="5D5D7AEC"/>
    <w:rsid w:val="5DB07B64"/>
    <w:rsid w:val="5DB26EB1"/>
    <w:rsid w:val="5DDE2965"/>
    <w:rsid w:val="5DE55D4F"/>
    <w:rsid w:val="5E0B635A"/>
    <w:rsid w:val="5E1F1A63"/>
    <w:rsid w:val="5E203FCF"/>
    <w:rsid w:val="5E23390B"/>
    <w:rsid w:val="5E2C721B"/>
    <w:rsid w:val="5EA11D24"/>
    <w:rsid w:val="5EAD0956"/>
    <w:rsid w:val="5EBD3528"/>
    <w:rsid w:val="5ED02091"/>
    <w:rsid w:val="5EF54261"/>
    <w:rsid w:val="5EF66F80"/>
    <w:rsid w:val="5EFD3DCB"/>
    <w:rsid w:val="5F125E59"/>
    <w:rsid w:val="5F135E4F"/>
    <w:rsid w:val="5F323D85"/>
    <w:rsid w:val="5F3926B1"/>
    <w:rsid w:val="5F525098"/>
    <w:rsid w:val="5F5919A6"/>
    <w:rsid w:val="5F6C3883"/>
    <w:rsid w:val="5F82440E"/>
    <w:rsid w:val="5F9024AC"/>
    <w:rsid w:val="5FAF771F"/>
    <w:rsid w:val="5FD11E9D"/>
    <w:rsid w:val="5FE408D5"/>
    <w:rsid w:val="5FF0492B"/>
    <w:rsid w:val="60210B27"/>
    <w:rsid w:val="602A5424"/>
    <w:rsid w:val="605E0C2A"/>
    <w:rsid w:val="60992FAF"/>
    <w:rsid w:val="60BD590C"/>
    <w:rsid w:val="60D93EBD"/>
    <w:rsid w:val="610B3038"/>
    <w:rsid w:val="613E79F6"/>
    <w:rsid w:val="6157463B"/>
    <w:rsid w:val="615E4968"/>
    <w:rsid w:val="617E4947"/>
    <w:rsid w:val="61834DEC"/>
    <w:rsid w:val="618C3680"/>
    <w:rsid w:val="619157A0"/>
    <w:rsid w:val="61A27E4A"/>
    <w:rsid w:val="61AD7FAC"/>
    <w:rsid w:val="61B9082C"/>
    <w:rsid w:val="61E1790B"/>
    <w:rsid w:val="61F43CFC"/>
    <w:rsid w:val="62012E19"/>
    <w:rsid w:val="62086704"/>
    <w:rsid w:val="620C4DF8"/>
    <w:rsid w:val="62404A8B"/>
    <w:rsid w:val="62552691"/>
    <w:rsid w:val="62764FAB"/>
    <w:rsid w:val="6277148A"/>
    <w:rsid w:val="62835858"/>
    <w:rsid w:val="62AF39BF"/>
    <w:rsid w:val="62DB0C58"/>
    <w:rsid w:val="62FE72D8"/>
    <w:rsid w:val="63084F3B"/>
    <w:rsid w:val="631A52DC"/>
    <w:rsid w:val="63207C93"/>
    <w:rsid w:val="632259C4"/>
    <w:rsid w:val="63263D0D"/>
    <w:rsid w:val="633D0FCB"/>
    <w:rsid w:val="634D2D5C"/>
    <w:rsid w:val="63632B45"/>
    <w:rsid w:val="63644522"/>
    <w:rsid w:val="6373260F"/>
    <w:rsid w:val="63807109"/>
    <w:rsid w:val="63856413"/>
    <w:rsid w:val="63D201A3"/>
    <w:rsid w:val="64003D27"/>
    <w:rsid w:val="640C320C"/>
    <w:rsid w:val="64426F57"/>
    <w:rsid w:val="64432611"/>
    <w:rsid w:val="644763D7"/>
    <w:rsid w:val="646E04C5"/>
    <w:rsid w:val="646E335A"/>
    <w:rsid w:val="6489287E"/>
    <w:rsid w:val="649548FB"/>
    <w:rsid w:val="64AD388C"/>
    <w:rsid w:val="64B60830"/>
    <w:rsid w:val="64D81CF5"/>
    <w:rsid w:val="65420BAE"/>
    <w:rsid w:val="655533F0"/>
    <w:rsid w:val="65A45561"/>
    <w:rsid w:val="660756DD"/>
    <w:rsid w:val="66324275"/>
    <w:rsid w:val="66342D40"/>
    <w:rsid w:val="66582833"/>
    <w:rsid w:val="66644AC0"/>
    <w:rsid w:val="667557A4"/>
    <w:rsid w:val="66C66E69"/>
    <w:rsid w:val="66FE3167"/>
    <w:rsid w:val="670771EC"/>
    <w:rsid w:val="671D276F"/>
    <w:rsid w:val="673D3AD3"/>
    <w:rsid w:val="67AA791C"/>
    <w:rsid w:val="67C1041C"/>
    <w:rsid w:val="67F862ED"/>
    <w:rsid w:val="681253D0"/>
    <w:rsid w:val="68464F3B"/>
    <w:rsid w:val="684A64D9"/>
    <w:rsid w:val="685A6D95"/>
    <w:rsid w:val="687F3E33"/>
    <w:rsid w:val="688A295A"/>
    <w:rsid w:val="689B44E8"/>
    <w:rsid w:val="68A32F09"/>
    <w:rsid w:val="68B94F59"/>
    <w:rsid w:val="68C0194D"/>
    <w:rsid w:val="68C65D6E"/>
    <w:rsid w:val="68CC2497"/>
    <w:rsid w:val="68F2680E"/>
    <w:rsid w:val="690600B1"/>
    <w:rsid w:val="6924250F"/>
    <w:rsid w:val="69271690"/>
    <w:rsid w:val="694C0E55"/>
    <w:rsid w:val="695D23C7"/>
    <w:rsid w:val="696033A5"/>
    <w:rsid w:val="696533DD"/>
    <w:rsid w:val="698E4AF7"/>
    <w:rsid w:val="69A16F46"/>
    <w:rsid w:val="69A53A2F"/>
    <w:rsid w:val="69C55233"/>
    <w:rsid w:val="69EB0D20"/>
    <w:rsid w:val="6A152A41"/>
    <w:rsid w:val="6A624D6D"/>
    <w:rsid w:val="6A6857B4"/>
    <w:rsid w:val="6A773014"/>
    <w:rsid w:val="6A8D6CDC"/>
    <w:rsid w:val="6A932B4B"/>
    <w:rsid w:val="6AAD2EDA"/>
    <w:rsid w:val="6AD246EE"/>
    <w:rsid w:val="6AE663EC"/>
    <w:rsid w:val="6AE866A8"/>
    <w:rsid w:val="6AF619D0"/>
    <w:rsid w:val="6B051D29"/>
    <w:rsid w:val="6B1225A1"/>
    <w:rsid w:val="6B405AFC"/>
    <w:rsid w:val="6B676306"/>
    <w:rsid w:val="6B6D718E"/>
    <w:rsid w:val="6B711B7A"/>
    <w:rsid w:val="6BA90A3A"/>
    <w:rsid w:val="6BAC0823"/>
    <w:rsid w:val="6BC61258"/>
    <w:rsid w:val="6BD43669"/>
    <w:rsid w:val="6BE8725E"/>
    <w:rsid w:val="6C034FFD"/>
    <w:rsid w:val="6C152647"/>
    <w:rsid w:val="6C255D33"/>
    <w:rsid w:val="6C2D4E30"/>
    <w:rsid w:val="6C2F6077"/>
    <w:rsid w:val="6C6608D6"/>
    <w:rsid w:val="6C6770B8"/>
    <w:rsid w:val="6C7D5484"/>
    <w:rsid w:val="6C9852E5"/>
    <w:rsid w:val="6C9C1458"/>
    <w:rsid w:val="6CBF541A"/>
    <w:rsid w:val="6CBF7509"/>
    <w:rsid w:val="6CD56718"/>
    <w:rsid w:val="6CD858AC"/>
    <w:rsid w:val="6CFA7D7F"/>
    <w:rsid w:val="6D0E31A9"/>
    <w:rsid w:val="6D0F6795"/>
    <w:rsid w:val="6D2A25C0"/>
    <w:rsid w:val="6D350F65"/>
    <w:rsid w:val="6D3A657B"/>
    <w:rsid w:val="6D422F21"/>
    <w:rsid w:val="6D6830E8"/>
    <w:rsid w:val="6D8D7A35"/>
    <w:rsid w:val="6DB3401A"/>
    <w:rsid w:val="6DBD1347"/>
    <w:rsid w:val="6DD26316"/>
    <w:rsid w:val="6E215D96"/>
    <w:rsid w:val="6E245261"/>
    <w:rsid w:val="6E2A7591"/>
    <w:rsid w:val="6E4F523E"/>
    <w:rsid w:val="6E5729A2"/>
    <w:rsid w:val="6E583A1F"/>
    <w:rsid w:val="6E6164B5"/>
    <w:rsid w:val="6E7D0E15"/>
    <w:rsid w:val="6EAA495D"/>
    <w:rsid w:val="6EAB742B"/>
    <w:rsid w:val="6EB0558D"/>
    <w:rsid w:val="6EC6113E"/>
    <w:rsid w:val="6EC97476"/>
    <w:rsid w:val="6EDF1648"/>
    <w:rsid w:val="6EFF1080"/>
    <w:rsid w:val="6F04792A"/>
    <w:rsid w:val="6F170E2C"/>
    <w:rsid w:val="6F1C670B"/>
    <w:rsid w:val="6F434E86"/>
    <w:rsid w:val="6F45287E"/>
    <w:rsid w:val="6FD44A65"/>
    <w:rsid w:val="6FD9207B"/>
    <w:rsid w:val="701E7698"/>
    <w:rsid w:val="70531535"/>
    <w:rsid w:val="70BF0D6E"/>
    <w:rsid w:val="70E01DD1"/>
    <w:rsid w:val="71033336"/>
    <w:rsid w:val="71146B51"/>
    <w:rsid w:val="71147230"/>
    <w:rsid w:val="71161C74"/>
    <w:rsid w:val="714B51FB"/>
    <w:rsid w:val="715916C6"/>
    <w:rsid w:val="71597165"/>
    <w:rsid w:val="716A07BC"/>
    <w:rsid w:val="716B31A7"/>
    <w:rsid w:val="717256AD"/>
    <w:rsid w:val="717B2A34"/>
    <w:rsid w:val="718544F1"/>
    <w:rsid w:val="718715E5"/>
    <w:rsid w:val="719E2446"/>
    <w:rsid w:val="71C919AA"/>
    <w:rsid w:val="71DE2066"/>
    <w:rsid w:val="71EA30C1"/>
    <w:rsid w:val="720A152D"/>
    <w:rsid w:val="72197677"/>
    <w:rsid w:val="721F1D01"/>
    <w:rsid w:val="7222649A"/>
    <w:rsid w:val="72D11304"/>
    <w:rsid w:val="730C4186"/>
    <w:rsid w:val="7341102A"/>
    <w:rsid w:val="735323A8"/>
    <w:rsid w:val="736B0572"/>
    <w:rsid w:val="736B28F7"/>
    <w:rsid w:val="737974C3"/>
    <w:rsid w:val="73A17E6A"/>
    <w:rsid w:val="73D9089C"/>
    <w:rsid w:val="73E16D57"/>
    <w:rsid w:val="73EE0AE6"/>
    <w:rsid w:val="742858BD"/>
    <w:rsid w:val="7453624B"/>
    <w:rsid w:val="746049BA"/>
    <w:rsid w:val="74844CAB"/>
    <w:rsid w:val="74874E5A"/>
    <w:rsid w:val="74A227F4"/>
    <w:rsid w:val="74A2568B"/>
    <w:rsid w:val="74C47F76"/>
    <w:rsid w:val="74D11688"/>
    <w:rsid w:val="750962A6"/>
    <w:rsid w:val="750977FF"/>
    <w:rsid w:val="753F5CF6"/>
    <w:rsid w:val="754E3DD7"/>
    <w:rsid w:val="754F092D"/>
    <w:rsid w:val="7573132B"/>
    <w:rsid w:val="75DC3A8B"/>
    <w:rsid w:val="76021882"/>
    <w:rsid w:val="76124539"/>
    <w:rsid w:val="76160679"/>
    <w:rsid w:val="761715C6"/>
    <w:rsid w:val="76360C3D"/>
    <w:rsid w:val="766574D1"/>
    <w:rsid w:val="766C12B8"/>
    <w:rsid w:val="7671125F"/>
    <w:rsid w:val="767C3DB4"/>
    <w:rsid w:val="768F2CE9"/>
    <w:rsid w:val="76B80955"/>
    <w:rsid w:val="76CB0F80"/>
    <w:rsid w:val="76DE1045"/>
    <w:rsid w:val="76E8442E"/>
    <w:rsid w:val="770518F3"/>
    <w:rsid w:val="77132D44"/>
    <w:rsid w:val="771463D1"/>
    <w:rsid w:val="774A39DA"/>
    <w:rsid w:val="77777CEB"/>
    <w:rsid w:val="777C4360"/>
    <w:rsid w:val="7796379A"/>
    <w:rsid w:val="77993B8C"/>
    <w:rsid w:val="779B02BA"/>
    <w:rsid w:val="779C230C"/>
    <w:rsid w:val="77AD5663"/>
    <w:rsid w:val="77CA4292"/>
    <w:rsid w:val="77D64484"/>
    <w:rsid w:val="77E922B4"/>
    <w:rsid w:val="77EE5F88"/>
    <w:rsid w:val="78144598"/>
    <w:rsid w:val="782A7918"/>
    <w:rsid w:val="78391529"/>
    <w:rsid w:val="783C764B"/>
    <w:rsid w:val="785A31E0"/>
    <w:rsid w:val="786258A4"/>
    <w:rsid w:val="787A60AB"/>
    <w:rsid w:val="78CE1FD7"/>
    <w:rsid w:val="78D0463B"/>
    <w:rsid w:val="78FE2B52"/>
    <w:rsid w:val="7906595E"/>
    <w:rsid w:val="790A7749"/>
    <w:rsid w:val="7917686A"/>
    <w:rsid w:val="791E5362"/>
    <w:rsid w:val="794B7201"/>
    <w:rsid w:val="795B0ABE"/>
    <w:rsid w:val="798B1783"/>
    <w:rsid w:val="79A57B03"/>
    <w:rsid w:val="79B2108A"/>
    <w:rsid w:val="79CA4A60"/>
    <w:rsid w:val="79D43F4C"/>
    <w:rsid w:val="7A3B6881"/>
    <w:rsid w:val="7A417E6A"/>
    <w:rsid w:val="7A92024C"/>
    <w:rsid w:val="7A98347A"/>
    <w:rsid w:val="7AA222D1"/>
    <w:rsid w:val="7AAF5C10"/>
    <w:rsid w:val="7AE36BA0"/>
    <w:rsid w:val="7AE6285D"/>
    <w:rsid w:val="7B0B5BD1"/>
    <w:rsid w:val="7B2F707C"/>
    <w:rsid w:val="7B54666E"/>
    <w:rsid w:val="7B563349"/>
    <w:rsid w:val="7BA53398"/>
    <w:rsid w:val="7BC71689"/>
    <w:rsid w:val="7BE20360"/>
    <w:rsid w:val="7BEB3862"/>
    <w:rsid w:val="7C1A1A2B"/>
    <w:rsid w:val="7C435CA9"/>
    <w:rsid w:val="7C6158D2"/>
    <w:rsid w:val="7C687374"/>
    <w:rsid w:val="7C727ADF"/>
    <w:rsid w:val="7C78688F"/>
    <w:rsid w:val="7C867510"/>
    <w:rsid w:val="7C932B86"/>
    <w:rsid w:val="7CC83BA3"/>
    <w:rsid w:val="7CF01DBB"/>
    <w:rsid w:val="7D21376C"/>
    <w:rsid w:val="7D622331"/>
    <w:rsid w:val="7D7FC625"/>
    <w:rsid w:val="7D8A3772"/>
    <w:rsid w:val="7D8B198E"/>
    <w:rsid w:val="7D934831"/>
    <w:rsid w:val="7DAC69B7"/>
    <w:rsid w:val="7DD75B87"/>
    <w:rsid w:val="7DDD367E"/>
    <w:rsid w:val="7DFC7E2B"/>
    <w:rsid w:val="7E0230E5"/>
    <w:rsid w:val="7E122B46"/>
    <w:rsid w:val="7E262275"/>
    <w:rsid w:val="7E2676D0"/>
    <w:rsid w:val="7E4F73AA"/>
    <w:rsid w:val="7E74200D"/>
    <w:rsid w:val="7E7B6F9A"/>
    <w:rsid w:val="7EA22277"/>
    <w:rsid w:val="7EC63541"/>
    <w:rsid w:val="7EED4B13"/>
    <w:rsid w:val="7F0B77BF"/>
    <w:rsid w:val="7F5A3940"/>
    <w:rsid w:val="7F8B1A78"/>
    <w:rsid w:val="7FA418D8"/>
    <w:rsid w:val="7FA92784"/>
    <w:rsid w:val="7FCE14D1"/>
    <w:rsid w:val="7FDD57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21"/>
      <w:szCs w:val="24"/>
      <w:lang w:val="en-US" w:eastAsia="zh-CN" w:bidi="ar-SA"/>
    </w:rPr>
  </w:style>
  <w:style w:type="paragraph" w:styleId="3">
    <w:name w:val="heading 1"/>
    <w:basedOn w:val="1"/>
    <w:next w:val="1"/>
    <w:qFormat/>
    <w:uiPriority w:val="0"/>
    <w:pPr>
      <w:keepNext/>
      <w:keepLines/>
      <w:spacing w:before="120" w:after="120"/>
      <w:jc w:val="center"/>
      <w:outlineLvl w:val="0"/>
    </w:pPr>
    <w:rPr>
      <w:b/>
      <w:kern w:val="44"/>
      <w:sz w:val="44"/>
    </w:rPr>
  </w:style>
  <w:style w:type="paragraph" w:styleId="4">
    <w:name w:val="heading 2"/>
    <w:basedOn w:val="1"/>
    <w:next w:val="1"/>
    <w:qFormat/>
    <w:uiPriority w:val="0"/>
    <w:pPr>
      <w:keepNext/>
      <w:keepLines/>
      <w:spacing w:before="140" w:after="140" w:line="413" w:lineRule="auto"/>
      <w:jc w:val="center"/>
      <w:outlineLvl w:val="1"/>
    </w:pPr>
    <w:rPr>
      <w:rFonts w:ascii="Arial" w:hAnsi="Arial"/>
      <w:b/>
      <w:sz w:val="28"/>
    </w:rPr>
  </w:style>
  <w:style w:type="paragraph" w:styleId="5">
    <w:name w:val="heading 3"/>
    <w:basedOn w:val="1"/>
    <w:next w:val="1"/>
    <w:qFormat/>
    <w:uiPriority w:val="9"/>
    <w:pPr>
      <w:keepNext/>
      <w:keepLines/>
      <w:spacing w:line="360" w:lineRule="auto"/>
      <w:outlineLvl w:val="2"/>
    </w:pPr>
    <w:rPr>
      <w:b/>
      <w:bCs/>
      <w:szCs w:val="32"/>
    </w:rPr>
  </w:style>
  <w:style w:type="paragraph" w:styleId="6">
    <w:name w:val="heading 4"/>
    <w:basedOn w:val="1"/>
    <w:next w:val="1"/>
    <w:qFormat/>
    <w:uiPriority w:val="0"/>
    <w:pPr>
      <w:keepNext/>
      <w:keepLines/>
      <w:outlineLvl w:val="3"/>
    </w:pPr>
    <w:rPr>
      <w:rFonts w:ascii="Arial" w:hAnsi="Arial" w:eastAsia="黑体"/>
      <w:bCs/>
      <w:kern w:val="0"/>
      <w:sz w:val="24"/>
      <w:szCs w:val="28"/>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annotation text"/>
    <w:basedOn w:val="1"/>
    <w:next w:val="1"/>
    <w:unhideWhenUsed/>
    <w:qFormat/>
    <w:uiPriority w:val="99"/>
    <w:pPr>
      <w:jc w:val="left"/>
    </w:pPr>
  </w:style>
  <w:style w:type="paragraph" w:styleId="7">
    <w:name w:val="Normal Indent"/>
    <w:basedOn w:val="1"/>
    <w:qFormat/>
    <w:uiPriority w:val="0"/>
    <w:pPr>
      <w:ind w:firstLine="420" w:firstLineChars="200"/>
    </w:pPr>
    <w:rPr>
      <w:rFonts w:ascii="Times New Roman" w:hAnsi="Times New Roman"/>
    </w:rPr>
  </w:style>
  <w:style w:type="paragraph" w:styleId="8">
    <w:name w:val="caption"/>
    <w:basedOn w:val="1"/>
    <w:next w:val="1"/>
    <w:qFormat/>
    <w:uiPriority w:val="0"/>
    <w:rPr>
      <w:rFonts w:ascii="Arial" w:hAnsi="Arial" w:eastAsia="黑体" w:cs="Arial"/>
      <w:sz w:val="20"/>
      <w:szCs w:val="20"/>
    </w:rPr>
  </w:style>
  <w:style w:type="paragraph" w:styleId="9">
    <w:name w:val="Body Text"/>
    <w:basedOn w:val="1"/>
    <w:next w:val="1"/>
    <w:qFormat/>
    <w:uiPriority w:val="0"/>
    <w:pPr>
      <w:spacing w:after="120" w:afterLines="0"/>
    </w:pPr>
    <w:rPr>
      <w:rFonts w:ascii="宋体" w:hAnsi="宋体"/>
      <w:kern w:val="2"/>
      <w:sz w:val="28"/>
      <w:szCs w:val="52"/>
    </w:rPr>
  </w:style>
  <w:style w:type="paragraph" w:styleId="10">
    <w:name w:val="Plain Text"/>
    <w:basedOn w:val="1"/>
    <w:qFormat/>
    <w:uiPriority w:val="99"/>
    <w:rPr>
      <w:rFonts w:ascii="宋体" w:hAnsi="Courier New" w:cs="Courier New"/>
      <w:szCs w:val="21"/>
    </w:rPr>
  </w:style>
  <w:style w:type="paragraph" w:styleId="11">
    <w:name w:val="Balloon Text"/>
    <w:basedOn w:val="1"/>
    <w:link w:val="28"/>
    <w:qFormat/>
    <w:uiPriority w:val="0"/>
    <w:rPr>
      <w:sz w:val="18"/>
      <w:szCs w:val="18"/>
    </w:rPr>
  </w:style>
  <w:style w:type="paragraph" w:styleId="12">
    <w:name w:val="footer"/>
    <w:basedOn w:val="1"/>
    <w:link w:val="29"/>
    <w:qFormat/>
    <w:uiPriority w:val="99"/>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Subtitle"/>
    <w:basedOn w:val="1"/>
    <w:next w:val="1"/>
    <w:qFormat/>
    <w:uiPriority w:val="0"/>
    <w:pPr>
      <w:widowControl/>
      <w:spacing w:after="240" w:line="312" w:lineRule="auto"/>
      <w:jc w:val="left"/>
    </w:pPr>
    <w:rPr>
      <w:rFonts w:ascii="Times New Roman" w:hAnsi="Times New Roman"/>
      <w:color w:val="000000"/>
      <w:kern w:val="0"/>
      <w:sz w:val="24"/>
      <w:szCs w:val="20"/>
    </w:r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6">
    <w:name w:val="Normal (Web)"/>
    <w:basedOn w:val="1"/>
    <w:unhideWhenUsed/>
    <w:qFormat/>
    <w:uiPriority w:val="0"/>
    <w:pPr>
      <w:widowControl/>
      <w:spacing w:before="100" w:beforeAutospacing="1" w:after="100" w:afterAutospacing="1"/>
      <w:jc w:val="left"/>
    </w:pPr>
    <w:rPr>
      <w:rFonts w:ascii="宋体" w:hAnsi="宋体" w:eastAsia="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rPr>
  </w:style>
  <w:style w:type="character" w:styleId="21">
    <w:name w:val="FollowedHyperlink"/>
    <w:qFormat/>
    <w:uiPriority w:val="0"/>
    <w:rPr>
      <w:rFonts w:ascii="微软雅黑" w:hAnsi="微软雅黑" w:eastAsia="微软雅黑" w:cs="微软雅黑"/>
      <w:color w:val="02396F"/>
      <w:u w:val="single"/>
    </w:rPr>
  </w:style>
  <w:style w:type="character" w:styleId="22">
    <w:name w:val="Emphasis"/>
    <w:basedOn w:val="19"/>
    <w:qFormat/>
    <w:uiPriority w:val="0"/>
    <w:rPr>
      <w:i/>
    </w:rPr>
  </w:style>
  <w:style w:type="character" w:styleId="23">
    <w:name w:val="Hyperlink"/>
    <w:qFormat/>
    <w:uiPriority w:val="0"/>
    <w:rPr>
      <w:rFonts w:hint="eastAsia" w:ascii="微软雅黑" w:hAnsi="微软雅黑" w:eastAsia="微软雅黑" w:cs="微软雅黑"/>
      <w:color w:val="02396F"/>
      <w:u w:val="single"/>
    </w:rPr>
  </w:style>
  <w:style w:type="character" w:styleId="24">
    <w:name w:val="annotation reference"/>
    <w:unhideWhenUsed/>
    <w:qFormat/>
    <w:uiPriority w:val="99"/>
    <w:rPr>
      <w:sz w:val="21"/>
      <w:szCs w:val="21"/>
    </w:rPr>
  </w:style>
  <w:style w:type="paragraph" w:customStyle="1" w:styleId="2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6">
    <w:name w:val="正文正"/>
    <w:basedOn w:val="27"/>
    <w:qFormat/>
    <w:uiPriority w:val="0"/>
    <w:pPr>
      <w:spacing w:line="560" w:lineRule="exact"/>
      <w:ind w:firstLine="561"/>
    </w:pPr>
    <w:rPr>
      <w:rFonts w:eastAsia="仿宋_GB2312"/>
      <w:sz w:val="28"/>
      <w:szCs w:val="24"/>
    </w:rPr>
  </w:style>
  <w:style w:type="paragraph" w:customStyle="1" w:styleId="27">
    <w:name w:val="正文 New New New New New New New"/>
    <w:qFormat/>
    <w:uiPriority w:val="0"/>
    <w:pPr>
      <w:widowControl w:val="0"/>
      <w:jc w:val="both"/>
    </w:pPr>
    <w:rPr>
      <w:rFonts w:ascii="宋体" w:hAnsi="宋体" w:eastAsia="宋体" w:cs="Times New Roman"/>
      <w:kern w:val="16"/>
      <w:sz w:val="21"/>
      <w:szCs w:val="24"/>
      <w:lang w:val="en-US" w:eastAsia="zh-CN" w:bidi="ar-SA"/>
    </w:rPr>
  </w:style>
  <w:style w:type="character" w:customStyle="1" w:styleId="28">
    <w:name w:val="批注框文本 字符"/>
    <w:link w:val="11"/>
    <w:qFormat/>
    <w:uiPriority w:val="0"/>
    <w:rPr>
      <w:rFonts w:ascii="Calibri" w:hAnsi="Calibri" w:eastAsia="仿宋" w:cs="Times New Roman"/>
      <w:kern w:val="2"/>
      <w:sz w:val="18"/>
      <w:szCs w:val="18"/>
    </w:rPr>
  </w:style>
  <w:style w:type="character" w:customStyle="1" w:styleId="29">
    <w:name w:val="页脚 字符"/>
    <w:link w:val="12"/>
    <w:qFormat/>
    <w:uiPriority w:val="99"/>
    <w:rPr>
      <w:rFonts w:eastAsia="仿宋"/>
      <w:kern w:val="2"/>
      <w:sz w:val="18"/>
      <w:szCs w:val="24"/>
    </w:rPr>
  </w:style>
  <w:style w:type="character" w:customStyle="1" w:styleId="30">
    <w:name w:val="xhebtnblocktag"/>
    <w:basedOn w:val="19"/>
    <w:qFormat/>
    <w:uiPriority w:val="0"/>
  </w:style>
  <w:style w:type="character" w:customStyle="1" w:styleId="31">
    <w:name w:val="xhebtnbold"/>
    <w:basedOn w:val="19"/>
    <w:qFormat/>
    <w:uiPriority w:val="0"/>
  </w:style>
  <w:style w:type="character" w:customStyle="1" w:styleId="32">
    <w:name w:val="xhebtnanchor"/>
    <w:basedOn w:val="19"/>
    <w:qFormat/>
    <w:uiPriority w:val="0"/>
  </w:style>
  <w:style w:type="character" w:customStyle="1" w:styleId="33">
    <w:name w:val="xhebtnindent"/>
    <w:basedOn w:val="19"/>
    <w:qFormat/>
    <w:uiPriority w:val="0"/>
  </w:style>
  <w:style w:type="character" w:customStyle="1" w:styleId="34">
    <w:name w:val="xheseparator"/>
    <w:basedOn w:val="19"/>
    <w:qFormat/>
    <w:uiPriority w:val="0"/>
  </w:style>
  <w:style w:type="character" w:customStyle="1" w:styleId="35">
    <w:name w:val="xhebtnprint"/>
    <w:basedOn w:val="19"/>
    <w:qFormat/>
    <w:uiPriority w:val="0"/>
  </w:style>
  <w:style w:type="character" w:customStyle="1" w:styleId="36">
    <w:name w:val="qxdate"/>
    <w:qFormat/>
    <w:uiPriority w:val="0"/>
    <w:rPr>
      <w:color w:val="333333"/>
      <w:sz w:val="18"/>
      <w:szCs w:val="18"/>
    </w:rPr>
  </w:style>
  <w:style w:type="character" w:customStyle="1" w:styleId="37">
    <w:name w:val="xhebtnstrikethrough"/>
    <w:basedOn w:val="19"/>
    <w:qFormat/>
    <w:uiPriority w:val="0"/>
  </w:style>
  <w:style w:type="character" w:customStyle="1" w:styleId="38">
    <w:name w:val="xhegend"/>
    <w:basedOn w:val="19"/>
    <w:qFormat/>
    <w:uiPriority w:val="0"/>
    <w:rPr>
      <w:vanish/>
    </w:rPr>
  </w:style>
  <w:style w:type="character" w:customStyle="1" w:styleId="39">
    <w:name w:val="redfilenumber"/>
    <w:qFormat/>
    <w:uiPriority w:val="0"/>
    <w:rPr>
      <w:color w:val="BA2636"/>
      <w:sz w:val="18"/>
      <w:szCs w:val="18"/>
    </w:rPr>
  </w:style>
  <w:style w:type="character" w:customStyle="1" w:styleId="40">
    <w:name w:val="xhebtnfontcolor"/>
    <w:basedOn w:val="19"/>
    <w:qFormat/>
    <w:uiPriority w:val="0"/>
  </w:style>
  <w:style w:type="character" w:customStyle="1" w:styleId="41">
    <w:name w:val="xhebtnunderline"/>
    <w:basedOn w:val="19"/>
    <w:qFormat/>
    <w:uiPriority w:val="0"/>
  </w:style>
  <w:style w:type="character" w:customStyle="1" w:styleId="42">
    <w:name w:val="xhebtnselectall"/>
    <w:basedOn w:val="19"/>
    <w:qFormat/>
    <w:uiPriority w:val="0"/>
  </w:style>
  <w:style w:type="character" w:customStyle="1" w:styleId="43">
    <w:name w:val="xhebtnpastetext"/>
    <w:basedOn w:val="19"/>
    <w:qFormat/>
    <w:uiPriority w:val="0"/>
  </w:style>
  <w:style w:type="character" w:customStyle="1" w:styleId="44">
    <w:name w:val="xhebtncopy"/>
    <w:basedOn w:val="19"/>
    <w:qFormat/>
    <w:uiPriority w:val="0"/>
  </w:style>
  <w:style w:type="character" w:customStyle="1" w:styleId="45">
    <w:name w:val="xhebtntable"/>
    <w:basedOn w:val="19"/>
    <w:qFormat/>
    <w:uiPriority w:val="0"/>
  </w:style>
  <w:style w:type="character" w:customStyle="1" w:styleId="46">
    <w:name w:val="xhebtnflash"/>
    <w:basedOn w:val="19"/>
    <w:qFormat/>
    <w:uiPriority w:val="0"/>
  </w:style>
  <w:style w:type="character" w:customStyle="1" w:styleId="47">
    <w:name w:val="xhebtnfontsize"/>
    <w:basedOn w:val="19"/>
    <w:qFormat/>
    <w:uiPriority w:val="0"/>
  </w:style>
  <w:style w:type="character" w:customStyle="1" w:styleId="48">
    <w:name w:val="xhebtnabout"/>
    <w:basedOn w:val="19"/>
    <w:qFormat/>
    <w:uiPriority w:val="0"/>
  </w:style>
  <w:style w:type="character" w:customStyle="1" w:styleId="49">
    <w:name w:val="gjfg"/>
    <w:basedOn w:val="19"/>
    <w:qFormat/>
    <w:uiPriority w:val="0"/>
  </w:style>
  <w:style w:type="character" w:customStyle="1" w:styleId="50">
    <w:name w:val="xhebtnlink"/>
    <w:basedOn w:val="19"/>
    <w:qFormat/>
    <w:uiPriority w:val="0"/>
  </w:style>
  <w:style w:type="character" w:customStyle="1" w:styleId="51">
    <w:name w:val="redfilefwwh"/>
    <w:qFormat/>
    <w:uiPriority w:val="0"/>
    <w:rPr>
      <w:color w:val="BA2636"/>
      <w:sz w:val="18"/>
      <w:szCs w:val="18"/>
    </w:rPr>
  </w:style>
  <w:style w:type="character" w:customStyle="1" w:styleId="52">
    <w:name w:val="xhebtnalign"/>
    <w:basedOn w:val="19"/>
    <w:qFormat/>
    <w:uiPriority w:val="0"/>
  </w:style>
  <w:style w:type="character" w:customStyle="1" w:styleId="53">
    <w:name w:val="xhebtnunlink"/>
    <w:basedOn w:val="19"/>
    <w:qFormat/>
    <w:uiPriority w:val="0"/>
  </w:style>
  <w:style w:type="character" w:customStyle="1" w:styleId="54">
    <w:name w:val="displayarti"/>
    <w:qFormat/>
    <w:uiPriority w:val="0"/>
    <w:rPr>
      <w:color w:val="FFFFFF"/>
      <w:shd w:val="clear" w:color="auto" w:fill="A00000"/>
    </w:rPr>
  </w:style>
  <w:style w:type="character" w:customStyle="1" w:styleId="55">
    <w:name w:val="xhebtnitalic"/>
    <w:basedOn w:val="19"/>
    <w:qFormat/>
    <w:uiPriority w:val="0"/>
  </w:style>
  <w:style w:type="character" w:customStyle="1" w:styleId="56">
    <w:name w:val="xhebtnmedia"/>
    <w:basedOn w:val="19"/>
    <w:qFormat/>
    <w:uiPriority w:val="0"/>
  </w:style>
  <w:style w:type="character" w:customStyle="1" w:styleId="57">
    <w:name w:val="xhebtncut"/>
    <w:basedOn w:val="19"/>
    <w:qFormat/>
    <w:uiPriority w:val="0"/>
  </w:style>
  <w:style w:type="character" w:customStyle="1" w:styleId="58">
    <w:name w:val="xhegstart"/>
    <w:basedOn w:val="19"/>
    <w:qFormat/>
    <w:uiPriority w:val="0"/>
    <w:rPr>
      <w:vanish/>
    </w:rPr>
  </w:style>
  <w:style w:type="character" w:customStyle="1" w:styleId="59">
    <w:name w:val="xheicon"/>
    <w:basedOn w:val="19"/>
    <w:qFormat/>
    <w:uiPriority w:val="0"/>
  </w:style>
  <w:style w:type="character" w:customStyle="1" w:styleId="60">
    <w:name w:val="tt-radio1"/>
    <w:basedOn w:val="19"/>
    <w:qFormat/>
    <w:uiPriority w:val="0"/>
  </w:style>
  <w:style w:type="character" w:customStyle="1" w:styleId="61">
    <w:name w:val="xhebtnremoveformat"/>
    <w:basedOn w:val="19"/>
    <w:qFormat/>
    <w:uiPriority w:val="0"/>
  </w:style>
  <w:style w:type="character" w:customStyle="1" w:styleId="62">
    <w:name w:val="xhebtnpaste"/>
    <w:basedOn w:val="19"/>
    <w:qFormat/>
    <w:uiPriority w:val="0"/>
  </w:style>
  <w:style w:type="character" w:customStyle="1" w:styleId="63">
    <w:name w:val="cfdate"/>
    <w:qFormat/>
    <w:uiPriority w:val="0"/>
    <w:rPr>
      <w:color w:val="333333"/>
      <w:sz w:val="18"/>
      <w:szCs w:val="18"/>
    </w:rPr>
  </w:style>
  <w:style w:type="character" w:customStyle="1" w:styleId="64">
    <w:name w:val="xhebtnfullscreen"/>
    <w:basedOn w:val="19"/>
    <w:qFormat/>
    <w:uiPriority w:val="0"/>
  </w:style>
  <w:style w:type="character" w:customStyle="1" w:styleId="65">
    <w:name w:val="xhebtnoutdent"/>
    <w:basedOn w:val="19"/>
    <w:qFormat/>
    <w:uiPriority w:val="0"/>
  </w:style>
  <w:style w:type="character" w:customStyle="1" w:styleId="66">
    <w:name w:val="xhebtnhr"/>
    <w:basedOn w:val="19"/>
    <w:qFormat/>
    <w:uiPriority w:val="0"/>
  </w:style>
  <w:style w:type="character" w:customStyle="1" w:styleId="67">
    <w:name w:val="xhebtnsource"/>
    <w:basedOn w:val="19"/>
    <w:qFormat/>
    <w:uiPriority w:val="0"/>
  </w:style>
  <w:style w:type="character" w:customStyle="1" w:styleId="68">
    <w:name w:val="xhebtnbackcolor"/>
    <w:basedOn w:val="19"/>
    <w:qFormat/>
    <w:uiPriority w:val="0"/>
  </w:style>
  <w:style w:type="character" w:customStyle="1" w:styleId="69">
    <w:name w:val="xhebtnlist"/>
    <w:basedOn w:val="19"/>
    <w:qFormat/>
    <w:uiPriority w:val="0"/>
  </w:style>
  <w:style w:type="character" w:customStyle="1" w:styleId="70">
    <w:name w:val="xhebtnimg"/>
    <w:basedOn w:val="19"/>
    <w:qFormat/>
    <w:uiPriority w:val="0"/>
  </w:style>
  <w:style w:type="character" w:customStyle="1" w:styleId="71">
    <w:name w:val="xhebtnpreview"/>
    <w:basedOn w:val="19"/>
    <w:qFormat/>
    <w:uiPriority w:val="0"/>
  </w:style>
  <w:style w:type="character" w:customStyle="1" w:styleId="72">
    <w:name w:val="xhebtnemot"/>
    <w:basedOn w:val="19"/>
    <w:qFormat/>
    <w:uiPriority w:val="0"/>
  </w:style>
  <w:style w:type="character" w:customStyle="1" w:styleId="73">
    <w:name w:val="xhebtnfontface"/>
    <w:basedOn w:val="19"/>
    <w:qFormat/>
    <w:uiPriority w:val="0"/>
  </w:style>
  <w:style w:type="paragraph" w:customStyle="1" w:styleId="74">
    <w:name w:val="列出段落11"/>
    <w:basedOn w:val="1"/>
    <w:qFormat/>
    <w:uiPriority w:val="34"/>
    <w:pPr>
      <w:ind w:firstLine="420" w:firstLineChars="200"/>
    </w:pPr>
    <w:rPr>
      <w:rFonts w:ascii="Calibri" w:hAnsi="Calibri" w:eastAsia="宋体" w:cs="Times New Roman"/>
      <w:szCs w:val="22"/>
      <w:lang w:val="zh-CN"/>
    </w:rPr>
  </w:style>
  <w:style w:type="paragraph" w:customStyle="1" w:styleId="7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样式N"/>
    <w:basedOn w:val="78"/>
    <w:qFormat/>
    <w:uiPriority w:val="0"/>
    <w:rPr>
      <w:sz w:val="30"/>
    </w:rPr>
  </w:style>
  <w:style w:type="paragraph" w:customStyle="1" w:styleId="78">
    <w:name w:val="样式H"/>
    <w:basedOn w:val="3"/>
    <w:next w:val="1"/>
    <w:qFormat/>
    <w:uiPriority w:val="0"/>
    <w:pPr>
      <w:spacing w:before="100" w:line="500" w:lineRule="exact"/>
    </w:pPr>
  </w:style>
  <w:style w:type="paragraph" w:customStyle="1" w:styleId="79">
    <w:name w:val="Normal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8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81">
    <w:name w:val="正文 New New New New New New New New New New"/>
    <w:qFormat/>
    <w:uiPriority w:val="0"/>
    <w:pPr>
      <w:widowControl w:val="0"/>
      <w:adjustRightInd w:val="0"/>
      <w:spacing w:before="60" w:after="60" w:line="360" w:lineRule="auto"/>
      <w:ind w:firstLine="200" w:firstLineChars="200"/>
      <w:jc w:val="both"/>
      <w:textAlignment w:val="baseline"/>
    </w:pPr>
    <w:rPr>
      <w:rFonts w:ascii="Times New Roman" w:hAnsi="Times New Roman" w:eastAsia="宋体" w:cs="Times New Roman"/>
      <w:sz w:val="21"/>
      <w:lang w:val="en-US" w:eastAsia="zh-CN" w:bidi="ar-SA"/>
    </w:rPr>
  </w:style>
  <w:style w:type="paragraph" w:customStyle="1" w:styleId="82">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styleId="83">
    <w:name w:val="List Paragraph"/>
    <w:basedOn w:val="1"/>
    <w:qFormat/>
    <w:uiPriority w:val="34"/>
    <w:pPr>
      <w:ind w:firstLine="420" w:firstLineChars="200"/>
    </w:pPr>
  </w:style>
  <w:style w:type="paragraph" w:customStyle="1" w:styleId="8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样式1"/>
    <w:basedOn w:val="1"/>
    <w:qFormat/>
    <w:uiPriority w:val="0"/>
    <w:pPr>
      <w:numPr>
        <w:ilvl w:val="0"/>
        <w:numId w:val="1"/>
      </w:numPr>
      <w:adjustRightInd w:val="0"/>
      <w:textAlignment w:val="baseline"/>
    </w:pPr>
    <w:rPr>
      <w:rFonts w:ascii="宋体" w:hAnsi="宋体"/>
      <w:kern w:val="0"/>
      <w:szCs w:val="21"/>
    </w:rPr>
  </w:style>
  <w:style w:type="paragraph" w:customStyle="1" w:styleId="8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题注4"/>
    <w:basedOn w:val="1"/>
    <w:next w:val="8"/>
    <w:qFormat/>
    <w:uiPriority w:val="0"/>
    <w:pPr>
      <w:ind w:left="-132" w:leftChars="-64" w:right="-105" w:rightChars="-50" w:hanging="2"/>
      <w:jc w:val="center"/>
    </w:pPr>
    <w:rPr>
      <w:b/>
      <w:color w:val="FF0000"/>
      <w:szCs w:val="21"/>
      <w:lang w:val="en-GB"/>
    </w:rPr>
  </w:style>
  <w:style w:type="paragraph" w:customStyle="1" w:styleId="8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8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90">
    <w:name w:val="WPSOffice手动目录 1"/>
    <w:qFormat/>
    <w:uiPriority w:val="0"/>
    <w:rPr>
      <w:rFonts w:ascii="Times New Roman" w:hAnsi="Times New Roman" w:eastAsia="宋体" w:cs="Times New Roman"/>
      <w:lang w:val="en-US" w:eastAsia="zh-CN" w:bidi="ar-SA"/>
    </w:rPr>
  </w:style>
  <w:style w:type="paragraph" w:customStyle="1" w:styleId="91">
    <w:name w:val="_Style 3"/>
    <w:basedOn w:val="1"/>
    <w:qFormat/>
    <w:uiPriority w:val="0"/>
    <w:pPr>
      <w:spacing w:line="360" w:lineRule="auto"/>
      <w:ind w:firstLine="420" w:firstLineChars="200"/>
    </w:pPr>
    <w:rPr>
      <w:rFonts w:ascii="Calibri" w:hAnsi="Calibri"/>
      <w:kern w:val="2"/>
      <w:sz w:val="21"/>
      <w:szCs w:val="22"/>
    </w:rPr>
  </w:style>
  <w:style w:type="paragraph" w:customStyle="1" w:styleId="92">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93">
    <w:name w:val="正文 New New New New New New New New New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9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95">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96">
    <w:name w:val="正文 New New"/>
    <w:qFormat/>
    <w:uiPriority w:val="99"/>
    <w:pPr>
      <w:widowControl w:val="0"/>
      <w:numPr>
        <w:ilvl w:val="0"/>
        <w:numId w:val="2"/>
      </w:numPr>
      <w:jc w:val="both"/>
    </w:pPr>
    <w:rPr>
      <w:rFonts w:ascii="Times New Roman" w:hAnsi="Times New Roman" w:eastAsia="宋体" w:cs="Times New Roman"/>
      <w:kern w:val="2"/>
      <w:sz w:val="21"/>
      <w:szCs w:val="21"/>
      <w:lang w:val="en-US" w:eastAsia="zh-CN" w:bidi="ar-SA"/>
    </w:rPr>
  </w:style>
  <w:style w:type="paragraph" w:customStyle="1" w:styleId="9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
    <w:name w:val="样式 行距: 1.5 倍行距 首行缩进:  2 字符"/>
    <w:basedOn w:val="1"/>
    <w:qFormat/>
    <w:uiPriority w:val="0"/>
    <w:pPr>
      <w:adjustRightInd w:val="0"/>
      <w:snapToGrid w:val="0"/>
      <w:spacing w:line="460" w:lineRule="exact"/>
    </w:pPr>
    <w:rPr>
      <w:sz w:val="24"/>
    </w:rPr>
  </w:style>
  <w:style w:type="paragraph" w:customStyle="1" w:styleId="99">
    <w:name w:val="样式2"/>
    <w:basedOn w:val="1"/>
    <w:qFormat/>
    <w:uiPriority w:val="0"/>
    <w:pPr>
      <w:wordWrap w:val="0"/>
      <w:jc w:val="center"/>
    </w:pPr>
    <w:rPr>
      <w:sz w:val="22"/>
      <w:szCs w:val="22"/>
    </w:rPr>
  </w:style>
  <w:style w:type="paragraph" w:customStyle="1" w:styleId="100">
    <w:name w:val="Table Text"/>
    <w:basedOn w:val="1"/>
    <w:semiHidden/>
    <w:qFormat/>
    <w:uiPriority w:val="0"/>
    <w:rPr>
      <w:rFonts w:ascii="宋体" w:hAnsi="宋体" w:eastAsia="宋体" w:cs="宋体"/>
      <w:sz w:val="20"/>
      <w:szCs w:val="20"/>
      <w:lang w:val="en-US" w:eastAsia="en-US" w:bidi="ar-SA"/>
    </w:rPr>
  </w:style>
  <w:style w:type="table" w:customStyle="1" w:styleId="101">
    <w:name w:val="Table Normal"/>
    <w:semiHidden/>
    <w:unhideWhenUsed/>
    <w:qFormat/>
    <w:uiPriority w:val="0"/>
    <w:tblPr>
      <w:tblCellMar>
        <w:top w:w="0" w:type="dxa"/>
        <w:left w:w="0" w:type="dxa"/>
        <w:bottom w:w="0" w:type="dxa"/>
        <w:right w:w="0" w:type="dxa"/>
      </w:tblCellMar>
    </w:tblPr>
  </w:style>
  <w:style w:type="paragraph" w:customStyle="1" w:styleId="102">
    <w:name w:val="null3"/>
    <w:hidden/>
    <w:qFormat/>
    <w:uiPriority w:val="0"/>
    <w:rPr>
      <w:rFonts w:hint="eastAsia" w:asciiTheme="minorHAnsi" w:hAnsiTheme="minorHAnsi" w:eastAsiaTheme="minorEastAsia" w:cstheme="minorBidi"/>
      <w:lang w:val="en-US" w:eastAsia="zh-Hans"/>
    </w:rPr>
  </w:style>
  <w:style w:type="paragraph" w:customStyle="1" w:styleId="103">
    <w:name w:val="正文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customStyle="1" w:styleId="104">
    <w:name w:val="font11"/>
    <w:basedOn w:val="19"/>
    <w:qFormat/>
    <w:uiPriority w:val="0"/>
    <w:rPr>
      <w:rFonts w:hint="eastAsia" w:ascii="宋体" w:hAnsi="宋体" w:eastAsia="宋体" w:cs="宋体"/>
      <w:b/>
      <w:color w:val="000000"/>
      <w:sz w:val="20"/>
      <w:szCs w:val="20"/>
      <w:u w:val="none"/>
    </w:rPr>
  </w:style>
  <w:style w:type="paragraph" w:customStyle="1" w:styleId="105">
    <w:name w:val="Heading 3"/>
    <w:qFormat/>
    <w:uiPriority w:val="0"/>
    <w:pPr>
      <w:spacing w:before="300" w:after="120" w:line="288" w:lineRule="auto"/>
      <w:ind w:left="0"/>
      <w:jc w:val="left"/>
      <w:outlineLvl w:val="2"/>
    </w:pPr>
    <w:rPr>
      <w:rFonts w:ascii="Arial" w:hAnsi="Arial" w:eastAsia="等线" w:cs="Arial"/>
      <w:b/>
      <w:bCs/>
      <w:sz w:val="30"/>
      <w:szCs w:val="30"/>
    </w:rPr>
  </w:style>
  <w:style w:type="paragraph" w:customStyle="1" w:styleId="106">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60</Pages>
  <Words>32416</Words>
  <Characters>34312</Characters>
  <Lines>193</Lines>
  <Paragraphs>54</Paragraphs>
  <TotalTime>0</TotalTime>
  <ScaleCrop>false</ScaleCrop>
  <LinksUpToDate>false</LinksUpToDate>
  <CharactersWithSpaces>34779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2018-10-31T00:31:00Z</dcterms:created>
  <dc:creator>meimei</dc:creator>
  <cp:lastModifiedBy>Daishaoc</cp:lastModifiedBy>
  <cp:lastPrinted>2026-05-22T11:31:00Z</cp:lastPrinted>
  <dcterms:modified xsi:type="dcterms:W3CDTF">2026-05-22T13:07:44Z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D736588D41EB4291AF79EC5D9FCF2E4D_13</vt:lpwstr>
  </property>
  <property fmtid="{D5CDD505-2E9C-101B-9397-08002B2CF9AE}" pid="4" name="KSOTemplateDocerSaveRecord">
    <vt:lpwstr>eyJoZGlkIjoiOGRjZWNiN2YzYzFjZWM4MDE4ZmNmNWVjNmE0ZWQ3MWQiLCJ1c2VySWQiOiI2NTU3NzExNTAifQ==</vt:lpwstr>
  </property>
</Properties>
</file>