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FE384">
      <w:pPr>
        <w:rPr>
          <w:rFonts w:hint="eastAsia" w:ascii="宋体" w:hAnsi="宋体" w:eastAsia="宋体" w:cs="宋体"/>
          <w:color w:val="auto"/>
        </w:rPr>
      </w:pPr>
    </w:p>
    <w:p w14:paraId="47460066">
      <w:pPr>
        <w:rPr>
          <w:rFonts w:hint="eastAsia" w:ascii="宋体" w:hAnsi="宋体" w:eastAsia="宋体" w:cs="宋体"/>
          <w:color w:val="auto"/>
        </w:rPr>
      </w:pPr>
    </w:p>
    <w:p w14:paraId="0F170922">
      <w:pPr>
        <w:rPr>
          <w:rFonts w:hint="eastAsia" w:ascii="宋体" w:hAnsi="宋体" w:eastAsia="宋体" w:cs="宋体"/>
          <w:color w:val="auto"/>
        </w:rPr>
      </w:pPr>
    </w:p>
    <w:p w14:paraId="158DC859">
      <w:pPr>
        <w:rPr>
          <w:rFonts w:hint="eastAsia" w:ascii="宋体" w:hAnsi="宋体" w:eastAsia="宋体" w:cs="宋体"/>
          <w:color w:val="auto"/>
        </w:rPr>
      </w:pPr>
    </w:p>
    <w:p w14:paraId="4B0AFEC7">
      <w:pPr>
        <w:rPr>
          <w:rFonts w:hint="eastAsia" w:ascii="宋体" w:hAnsi="宋体" w:eastAsia="宋体" w:cs="宋体"/>
          <w:color w:val="auto"/>
        </w:rPr>
      </w:pPr>
    </w:p>
    <w:p w14:paraId="26C62E15">
      <w:pPr>
        <w:rPr>
          <w:rFonts w:hint="eastAsia" w:ascii="宋体" w:hAnsi="宋体" w:eastAsia="宋体" w:cs="宋体"/>
          <w:color w:val="auto"/>
        </w:rPr>
      </w:pPr>
    </w:p>
    <w:p w14:paraId="7F7DF2E5">
      <w:pPr>
        <w:pStyle w:val="23"/>
        <w:spacing w:line="360" w:lineRule="auto"/>
        <w:jc w:val="center"/>
        <w:rPr>
          <w:rFonts w:hint="eastAsia" w:ascii="宋体" w:hAnsi="宋体" w:eastAsia="宋体" w:cs="宋体"/>
          <w:b/>
          <w:bCs/>
          <w:color w:val="auto"/>
          <w:spacing w:val="26"/>
          <w:sz w:val="72"/>
          <w:szCs w:val="72"/>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72"/>
          <w:szCs w:val="72"/>
          <w:highlight w:val="none"/>
          <w:lang w:eastAsia="zh-CN"/>
        </w:rPr>
        <w:t>韶关市小岛片区城市提质升级项目设计</w:t>
      </w:r>
    </w:p>
    <w:p w14:paraId="5CBA5504">
      <w:pPr>
        <w:rPr>
          <w:rFonts w:hint="eastAsia" w:ascii="宋体" w:hAnsi="宋体" w:eastAsia="宋体" w:cs="宋体"/>
          <w:color w:val="auto"/>
        </w:rPr>
      </w:pPr>
    </w:p>
    <w:p w14:paraId="4D9185CA">
      <w:pPr>
        <w:rPr>
          <w:rFonts w:hint="eastAsia" w:ascii="宋体" w:hAnsi="宋体" w:eastAsia="宋体" w:cs="宋体"/>
          <w:color w:val="auto"/>
        </w:rPr>
      </w:pPr>
    </w:p>
    <w:p w14:paraId="1E5B78E6">
      <w:pPr>
        <w:rPr>
          <w:rFonts w:hint="eastAsia" w:ascii="宋体" w:hAnsi="宋体" w:eastAsia="宋体" w:cs="宋体"/>
          <w:color w:val="auto"/>
        </w:rPr>
      </w:pPr>
    </w:p>
    <w:p w14:paraId="119560F6">
      <w:pPr>
        <w:rPr>
          <w:rFonts w:hint="eastAsia" w:ascii="宋体" w:hAnsi="宋体" w:eastAsia="宋体" w:cs="宋体"/>
          <w:color w:val="auto"/>
        </w:rPr>
      </w:pPr>
    </w:p>
    <w:p w14:paraId="61EB5785">
      <w:pPr>
        <w:rPr>
          <w:rFonts w:hint="eastAsia" w:ascii="宋体" w:hAnsi="宋体" w:eastAsia="宋体" w:cs="宋体"/>
          <w:color w:val="auto"/>
        </w:rPr>
      </w:pPr>
    </w:p>
    <w:p w14:paraId="519D7CE3">
      <w:pPr>
        <w:pStyle w:val="23"/>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1136FE7A">
      <w:pPr>
        <w:rPr>
          <w:rFonts w:hint="eastAsia" w:ascii="宋体" w:hAnsi="宋体" w:eastAsia="宋体" w:cs="宋体"/>
          <w:color w:val="auto"/>
        </w:rPr>
      </w:pPr>
    </w:p>
    <w:p w14:paraId="45C5F67A">
      <w:pPr>
        <w:rPr>
          <w:rFonts w:hint="eastAsia" w:ascii="宋体" w:hAnsi="宋体" w:eastAsia="宋体" w:cs="宋体"/>
          <w:color w:val="auto"/>
        </w:rPr>
      </w:pPr>
    </w:p>
    <w:p w14:paraId="26E14243">
      <w:pPr>
        <w:rPr>
          <w:rFonts w:hint="eastAsia" w:ascii="宋体" w:hAnsi="宋体" w:eastAsia="宋体" w:cs="宋体"/>
          <w:color w:val="auto"/>
          <w:lang w:eastAsia="zh-CN"/>
        </w:rPr>
      </w:pPr>
    </w:p>
    <w:tbl>
      <w:tblPr>
        <w:tblStyle w:val="19"/>
        <w:tblpPr w:leftFromText="180" w:rightFromText="180" w:vertAnchor="text" w:horzAnchor="page" w:tblpX="1312" w:tblpY="423"/>
        <w:tblOverlap w:val="never"/>
        <w:tblW w:w="9564" w:type="dxa"/>
        <w:tblInd w:w="0" w:type="dxa"/>
        <w:tblLayout w:type="fixed"/>
        <w:tblCellMar>
          <w:top w:w="0" w:type="dxa"/>
          <w:left w:w="0" w:type="dxa"/>
          <w:bottom w:w="0" w:type="dxa"/>
          <w:right w:w="0" w:type="dxa"/>
        </w:tblCellMar>
      </w:tblPr>
      <w:tblGrid>
        <w:gridCol w:w="4455"/>
        <w:gridCol w:w="5109"/>
      </w:tblGrid>
      <w:tr w14:paraId="68A46160">
        <w:tblPrEx>
          <w:tblCellMar>
            <w:top w:w="0" w:type="dxa"/>
            <w:left w:w="0" w:type="dxa"/>
            <w:bottom w:w="0" w:type="dxa"/>
            <w:right w:w="0" w:type="dxa"/>
          </w:tblCellMar>
        </w:tblPrEx>
        <w:trPr>
          <w:trHeight w:val="854" w:hRule="atLeast"/>
        </w:trPr>
        <w:tc>
          <w:tcPr>
            <w:tcW w:w="4455" w:type="dxa"/>
            <w:noWrap w:val="0"/>
            <w:vAlign w:val="center"/>
          </w:tcPr>
          <w:p w14:paraId="2A58FC70">
            <w:pPr>
              <w:pStyle w:val="24"/>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        标        人（盖 章）：</w:t>
            </w:r>
          </w:p>
        </w:tc>
        <w:tc>
          <w:tcPr>
            <w:tcW w:w="5109" w:type="dxa"/>
            <w:noWrap w:val="0"/>
            <w:vAlign w:val="center"/>
          </w:tcPr>
          <w:p w14:paraId="124FF2CF">
            <w:pPr>
              <w:pStyle w:val="24"/>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韶关市浈江区格致城市运营管理有限公司</w:t>
            </w:r>
          </w:p>
        </w:tc>
      </w:tr>
      <w:tr w14:paraId="26B02982">
        <w:tblPrEx>
          <w:tblCellMar>
            <w:top w:w="0" w:type="dxa"/>
            <w:left w:w="0" w:type="dxa"/>
            <w:bottom w:w="0" w:type="dxa"/>
            <w:right w:w="0" w:type="dxa"/>
          </w:tblCellMar>
        </w:tblPrEx>
        <w:trPr>
          <w:trHeight w:val="936" w:hRule="atLeast"/>
        </w:trPr>
        <w:tc>
          <w:tcPr>
            <w:tcW w:w="4455" w:type="dxa"/>
            <w:noWrap w:val="0"/>
            <w:vAlign w:val="center"/>
          </w:tcPr>
          <w:p w14:paraId="7519DB2D">
            <w:pPr>
              <w:pStyle w:val="24"/>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招标人工作领导小组负责人（签字）：</w:t>
            </w:r>
          </w:p>
        </w:tc>
        <w:tc>
          <w:tcPr>
            <w:tcW w:w="5109" w:type="dxa"/>
            <w:noWrap w:val="0"/>
            <w:vAlign w:val="center"/>
          </w:tcPr>
          <w:p w14:paraId="43F4CCD4">
            <w:pPr>
              <w:pStyle w:val="24"/>
              <w:spacing w:line="240" w:lineRule="auto"/>
              <w:rPr>
                <w:rFonts w:hint="eastAsia" w:ascii="宋体" w:hAnsi="宋体" w:eastAsia="宋体" w:cs="宋体"/>
                <w:color w:val="auto"/>
                <w:sz w:val="28"/>
                <w:szCs w:val="28"/>
                <w:highlight w:val="none"/>
              </w:rPr>
            </w:pPr>
          </w:p>
        </w:tc>
      </w:tr>
      <w:tr w14:paraId="20E1DCF2">
        <w:tblPrEx>
          <w:tblCellMar>
            <w:top w:w="0" w:type="dxa"/>
            <w:left w:w="0" w:type="dxa"/>
            <w:bottom w:w="0" w:type="dxa"/>
            <w:right w:w="0" w:type="dxa"/>
          </w:tblCellMar>
        </w:tblPrEx>
        <w:trPr>
          <w:trHeight w:val="875" w:hRule="atLeast"/>
        </w:trPr>
        <w:tc>
          <w:tcPr>
            <w:tcW w:w="4455" w:type="dxa"/>
            <w:noWrap w:val="0"/>
            <w:vAlign w:val="center"/>
          </w:tcPr>
          <w:p w14:paraId="1E66D87C">
            <w:pPr>
              <w:pStyle w:val="24"/>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招  标  代  理  机  构（盖 章）：</w:t>
            </w:r>
          </w:p>
        </w:tc>
        <w:tc>
          <w:tcPr>
            <w:tcW w:w="5109" w:type="dxa"/>
            <w:noWrap w:val="0"/>
            <w:vAlign w:val="center"/>
          </w:tcPr>
          <w:p w14:paraId="0D8B2667">
            <w:pPr>
              <w:pStyle w:val="24"/>
              <w:spacing w:line="24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广东科瑞工程管理有限公司</w:t>
            </w:r>
          </w:p>
        </w:tc>
      </w:tr>
      <w:tr w14:paraId="0B9D553E">
        <w:tblPrEx>
          <w:tblCellMar>
            <w:top w:w="0" w:type="dxa"/>
            <w:left w:w="0" w:type="dxa"/>
            <w:bottom w:w="0" w:type="dxa"/>
            <w:right w:w="0" w:type="dxa"/>
          </w:tblCellMar>
        </w:tblPrEx>
        <w:trPr>
          <w:trHeight w:val="963" w:hRule="atLeast"/>
        </w:trPr>
        <w:tc>
          <w:tcPr>
            <w:tcW w:w="4455" w:type="dxa"/>
            <w:noWrap w:val="0"/>
            <w:vAlign w:val="center"/>
          </w:tcPr>
          <w:p w14:paraId="7BD7B803">
            <w:pPr>
              <w:pStyle w:val="24"/>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招 标 文  件 编 制  人 （签字）：</w:t>
            </w:r>
          </w:p>
        </w:tc>
        <w:tc>
          <w:tcPr>
            <w:tcW w:w="5109" w:type="dxa"/>
            <w:noWrap w:val="0"/>
            <w:vAlign w:val="center"/>
          </w:tcPr>
          <w:p w14:paraId="1A0CF907">
            <w:pPr>
              <w:pStyle w:val="24"/>
              <w:spacing w:line="240" w:lineRule="auto"/>
              <w:rPr>
                <w:rFonts w:hint="eastAsia" w:ascii="宋体" w:hAnsi="宋体" w:eastAsia="宋体" w:cs="宋体"/>
                <w:color w:val="auto"/>
                <w:sz w:val="28"/>
                <w:szCs w:val="28"/>
                <w:highlight w:val="none"/>
              </w:rPr>
            </w:pPr>
          </w:p>
        </w:tc>
      </w:tr>
      <w:tr w14:paraId="58116719">
        <w:tblPrEx>
          <w:tblCellMar>
            <w:top w:w="0" w:type="dxa"/>
            <w:left w:w="0" w:type="dxa"/>
            <w:bottom w:w="0" w:type="dxa"/>
            <w:right w:w="0" w:type="dxa"/>
          </w:tblCellMar>
        </w:tblPrEx>
        <w:trPr>
          <w:trHeight w:val="983" w:hRule="atLeast"/>
        </w:trPr>
        <w:tc>
          <w:tcPr>
            <w:tcW w:w="4455" w:type="dxa"/>
            <w:noWrap w:val="0"/>
            <w:vAlign w:val="center"/>
          </w:tcPr>
          <w:p w14:paraId="2B5E366F">
            <w:pPr>
              <w:pStyle w:val="24"/>
              <w:wordWrap w:val="0"/>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招标代理机构项目负责人 （签字）：</w:t>
            </w:r>
          </w:p>
        </w:tc>
        <w:tc>
          <w:tcPr>
            <w:tcW w:w="5109" w:type="dxa"/>
            <w:noWrap w:val="0"/>
            <w:vAlign w:val="center"/>
          </w:tcPr>
          <w:p w14:paraId="244D01D7">
            <w:pPr>
              <w:pStyle w:val="24"/>
              <w:spacing w:line="240" w:lineRule="auto"/>
              <w:rPr>
                <w:rFonts w:hint="eastAsia" w:ascii="宋体" w:hAnsi="宋体" w:eastAsia="宋体" w:cs="宋体"/>
                <w:color w:val="auto"/>
                <w:sz w:val="28"/>
                <w:szCs w:val="28"/>
                <w:highlight w:val="none"/>
              </w:rPr>
            </w:pPr>
          </w:p>
        </w:tc>
      </w:tr>
      <w:tr w14:paraId="7B607EBE">
        <w:tblPrEx>
          <w:tblCellMar>
            <w:top w:w="0" w:type="dxa"/>
            <w:left w:w="0" w:type="dxa"/>
            <w:bottom w:w="0" w:type="dxa"/>
            <w:right w:w="0" w:type="dxa"/>
          </w:tblCellMar>
        </w:tblPrEx>
        <w:trPr>
          <w:trHeight w:val="768" w:hRule="atLeast"/>
        </w:trPr>
        <w:tc>
          <w:tcPr>
            <w:tcW w:w="4455" w:type="dxa"/>
            <w:noWrap w:val="0"/>
            <w:vAlign w:val="center"/>
          </w:tcPr>
          <w:p w14:paraId="743A0EF6">
            <w:pPr>
              <w:pStyle w:val="24"/>
              <w:wordWrap w:val="0"/>
              <w:spacing w:line="240" w:lineRule="auto"/>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招  标  文  件  编  制  日  期：</w:t>
            </w:r>
          </w:p>
        </w:tc>
        <w:tc>
          <w:tcPr>
            <w:tcW w:w="5109" w:type="dxa"/>
            <w:noWrap w:val="0"/>
            <w:vAlign w:val="center"/>
          </w:tcPr>
          <w:p w14:paraId="33DC0C77">
            <w:pPr>
              <w:pStyle w:val="24"/>
              <w:spacing w:line="240" w:lineRule="auto"/>
              <w:rPr>
                <w:rFonts w:hint="eastAsia" w:ascii="宋体" w:hAnsi="宋体" w:eastAsia="宋体" w:cs="宋体"/>
                <w:color w:val="auto"/>
                <w:sz w:val="28"/>
                <w:highlight w:val="none"/>
              </w:rPr>
            </w:pPr>
            <w:r>
              <w:rPr>
                <w:rFonts w:hint="eastAsia" w:hAnsi="宋体" w:cs="宋体"/>
                <w:color w:val="auto"/>
                <w:sz w:val="28"/>
                <w:highlight w:val="none"/>
                <w:lang w:val="en-US" w:eastAsia="zh-CN"/>
              </w:rPr>
              <w:t>2026</w:t>
            </w:r>
            <w:r>
              <w:rPr>
                <w:rFonts w:hint="eastAsia" w:ascii="宋体" w:hAnsi="宋体" w:eastAsia="宋体" w:cs="宋体"/>
                <w:color w:val="auto"/>
                <w:sz w:val="28"/>
                <w:highlight w:val="none"/>
              </w:rPr>
              <w:t>年</w:t>
            </w:r>
            <w:r>
              <w:rPr>
                <w:rFonts w:hint="eastAsia" w:hAnsi="宋体" w:cs="宋体"/>
                <w:color w:val="auto"/>
                <w:sz w:val="28"/>
                <w:highlight w:val="none"/>
                <w:lang w:val="en-US" w:eastAsia="zh-CN"/>
              </w:rPr>
              <w:t>06</w:t>
            </w:r>
            <w:r>
              <w:rPr>
                <w:rFonts w:hint="eastAsia" w:ascii="宋体" w:hAnsi="宋体" w:eastAsia="宋体" w:cs="宋体"/>
                <w:color w:val="auto"/>
                <w:sz w:val="28"/>
                <w:highlight w:val="none"/>
              </w:rPr>
              <w:t>月</w:t>
            </w:r>
          </w:p>
        </w:tc>
      </w:tr>
    </w:tbl>
    <w:p w14:paraId="3113FF47">
      <w:pPr>
        <w:rPr>
          <w:rFonts w:hint="eastAsia" w:ascii="宋体" w:hAnsi="宋体" w:eastAsia="宋体" w:cs="宋体"/>
          <w:color w:val="auto"/>
          <w:lang w:eastAsia="zh-CN"/>
        </w:rPr>
      </w:pPr>
    </w:p>
    <w:p w14:paraId="6AEB66C4">
      <w:pPr>
        <w:rPr>
          <w:rFonts w:hint="eastAsia" w:ascii="宋体" w:hAnsi="宋体" w:eastAsia="宋体" w:cs="宋体"/>
          <w:color w:val="auto"/>
        </w:rPr>
      </w:pPr>
    </w:p>
    <w:p w14:paraId="5109A03F">
      <w:pPr>
        <w:rPr>
          <w:rFonts w:hint="eastAsia" w:ascii="宋体" w:hAnsi="宋体" w:eastAsia="宋体" w:cs="宋体"/>
          <w:color w:val="auto"/>
          <w:highlight w:val="none"/>
          <w:lang w:eastAsia="zh-CN"/>
        </w:rPr>
        <w:sectPr>
          <w:endnotePr>
            <w:numFmt w:val="decimal"/>
          </w:endnotePr>
          <w:pgSz w:w="11906" w:h="16838"/>
          <w:pgMar w:top="1134" w:right="1134" w:bottom="1134" w:left="1134" w:header="850" w:footer="850" w:gutter="0"/>
          <w:pgBorders>
            <w:top w:val="none" w:sz="0" w:space="0"/>
            <w:left w:val="none" w:sz="0" w:space="0"/>
            <w:bottom w:val="none" w:sz="0" w:space="0"/>
            <w:right w:val="none" w:sz="0" w:space="0"/>
          </w:pgBorders>
          <w:pgNumType w:start="0"/>
          <w:cols w:space="0" w:num="1"/>
          <w:rtlGutter w:val="0"/>
          <w:docGrid w:linePitch="327" w:charSpace="0"/>
        </w:sectPr>
      </w:pPr>
    </w:p>
    <w:p w14:paraId="43A898D8">
      <w:pPr>
        <w:rPr>
          <w:rFonts w:hint="eastAsia" w:ascii="宋体" w:hAnsi="宋体" w:eastAsia="宋体" w:cs="宋体"/>
          <w:color w:val="auto"/>
        </w:rPr>
      </w:pPr>
    </w:p>
    <w:p w14:paraId="48F6693E">
      <w:pPr>
        <w:rPr>
          <w:rFonts w:hint="eastAsia" w:ascii="宋体" w:hAnsi="宋体" w:eastAsia="宋体" w:cs="宋体"/>
          <w:color w:val="auto"/>
        </w:rPr>
      </w:pPr>
    </w:p>
    <w:p w14:paraId="6051F817">
      <w:pPr>
        <w:rPr>
          <w:rFonts w:hint="eastAsia" w:ascii="宋体" w:hAnsi="宋体" w:eastAsia="宋体" w:cs="宋体"/>
          <w:color w:val="auto"/>
        </w:rPr>
      </w:pPr>
    </w:p>
    <w:p w14:paraId="2D98EBED">
      <w:pPr>
        <w:rPr>
          <w:rFonts w:hint="eastAsia" w:ascii="宋体" w:hAnsi="宋体" w:eastAsia="宋体" w:cs="宋体"/>
          <w:color w:val="auto"/>
        </w:rPr>
      </w:pPr>
    </w:p>
    <w:p w14:paraId="664322FD">
      <w:pPr>
        <w:rPr>
          <w:rFonts w:hint="eastAsia" w:ascii="宋体" w:hAnsi="宋体" w:eastAsia="宋体" w:cs="宋体"/>
          <w:color w:val="auto"/>
        </w:rPr>
      </w:pPr>
    </w:p>
    <w:p w14:paraId="138D5161">
      <w:pPr>
        <w:rPr>
          <w:rFonts w:hint="eastAsia" w:ascii="宋体" w:hAnsi="宋体" w:eastAsia="宋体" w:cs="宋体"/>
          <w:color w:val="auto"/>
        </w:rPr>
      </w:pPr>
    </w:p>
    <w:p w14:paraId="527EB4E8">
      <w:pPr>
        <w:rPr>
          <w:rFonts w:hint="eastAsia" w:ascii="宋体" w:hAnsi="宋体" w:eastAsia="宋体" w:cs="宋体"/>
          <w:color w:val="auto"/>
        </w:rPr>
      </w:pPr>
    </w:p>
    <w:p w14:paraId="371E0FD5">
      <w:pPr>
        <w:rPr>
          <w:rFonts w:hint="eastAsia" w:ascii="宋体" w:hAnsi="宋体" w:eastAsia="宋体" w:cs="宋体"/>
          <w:color w:val="auto"/>
        </w:rPr>
      </w:pPr>
    </w:p>
    <w:p w14:paraId="7CA030C5">
      <w:pPr>
        <w:rPr>
          <w:rFonts w:hint="eastAsia" w:ascii="宋体" w:hAnsi="宋体" w:eastAsia="宋体" w:cs="宋体"/>
          <w:color w:val="auto"/>
        </w:rPr>
      </w:pPr>
    </w:p>
    <w:p w14:paraId="00867447">
      <w:pPr>
        <w:rPr>
          <w:rFonts w:hint="eastAsia" w:ascii="宋体" w:hAnsi="宋体" w:eastAsia="宋体" w:cs="宋体"/>
          <w:color w:val="auto"/>
        </w:rPr>
      </w:pPr>
    </w:p>
    <w:p w14:paraId="3F8E2CBF">
      <w:pPr>
        <w:rPr>
          <w:rFonts w:hint="eastAsia" w:ascii="宋体" w:hAnsi="宋体" w:eastAsia="宋体" w:cs="宋体"/>
          <w:color w:val="auto"/>
        </w:rPr>
      </w:pPr>
    </w:p>
    <w:p w14:paraId="6CE4F344">
      <w:pPr>
        <w:rPr>
          <w:rFonts w:hint="eastAsia" w:ascii="宋体" w:hAnsi="宋体" w:eastAsia="宋体" w:cs="宋体"/>
          <w:color w:val="auto"/>
        </w:rPr>
      </w:pPr>
    </w:p>
    <w:p w14:paraId="06CBDD82">
      <w:pPr>
        <w:rPr>
          <w:rFonts w:hint="eastAsia" w:ascii="宋体" w:hAnsi="宋体" w:eastAsia="宋体" w:cs="宋体"/>
          <w:color w:val="auto"/>
        </w:rPr>
      </w:pPr>
    </w:p>
    <w:p w14:paraId="02EEF627">
      <w:pPr>
        <w:rPr>
          <w:rFonts w:hint="eastAsia" w:ascii="宋体" w:hAnsi="宋体" w:eastAsia="宋体" w:cs="宋体"/>
          <w:color w:val="auto"/>
        </w:rPr>
      </w:pPr>
    </w:p>
    <w:p w14:paraId="363F6F88">
      <w:pPr>
        <w:rPr>
          <w:rFonts w:hint="eastAsia" w:ascii="宋体" w:hAnsi="宋体" w:eastAsia="宋体" w:cs="宋体"/>
          <w:color w:val="auto"/>
        </w:rPr>
      </w:pPr>
    </w:p>
    <w:p w14:paraId="56316381">
      <w:pPr>
        <w:rPr>
          <w:rFonts w:hint="eastAsia" w:ascii="宋体" w:hAnsi="宋体" w:eastAsia="宋体" w:cs="宋体"/>
          <w:color w:val="auto"/>
        </w:rPr>
      </w:pPr>
    </w:p>
    <w:p w14:paraId="34A07690">
      <w:pPr>
        <w:rPr>
          <w:rFonts w:hint="eastAsia" w:ascii="宋体" w:hAnsi="宋体" w:eastAsia="宋体" w:cs="宋体"/>
          <w:color w:val="auto"/>
        </w:rPr>
      </w:pPr>
    </w:p>
    <w:p w14:paraId="5FDE1CBE">
      <w:pPr>
        <w:rPr>
          <w:rFonts w:hint="eastAsia" w:ascii="宋体" w:hAnsi="宋体" w:eastAsia="宋体" w:cs="宋体"/>
          <w:color w:val="auto"/>
        </w:rPr>
      </w:pPr>
    </w:p>
    <w:p w14:paraId="3495B2B3">
      <w:pPr>
        <w:rPr>
          <w:rFonts w:hint="eastAsia" w:ascii="宋体" w:hAnsi="宋体" w:eastAsia="宋体" w:cs="宋体"/>
          <w:color w:val="auto"/>
        </w:rPr>
      </w:pPr>
    </w:p>
    <w:p w14:paraId="5829FD61">
      <w:pPr>
        <w:rPr>
          <w:rFonts w:hint="eastAsia" w:ascii="宋体" w:hAnsi="宋体" w:eastAsia="宋体" w:cs="宋体"/>
          <w:color w:val="auto"/>
        </w:rPr>
      </w:pPr>
    </w:p>
    <w:p w14:paraId="7211DE47">
      <w:pPr>
        <w:rPr>
          <w:rFonts w:hint="eastAsia" w:ascii="宋体" w:hAnsi="宋体" w:eastAsia="宋体" w:cs="宋体"/>
          <w:color w:val="auto"/>
        </w:rPr>
      </w:pPr>
    </w:p>
    <w:p w14:paraId="3FF86F63">
      <w:pPr>
        <w:rPr>
          <w:rFonts w:hint="eastAsia" w:ascii="宋体" w:hAnsi="宋体" w:eastAsia="宋体" w:cs="宋体"/>
          <w:color w:val="auto"/>
        </w:rPr>
      </w:pPr>
    </w:p>
    <w:p w14:paraId="552129C8">
      <w:pPr>
        <w:rPr>
          <w:rFonts w:hint="eastAsia" w:ascii="宋体" w:hAnsi="宋体" w:eastAsia="宋体" w:cs="宋体"/>
          <w:color w:val="auto"/>
        </w:rPr>
      </w:pPr>
    </w:p>
    <w:p w14:paraId="60D5CEE4">
      <w:pPr>
        <w:rPr>
          <w:rFonts w:hint="eastAsia" w:ascii="宋体" w:hAnsi="宋体" w:eastAsia="宋体" w:cs="宋体"/>
          <w:color w:val="auto"/>
        </w:rPr>
      </w:pPr>
    </w:p>
    <w:p w14:paraId="510DE9DC">
      <w:pPr>
        <w:rPr>
          <w:rFonts w:hint="eastAsia" w:ascii="宋体" w:hAnsi="宋体" w:eastAsia="宋体" w:cs="宋体"/>
          <w:color w:val="auto"/>
        </w:rPr>
      </w:pPr>
    </w:p>
    <w:p w14:paraId="4B5E2D8D">
      <w:pPr>
        <w:rPr>
          <w:rFonts w:hint="eastAsia" w:ascii="宋体" w:hAnsi="宋体" w:eastAsia="宋体" w:cs="宋体"/>
          <w:color w:val="auto"/>
        </w:rPr>
      </w:pPr>
    </w:p>
    <w:p w14:paraId="392E3F3E">
      <w:pPr>
        <w:rPr>
          <w:rFonts w:hint="eastAsia" w:ascii="宋体" w:hAnsi="宋体" w:eastAsia="宋体" w:cs="宋体"/>
          <w:color w:val="auto"/>
        </w:rPr>
      </w:pPr>
    </w:p>
    <w:p w14:paraId="59C8AC32">
      <w:pPr>
        <w:rPr>
          <w:rFonts w:hint="eastAsia" w:ascii="宋体" w:hAnsi="宋体" w:eastAsia="宋体" w:cs="宋体"/>
          <w:color w:val="auto"/>
        </w:rPr>
      </w:pPr>
    </w:p>
    <w:p w14:paraId="6EBB9033">
      <w:pPr>
        <w:rPr>
          <w:rFonts w:hint="eastAsia" w:ascii="宋体" w:hAnsi="宋体" w:eastAsia="宋体" w:cs="宋体"/>
          <w:color w:val="auto"/>
        </w:rPr>
      </w:pPr>
    </w:p>
    <w:p w14:paraId="1A5D8790">
      <w:pPr>
        <w:rPr>
          <w:rFonts w:hint="eastAsia" w:ascii="宋体" w:hAnsi="宋体" w:eastAsia="宋体" w:cs="宋体"/>
          <w:color w:val="auto"/>
        </w:rPr>
      </w:pPr>
    </w:p>
    <w:p w14:paraId="6111B638">
      <w:pPr>
        <w:rPr>
          <w:rFonts w:hint="eastAsia" w:ascii="宋体" w:hAnsi="宋体" w:eastAsia="宋体" w:cs="宋体"/>
          <w:color w:val="auto"/>
        </w:rPr>
      </w:pPr>
    </w:p>
    <w:p w14:paraId="62A97FA0">
      <w:pPr>
        <w:rPr>
          <w:rFonts w:hint="eastAsia" w:ascii="宋体" w:hAnsi="宋体" w:eastAsia="宋体" w:cs="宋体"/>
          <w:color w:val="auto"/>
        </w:rPr>
      </w:pPr>
    </w:p>
    <w:p w14:paraId="44FB53FB">
      <w:pPr>
        <w:rPr>
          <w:rFonts w:hint="eastAsia" w:ascii="宋体" w:hAnsi="宋体" w:eastAsia="宋体" w:cs="宋体"/>
          <w:color w:val="auto"/>
        </w:rPr>
      </w:pPr>
    </w:p>
    <w:p w14:paraId="350D285A">
      <w:pPr>
        <w:rPr>
          <w:rFonts w:hint="eastAsia" w:ascii="宋体" w:hAnsi="宋体" w:eastAsia="宋体" w:cs="宋体"/>
          <w:color w:val="auto"/>
        </w:rPr>
      </w:pPr>
    </w:p>
    <w:p w14:paraId="7EF6D214">
      <w:pPr>
        <w:rPr>
          <w:rFonts w:hint="eastAsia" w:ascii="宋体" w:hAnsi="宋体" w:eastAsia="宋体" w:cs="宋体"/>
          <w:color w:val="auto"/>
        </w:rPr>
      </w:pPr>
    </w:p>
    <w:p w14:paraId="063EF5BC">
      <w:pPr>
        <w:rPr>
          <w:rFonts w:hint="eastAsia" w:ascii="宋体" w:hAnsi="宋体" w:eastAsia="宋体" w:cs="宋体"/>
          <w:color w:val="auto"/>
        </w:rPr>
      </w:pPr>
    </w:p>
    <w:p w14:paraId="66B572BD">
      <w:pPr>
        <w:rPr>
          <w:rFonts w:hint="eastAsia" w:ascii="宋体" w:hAnsi="宋体" w:eastAsia="宋体" w:cs="宋体"/>
          <w:color w:val="auto"/>
        </w:rPr>
      </w:pPr>
    </w:p>
    <w:p w14:paraId="41E9E1FD">
      <w:pPr>
        <w:rPr>
          <w:rFonts w:hint="eastAsia" w:ascii="宋体" w:hAnsi="宋体" w:eastAsia="宋体" w:cs="宋体"/>
          <w:color w:val="auto"/>
        </w:rPr>
      </w:pPr>
    </w:p>
    <w:p w14:paraId="1846067D">
      <w:pPr>
        <w:rPr>
          <w:rFonts w:hint="eastAsia" w:ascii="宋体" w:hAnsi="宋体" w:eastAsia="宋体" w:cs="宋体"/>
          <w:color w:val="auto"/>
        </w:rPr>
      </w:pPr>
    </w:p>
    <w:p w14:paraId="65BCDCC6">
      <w:pPr>
        <w:rPr>
          <w:rFonts w:hint="eastAsia" w:ascii="宋体" w:hAnsi="宋体" w:eastAsia="宋体" w:cs="宋体"/>
          <w:color w:val="auto"/>
        </w:rPr>
      </w:pPr>
    </w:p>
    <w:p w14:paraId="05B96767">
      <w:pPr>
        <w:rPr>
          <w:rFonts w:hint="eastAsia" w:ascii="宋体" w:hAnsi="宋体" w:eastAsia="宋体" w:cs="宋体"/>
          <w:color w:val="auto"/>
        </w:rPr>
      </w:pPr>
    </w:p>
    <w:p w14:paraId="373A5EF9">
      <w:pPr>
        <w:rPr>
          <w:rFonts w:hint="eastAsia" w:ascii="宋体" w:hAnsi="宋体" w:eastAsia="宋体" w:cs="宋体"/>
          <w:color w:val="auto"/>
        </w:rPr>
      </w:pPr>
    </w:p>
    <w:p w14:paraId="52DC2786">
      <w:pPr>
        <w:rPr>
          <w:rFonts w:hint="eastAsia" w:ascii="宋体" w:hAnsi="宋体" w:eastAsia="宋体" w:cs="宋体"/>
          <w:color w:val="auto"/>
        </w:rPr>
      </w:pPr>
    </w:p>
    <w:p w14:paraId="294D129A">
      <w:pPr>
        <w:rPr>
          <w:rFonts w:hint="eastAsia" w:ascii="宋体" w:hAnsi="宋体" w:eastAsia="宋体" w:cs="宋体"/>
          <w:color w:val="auto"/>
        </w:rPr>
      </w:pPr>
    </w:p>
    <w:p w14:paraId="67778FD5">
      <w:pPr>
        <w:rPr>
          <w:rFonts w:hint="eastAsia" w:ascii="宋体" w:hAnsi="宋体" w:eastAsia="宋体" w:cs="宋体"/>
          <w:color w:val="auto"/>
        </w:rPr>
      </w:pPr>
    </w:p>
    <w:p w14:paraId="0EC2838A">
      <w:pPr>
        <w:rPr>
          <w:rFonts w:hint="eastAsia" w:ascii="宋体" w:hAnsi="宋体" w:eastAsia="宋体" w:cs="宋体"/>
          <w:color w:val="auto"/>
        </w:rPr>
      </w:pPr>
    </w:p>
    <w:p w14:paraId="4AF10039">
      <w:pPr>
        <w:rPr>
          <w:rFonts w:hint="eastAsia" w:ascii="宋体" w:hAnsi="宋体" w:eastAsia="宋体" w:cs="宋体"/>
          <w:color w:val="auto"/>
        </w:rPr>
      </w:pPr>
    </w:p>
    <w:p w14:paraId="5A025635">
      <w:pPr>
        <w:rPr>
          <w:rFonts w:hint="eastAsia" w:ascii="宋体" w:hAnsi="宋体" w:eastAsia="宋体" w:cs="宋体"/>
          <w:color w:val="auto"/>
        </w:rPr>
      </w:pPr>
    </w:p>
    <w:p w14:paraId="3C36AAAE">
      <w:pPr>
        <w:rPr>
          <w:rFonts w:hint="eastAsia" w:ascii="宋体" w:hAnsi="宋体" w:eastAsia="宋体" w:cs="宋体"/>
          <w:color w:val="auto"/>
        </w:rPr>
      </w:pPr>
    </w:p>
    <w:p w14:paraId="4B8CC3D6">
      <w:pPr>
        <w:rPr>
          <w:rFonts w:hint="eastAsia" w:ascii="宋体" w:hAnsi="宋体" w:eastAsia="宋体" w:cs="宋体"/>
          <w:color w:val="auto"/>
        </w:rPr>
      </w:pPr>
    </w:p>
    <w:p w14:paraId="3328D377">
      <w:pPr>
        <w:rPr>
          <w:rFonts w:hint="eastAsia" w:ascii="宋体" w:hAnsi="宋体" w:eastAsia="宋体" w:cs="宋体"/>
          <w:color w:val="auto"/>
        </w:rPr>
      </w:pPr>
    </w:p>
    <w:p w14:paraId="7E4280C6">
      <w:pPr>
        <w:rPr>
          <w:rFonts w:hint="eastAsia" w:ascii="宋体" w:hAnsi="宋体" w:eastAsia="宋体" w:cs="宋体"/>
          <w:color w:val="auto"/>
        </w:rPr>
      </w:pPr>
    </w:p>
    <w:p w14:paraId="78042338">
      <w:pPr>
        <w:rPr>
          <w:rFonts w:hint="eastAsia" w:ascii="宋体" w:hAnsi="宋体" w:eastAsia="宋体" w:cs="宋体"/>
          <w:color w:val="auto"/>
        </w:rPr>
      </w:pPr>
    </w:p>
    <w:p w14:paraId="7DFE74F0">
      <w:pPr>
        <w:rPr>
          <w:rFonts w:hint="eastAsia" w:ascii="宋体" w:hAnsi="宋体" w:eastAsia="宋体" w:cs="宋体"/>
          <w:color w:val="auto"/>
        </w:rPr>
        <w:sectPr>
          <w:footerReference r:id="rId3" w:type="default"/>
          <w:endnotePr>
            <w:numFmt w:val="decimal"/>
          </w:endnotePr>
          <w:pgSz w:w="11906" w:h="16838"/>
          <w:pgMar w:top="1134" w:right="1134" w:bottom="1134" w:left="1134" w:header="850" w:footer="850" w:gutter="0"/>
          <w:pgBorders>
            <w:top w:val="none" w:sz="0" w:space="0"/>
            <w:left w:val="none" w:sz="0" w:space="0"/>
            <w:bottom w:val="none" w:sz="0" w:space="0"/>
            <w:right w:val="none" w:sz="0" w:space="0"/>
          </w:pgBorders>
          <w:pgNumType w:start="0"/>
          <w:cols w:space="720" w:num="1"/>
          <w:docGrid w:linePitch="327" w:charSpace="0"/>
        </w:sectPr>
      </w:pPr>
    </w:p>
    <w:p w14:paraId="12E206B8">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6"/>
          <w:szCs w:val="36"/>
        </w:rPr>
      </w:pPr>
      <w:bookmarkStart w:id="0" w:name="_Hlt66104981"/>
      <w:bookmarkEnd w:id="0"/>
      <w:bookmarkStart w:id="1" w:name="_Hlt66153951"/>
      <w:bookmarkEnd w:id="1"/>
      <w:bookmarkStart w:id="2" w:name="_Hlt122423813"/>
      <w:bookmarkEnd w:id="2"/>
      <w:bookmarkStart w:id="3" w:name="_Toc476739600"/>
      <w:bookmarkStart w:id="4" w:name="_Toc459"/>
      <w:bookmarkStart w:id="5" w:name="_Hlt111690251"/>
      <w:r>
        <w:rPr>
          <w:rFonts w:hint="eastAsia" w:ascii="宋体" w:hAnsi="宋体" w:eastAsia="宋体" w:cs="宋体"/>
          <w:b/>
          <w:bCs/>
          <w:color w:val="auto"/>
          <w:sz w:val="36"/>
          <w:szCs w:val="36"/>
        </w:rPr>
        <w:t>目</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录</w:t>
      </w:r>
    </w:p>
    <w:p w14:paraId="44416A80">
      <w:pPr>
        <w:pStyle w:val="14"/>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"1-3"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_Toc19761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rPr>
        <w:t>第一章</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_Toc19761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ED7BE87">
      <w:pPr>
        <w:pStyle w:val="15"/>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_Toc2602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rPr>
        <w:t xml:space="preserve">第一节 </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投标人须知前附表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_Toc2602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95FC426">
      <w:pPr>
        <w:pStyle w:val="15"/>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_Toc14919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rPr>
        <w:t xml:space="preserve">第二节 </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重要事项时间地点一览表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_Toc14919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2C79F42">
      <w:pPr>
        <w:pStyle w:val="15"/>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_Toc25412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rPr>
        <w:t xml:space="preserve">第三节 </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投标人须知正文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_Toc25412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936D410">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_Toc12542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1.</w:t>
      </w:r>
      <w:r>
        <w:rPr>
          <w:rFonts w:hint="eastAsia" w:ascii="宋体" w:hAnsi="宋体" w:eastAsia="宋体" w:cs="宋体"/>
          <w:snapToGrid w:val="0"/>
          <w:color w:val="auto"/>
          <w:sz w:val="24"/>
          <w:szCs w:val="24"/>
          <w:highlight w:val="none"/>
        </w:rPr>
        <w:t>项目概况、招标范围和标段划分、投标费用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_Toc12542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54FB745">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_Toc20401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投标人资格要求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_Toc20401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0360007">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_Toc30246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3.</w:t>
      </w:r>
      <w:r>
        <w:rPr>
          <w:rFonts w:hint="eastAsia" w:ascii="宋体" w:hAnsi="宋体" w:eastAsia="宋体" w:cs="宋体"/>
          <w:snapToGrid w:val="0"/>
          <w:color w:val="auto"/>
          <w:sz w:val="24"/>
          <w:szCs w:val="24"/>
          <w:highlight w:val="none"/>
        </w:rPr>
        <w:t>招标文件获取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_Toc30246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89994A5">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_Toc27789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4.</w:t>
      </w:r>
      <w:r>
        <w:rPr>
          <w:rFonts w:hint="eastAsia" w:ascii="宋体" w:hAnsi="宋体" w:eastAsia="宋体" w:cs="宋体"/>
          <w:snapToGrid w:val="0"/>
          <w:color w:val="auto"/>
          <w:sz w:val="24"/>
          <w:szCs w:val="24"/>
          <w:highlight w:val="none"/>
        </w:rPr>
        <w:t>工期要求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_Toc27789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BF87473">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_Toc14260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5.设计工程内容和质量标准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_Toc14260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8ECEA70">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_Toc18463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6.</w:t>
      </w:r>
      <w:r>
        <w:rPr>
          <w:rFonts w:hint="eastAsia" w:ascii="宋体" w:hAnsi="宋体" w:eastAsia="宋体" w:cs="宋体"/>
          <w:snapToGrid w:val="0"/>
          <w:color w:val="auto"/>
          <w:sz w:val="24"/>
          <w:szCs w:val="24"/>
          <w:highlight w:val="none"/>
        </w:rPr>
        <w:t>现场踏勘</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_Toc18463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080959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_Toc2667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7.</w:t>
      </w:r>
      <w:r>
        <w:rPr>
          <w:rFonts w:hint="eastAsia" w:ascii="宋体" w:hAnsi="宋体" w:eastAsia="宋体" w:cs="宋体"/>
          <w:snapToGrid w:val="0"/>
          <w:color w:val="auto"/>
          <w:sz w:val="24"/>
          <w:szCs w:val="24"/>
          <w:highlight w:val="none"/>
        </w:rPr>
        <w:t>招标文件的提问和答疑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_Toc2667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A31FAFF">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_Toc19788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8.</w:t>
      </w:r>
      <w:r>
        <w:rPr>
          <w:rFonts w:hint="eastAsia" w:ascii="宋体" w:hAnsi="宋体" w:eastAsia="宋体" w:cs="宋体"/>
          <w:snapToGrid w:val="0"/>
          <w:color w:val="auto"/>
          <w:sz w:val="24"/>
          <w:szCs w:val="24"/>
          <w:highlight w:val="none"/>
        </w:rPr>
        <w:t>最高投标限价的确定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_Toc19788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DED0CBD">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_Toc31242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9.</w:t>
      </w:r>
      <w:r>
        <w:rPr>
          <w:rFonts w:hint="eastAsia" w:ascii="宋体" w:hAnsi="宋体" w:eastAsia="宋体" w:cs="宋体"/>
          <w:snapToGrid w:val="0"/>
          <w:color w:val="auto"/>
          <w:sz w:val="24"/>
          <w:szCs w:val="24"/>
          <w:highlight w:val="none"/>
        </w:rPr>
        <w:t>投标报价的约定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_Toc31242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478DD0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_Toc7068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10.</w:t>
      </w:r>
      <w:r>
        <w:rPr>
          <w:rFonts w:hint="eastAsia" w:ascii="宋体" w:hAnsi="宋体" w:eastAsia="宋体" w:cs="宋体"/>
          <w:snapToGrid w:val="0"/>
          <w:color w:val="auto"/>
          <w:sz w:val="24"/>
          <w:szCs w:val="24"/>
          <w:highlight w:val="none"/>
        </w:rPr>
        <w:t>投标文件的编制要求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_Toc7068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EDCAAE1">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_Toc26545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11.</w:t>
      </w:r>
      <w:r>
        <w:rPr>
          <w:rFonts w:hint="eastAsia" w:ascii="宋体" w:hAnsi="宋体" w:eastAsia="宋体" w:cs="宋体"/>
          <w:snapToGrid w:val="0"/>
          <w:color w:val="auto"/>
          <w:sz w:val="24"/>
          <w:szCs w:val="24"/>
          <w:highlight w:val="none"/>
        </w:rPr>
        <w:t>电子投标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_Toc26545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B021B02">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_Toc14466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12.</w:t>
      </w:r>
      <w:r>
        <w:rPr>
          <w:rFonts w:hint="eastAsia" w:ascii="宋体" w:hAnsi="宋体" w:eastAsia="宋体" w:cs="宋体"/>
          <w:snapToGrid w:val="0"/>
          <w:color w:val="auto"/>
          <w:sz w:val="24"/>
          <w:szCs w:val="24"/>
          <w:highlight w:val="none"/>
        </w:rPr>
        <w:t>投标文件的递交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_Toc14466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4B13111">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_Toc4244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13.</w:t>
      </w:r>
      <w:r>
        <w:rPr>
          <w:rFonts w:hint="eastAsia" w:ascii="宋体" w:hAnsi="宋体" w:eastAsia="宋体" w:cs="宋体"/>
          <w:snapToGrid w:val="0"/>
          <w:color w:val="auto"/>
          <w:sz w:val="24"/>
          <w:szCs w:val="24"/>
          <w:highlight w:val="none"/>
        </w:rPr>
        <w:t>投标有效期</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_Toc4244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1DB5908">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_Toc11200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14.</w:t>
      </w:r>
      <w:r>
        <w:rPr>
          <w:rFonts w:hint="eastAsia" w:ascii="宋体" w:hAnsi="宋体" w:eastAsia="宋体" w:cs="宋体"/>
          <w:snapToGrid w:val="0"/>
          <w:color w:val="auto"/>
          <w:sz w:val="24"/>
          <w:szCs w:val="24"/>
          <w:highlight w:val="none"/>
        </w:rPr>
        <w:t>开标规定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_Toc11200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FD67506">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_Toc10047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15.</w:t>
      </w:r>
      <w:r>
        <w:rPr>
          <w:rFonts w:hint="eastAsia" w:ascii="宋体" w:hAnsi="宋体" w:eastAsia="宋体" w:cs="宋体"/>
          <w:snapToGrid w:val="0"/>
          <w:color w:val="auto"/>
          <w:sz w:val="24"/>
          <w:szCs w:val="24"/>
          <w:highlight w:val="none"/>
        </w:rPr>
        <w:t>评标</w:t>
      </w:r>
      <w:r>
        <w:rPr>
          <w:rFonts w:hint="eastAsia" w:ascii="宋体" w:hAnsi="宋体" w:eastAsia="宋体" w:cs="宋体"/>
          <w:snapToGrid w:val="0"/>
          <w:color w:val="auto"/>
          <w:sz w:val="24"/>
          <w:szCs w:val="24"/>
          <w:highlight w:val="none"/>
          <w:lang w:eastAsia="zh-CN"/>
        </w:rPr>
        <w:t>规定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_Toc10047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79A9B1E">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_Toc26663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16.中标确认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_Toc26663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675A98E">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_Toc31730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17.电子管理规定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_Toc31730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C58B617">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_Toc11001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18.相关规定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_Toc11001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0F40924">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_Toc21725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19.其他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_Toc21725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112A0DD">
      <w:pPr>
        <w:pStyle w:val="15"/>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_Toc4023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 xml:space="preserve">第四节   </w:t>
      </w:r>
      <w:r>
        <w:rPr>
          <w:rFonts w:hint="eastAsia" w:ascii="宋体" w:hAnsi="宋体" w:eastAsia="宋体" w:cs="宋体"/>
          <w:snapToGrid w:val="0"/>
          <w:color w:val="auto"/>
          <w:sz w:val="24"/>
          <w:szCs w:val="24"/>
          <w:highlight w:val="none"/>
        </w:rPr>
        <w:t>评标</w:t>
      </w:r>
      <w:r>
        <w:rPr>
          <w:rFonts w:hint="eastAsia" w:ascii="宋体" w:hAnsi="宋体" w:eastAsia="宋体" w:cs="宋体"/>
          <w:snapToGrid w:val="0"/>
          <w:color w:val="auto"/>
          <w:sz w:val="24"/>
          <w:szCs w:val="24"/>
          <w:highlight w:val="none"/>
          <w:lang w:eastAsia="zh-CN"/>
        </w:rPr>
        <w:t>定标</w:t>
      </w:r>
      <w:r>
        <w:rPr>
          <w:rFonts w:hint="eastAsia" w:ascii="宋体" w:hAnsi="宋体" w:eastAsia="宋体" w:cs="宋体"/>
          <w:snapToGrid w:val="0"/>
          <w:color w:val="auto"/>
          <w:sz w:val="24"/>
          <w:szCs w:val="24"/>
          <w:highlight w:val="none"/>
        </w:rPr>
        <w:t>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_Toc4023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41A5C0B">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_Toc23880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一、评标定标原则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_Toc23880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754E53C">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_Toc17197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二、定标规则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_Toc17197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E2DD933">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_Toc2791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三、评标细则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564A505">
      <w:pPr>
        <w:pStyle w:val="15"/>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_Toc22509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第五节   否决投标条件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_Toc22509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BE2A8A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_Toc4846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1.</w:t>
      </w:r>
      <w:r>
        <w:rPr>
          <w:rFonts w:hint="eastAsia" w:ascii="宋体" w:hAnsi="宋体" w:eastAsia="宋体" w:cs="宋体"/>
          <w:snapToGrid w:val="0"/>
          <w:color w:val="auto"/>
          <w:sz w:val="24"/>
          <w:szCs w:val="24"/>
          <w:highlight w:val="none"/>
        </w:rPr>
        <w:t>资格评审环节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_Toc4846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57DCCF9">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_Toc4000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2.</w:t>
      </w:r>
      <w:r>
        <w:rPr>
          <w:rFonts w:hint="eastAsia" w:ascii="宋体" w:hAnsi="宋体" w:eastAsia="宋体" w:cs="宋体"/>
          <w:snapToGrid w:val="0"/>
          <w:color w:val="auto"/>
          <w:sz w:val="24"/>
          <w:szCs w:val="24"/>
          <w:highlight w:val="none"/>
        </w:rPr>
        <w:t>形式评审环节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_Toc4000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0A3B54C">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_Toc5279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3.</w:t>
      </w:r>
      <w:r>
        <w:rPr>
          <w:rFonts w:hint="eastAsia" w:ascii="宋体" w:hAnsi="宋体" w:eastAsia="宋体" w:cs="宋体"/>
          <w:snapToGrid w:val="0"/>
          <w:color w:val="auto"/>
          <w:sz w:val="24"/>
          <w:szCs w:val="24"/>
          <w:highlight w:val="none"/>
        </w:rPr>
        <w:t>响应性评审环节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_Toc5279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01F2EDF">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_Toc18382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eastAsia="zh-CN"/>
        </w:rPr>
        <w:t>4.</w:t>
      </w:r>
      <w:r>
        <w:rPr>
          <w:rFonts w:hint="eastAsia" w:ascii="宋体" w:hAnsi="宋体" w:eastAsia="宋体" w:cs="宋体"/>
          <w:snapToGrid w:val="0"/>
          <w:color w:val="auto"/>
          <w:sz w:val="24"/>
          <w:szCs w:val="24"/>
          <w:highlight w:val="none"/>
        </w:rPr>
        <w:t>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_Toc18382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1D65E11">
      <w:pPr>
        <w:pStyle w:val="15"/>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_Toc3432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rPr>
        <w:t>第</w:t>
      </w:r>
      <w:r>
        <w:rPr>
          <w:rFonts w:hint="eastAsia" w:ascii="宋体" w:hAnsi="宋体" w:eastAsia="宋体" w:cs="宋体"/>
          <w:snapToGrid w:val="0"/>
          <w:color w:val="auto"/>
          <w:sz w:val="24"/>
          <w:szCs w:val="24"/>
          <w:highlight w:val="none"/>
          <w:lang w:val="en-US" w:eastAsia="zh-CN"/>
        </w:rPr>
        <w:t>六</w:t>
      </w:r>
      <w:r>
        <w:rPr>
          <w:rFonts w:hint="eastAsia" w:ascii="宋体" w:hAnsi="宋体" w:eastAsia="宋体" w:cs="宋体"/>
          <w:snapToGrid w:val="0"/>
          <w:color w:val="auto"/>
          <w:sz w:val="24"/>
          <w:szCs w:val="24"/>
          <w:highlight w:val="none"/>
        </w:rPr>
        <w:t xml:space="preserve">节 </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定标规定及细则（本项目采用票决数量法定标）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_Toc3432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7DE7EE9">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_Toc28183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1.确定定标时间</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_Toc28183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D1D0DEE">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_Toc2759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eastAsia="zh-CN"/>
        </w:rPr>
        <w:t>.定标委员会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_Toc2759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C9BA381">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_Toc16106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3.组建招标监督小组</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_Toc16106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BE87815">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_Toc28824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4.定标办法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_Toc28824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2C8E6A0">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_Toc27454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5.定标细则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_Toc27454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DF2B4FC">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_Toc7792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6.定标结果公示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_Toc7792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76196DC">
      <w:pPr>
        <w:pStyle w:val="15"/>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_Toc25823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rPr>
        <w:t>第</w:t>
      </w:r>
      <w:r>
        <w:rPr>
          <w:rFonts w:hint="eastAsia" w:ascii="宋体" w:hAnsi="宋体" w:eastAsia="宋体" w:cs="宋体"/>
          <w:snapToGrid w:val="0"/>
          <w:color w:val="auto"/>
          <w:sz w:val="24"/>
          <w:szCs w:val="24"/>
          <w:highlight w:val="none"/>
          <w:lang w:val="en-US" w:eastAsia="zh-CN"/>
        </w:rPr>
        <w:t>七</w:t>
      </w:r>
      <w:r>
        <w:rPr>
          <w:rFonts w:hint="eastAsia" w:ascii="宋体" w:hAnsi="宋体" w:eastAsia="宋体" w:cs="宋体"/>
          <w:snapToGrid w:val="0"/>
          <w:color w:val="auto"/>
          <w:sz w:val="24"/>
          <w:szCs w:val="24"/>
          <w:highlight w:val="none"/>
        </w:rPr>
        <w:t xml:space="preserve">节 </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中标确认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_Toc25823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7FD355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_Toc21810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1.中标人确定</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_Toc21810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1FF2140">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_Toc20039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2.异议和投诉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_Toc20039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B24411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_Toc1549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3.废除授标</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A1CB8A8">
      <w:pPr>
        <w:pStyle w:val="14"/>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_Toc12830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rPr>
        <w:t xml:space="preserve">第二章 </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中标人须知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_Toc12830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FB391EB">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_Toc15985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1.中标通知书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_Toc15985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8059E28">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_Toc2004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2.中标结果公示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_Toc2004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2D17F36">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_Toc16587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3.履约保证</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_Toc16587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976F09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_Toc30194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4.合同订立</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_Toc30194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68FC38D">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_Toc6152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5.放弃中标的处理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_Toc6152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5429F9D">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_Toc2071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6.诚信登记</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6D45B49">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_Toc9253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7.项目管理机构</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7BEBBC4">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_Toc32190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8.监督实施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_Toc32190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E61DD4C">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_Toc20572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9.其他事项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_Toc20572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F002601">
      <w:pPr>
        <w:pStyle w:val="14"/>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_Toc16439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rPr>
        <w:t xml:space="preserve">第三章 </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rPr>
        <w:t>拟签订合同的主要条款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_Toc16439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DE1139C">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_Toc26546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1.工程设计承包方式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_Toc26546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4DD5344">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_Toc16774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2.合同价款支付办法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_Toc16774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6540BB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_Toc25328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3.结算原则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_Toc25328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66322AA">
      <w:pPr>
        <w:pStyle w:val="14"/>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_Toc21238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第四章   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_Toc21238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B519EBB">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_Toc9026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1.工程的技术要求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_Toc9026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18B394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_Toc14768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2.备查要求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_Toc14768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4D654AF">
      <w:pPr>
        <w:pStyle w:val="14"/>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_Toc26400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第五章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_Toc26400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00A976B">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_Toc14482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格式一   封面</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_Toc14482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05DEA4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_Toc29482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格式二   投标函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_Toc29482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64660D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_Toc16908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格式三   工程项目报价表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_Toc16908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CC8E18F">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_Toc30483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格式四   各项承诺一览表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_Toc30483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84A4E79">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_Toc23016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格式五   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_Toc23016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9CCA8CB">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_Toc14044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格式六   法定代表人身份证明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_Toc14044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0C533FA">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_Toc11795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格式七   投标人基本情况表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_Toc11795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115CDB91">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_Toc747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格式八   设计负责人简历表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_Toc747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263D168">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_Toc26335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格式九   本项目拟投入的人员基本情况表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_Toc26335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F20A8C2">
      <w:pPr>
        <w:pStyle w:val="12"/>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_Toc7611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格式十   定标因素评审资料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_Toc7611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A05E435">
      <w:pPr>
        <w:pStyle w:val="14"/>
        <w:tabs>
          <w:tab w:val="right" w:leader="dot" w:pos="9639"/>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_Toc29292 </w:instrText>
      </w:r>
      <w:r>
        <w:rPr>
          <w:rFonts w:hint="eastAsia" w:ascii="宋体" w:hAnsi="宋体" w:eastAsia="宋体" w:cs="宋体"/>
          <w:color w:val="auto"/>
          <w:sz w:val="24"/>
          <w:szCs w:val="24"/>
        </w:rPr>
        <w:fldChar w:fldCharType="separate"/>
      </w:r>
      <w:r>
        <w:rPr>
          <w:rFonts w:hint="eastAsia" w:ascii="宋体" w:hAnsi="宋体" w:eastAsia="宋体" w:cs="宋体"/>
          <w:snapToGrid w:val="0"/>
          <w:color w:val="auto"/>
          <w:sz w:val="24"/>
          <w:szCs w:val="24"/>
          <w:highlight w:val="none"/>
          <w:lang w:val="en-US" w:eastAsia="zh-CN"/>
        </w:rPr>
        <w:t xml:space="preserve">第六章   </w:t>
      </w:r>
      <w:r>
        <w:rPr>
          <w:rFonts w:hint="eastAsia" w:ascii="宋体" w:hAnsi="宋体" w:eastAsia="宋体" w:cs="宋体"/>
          <w:snapToGrid w:val="0"/>
          <w:color w:val="auto"/>
          <w:sz w:val="24"/>
          <w:szCs w:val="24"/>
          <w:highlight w:val="none"/>
        </w:rPr>
        <w:t>建设工程设计合同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_Toc29292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FDED8E4">
      <w:pPr>
        <w:spacing w:line="360" w:lineRule="auto"/>
        <w:rPr>
          <w:rFonts w:hint="eastAsia" w:ascii="宋体" w:hAnsi="宋体" w:eastAsia="宋体" w:cs="宋体"/>
          <w:color w:val="auto"/>
          <w:lang w:eastAsia="zh-CN"/>
        </w:rPr>
      </w:pPr>
      <w:r>
        <w:rPr>
          <w:rFonts w:hint="eastAsia" w:ascii="宋体" w:hAnsi="宋体" w:eastAsia="宋体" w:cs="宋体"/>
          <w:color w:val="auto"/>
          <w:sz w:val="24"/>
          <w:szCs w:val="24"/>
        </w:rPr>
        <w:fldChar w:fldCharType="end"/>
      </w:r>
    </w:p>
    <w:p w14:paraId="33F092BE">
      <w:pPr>
        <w:rPr>
          <w:rFonts w:hint="eastAsia" w:ascii="宋体" w:hAnsi="宋体" w:eastAsia="宋体" w:cs="宋体"/>
          <w:color w:val="auto"/>
          <w:lang w:eastAsia="zh-CN"/>
        </w:rPr>
      </w:pPr>
    </w:p>
    <w:p w14:paraId="026C8717">
      <w:pPr>
        <w:rPr>
          <w:rFonts w:hint="eastAsia" w:ascii="宋体" w:hAnsi="宋体" w:eastAsia="宋体" w:cs="宋体"/>
          <w:color w:val="auto"/>
        </w:rPr>
      </w:pPr>
      <w:bookmarkStart w:id="6" w:name="_Toc22731"/>
    </w:p>
    <w:p w14:paraId="4D0F1112">
      <w:pPr>
        <w:rPr>
          <w:rFonts w:hint="eastAsia" w:ascii="宋体" w:hAnsi="宋体" w:eastAsia="宋体" w:cs="宋体"/>
          <w:color w:val="auto"/>
        </w:rPr>
      </w:pPr>
    </w:p>
    <w:p w14:paraId="010D3A66">
      <w:pPr>
        <w:rPr>
          <w:rFonts w:hint="eastAsia" w:ascii="宋体" w:hAnsi="宋体" w:eastAsia="宋体" w:cs="宋体"/>
          <w:color w:val="auto"/>
        </w:rPr>
      </w:pPr>
    </w:p>
    <w:p w14:paraId="79643BA4">
      <w:pPr>
        <w:rPr>
          <w:rFonts w:hint="eastAsia" w:ascii="宋体" w:hAnsi="宋体" w:eastAsia="宋体" w:cs="宋体"/>
          <w:color w:val="auto"/>
        </w:rPr>
      </w:pPr>
    </w:p>
    <w:p w14:paraId="68C58238">
      <w:pPr>
        <w:rPr>
          <w:rFonts w:hint="eastAsia" w:ascii="宋体" w:hAnsi="宋体" w:eastAsia="宋体" w:cs="宋体"/>
          <w:color w:val="auto"/>
        </w:rPr>
      </w:pPr>
    </w:p>
    <w:p w14:paraId="1929EAB4">
      <w:pPr>
        <w:rPr>
          <w:rFonts w:hint="eastAsia" w:ascii="宋体" w:hAnsi="宋体" w:eastAsia="宋体" w:cs="宋体"/>
          <w:color w:val="auto"/>
        </w:rPr>
      </w:pPr>
    </w:p>
    <w:p w14:paraId="5D59488C">
      <w:pPr>
        <w:pStyle w:val="4"/>
        <w:wordWrap w:val="0"/>
        <w:autoSpaceDE/>
        <w:autoSpaceDN/>
        <w:snapToGrid w:val="0"/>
        <w:spacing w:line="440" w:lineRule="exact"/>
        <w:jc w:val="center"/>
        <w:rPr>
          <w:rFonts w:hint="eastAsia" w:ascii="宋体" w:hAnsi="宋体" w:eastAsia="宋体" w:cs="宋体"/>
          <w:b/>
          <w:snapToGrid w:val="0"/>
          <w:color w:val="auto"/>
          <w:sz w:val="24"/>
          <w:highlight w:val="none"/>
        </w:rPr>
      </w:pPr>
      <w:bookmarkStart w:id="7" w:name="_Toc19761"/>
      <w:r>
        <w:rPr>
          <w:rFonts w:hint="eastAsia" w:ascii="宋体" w:hAnsi="宋体" w:eastAsia="宋体" w:cs="宋体"/>
          <w:b/>
          <w:snapToGrid w:val="0"/>
          <w:color w:val="auto"/>
          <w:sz w:val="24"/>
          <w:highlight w:val="none"/>
        </w:rPr>
        <w:t>第一章</w:t>
      </w:r>
      <w:r>
        <w:rPr>
          <w:rFonts w:hint="eastAsia" w:ascii="宋体" w:hAnsi="宋体" w:eastAsia="宋体" w:cs="宋体"/>
          <w:b/>
          <w:snapToGrid w:val="0"/>
          <w:color w:val="auto"/>
          <w:sz w:val="24"/>
          <w:highlight w:val="none"/>
          <w:lang w:val="en-US" w:eastAsia="zh-CN"/>
        </w:rPr>
        <w:t xml:space="preserve">   </w:t>
      </w:r>
      <w:r>
        <w:rPr>
          <w:rFonts w:hint="eastAsia" w:ascii="宋体" w:hAnsi="宋体" w:eastAsia="宋体" w:cs="宋体"/>
          <w:b/>
          <w:snapToGrid w:val="0"/>
          <w:color w:val="auto"/>
          <w:sz w:val="24"/>
          <w:highlight w:val="none"/>
        </w:rPr>
        <w:t>投标人须知</w:t>
      </w:r>
      <w:bookmarkEnd w:id="3"/>
      <w:bookmarkEnd w:id="4"/>
      <w:bookmarkEnd w:id="6"/>
      <w:bookmarkEnd w:id="7"/>
    </w:p>
    <w:p w14:paraId="130AD514">
      <w:pPr>
        <w:pStyle w:val="5"/>
        <w:wordWrap w:val="0"/>
        <w:autoSpaceDE/>
        <w:autoSpaceDN/>
        <w:snapToGrid w:val="0"/>
        <w:spacing w:before="260" w:after="260" w:line="440" w:lineRule="exact"/>
        <w:jc w:val="both"/>
        <w:rPr>
          <w:rFonts w:hint="eastAsia" w:ascii="宋体" w:hAnsi="宋体" w:eastAsia="宋体" w:cs="宋体"/>
          <w:b/>
          <w:snapToGrid w:val="0"/>
          <w:color w:val="auto"/>
          <w:sz w:val="24"/>
          <w:highlight w:val="none"/>
        </w:rPr>
      </w:pPr>
      <w:bookmarkStart w:id="8" w:name="_Hlt127175444"/>
      <w:bookmarkEnd w:id="8"/>
      <w:bookmarkStart w:id="9" w:name="_Toc2602"/>
      <w:bookmarkStart w:id="10" w:name="_Toc1510"/>
      <w:bookmarkStart w:id="11" w:name="_Toc10597"/>
      <w:bookmarkStart w:id="12" w:name="_Hlt120077520"/>
      <w:r>
        <w:rPr>
          <w:rFonts w:hint="eastAsia" w:ascii="宋体" w:hAnsi="宋体" w:eastAsia="宋体" w:cs="宋体"/>
          <w:b/>
          <w:snapToGrid w:val="0"/>
          <w:color w:val="auto"/>
          <w:sz w:val="24"/>
          <w:highlight w:val="none"/>
        </w:rPr>
        <w:t xml:space="preserve">第一节 </w:t>
      </w:r>
      <w:r>
        <w:rPr>
          <w:rFonts w:hint="eastAsia" w:ascii="宋体" w:hAnsi="宋体" w:eastAsia="宋体" w:cs="宋体"/>
          <w:b/>
          <w:snapToGrid w:val="0"/>
          <w:color w:val="auto"/>
          <w:sz w:val="24"/>
          <w:highlight w:val="none"/>
          <w:lang w:val="en-US" w:eastAsia="zh-CN"/>
        </w:rPr>
        <w:t xml:space="preserve">  </w:t>
      </w:r>
      <w:r>
        <w:rPr>
          <w:rFonts w:hint="eastAsia" w:ascii="宋体" w:hAnsi="宋体" w:eastAsia="宋体" w:cs="宋体"/>
          <w:b/>
          <w:snapToGrid w:val="0"/>
          <w:color w:val="auto"/>
          <w:sz w:val="24"/>
          <w:highlight w:val="none"/>
        </w:rPr>
        <w:t>投标人须知前附表</w:t>
      </w:r>
      <w:bookmarkEnd w:id="9"/>
      <w:bookmarkEnd w:id="10"/>
      <w:bookmarkEnd w:id="11"/>
    </w:p>
    <w:tbl>
      <w:tblPr>
        <w:tblStyle w:val="20"/>
        <w:tblW w:w="0" w:type="auto"/>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677"/>
        <w:gridCol w:w="7539"/>
      </w:tblGrid>
      <w:tr w14:paraId="7120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1EF1B2F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序号</w:t>
            </w:r>
          </w:p>
        </w:tc>
        <w:tc>
          <w:tcPr>
            <w:tcW w:w="1683" w:type="dxa"/>
            <w:shd w:val="clear" w:color="auto" w:fill="auto"/>
            <w:vAlign w:val="center"/>
          </w:tcPr>
          <w:p w14:paraId="4795230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内容</w:t>
            </w:r>
          </w:p>
        </w:tc>
        <w:tc>
          <w:tcPr>
            <w:tcW w:w="7531" w:type="dxa"/>
            <w:shd w:val="clear" w:color="auto" w:fill="auto"/>
            <w:vAlign w:val="center"/>
          </w:tcPr>
          <w:p w14:paraId="6046A13A">
            <w:pPr>
              <w:tabs>
                <w:tab w:val="left" w:pos="1180"/>
              </w:tabs>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说明与要求</w:t>
            </w:r>
          </w:p>
        </w:tc>
      </w:tr>
      <w:tr w14:paraId="0C77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1AF1715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1683" w:type="dxa"/>
            <w:shd w:val="clear" w:color="auto" w:fill="auto"/>
            <w:vAlign w:val="center"/>
          </w:tcPr>
          <w:p w14:paraId="66300AF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项目名称</w:t>
            </w:r>
          </w:p>
        </w:tc>
        <w:tc>
          <w:tcPr>
            <w:tcW w:w="7531" w:type="dxa"/>
            <w:shd w:val="clear" w:color="auto" w:fill="auto"/>
            <w:vAlign w:val="center"/>
          </w:tcPr>
          <w:p w14:paraId="0844D51D">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韶关市小岛片区城市提质升级项目设计</w:t>
            </w:r>
          </w:p>
        </w:tc>
      </w:tr>
      <w:tr w14:paraId="69BC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23176CF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1683" w:type="dxa"/>
            <w:shd w:val="clear" w:color="auto" w:fill="auto"/>
            <w:vAlign w:val="center"/>
          </w:tcPr>
          <w:p w14:paraId="2C519E7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项目业主</w:t>
            </w:r>
          </w:p>
        </w:tc>
        <w:tc>
          <w:tcPr>
            <w:tcW w:w="7531" w:type="dxa"/>
            <w:shd w:val="clear" w:color="auto" w:fill="auto"/>
            <w:vAlign w:val="center"/>
          </w:tcPr>
          <w:p w14:paraId="60E63378">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韶关市浈江区格致城市运营管理有限公司</w:t>
            </w:r>
          </w:p>
        </w:tc>
      </w:tr>
      <w:tr w14:paraId="5DD6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003D7C9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1683" w:type="dxa"/>
            <w:shd w:val="clear" w:color="auto" w:fill="auto"/>
            <w:vAlign w:val="center"/>
          </w:tcPr>
          <w:p w14:paraId="36D6798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项目批准部门</w:t>
            </w:r>
          </w:p>
        </w:tc>
        <w:tc>
          <w:tcPr>
            <w:tcW w:w="7531" w:type="dxa"/>
            <w:shd w:val="clear" w:color="auto" w:fill="auto"/>
            <w:vAlign w:val="center"/>
          </w:tcPr>
          <w:p w14:paraId="7E332B38">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韶关市浈江区发展和改革局</w:t>
            </w:r>
          </w:p>
        </w:tc>
      </w:tr>
      <w:tr w14:paraId="1B94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08266B7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w:t>
            </w:r>
          </w:p>
        </w:tc>
        <w:tc>
          <w:tcPr>
            <w:tcW w:w="1683" w:type="dxa"/>
            <w:shd w:val="clear" w:color="auto" w:fill="auto"/>
            <w:vAlign w:val="center"/>
          </w:tcPr>
          <w:p w14:paraId="19CCCA7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项目批准文号</w:t>
            </w:r>
          </w:p>
        </w:tc>
        <w:tc>
          <w:tcPr>
            <w:tcW w:w="7531" w:type="dxa"/>
            <w:shd w:val="clear" w:color="auto" w:fill="auto"/>
            <w:vAlign w:val="center"/>
          </w:tcPr>
          <w:p w14:paraId="2DDABAEE">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韶浈发改投审〔2026〕30号</w:t>
            </w:r>
          </w:p>
        </w:tc>
      </w:tr>
      <w:tr w14:paraId="52F4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7DD8802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p>
        </w:tc>
        <w:tc>
          <w:tcPr>
            <w:tcW w:w="1683" w:type="dxa"/>
            <w:shd w:val="clear" w:color="auto" w:fill="auto"/>
            <w:vAlign w:val="center"/>
          </w:tcPr>
          <w:p w14:paraId="7C44CDB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项目代码</w:t>
            </w:r>
          </w:p>
        </w:tc>
        <w:tc>
          <w:tcPr>
            <w:tcW w:w="7531" w:type="dxa"/>
            <w:shd w:val="clear" w:color="auto" w:fill="auto"/>
            <w:vAlign w:val="center"/>
          </w:tcPr>
          <w:p w14:paraId="07A50EA8">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2604-440204-04-01-906687</w:t>
            </w:r>
          </w:p>
        </w:tc>
      </w:tr>
      <w:tr w14:paraId="09B3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4D53D34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6</w:t>
            </w:r>
          </w:p>
        </w:tc>
        <w:tc>
          <w:tcPr>
            <w:tcW w:w="1683" w:type="dxa"/>
            <w:shd w:val="clear" w:color="auto" w:fill="auto"/>
            <w:vAlign w:val="center"/>
          </w:tcPr>
          <w:p w14:paraId="47BF71E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资金来源</w:t>
            </w:r>
          </w:p>
          <w:p w14:paraId="78AAA7C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及出资比例</w:t>
            </w:r>
          </w:p>
        </w:tc>
        <w:tc>
          <w:tcPr>
            <w:tcW w:w="7531" w:type="dxa"/>
            <w:shd w:val="clear" w:color="auto" w:fill="auto"/>
            <w:vAlign w:val="center"/>
          </w:tcPr>
          <w:p w14:paraId="44478D4B">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上级财政投资、地方配套安排解决，100%</w:t>
            </w:r>
          </w:p>
        </w:tc>
      </w:tr>
      <w:tr w14:paraId="012C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06F0479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7</w:t>
            </w:r>
          </w:p>
        </w:tc>
        <w:tc>
          <w:tcPr>
            <w:tcW w:w="1683" w:type="dxa"/>
            <w:shd w:val="clear" w:color="auto" w:fill="auto"/>
            <w:vAlign w:val="center"/>
          </w:tcPr>
          <w:p w14:paraId="400B638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招标人</w:t>
            </w:r>
          </w:p>
        </w:tc>
        <w:tc>
          <w:tcPr>
            <w:tcW w:w="7531" w:type="dxa"/>
            <w:shd w:val="clear" w:color="auto" w:fill="auto"/>
            <w:vAlign w:val="center"/>
          </w:tcPr>
          <w:p w14:paraId="272F88AC">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韶关市浈江区格致城市运营管理有限公司</w:t>
            </w:r>
          </w:p>
        </w:tc>
      </w:tr>
      <w:tr w14:paraId="42DB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1E31BC0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8</w:t>
            </w:r>
          </w:p>
        </w:tc>
        <w:tc>
          <w:tcPr>
            <w:tcW w:w="1683" w:type="dxa"/>
            <w:shd w:val="clear" w:color="auto" w:fill="auto"/>
            <w:vAlign w:val="center"/>
          </w:tcPr>
          <w:p w14:paraId="63D94EA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招标代理机构</w:t>
            </w:r>
          </w:p>
        </w:tc>
        <w:tc>
          <w:tcPr>
            <w:tcW w:w="7531" w:type="dxa"/>
            <w:shd w:val="clear" w:color="auto" w:fill="auto"/>
            <w:vAlign w:val="center"/>
          </w:tcPr>
          <w:p w14:paraId="115866F5">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广东科瑞工程管理有限公司</w:t>
            </w:r>
          </w:p>
        </w:tc>
      </w:tr>
      <w:tr w14:paraId="1696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3F581A7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9</w:t>
            </w:r>
          </w:p>
        </w:tc>
        <w:tc>
          <w:tcPr>
            <w:tcW w:w="1683" w:type="dxa"/>
            <w:shd w:val="clear" w:color="auto" w:fill="auto"/>
            <w:vAlign w:val="center"/>
          </w:tcPr>
          <w:p w14:paraId="0E60A07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建设地点</w:t>
            </w:r>
          </w:p>
        </w:tc>
        <w:tc>
          <w:tcPr>
            <w:tcW w:w="7531" w:type="dxa"/>
            <w:shd w:val="clear" w:color="auto" w:fill="auto"/>
            <w:vAlign w:val="center"/>
          </w:tcPr>
          <w:p w14:paraId="1B72E714">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韶关市浈江区风采街道小岛片区</w:t>
            </w:r>
          </w:p>
        </w:tc>
      </w:tr>
      <w:tr w14:paraId="4E09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54F6457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10</w:t>
            </w:r>
          </w:p>
        </w:tc>
        <w:tc>
          <w:tcPr>
            <w:tcW w:w="1683" w:type="dxa"/>
            <w:shd w:val="clear" w:color="auto" w:fill="auto"/>
            <w:vAlign w:val="center"/>
          </w:tcPr>
          <w:p w14:paraId="2852B64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建设内容和规模</w:t>
            </w:r>
          </w:p>
        </w:tc>
        <w:tc>
          <w:tcPr>
            <w:tcW w:w="7531" w:type="dxa"/>
            <w:shd w:val="clear" w:color="auto" w:fill="auto"/>
            <w:vAlign w:val="center"/>
          </w:tcPr>
          <w:p w14:paraId="57130ED8">
            <w:pPr>
              <w:tabs>
                <w:tab w:val="left" w:pos="1180"/>
              </w:tabs>
              <w:adjustRightInd w:val="0"/>
              <w:snapToGrid w:val="0"/>
              <w:spacing w:line="40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改造提升道路系统，翻新骑行道、人行道和公共休闲步道共13.6km，新建跑步道5.1km，优化非机动车通行；完善公共服务设施，包括新建服务驿站780㎡，提升儿童活动区域7300㎡、改造三大研学基地约1.8万㎡；改造滨江全龄活动空间约3006㎡，修复生态环境约46580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，推进海绵城市建设，整治提升沿街建筑立面26000㎡；实施雨污分流改造，新建给水管约10000m，雨水管约7500m，污水管约2000m；建设新能源生态停车场700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，新增停车位170个，新建机动车充电桩138个，非机动车充电桩530个等工程。</w:t>
            </w:r>
          </w:p>
        </w:tc>
      </w:tr>
      <w:tr w14:paraId="0260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760403C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11</w:t>
            </w:r>
          </w:p>
        </w:tc>
        <w:tc>
          <w:tcPr>
            <w:tcW w:w="1683" w:type="dxa"/>
            <w:shd w:val="clear" w:color="auto" w:fill="auto"/>
            <w:vAlign w:val="center"/>
          </w:tcPr>
          <w:p w14:paraId="16270CD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项目总投资</w:t>
            </w:r>
          </w:p>
        </w:tc>
        <w:tc>
          <w:tcPr>
            <w:tcW w:w="7531" w:type="dxa"/>
            <w:shd w:val="clear" w:color="auto" w:fill="auto"/>
            <w:vAlign w:val="center"/>
          </w:tcPr>
          <w:p w14:paraId="7A72D033">
            <w:pPr>
              <w:tabs>
                <w:tab w:val="left" w:pos="1180"/>
              </w:tabs>
              <w:adjustRightInd w:val="0"/>
              <w:snapToGrid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项目估算总投资14828.96万元，其中：工程费12148.62万元、工程建设其他费用2001.02万元、预备费679.32万元。</w:t>
            </w:r>
          </w:p>
        </w:tc>
      </w:tr>
      <w:tr w14:paraId="10C6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5AB2E9A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12</w:t>
            </w:r>
          </w:p>
        </w:tc>
        <w:tc>
          <w:tcPr>
            <w:tcW w:w="1683" w:type="dxa"/>
            <w:shd w:val="clear" w:color="auto" w:fill="auto"/>
            <w:vAlign w:val="center"/>
          </w:tcPr>
          <w:p w14:paraId="61DF579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招标范围</w:t>
            </w:r>
          </w:p>
        </w:tc>
        <w:tc>
          <w:tcPr>
            <w:tcW w:w="7531" w:type="dxa"/>
            <w:shd w:val="clear" w:color="auto" w:fill="auto"/>
            <w:vAlign w:val="center"/>
          </w:tcPr>
          <w:p w14:paraId="29736FDF">
            <w:pPr>
              <w:tabs>
                <w:tab w:val="left" w:pos="1180"/>
              </w:tabs>
              <w:adjustRightInd w:val="0"/>
              <w:snapToGrid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本次招标所涉及的设计服务内容包括但不限于：</w:t>
            </w:r>
          </w:p>
          <w:p w14:paraId="3112536C">
            <w:pPr>
              <w:tabs>
                <w:tab w:val="left" w:pos="1180"/>
              </w:tabs>
              <w:adjustRightInd w:val="0"/>
              <w:snapToGrid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①确保项目顺利实施的报建、报批、施工等所需的设计文件（含此项目初步设计文件、施工图设计文件且要求通过审查合格，初步设计概算编制等）；</w:t>
            </w:r>
          </w:p>
          <w:p w14:paraId="3A61047A">
            <w:pPr>
              <w:tabs>
                <w:tab w:val="left" w:pos="1180"/>
              </w:tabs>
              <w:adjustRightInd w:val="0"/>
              <w:snapToGrid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②验收过程中的设计指导及配合阶段验收及档案整理；</w:t>
            </w:r>
          </w:p>
          <w:p w14:paraId="46405872">
            <w:pPr>
              <w:tabs>
                <w:tab w:val="left" w:pos="1180"/>
              </w:tabs>
              <w:adjustRightInd w:val="0"/>
              <w:snapToGrid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③协助施工单位编制竣工图及后续设计服务工作；</w:t>
            </w:r>
          </w:p>
          <w:p w14:paraId="271A3F7D">
            <w:pPr>
              <w:tabs>
                <w:tab w:val="left" w:pos="1180"/>
              </w:tabs>
              <w:adjustRightInd w:val="0"/>
              <w:snapToGrid w:val="0"/>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④完成招标人提出的与项目相关并确保项目顺利实施的其他要求。</w:t>
            </w:r>
          </w:p>
        </w:tc>
      </w:tr>
      <w:tr w14:paraId="2C9D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17E5179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13</w:t>
            </w:r>
          </w:p>
        </w:tc>
        <w:tc>
          <w:tcPr>
            <w:tcW w:w="1683" w:type="dxa"/>
            <w:shd w:val="clear" w:color="auto" w:fill="auto"/>
            <w:vAlign w:val="center"/>
          </w:tcPr>
          <w:p w14:paraId="37504B9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标段划分</w:t>
            </w:r>
          </w:p>
        </w:tc>
        <w:tc>
          <w:tcPr>
            <w:tcW w:w="7531" w:type="dxa"/>
            <w:shd w:val="clear" w:color="auto" w:fill="auto"/>
            <w:vAlign w:val="center"/>
          </w:tcPr>
          <w:p w14:paraId="3A08B4CD">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本招标项目不划分标段。</w:t>
            </w:r>
          </w:p>
        </w:tc>
      </w:tr>
      <w:tr w14:paraId="2033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10D50D1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14</w:t>
            </w:r>
          </w:p>
        </w:tc>
        <w:tc>
          <w:tcPr>
            <w:tcW w:w="1683" w:type="dxa"/>
            <w:shd w:val="clear" w:color="auto" w:fill="auto"/>
            <w:vAlign w:val="center"/>
          </w:tcPr>
          <w:p w14:paraId="6866256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工期</w:t>
            </w:r>
          </w:p>
        </w:tc>
        <w:tc>
          <w:tcPr>
            <w:tcW w:w="7531" w:type="dxa"/>
            <w:shd w:val="clear" w:color="auto" w:fill="auto"/>
            <w:vAlign w:val="center"/>
          </w:tcPr>
          <w:p w14:paraId="28D640FF">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计划工期：60个日历天。</w:t>
            </w:r>
          </w:p>
          <w:p w14:paraId="5236CC80">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（1）初步设计计划工期：40个日历天内完成方案设计、初步设计并提交包括初步设计报告、工程量计算书、工程概算及工程相关图纸等能参加技术评审的所有成果；</w:t>
            </w:r>
          </w:p>
          <w:p w14:paraId="0734BDA6">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（2）开完技术评审会次日起10个日历天内完成对本项目初步设计技术评审会专家的评审修改意见的修改；</w:t>
            </w:r>
          </w:p>
          <w:p w14:paraId="7FEDED87">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（3）自发包人书面通知之日起10个日历天内提交施工图设计图纸。</w:t>
            </w:r>
          </w:p>
        </w:tc>
      </w:tr>
      <w:tr w14:paraId="36F0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0051A0E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15</w:t>
            </w:r>
          </w:p>
        </w:tc>
        <w:tc>
          <w:tcPr>
            <w:tcW w:w="1683" w:type="dxa"/>
            <w:shd w:val="clear" w:color="auto" w:fill="auto"/>
            <w:vAlign w:val="center"/>
          </w:tcPr>
          <w:p w14:paraId="2E8C266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质量标准</w:t>
            </w:r>
          </w:p>
        </w:tc>
        <w:tc>
          <w:tcPr>
            <w:tcW w:w="7531" w:type="dxa"/>
            <w:shd w:val="clear" w:color="auto" w:fill="auto"/>
            <w:vAlign w:val="center"/>
          </w:tcPr>
          <w:p w14:paraId="3745B3BD">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符合国家及地方现行有效的有关设计规范、标准、规定等，必须通过有关部门的审查及经有资质的审图机构审查合格。</w:t>
            </w:r>
          </w:p>
        </w:tc>
      </w:tr>
      <w:tr w14:paraId="0DE0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7946F7B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16</w:t>
            </w:r>
          </w:p>
        </w:tc>
        <w:tc>
          <w:tcPr>
            <w:tcW w:w="1683" w:type="dxa"/>
            <w:shd w:val="clear" w:color="auto" w:fill="auto"/>
            <w:vAlign w:val="center"/>
          </w:tcPr>
          <w:p w14:paraId="03A2C71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最高投标限价</w:t>
            </w:r>
          </w:p>
        </w:tc>
        <w:tc>
          <w:tcPr>
            <w:tcW w:w="7531" w:type="dxa"/>
            <w:shd w:val="clear" w:color="auto" w:fill="auto"/>
            <w:vAlign w:val="center"/>
          </w:tcPr>
          <w:p w14:paraId="25C0E4D6">
            <w:pPr>
              <w:tabs>
                <w:tab w:val="left" w:pos="1180"/>
              </w:tabs>
              <w:adjustRightInd w:val="0"/>
              <w:snapToGrid w:val="0"/>
              <w:spacing w:line="40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详见招标文件“8.最高投标限价的确定”。</w:t>
            </w:r>
          </w:p>
        </w:tc>
      </w:tr>
      <w:tr w14:paraId="4120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304AAFB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17</w:t>
            </w:r>
          </w:p>
        </w:tc>
        <w:tc>
          <w:tcPr>
            <w:tcW w:w="1683" w:type="dxa"/>
            <w:shd w:val="clear" w:color="auto" w:fill="auto"/>
            <w:vAlign w:val="center"/>
          </w:tcPr>
          <w:p w14:paraId="4B321A8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投标人资格要求</w:t>
            </w:r>
          </w:p>
        </w:tc>
        <w:tc>
          <w:tcPr>
            <w:tcW w:w="7531" w:type="dxa"/>
            <w:shd w:val="clear" w:color="auto" w:fill="auto"/>
            <w:vAlign w:val="center"/>
          </w:tcPr>
          <w:p w14:paraId="6A93E3D8">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1.本工程不接受联合体投标。</w:t>
            </w:r>
          </w:p>
          <w:p w14:paraId="497A41DF">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2.资质要求</w:t>
            </w:r>
          </w:p>
          <w:p w14:paraId="24F71FB2">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2.1投标人须持有市场监督管理部门（或原工商管理部门）核发的营业执照，按国家法律经营的独立法人。</w:t>
            </w:r>
          </w:p>
          <w:p w14:paraId="375B290A">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2.2设计资质必须具备以下资质之一：</w:t>
            </w:r>
          </w:p>
          <w:p w14:paraId="67AD4627">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（1）工程设计综合甲级资质；</w:t>
            </w:r>
          </w:p>
          <w:p w14:paraId="5151E203">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（2）市政行业设计乙级以上（含乙级）资质；</w:t>
            </w:r>
          </w:p>
          <w:p w14:paraId="19DD4E4F">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（3）市政行业设计（燃气工程、轨道交通工程除外）乙级以上（含乙级）资质；</w:t>
            </w:r>
          </w:p>
          <w:p w14:paraId="0E1416FF">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（4）市政行业工程设计（道路工程、排水工程）专业乙级以上（含乙级）资质。</w:t>
            </w:r>
          </w:p>
          <w:p w14:paraId="743483E5">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根据有关文件精神，投标人的企业相关证书、人员资质、资格有效期到期的，均按该证书的发证机构相关行业主管部门最新文件执行（如自动顺延或推迟办理延期业务的通知），投标人必须将相关文件附在该证书后面，证明在开标日继续有效的。</w:t>
            </w:r>
          </w:p>
          <w:p w14:paraId="1614AC85">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3.相关人员要求</w:t>
            </w:r>
          </w:p>
          <w:p w14:paraId="2409D1FA">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3.1拟委派担任本招标项目的项目负责人（即设计负责人）须具备中级或以上工程师职称。</w:t>
            </w:r>
          </w:p>
          <w:p w14:paraId="786EC7A6">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3.2投标人与其拟派往本项目所有人员之间必须具备合法、唯一的劳动聘用关系（非退休人员提供在本单位缴纳的社保证明即可）。拟派人员中具备注册执业资格的，其注册单位须与投标人保持一致。</w:t>
            </w:r>
          </w:p>
          <w:p w14:paraId="7567D9BA">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4.禁止投标条款</w:t>
            </w:r>
          </w:p>
          <w:p w14:paraId="7391B402">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 投标人不得存在下列情形之一：</w:t>
            </w:r>
          </w:p>
          <w:p w14:paraId="3A51D3E8">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（1）为招标人不具有独立法人资格的附属机构（单位）；</w:t>
            </w:r>
          </w:p>
          <w:p w14:paraId="2EC86DA9">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（2）与招标人存在利害关系且可能影响招标公正性；</w:t>
            </w:r>
          </w:p>
          <w:p w14:paraId="1548743F">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（3）与本招标项目的其他投标人为同一个单位负责人；</w:t>
            </w:r>
          </w:p>
          <w:p w14:paraId="13E15B17">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（4）与本招标项目的其他投标人存在控股、管理关系；</w:t>
            </w:r>
          </w:p>
          <w:p w14:paraId="3AC2569E">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（5）为本招标项目的代建人；</w:t>
            </w:r>
          </w:p>
          <w:p w14:paraId="204FE2CC">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（6）为本招标项目的招标代理机构；</w:t>
            </w:r>
          </w:p>
          <w:p w14:paraId="20A8D0C0">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（7）与本招标项目的代建人或招标代理机构同为一个法定代表人；</w:t>
            </w:r>
          </w:p>
          <w:p w14:paraId="67E7404F">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（8）与本招标项目的代建人或招标代理机构存在控股或参股关系；</w:t>
            </w:r>
          </w:p>
          <w:p w14:paraId="42B76E12">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（9）与本招标项目的代建人或招标代理机构存在相互任职或工作关系；</w:t>
            </w:r>
          </w:p>
          <w:p w14:paraId="73F02CEA">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（10）被依法暂停或者取消投标资格；</w:t>
            </w:r>
          </w:p>
          <w:p w14:paraId="1009EBBF">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（11）被责令停产停业、暂扣或者吊销许可证、暂扣或者吊销执照；</w:t>
            </w:r>
          </w:p>
          <w:p w14:paraId="0C9C6DEB">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（12）进入清算程序，或被宣告破产，或其他丧失履约能力的情形；</w:t>
            </w:r>
          </w:p>
          <w:p w14:paraId="4DBD5B2F">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（13）在最近三年内发生重大工程质量或安全问题（以相关行业主管部门的行政处罚决定或司法机关出具的有关法律文书为准）；</w:t>
            </w:r>
          </w:p>
          <w:p w14:paraId="04CDE50A">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（14）被“信用中国”网站（https://www.creditchina.gov.cn）发布的《法人和非法人组织公共信用信息报告》列为严重失信主体名单的。</w:t>
            </w:r>
          </w:p>
          <w:p w14:paraId="13AF9248">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4.2招标人拒绝以下名单中的单位参加本次投标：</w:t>
            </w:r>
          </w:p>
          <w:tbl>
            <w:tblPr>
              <w:tblStyle w:val="19"/>
              <w:tblW w:w="7313"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3150"/>
              <w:gridCol w:w="3408"/>
            </w:tblGrid>
            <w:tr w14:paraId="72C5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5" w:type="dxa"/>
                  <w:noWrap w:val="0"/>
                  <w:vAlign w:val="center"/>
                </w:tcPr>
                <w:p w14:paraId="50DE205F">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3150" w:type="dxa"/>
                  <w:noWrap w:val="0"/>
                  <w:vAlign w:val="center"/>
                </w:tcPr>
                <w:p w14:paraId="520A6596">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单位名称</w:t>
                  </w:r>
                </w:p>
              </w:tc>
              <w:tc>
                <w:tcPr>
                  <w:tcW w:w="3408" w:type="dxa"/>
                  <w:noWrap w:val="0"/>
                  <w:vAlign w:val="center"/>
                </w:tcPr>
                <w:p w14:paraId="69A8ECD0">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拒绝原因</w:t>
                  </w:r>
                </w:p>
              </w:tc>
            </w:tr>
            <w:tr w14:paraId="313A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55" w:type="dxa"/>
                  <w:noWrap w:val="0"/>
                  <w:vAlign w:val="center"/>
                </w:tcPr>
                <w:p w14:paraId="164A97A7">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150" w:type="dxa"/>
                  <w:noWrap w:val="0"/>
                  <w:vAlign w:val="center"/>
                </w:tcPr>
                <w:p w14:paraId="5540E383">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韶关市浈江区格致城市运营管理有限公司</w:t>
                  </w:r>
                </w:p>
              </w:tc>
              <w:tc>
                <w:tcPr>
                  <w:tcW w:w="3408" w:type="dxa"/>
                  <w:noWrap w:val="0"/>
                  <w:vAlign w:val="center"/>
                </w:tcPr>
                <w:p w14:paraId="207A317E">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为本招标项目的业主单位</w:t>
                  </w:r>
                </w:p>
              </w:tc>
            </w:tr>
            <w:tr w14:paraId="6BEA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55" w:type="dxa"/>
                  <w:noWrap w:val="0"/>
                  <w:vAlign w:val="center"/>
                </w:tcPr>
                <w:p w14:paraId="59E20E2E">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150" w:type="dxa"/>
                  <w:noWrap w:val="0"/>
                  <w:vAlign w:val="center"/>
                </w:tcPr>
                <w:p w14:paraId="60342AB1">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广东科瑞工程管理有限公司</w:t>
                  </w:r>
                </w:p>
              </w:tc>
              <w:tc>
                <w:tcPr>
                  <w:tcW w:w="3408" w:type="dxa"/>
                  <w:noWrap w:val="0"/>
                  <w:vAlign w:val="center"/>
                </w:tcPr>
                <w:p w14:paraId="183C5B99">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为本招标项目的招标代理机构</w:t>
                  </w:r>
                </w:p>
              </w:tc>
            </w:tr>
            <w:tr w14:paraId="71A4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55" w:type="dxa"/>
                  <w:noWrap w:val="0"/>
                  <w:vAlign w:val="center"/>
                </w:tcPr>
                <w:p w14:paraId="2A278BC5">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150" w:type="dxa"/>
                  <w:noWrap w:val="0"/>
                  <w:vAlign w:val="center"/>
                </w:tcPr>
                <w:p w14:paraId="3F21EB8C">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广东省国际工程咨询有限公司</w:t>
                  </w:r>
                </w:p>
              </w:tc>
              <w:tc>
                <w:tcPr>
                  <w:tcW w:w="3408" w:type="dxa"/>
                  <w:noWrap w:val="0"/>
                  <w:vAlign w:val="center"/>
                </w:tcPr>
                <w:p w14:paraId="04906BAC">
                  <w:pPr>
                    <w:tabs>
                      <w:tab w:val="left" w:pos="1180"/>
                    </w:tabs>
                    <w:adjustRightInd w:val="0"/>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为本招标项目的可研编制单位</w:t>
                  </w:r>
                </w:p>
              </w:tc>
            </w:tr>
          </w:tbl>
          <w:p w14:paraId="1E57F40F">
            <w:pPr>
              <w:tabs>
                <w:tab w:val="left" w:pos="1180"/>
              </w:tabs>
              <w:adjustRightInd w:val="0"/>
              <w:snapToGrid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5.其他要求</w:t>
            </w:r>
          </w:p>
          <w:p w14:paraId="3EF1C8FE">
            <w:pPr>
              <w:tabs>
                <w:tab w:val="left" w:pos="1180"/>
              </w:tabs>
              <w:adjustRightInd w:val="0"/>
              <w:snapToGrid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省外企业须按照《广东省住房和城乡建设厅关于取消省外建筑企业和人员进粤信息备案有关工作的通知》（粤建市﹝2015﹞52号）规定在“进粤企业和人员诚信信息登记平台”录入相关信息并通过数据规范检查，且主要配备人员（指拟委派项目部的所有人员）为“进粤企业和人员诚信信息登记平台”中人员。</w:t>
            </w:r>
          </w:p>
        </w:tc>
      </w:tr>
      <w:tr w14:paraId="6317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1181527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18</w:t>
            </w:r>
          </w:p>
        </w:tc>
        <w:tc>
          <w:tcPr>
            <w:tcW w:w="1683" w:type="dxa"/>
            <w:shd w:val="clear" w:color="auto" w:fill="auto"/>
            <w:vAlign w:val="center"/>
          </w:tcPr>
          <w:p w14:paraId="5C39C9F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投标保证</w:t>
            </w:r>
          </w:p>
        </w:tc>
        <w:tc>
          <w:tcPr>
            <w:tcW w:w="7531" w:type="dxa"/>
            <w:shd w:val="clear" w:color="auto" w:fill="auto"/>
            <w:vAlign w:val="center"/>
          </w:tcPr>
          <w:p w14:paraId="3392B35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投标人须缴纳金额为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val="en-US" w:eastAsia="zh-CN"/>
              </w:rPr>
              <w:t>伍万元整（¥50,000.00元）</w:t>
            </w:r>
            <w:r>
              <w:rPr>
                <w:rFonts w:hint="eastAsia" w:ascii="宋体" w:hAnsi="宋体" w:eastAsia="宋体" w:cs="宋体"/>
                <w:color w:val="auto"/>
                <w:sz w:val="24"/>
                <w:szCs w:val="24"/>
                <w:highlight w:val="none"/>
              </w:rPr>
              <w:t>的投标保证。</w:t>
            </w:r>
          </w:p>
          <w:p w14:paraId="2B17E14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投标保证的形式包括投标保证金、投标保证担保、投标保证保险三种，由投标人自主选择。</w:t>
            </w:r>
          </w:p>
          <w:p w14:paraId="472548F6">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（1）采用投标保证金的，投标人在建设工程交易系统获取招标文件完毕后，即可在系统申请缴纳投标保证金，获取本次招标投标保证金缴纳账号。投标人须于投标保证金到账截止时间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见本章第二节“重要事项时间地点一览表”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前，从其基本账户将投标保证金转账到指定的缴纳账号。逾期到账的、从非投标人基本账户转出的，其投标无效。</w:t>
            </w:r>
          </w:p>
          <w:p w14:paraId="4C5726A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7F402A2A">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7B4FCCB8">
            <w:pPr>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温馨提醒：投标人采用投标保证担保或投标保证保险的，为避免在评标过程中因有效期发生争议，建议投标人将银行保函或电子保函或电子保单有效期设置为较招标文件规定的投标有效期延长不少于20个日历天。</w:t>
            </w:r>
          </w:p>
        </w:tc>
      </w:tr>
      <w:tr w14:paraId="76BC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75EC6CE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19</w:t>
            </w:r>
          </w:p>
        </w:tc>
        <w:tc>
          <w:tcPr>
            <w:tcW w:w="1683" w:type="dxa"/>
            <w:shd w:val="clear" w:color="auto" w:fill="auto"/>
            <w:vAlign w:val="center"/>
          </w:tcPr>
          <w:p w14:paraId="321B153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投标有效期</w:t>
            </w:r>
          </w:p>
        </w:tc>
        <w:tc>
          <w:tcPr>
            <w:tcW w:w="7531" w:type="dxa"/>
            <w:shd w:val="clear" w:color="auto" w:fill="auto"/>
            <w:vAlign w:val="center"/>
          </w:tcPr>
          <w:p w14:paraId="4C0D623B">
            <w:pPr>
              <w:wordWrap w:val="0"/>
              <w:adjustRightInd w:val="0"/>
              <w:snapToGrid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本次招标的投标有效期为</w:t>
            </w:r>
            <w:r>
              <w:rPr>
                <w:rFonts w:hint="eastAsia" w:ascii="宋体" w:hAnsi="宋体" w:eastAsia="宋体" w:cs="宋体"/>
                <w:snapToGrid w:val="0"/>
                <w:color w:val="auto"/>
                <w:kern w:val="0"/>
                <w:sz w:val="24"/>
                <w:szCs w:val="24"/>
                <w:highlight w:val="none"/>
                <w:u w:val="single"/>
              </w:rPr>
              <w:t xml:space="preserve"> 90 </w:t>
            </w:r>
            <w:r>
              <w:rPr>
                <w:rFonts w:hint="eastAsia" w:ascii="宋体" w:hAnsi="宋体" w:eastAsia="宋体" w:cs="宋体"/>
                <w:snapToGrid w:val="0"/>
                <w:color w:val="auto"/>
                <w:kern w:val="0"/>
                <w:sz w:val="24"/>
                <w:szCs w:val="24"/>
                <w:highlight w:val="none"/>
              </w:rPr>
              <w:t>个日历天。</w:t>
            </w:r>
          </w:p>
        </w:tc>
      </w:tr>
      <w:tr w14:paraId="26C3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7DF4845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20</w:t>
            </w:r>
          </w:p>
        </w:tc>
        <w:tc>
          <w:tcPr>
            <w:tcW w:w="1683" w:type="dxa"/>
            <w:shd w:val="clear" w:color="auto" w:fill="auto"/>
            <w:vAlign w:val="center"/>
          </w:tcPr>
          <w:p w14:paraId="66DB6F4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投标文件编制</w:t>
            </w:r>
            <w:r>
              <w:rPr>
                <w:rFonts w:hint="eastAsia" w:ascii="宋体" w:hAnsi="宋体" w:eastAsia="宋体" w:cs="宋体"/>
                <w:b w:val="0"/>
                <w:bCs w:val="0"/>
                <w:color w:val="auto"/>
                <w:sz w:val="24"/>
                <w:szCs w:val="24"/>
                <w:highlight w:val="none"/>
                <w:lang w:eastAsia="zh-CN"/>
              </w:rPr>
              <w:t>及</w:t>
            </w:r>
            <w:r>
              <w:rPr>
                <w:rFonts w:hint="eastAsia" w:ascii="宋体" w:hAnsi="宋体" w:eastAsia="宋体" w:cs="宋体"/>
                <w:b w:val="0"/>
                <w:bCs w:val="0"/>
                <w:color w:val="auto"/>
                <w:sz w:val="24"/>
                <w:szCs w:val="24"/>
                <w:highlight w:val="none"/>
              </w:rPr>
              <w:t>份数要求</w:t>
            </w:r>
          </w:p>
        </w:tc>
        <w:tc>
          <w:tcPr>
            <w:tcW w:w="7531" w:type="dxa"/>
            <w:shd w:val="clear" w:color="auto" w:fill="auto"/>
            <w:vAlign w:val="center"/>
          </w:tcPr>
          <w:p w14:paraId="5AC57F6B">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投标人须上传（递交）投标文件：</w:t>
            </w:r>
          </w:p>
          <w:p w14:paraId="6FADF167">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1.电子投标文件一套：</w:t>
            </w:r>
          </w:p>
          <w:p w14:paraId="18BA8E23">
            <w:pPr>
              <w:keepNext w:val="0"/>
              <w:keepLines w:val="0"/>
              <w:widowControl/>
              <w:suppressLineNumbers w:val="0"/>
              <w:shd w:val="clear" w:color="auto" w:fill="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）商务经济标书</w:t>
            </w:r>
            <w:r>
              <w:rPr>
                <w:rFonts w:hint="eastAsia" w:ascii="宋体" w:hAnsi="宋体" w:eastAsia="宋体" w:cs="宋体"/>
                <w:color w:val="auto"/>
                <w:sz w:val="24"/>
                <w:szCs w:val="24"/>
                <w:highlight w:val="none"/>
                <w:lang w:val="en-US" w:eastAsia="zh-CN"/>
              </w:rPr>
              <w:t>一份；</w:t>
            </w:r>
          </w:p>
          <w:p w14:paraId="4F906964">
            <w:pPr>
              <w:keepNext w:val="0"/>
              <w:keepLines w:val="0"/>
              <w:widowControl/>
              <w:suppressLineNumbers w:val="0"/>
              <w:shd w:val="clear" w:color="auto" w:fill="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val="en-US" w:eastAsia="zh-CN"/>
              </w:rPr>
              <w:t>标书一份；</w:t>
            </w:r>
          </w:p>
          <w:p w14:paraId="1B1C5437">
            <w:pPr>
              <w:keepNext w:val="0"/>
              <w:keepLines w:val="0"/>
              <w:widowControl/>
              <w:suppressLineNumbers w:val="0"/>
              <w:shd w:val="clear" w:color="auto" w:fill="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（3）定标文件一份</w:t>
            </w:r>
            <w:r>
              <w:rPr>
                <w:rFonts w:hint="eastAsia" w:ascii="宋体" w:hAnsi="宋体" w:eastAsia="宋体" w:cs="宋体"/>
                <w:color w:val="auto"/>
                <w:sz w:val="24"/>
                <w:szCs w:val="24"/>
                <w:highlight w:val="none"/>
              </w:rPr>
              <w:t>。</w:t>
            </w:r>
          </w:p>
          <w:p w14:paraId="46141DAB">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2.对应评审要求的分项响应文件（如有）。</w:t>
            </w:r>
          </w:p>
          <w:p w14:paraId="5C4308FA">
            <w:pPr>
              <w:keepNext w:val="0"/>
              <w:keepLines w:val="0"/>
              <w:widowControl/>
              <w:suppressLineNumbers w:val="0"/>
              <w:shd w:val="clear" w:color="auto" w:fill="auto"/>
              <w:jc w:val="left"/>
              <w:textAlignment w:val="center"/>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486F4816">
            <w:pPr>
              <w:wordWrap w:val="0"/>
              <w:adjustRightInd w:val="0"/>
              <w:snapToGrid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snapToGrid w:val="0"/>
                <w:color w:val="auto"/>
                <w:kern w:val="0"/>
                <w:sz w:val="24"/>
                <w:szCs w:val="24"/>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3C50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1AA4E4F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21</w:t>
            </w:r>
          </w:p>
        </w:tc>
        <w:tc>
          <w:tcPr>
            <w:tcW w:w="1683" w:type="dxa"/>
            <w:shd w:val="clear" w:color="auto" w:fill="auto"/>
            <w:vAlign w:val="center"/>
          </w:tcPr>
          <w:p w14:paraId="4539333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技术标书</w:t>
            </w:r>
          </w:p>
          <w:p w14:paraId="4F0552D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评审方式</w:t>
            </w:r>
          </w:p>
        </w:tc>
        <w:tc>
          <w:tcPr>
            <w:tcW w:w="7531" w:type="dxa"/>
            <w:shd w:val="clear" w:color="auto" w:fill="auto"/>
            <w:vAlign w:val="center"/>
          </w:tcPr>
          <w:p w14:paraId="3939BF68">
            <w:pPr>
              <w:wordWrap w:val="0"/>
              <w:adjustRightInd w:val="0"/>
              <w:snapToGrid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本次招标技术标书</w:t>
            </w:r>
            <w:r>
              <w:rPr>
                <w:rFonts w:hint="eastAsia" w:ascii="宋体" w:hAnsi="宋体" w:eastAsia="宋体" w:cs="宋体"/>
                <w:snapToGrid w:val="0"/>
                <w:color w:val="auto"/>
                <w:kern w:val="0"/>
                <w:sz w:val="24"/>
                <w:szCs w:val="24"/>
                <w:highlight w:val="none"/>
                <w:u w:val="single"/>
              </w:rPr>
              <w:t xml:space="preserve"> 不采用 </w:t>
            </w:r>
            <w:r>
              <w:rPr>
                <w:rFonts w:hint="eastAsia" w:ascii="宋体" w:hAnsi="宋体" w:eastAsia="宋体" w:cs="宋体"/>
                <w:snapToGrid w:val="0"/>
                <w:color w:val="auto"/>
                <w:kern w:val="0"/>
                <w:sz w:val="24"/>
                <w:szCs w:val="24"/>
                <w:highlight w:val="none"/>
              </w:rPr>
              <w:t>“暗标”方式进行评审。</w:t>
            </w:r>
          </w:p>
        </w:tc>
      </w:tr>
      <w:tr w14:paraId="6629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vAlign w:val="center"/>
          </w:tcPr>
          <w:p w14:paraId="2DEAA4A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22</w:t>
            </w:r>
          </w:p>
        </w:tc>
        <w:tc>
          <w:tcPr>
            <w:tcW w:w="1683" w:type="dxa"/>
            <w:shd w:val="clear" w:color="auto" w:fill="auto"/>
            <w:vAlign w:val="center"/>
          </w:tcPr>
          <w:p w14:paraId="422ACA4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评标委员会</w:t>
            </w:r>
          </w:p>
        </w:tc>
        <w:tc>
          <w:tcPr>
            <w:tcW w:w="7531" w:type="dxa"/>
            <w:shd w:val="clear" w:color="auto" w:fill="auto"/>
            <w:vAlign w:val="center"/>
          </w:tcPr>
          <w:p w14:paraId="4E35628B">
            <w:pPr>
              <w:wordWrap w:val="0"/>
              <w:adjustRightInd w:val="0"/>
              <w:snapToGrid w:val="0"/>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评标委员会由</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人组成，其中招标人代表</w:t>
            </w:r>
            <w:r>
              <w:rPr>
                <w:rFonts w:hint="eastAsia" w:ascii="宋体" w:hAnsi="宋体" w:eastAsia="宋体" w:cs="宋体"/>
                <w:color w:val="auto"/>
                <w:kern w:val="0"/>
                <w:sz w:val="24"/>
                <w:szCs w:val="24"/>
                <w:highlight w:val="none"/>
                <w:u w:val="single"/>
              </w:rPr>
              <w:t xml:space="preserve"> 0 </w:t>
            </w:r>
            <w:r>
              <w:rPr>
                <w:rFonts w:hint="eastAsia" w:ascii="宋体" w:hAnsi="宋体" w:eastAsia="宋体" w:cs="宋体"/>
                <w:color w:val="auto"/>
                <w:kern w:val="0"/>
                <w:sz w:val="24"/>
                <w:szCs w:val="24"/>
                <w:highlight w:val="none"/>
              </w:rPr>
              <w:t>人，专家</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人。专家从</w:t>
            </w:r>
            <w:r>
              <w:rPr>
                <w:rFonts w:hint="eastAsia" w:ascii="宋体" w:hAnsi="宋体" w:eastAsia="宋体" w:cs="宋体"/>
                <w:color w:val="auto"/>
                <w:kern w:val="0"/>
                <w:sz w:val="24"/>
                <w:szCs w:val="24"/>
                <w:highlight w:val="none"/>
                <w:lang w:eastAsia="zh-CN"/>
              </w:rPr>
              <w:t>广东省综合评标评审专家库</w:t>
            </w:r>
            <w:r>
              <w:rPr>
                <w:rFonts w:hint="eastAsia" w:ascii="宋体" w:hAnsi="宋体" w:eastAsia="宋体" w:cs="宋体"/>
                <w:color w:val="auto"/>
                <w:kern w:val="0"/>
                <w:sz w:val="24"/>
                <w:szCs w:val="24"/>
                <w:highlight w:val="none"/>
                <w:lang w:val="en-US" w:eastAsia="zh-CN"/>
              </w:rPr>
              <w:t>--韶关市区域</w:t>
            </w:r>
            <w:r>
              <w:rPr>
                <w:rFonts w:hint="eastAsia" w:ascii="宋体" w:hAnsi="宋体" w:eastAsia="宋体" w:cs="宋体"/>
                <w:color w:val="auto"/>
                <w:kern w:val="0"/>
                <w:sz w:val="24"/>
                <w:szCs w:val="24"/>
                <w:highlight w:val="none"/>
              </w:rPr>
              <w:t>中随机抽取，其中技术类专家</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人，经济类专家</w:t>
            </w:r>
            <w:r>
              <w:rPr>
                <w:rFonts w:hint="eastAsia" w:ascii="宋体" w:hAnsi="宋体" w:eastAsia="宋体" w:cs="宋体"/>
                <w:color w:val="auto"/>
                <w:kern w:val="0"/>
                <w:sz w:val="24"/>
                <w:szCs w:val="24"/>
                <w:highlight w:val="none"/>
                <w:u w:val="single"/>
              </w:rPr>
              <w:t xml:space="preserve"> 2</w:t>
            </w:r>
            <w:r>
              <w:rPr>
                <w:rFonts w:hint="eastAsia" w:ascii="宋体" w:hAnsi="宋体" w:eastAsia="宋体" w:cs="宋体"/>
                <w:color w:val="auto"/>
                <w:kern w:val="0"/>
                <w:sz w:val="24"/>
                <w:szCs w:val="24"/>
                <w:highlight w:val="none"/>
              </w:rPr>
              <w:t>人。</w:t>
            </w:r>
          </w:p>
        </w:tc>
      </w:tr>
      <w:tr w14:paraId="67BC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vAlign w:val="center"/>
          </w:tcPr>
          <w:p w14:paraId="2F6F9D5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p>
        </w:tc>
        <w:tc>
          <w:tcPr>
            <w:tcW w:w="1683" w:type="dxa"/>
            <w:shd w:val="clear" w:color="auto" w:fill="auto"/>
            <w:vAlign w:val="center"/>
          </w:tcPr>
          <w:p w14:paraId="5F6BE3D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标委员会</w:t>
            </w:r>
          </w:p>
        </w:tc>
        <w:tc>
          <w:tcPr>
            <w:tcW w:w="7531" w:type="dxa"/>
            <w:shd w:val="clear" w:color="auto" w:fill="auto"/>
            <w:vAlign w:val="center"/>
          </w:tcPr>
          <w:p w14:paraId="29FFF427">
            <w:pPr>
              <w:wordWrap w:val="0"/>
              <w:adjustRightInd w:val="0"/>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本</w:t>
            </w:r>
            <w:r>
              <w:rPr>
                <w:rFonts w:hint="eastAsia" w:ascii="宋体" w:hAnsi="宋体" w:eastAsia="宋体" w:cs="宋体"/>
                <w:color w:val="auto"/>
                <w:kern w:val="0"/>
                <w:sz w:val="24"/>
                <w:szCs w:val="24"/>
                <w:highlight w:val="none"/>
                <w:lang w:eastAsia="zh-CN"/>
              </w:rPr>
              <w:t>项目定标委员会组成人员为</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u w:val="single"/>
                <w:lang w:val="en-US" w:eastAsia="zh-CN"/>
              </w:rPr>
              <w:t xml:space="preserve">7 </w:t>
            </w:r>
            <w:r>
              <w:rPr>
                <w:rFonts w:hint="eastAsia" w:ascii="宋体" w:hAnsi="宋体" w:eastAsia="宋体" w:cs="宋体"/>
                <w:color w:val="auto"/>
                <w:kern w:val="0"/>
                <w:sz w:val="24"/>
                <w:szCs w:val="24"/>
                <w:highlight w:val="none"/>
                <w:lang w:eastAsia="zh-CN"/>
              </w:rPr>
              <w:t>人。</w:t>
            </w:r>
          </w:p>
        </w:tc>
      </w:tr>
      <w:tr w14:paraId="2C3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672C41C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23</w:t>
            </w:r>
          </w:p>
        </w:tc>
        <w:tc>
          <w:tcPr>
            <w:tcW w:w="1683" w:type="dxa"/>
            <w:shd w:val="clear" w:color="auto" w:fill="auto"/>
            <w:vAlign w:val="center"/>
          </w:tcPr>
          <w:p w14:paraId="1AEFB58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评标方法</w:t>
            </w:r>
          </w:p>
        </w:tc>
        <w:tc>
          <w:tcPr>
            <w:tcW w:w="7531" w:type="dxa"/>
            <w:shd w:val="clear" w:color="auto" w:fill="auto"/>
            <w:vAlign w:val="center"/>
          </w:tcPr>
          <w:p w14:paraId="29EF9B00">
            <w:pPr>
              <w:wordWrap w:val="0"/>
              <w:adjustRightInd w:val="0"/>
              <w:snapToGrid w:val="0"/>
              <w:spacing w:line="400" w:lineRule="exac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 xml:space="preserve"> 综合评</w:t>
            </w:r>
            <w:r>
              <w:rPr>
                <w:rFonts w:hint="eastAsia" w:ascii="宋体" w:hAnsi="宋体" w:eastAsia="宋体" w:cs="宋体"/>
                <w:snapToGrid w:val="0"/>
                <w:color w:val="auto"/>
                <w:kern w:val="0"/>
                <w:sz w:val="24"/>
                <w:szCs w:val="24"/>
                <w:highlight w:val="none"/>
                <w:lang w:val="en-US" w:eastAsia="zh-CN"/>
              </w:rPr>
              <w:t>分</w:t>
            </w:r>
            <w:r>
              <w:rPr>
                <w:rFonts w:hint="eastAsia" w:ascii="宋体" w:hAnsi="宋体" w:eastAsia="宋体" w:cs="宋体"/>
                <w:snapToGrid w:val="0"/>
                <w:color w:val="auto"/>
                <w:kern w:val="0"/>
                <w:sz w:val="24"/>
                <w:szCs w:val="24"/>
                <w:highlight w:val="none"/>
              </w:rPr>
              <w:t>法</w:t>
            </w:r>
          </w:p>
        </w:tc>
      </w:tr>
      <w:tr w14:paraId="4411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1CB1051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24</w:t>
            </w:r>
          </w:p>
        </w:tc>
        <w:tc>
          <w:tcPr>
            <w:tcW w:w="1683" w:type="dxa"/>
            <w:shd w:val="clear" w:color="auto" w:fill="auto"/>
            <w:vAlign w:val="center"/>
          </w:tcPr>
          <w:p w14:paraId="699EA4E1">
            <w:pPr>
              <w:keepNext w:val="0"/>
              <w:keepLines w:val="0"/>
              <w:pageBreakBefore w:val="0"/>
              <w:widowControl w:val="0"/>
              <w:shd w:val="clear" w:color="auto" w:fill="auto"/>
              <w:kinsoku/>
              <w:wordWrap/>
              <w:overflowPunct/>
              <w:topLinePunct w:val="0"/>
              <w:autoSpaceDE/>
              <w:autoSpaceDN/>
              <w:bidi w:val="0"/>
              <w:adjustRightInd/>
              <w:snapToGrid/>
              <w:spacing w:line="32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定标办法</w:t>
            </w:r>
          </w:p>
        </w:tc>
        <w:tc>
          <w:tcPr>
            <w:tcW w:w="7531" w:type="dxa"/>
            <w:shd w:val="clear" w:color="auto" w:fill="auto"/>
            <w:vAlign w:val="center"/>
          </w:tcPr>
          <w:p w14:paraId="719A9877">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采用评定分离的项目，应选定下列定标办法：</w:t>
            </w:r>
          </w:p>
          <w:p w14:paraId="39CD84A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☑票决数量法</w:t>
            </w:r>
          </w:p>
          <w:p w14:paraId="64D377A5">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□票决计分法</w:t>
            </w:r>
          </w:p>
          <w:p w14:paraId="552E34BF">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□集体议事法</w:t>
            </w:r>
          </w:p>
          <w:p w14:paraId="63DC0BD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 w:val="0"/>
                <w:bCs w:val="0"/>
                <w:color w:val="auto"/>
                <w:spacing w:val="0"/>
                <w:kern w:val="2"/>
                <w:position w:val="0"/>
                <w:sz w:val="24"/>
                <w:szCs w:val="24"/>
                <w:highlight w:val="none"/>
                <w:u w:val="none" w:color="auto"/>
                <w:lang w:val="en-US" w:eastAsia="zh-CN" w:bidi="ar-SA"/>
              </w:rPr>
              <w:t>□其他方法：</w:t>
            </w:r>
          </w:p>
        </w:tc>
      </w:tr>
      <w:tr w14:paraId="7013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03C7A02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25</w:t>
            </w:r>
          </w:p>
        </w:tc>
        <w:tc>
          <w:tcPr>
            <w:tcW w:w="1683" w:type="dxa"/>
            <w:shd w:val="clear" w:color="auto" w:fill="auto"/>
            <w:vAlign w:val="center"/>
          </w:tcPr>
          <w:p w14:paraId="41ED4046">
            <w:pPr>
              <w:pStyle w:val="16"/>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color w:val="auto"/>
                <w:kern w:val="0"/>
                <w:sz w:val="24"/>
                <w:szCs w:val="24"/>
                <w:highlight w:val="none"/>
                <w:lang w:val="en-US" w:eastAsia="zh-CN" w:bidi="ar-SA"/>
              </w:rPr>
            </w:pPr>
            <w:r>
              <w:rPr>
                <w:rStyle w:val="22"/>
                <w:rFonts w:hint="eastAsia" w:ascii="宋体" w:hAnsi="宋体" w:eastAsia="宋体" w:cs="宋体"/>
                <w:b w:val="0"/>
                <w:color w:val="auto"/>
                <w:sz w:val="24"/>
                <w:szCs w:val="24"/>
                <w:highlight w:val="none"/>
              </w:rPr>
              <w:t>项目评标方式</w:t>
            </w:r>
          </w:p>
        </w:tc>
        <w:tc>
          <w:tcPr>
            <w:tcW w:w="7531" w:type="dxa"/>
            <w:shd w:val="clear" w:color="auto" w:fill="auto"/>
            <w:vAlign w:val="center"/>
          </w:tcPr>
          <w:p w14:paraId="76BEB5D6">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color w:val="auto"/>
                <w:spacing w:val="0"/>
                <w:kern w:val="2"/>
                <w:position w:val="0"/>
                <w:sz w:val="24"/>
                <w:szCs w:val="24"/>
                <w:highlight w:val="none"/>
                <w:u w:val="none" w:color="auto"/>
                <w:lang w:val="en-US" w:eastAsia="zh-CN" w:bidi="ar-SA"/>
              </w:rPr>
            </w:pPr>
            <w:r>
              <w:rPr>
                <w:rFonts w:hint="eastAsia" w:ascii="宋体" w:hAnsi="宋体" w:eastAsia="宋体" w:cs="宋体"/>
                <w:b w:val="0"/>
                <w:bCs w:val="0"/>
                <w:color w:val="auto"/>
                <w:sz w:val="24"/>
                <w:szCs w:val="24"/>
                <w:highlight w:val="none"/>
                <w:lang w:eastAsia="zh-CN"/>
              </w:rPr>
              <w:t>本招标项目</w:t>
            </w:r>
            <w:r>
              <w:rPr>
                <w:rFonts w:hint="eastAsia" w:ascii="宋体" w:hAnsi="宋体" w:eastAsia="宋体" w:cs="宋体"/>
                <w:b w:val="0"/>
                <w:bCs w:val="0"/>
                <w:color w:val="auto"/>
                <w:sz w:val="24"/>
                <w:szCs w:val="24"/>
                <w:highlight w:val="none"/>
              </w:rPr>
              <w:t>所有投标文件均采用明标评标方式。</w:t>
            </w:r>
          </w:p>
        </w:tc>
      </w:tr>
      <w:tr w14:paraId="2A5E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63FB5BF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26</w:t>
            </w:r>
          </w:p>
        </w:tc>
        <w:tc>
          <w:tcPr>
            <w:tcW w:w="1683" w:type="dxa"/>
            <w:shd w:val="clear" w:color="auto" w:fill="auto"/>
            <w:vAlign w:val="center"/>
          </w:tcPr>
          <w:p w14:paraId="78C3E4C4">
            <w:pPr>
              <w:pStyle w:val="16"/>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Style w:val="22"/>
                <w:rFonts w:hint="eastAsia" w:ascii="宋体" w:hAnsi="宋体" w:eastAsia="宋体" w:cs="宋体"/>
                <w:b w:val="0"/>
                <w:color w:val="auto"/>
                <w:sz w:val="24"/>
                <w:szCs w:val="24"/>
                <w:highlight w:val="none"/>
              </w:rPr>
            </w:pPr>
            <w:r>
              <w:rPr>
                <w:rStyle w:val="22"/>
                <w:rFonts w:hint="eastAsia" w:ascii="宋体" w:hAnsi="宋体" w:eastAsia="宋体" w:cs="宋体"/>
                <w:b w:val="0"/>
                <w:color w:val="auto"/>
                <w:sz w:val="24"/>
                <w:szCs w:val="24"/>
                <w:highlight w:val="none"/>
              </w:rPr>
              <w:t>中标通知书</w:t>
            </w:r>
          </w:p>
          <w:p w14:paraId="7CE25EC9">
            <w:pPr>
              <w:pStyle w:val="16"/>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240" w:lineRule="auto"/>
              <w:jc w:val="center"/>
              <w:textAlignment w:val="auto"/>
              <w:rPr>
                <w:rFonts w:hint="eastAsia" w:ascii="宋体" w:hAnsi="宋体" w:eastAsia="宋体" w:cs="宋体"/>
                <w:b w:val="0"/>
                <w:color w:val="auto"/>
                <w:kern w:val="0"/>
                <w:sz w:val="24"/>
                <w:szCs w:val="24"/>
                <w:highlight w:val="none"/>
                <w:lang w:val="en-US" w:eastAsia="zh-CN" w:bidi="ar-SA"/>
              </w:rPr>
            </w:pPr>
            <w:r>
              <w:rPr>
                <w:rStyle w:val="22"/>
                <w:rFonts w:hint="eastAsia" w:ascii="宋体" w:hAnsi="宋体" w:eastAsia="宋体" w:cs="宋体"/>
                <w:b w:val="0"/>
                <w:color w:val="auto"/>
                <w:sz w:val="24"/>
                <w:szCs w:val="24"/>
                <w:highlight w:val="none"/>
              </w:rPr>
              <w:t>发放</w:t>
            </w:r>
          </w:p>
        </w:tc>
        <w:tc>
          <w:tcPr>
            <w:tcW w:w="7531" w:type="dxa"/>
            <w:shd w:val="clear" w:color="auto" w:fill="auto"/>
            <w:vAlign w:val="center"/>
          </w:tcPr>
          <w:p w14:paraId="39DCDF8F">
            <w:pPr>
              <w:pStyle w:val="9"/>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中标人确定后，招标人应当在7日内向中标人发出中标通知书。</w:t>
            </w:r>
          </w:p>
          <w:p w14:paraId="7718D6DE">
            <w:pPr>
              <w:pStyle w:val="9"/>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招标人最迟应当在投标有效期届满30日前发出中标通知书，否则，应当按照本投标人须知的规定延长投标有效期。</w:t>
            </w:r>
          </w:p>
        </w:tc>
      </w:tr>
      <w:tr w14:paraId="1639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7F6D864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27</w:t>
            </w:r>
          </w:p>
        </w:tc>
        <w:tc>
          <w:tcPr>
            <w:tcW w:w="1683" w:type="dxa"/>
            <w:shd w:val="clear" w:color="auto" w:fill="auto"/>
            <w:vAlign w:val="center"/>
          </w:tcPr>
          <w:p w14:paraId="366E580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招标代理服务费及评标专家酬劳</w:t>
            </w:r>
          </w:p>
        </w:tc>
        <w:tc>
          <w:tcPr>
            <w:tcW w:w="7531" w:type="dxa"/>
            <w:shd w:val="clear" w:color="auto" w:fill="auto"/>
            <w:vAlign w:val="center"/>
          </w:tcPr>
          <w:p w14:paraId="32CC6BF5">
            <w:pPr>
              <w:wordWrap w:val="0"/>
              <w:adjustRightInd w:val="0"/>
              <w:snapToGrid w:val="0"/>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的招标代理费和评标专家酬劳由中标人支付，该费用不再另行报价，由投标人在投标报价时综合考虑在内。中标人须向招标代理机构一次性支付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（招标代理服务费以中标金额为计价基数，参照《招标代理服务收费管理暂行办法》（计价格</w:t>
            </w:r>
            <w:r>
              <w:rPr>
                <w:rFonts w:hint="eastAsia" w:ascii="宋体" w:hAnsi="宋体" w:eastAsia="宋体" w:cs="宋体"/>
                <w:color w:val="auto"/>
                <w:sz w:val="24"/>
                <w:szCs w:val="24"/>
                <w:highlight w:val="none"/>
                <w:lang w:eastAsia="zh-CN"/>
              </w:rPr>
              <w:t>〔2002〕1980号</w:t>
            </w:r>
            <w:r>
              <w:rPr>
                <w:rFonts w:hint="eastAsia" w:ascii="宋体" w:hAnsi="宋体" w:eastAsia="宋体" w:cs="宋体"/>
                <w:color w:val="auto"/>
                <w:sz w:val="24"/>
                <w:szCs w:val="24"/>
                <w:highlight w:val="none"/>
              </w:rPr>
              <w:t>）文相关规定计算招标代理服务费。评标专家酬劳由招标代理机构在开标当日预先支付）。</w:t>
            </w:r>
          </w:p>
        </w:tc>
      </w:tr>
      <w:tr w14:paraId="4DE8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56582C2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28</w:t>
            </w:r>
          </w:p>
        </w:tc>
        <w:tc>
          <w:tcPr>
            <w:tcW w:w="1683" w:type="dxa"/>
            <w:shd w:val="clear" w:color="auto" w:fill="auto"/>
            <w:vAlign w:val="center"/>
          </w:tcPr>
          <w:p w14:paraId="0ED2E7C8">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14:paraId="5C20886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联系方式</w:t>
            </w:r>
          </w:p>
        </w:tc>
        <w:tc>
          <w:tcPr>
            <w:tcW w:w="7531" w:type="dxa"/>
            <w:shd w:val="clear" w:color="auto" w:fill="auto"/>
            <w:vAlign w:val="center"/>
          </w:tcPr>
          <w:p w14:paraId="52DB5329">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单位名称：韶关市浈江区格致城市运营管理有限公司</w:t>
            </w:r>
          </w:p>
          <w:p w14:paraId="0616544A">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办公地址：韶关市浈江区犁市镇梅村街道旅游集散服务中心101室</w:t>
            </w:r>
          </w:p>
          <w:p w14:paraId="3D2A3595">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 系 人：吴工</w:t>
            </w:r>
          </w:p>
          <w:p w14:paraId="48F9FDEE">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联系电话：18675122706</w:t>
            </w:r>
          </w:p>
        </w:tc>
      </w:tr>
      <w:tr w14:paraId="18FF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548E49E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29</w:t>
            </w:r>
          </w:p>
        </w:tc>
        <w:tc>
          <w:tcPr>
            <w:tcW w:w="1683" w:type="dxa"/>
            <w:shd w:val="clear" w:color="auto" w:fill="auto"/>
            <w:vAlign w:val="center"/>
          </w:tcPr>
          <w:p w14:paraId="4FC58A9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w:t>
            </w:r>
          </w:p>
          <w:p w14:paraId="4877D9A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机构</w:t>
            </w:r>
          </w:p>
          <w:p w14:paraId="5157CC3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联系方式</w:t>
            </w:r>
          </w:p>
        </w:tc>
        <w:tc>
          <w:tcPr>
            <w:tcW w:w="7531" w:type="dxa"/>
            <w:shd w:val="clear" w:color="auto" w:fill="auto"/>
            <w:vAlign w:val="center"/>
          </w:tcPr>
          <w:p w14:paraId="3C773C97">
            <w:pPr>
              <w:wordWrap w:val="0"/>
              <w:adjustRightInd w:val="0"/>
              <w:snapToGrid w:val="0"/>
              <w:spacing w:line="360" w:lineRule="exact"/>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广东科瑞工程管理有限公司</w:t>
            </w:r>
          </w:p>
          <w:p w14:paraId="46148813">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办公地址：韶关市浈江区浈江北路4号楼乙幢首层8号铺</w:t>
            </w:r>
          </w:p>
          <w:p w14:paraId="2F03A1D6">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项目负责人：欧静芬</w:t>
            </w:r>
          </w:p>
          <w:p w14:paraId="683A886B">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电话：0751-8630930</w:t>
            </w:r>
          </w:p>
        </w:tc>
      </w:tr>
      <w:tr w14:paraId="70F3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242A940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30</w:t>
            </w:r>
          </w:p>
        </w:tc>
        <w:tc>
          <w:tcPr>
            <w:tcW w:w="1683" w:type="dxa"/>
            <w:shd w:val="clear" w:color="auto" w:fill="auto"/>
            <w:vAlign w:val="center"/>
          </w:tcPr>
          <w:p w14:paraId="1DA305A7">
            <w:pPr>
              <w:widowControl/>
              <w:spacing w:line="360" w:lineRule="auto"/>
              <w:jc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交易场所</w:t>
            </w:r>
          </w:p>
          <w:p w14:paraId="4F3CA6F7">
            <w:pPr>
              <w:widowControl/>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bidi="ar"/>
              </w:rPr>
              <w:t>联系方法</w:t>
            </w:r>
          </w:p>
        </w:tc>
        <w:tc>
          <w:tcPr>
            <w:tcW w:w="7531" w:type="dxa"/>
            <w:shd w:val="clear" w:color="auto" w:fill="auto"/>
            <w:vAlign w:val="center"/>
          </w:tcPr>
          <w:p w14:paraId="71AE878E">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单位名称：韶关市公共资源交易中心</w:t>
            </w:r>
          </w:p>
          <w:p w14:paraId="109CA6DF">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办公地址：广东省韶关市武江区西联镇</w:t>
            </w:r>
          </w:p>
          <w:p w14:paraId="58BBFE30">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联系人（部门）：工程交易股</w:t>
            </w:r>
          </w:p>
          <w:p w14:paraId="52389EBC">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联系电话：0751-8633211</w:t>
            </w:r>
          </w:p>
        </w:tc>
      </w:tr>
      <w:tr w14:paraId="60D6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shd w:val="clear" w:color="auto" w:fill="auto"/>
            <w:vAlign w:val="center"/>
          </w:tcPr>
          <w:p w14:paraId="0B0AF07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31</w:t>
            </w:r>
          </w:p>
        </w:tc>
        <w:tc>
          <w:tcPr>
            <w:tcW w:w="1683" w:type="dxa"/>
            <w:shd w:val="clear" w:color="auto" w:fill="auto"/>
            <w:vAlign w:val="center"/>
          </w:tcPr>
          <w:p w14:paraId="288BEB75">
            <w:pPr>
              <w:widowControl/>
              <w:spacing w:line="360" w:lineRule="auto"/>
              <w:jc w:val="center"/>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行政监督部门</w:t>
            </w:r>
          </w:p>
          <w:p w14:paraId="4FC9A21B">
            <w:pPr>
              <w:widowControl/>
              <w:spacing w:line="36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bidi="ar"/>
              </w:rPr>
              <w:t>联系方式</w:t>
            </w:r>
          </w:p>
        </w:tc>
        <w:tc>
          <w:tcPr>
            <w:tcW w:w="7531" w:type="dxa"/>
            <w:shd w:val="clear" w:color="auto" w:fill="auto"/>
            <w:vAlign w:val="center"/>
          </w:tcPr>
          <w:p w14:paraId="7E8D97A0">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单位名称：韶关市住房和城乡建设管理局</w:t>
            </w:r>
          </w:p>
          <w:p w14:paraId="1A3E6BD2">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办公地址：广东省韶关市武江区芙蓉东路5号</w:t>
            </w:r>
          </w:p>
          <w:p w14:paraId="1F781305">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联系人（部门）：建筑业市场管理科</w:t>
            </w:r>
          </w:p>
          <w:p w14:paraId="12DCC049">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联系电话：0751-8892601</w:t>
            </w:r>
          </w:p>
        </w:tc>
      </w:tr>
    </w:tbl>
    <w:p w14:paraId="46F4871B">
      <w:pPr>
        <w:rPr>
          <w:rFonts w:hint="eastAsia" w:ascii="宋体" w:hAnsi="宋体" w:eastAsia="宋体" w:cs="宋体"/>
          <w:color w:val="auto"/>
        </w:rPr>
      </w:pPr>
    </w:p>
    <w:p w14:paraId="144D79D4">
      <w:pPr>
        <w:rPr>
          <w:rFonts w:hint="eastAsia" w:ascii="宋体" w:hAnsi="宋体" w:eastAsia="宋体" w:cs="宋体"/>
          <w:color w:val="auto"/>
        </w:rPr>
      </w:pPr>
    </w:p>
    <w:p w14:paraId="0CCC3586">
      <w:pPr>
        <w:rPr>
          <w:rFonts w:hint="eastAsia" w:ascii="宋体" w:hAnsi="宋体" w:eastAsia="宋体" w:cs="宋体"/>
          <w:color w:val="auto"/>
        </w:rPr>
      </w:pPr>
    </w:p>
    <w:p w14:paraId="6FDA5FD3">
      <w:pPr>
        <w:rPr>
          <w:rFonts w:hint="eastAsia" w:ascii="宋体" w:hAnsi="宋体" w:eastAsia="宋体" w:cs="宋体"/>
          <w:color w:val="auto"/>
        </w:rPr>
      </w:pPr>
    </w:p>
    <w:p w14:paraId="6F596CD1">
      <w:pPr>
        <w:rPr>
          <w:rFonts w:hint="eastAsia" w:ascii="宋体" w:hAnsi="宋体" w:eastAsia="宋体" w:cs="宋体"/>
          <w:color w:val="auto"/>
        </w:rPr>
      </w:pPr>
    </w:p>
    <w:bookmarkEnd w:id="12"/>
    <w:p w14:paraId="32B54223">
      <w:pPr>
        <w:rPr>
          <w:rFonts w:hint="eastAsia" w:ascii="宋体" w:hAnsi="宋体" w:eastAsia="宋体" w:cs="宋体"/>
          <w:color w:val="auto"/>
        </w:rPr>
      </w:pPr>
      <w:bookmarkStart w:id="13" w:name="_Toc19537"/>
      <w:bookmarkStart w:id="14" w:name="_Toc7288"/>
    </w:p>
    <w:p w14:paraId="1DB03C1C">
      <w:pPr>
        <w:rPr>
          <w:rFonts w:hint="eastAsia" w:ascii="宋体" w:hAnsi="宋体" w:eastAsia="宋体" w:cs="宋体"/>
          <w:color w:val="auto"/>
        </w:rPr>
      </w:pPr>
    </w:p>
    <w:p w14:paraId="3A5E8114">
      <w:pPr>
        <w:rPr>
          <w:rFonts w:hint="eastAsia" w:ascii="宋体" w:hAnsi="宋体" w:eastAsia="宋体" w:cs="宋体"/>
          <w:color w:val="auto"/>
        </w:rPr>
      </w:pPr>
    </w:p>
    <w:p w14:paraId="47066E37">
      <w:pPr>
        <w:rPr>
          <w:rFonts w:hint="eastAsia" w:ascii="宋体" w:hAnsi="宋体" w:eastAsia="宋体" w:cs="宋体"/>
          <w:color w:val="auto"/>
        </w:rPr>
      </w:pPr>
    </w:p>
    <w:p w14:paraId="1CA3B4AA">
      <w:pPr>
        <w:rPr>
          <w:rFonts w:hint="eastAsia" w:ascii="宋体" w:hAnsi="宋体" w:eastAsia="宋体" w:cs="宋体"/>
          <w:color w:val="auto"/>
        </w:rPr>
      </w:pPr>
    </w:p>
    <w:p w14:paraId="0EC75354">
      <w:pPr>
        <w:rPr>
          <w:rFonts w:hint="eastAsia" w:ascii="宋体" w:hAnsi="宋体" w:eastAsia="宋体" w:cs="宋体"/>
          <w:color w:val="auto"/>
        </w:rPr>
      </w:pPr>
    </w:p>
    <w:p w14:paraId="07128F76">
      <w:pPr>
        <w:rPr>
          <w:rFonts w:hint="eastAsia" w:ascii="宋体" w:hAnsi="宋体" w:eastAsia="宋体" w:cs="宋体"/>
          <w:color w:val="auto"/>
        </w:rPr>
      </w:pPr>
    </w:p>
    <w:p w14:paraId="30D9E8E7">
      <w:pPr>
        <w:rPr>
          <w:rFonts w:hint="eastAsia" w:ascii="宋体" w:hAnsi="宋体" w:eastAsia="宋体" w:cs="宋体"/>
          <w:color w:val="auto"/>
        </w:rPr>
      </w:pPr>
    </w:p>
    <w:p w14:paraId="7FB63CD5">
      <w:pPr>
        <w:rPr>
          <w:rFonts w:hint="eastAsia" w:ascii="宋体" w:hAnsi="宋体" w:eastAsia="宋体" w:cs="宋体"/>
          <w:color w:val="auto"/>
        </w:rPr>
      </w:pPr>
    </w:p>
    <w:p w14:paraId="4AAFA171">
      <w:pPr>
        <w:rPr>
          <w:rFonts w:hint="eastAsia" w:ascii="宋体" w:hAnsi="宋体" w:eastAsia="宋体" w:cs="宋体"/>
          <w:color w:val="auto"/>
        </w:rPr>
      </w:pPr>
    </w:p>
    <w:p w14:paraId="61FE332C">
      <w:pPr>
        <w:pStyle w:val="17"/>
        <w:ind w:left="0" w:leftChars="0" w:firstLine="0" w:firstLineChars="0"/>
        <w:rPr>
          <w:rFonts w:hint="eastAsia" w:ascii="宋体" w:hAnsi="宋体" w:eastAsia="宋体" w:cs="宋体"/>
          <w:color w:val="auto"/>
        </w:rPr>
      </w:pPr>
    </w:p>
    <w:p w14:paraId="70F849F2">
      <w:pPr>
        <w:rPr>
          <w:rFonts w:hint="eastAsia" w:ascii="宋体" w:hAnsi="宋体" w:eastAsia="宋体" w:cs="宋体"/>
          <w:color w:val="auto"/>
        </w:rPr>
      </w:pPr>
    </w:p>
    <w:p w14:paraId="66CF6E21">
      <w:pPr>
        <w:rPr>
          <w:rFonts w:hint="eastAsia" w:ascii="宋体" w:hAnsi="宋体" w:eastAsia="宋体" w:cs="宋体"/>
          <w:color w:val="auto"/>
        </w:rPr>
      </w:pPr>
    </w:p>
    <w:p w14:paraId="39D07281">
      <w:pPr>
        <w:rPr>
          <w:rFonts w:hint="eastAsia" w:ascii="宋体" w:hAnsi="宋体" w:eastAsia="宋体" w:cs="宋体"/>
          <w:color w:val="auto"/>
          <w:lang w:eastAsia="zh-CN"/>
        </w:rPr>
      </w:pPr>
    </w:p>
    <w:p w14:paraId="04344BAB">
      <w:pPr>
        <w:rPr>
          <w:rFonts w:hint="eastAsia" w:ascii="宋体" w:hAnsi="宋体" w:eastAsia="宋体" w:cs="宋体"/>
          <w:color w:val="auto"/>
        </w:rPr>
      </w:pPr>
    </w:p>
    <w:p w14:paraId="056B6CEC">
      <w:pPr>
        <w:rPr>
          <w:rFonts w:hint="eastAsia" w:ascii="宋体" w:hAnsi="宋体" w:eastAsia="宋体" w:cs="宋体"/>
          <w:color w:val="auto"/>
        </w:rPr>
      </w:pPr>
    </w:p>
    <w:p w14:paraId="20FF21AB">
      <w:pPr>
        <w:pStyle w:val="5"/>
        <w:wordWrap w:val="0"/>
        <w:autoSpaceDE/>
        <w:autoSpaceDN/>
        <w:snapToGrid w:val="0"/>
        <w:spacing w:after="260" w:line="440" w:lineRule="exact"/>
        <w:jc w:val="both"/>
        <w:rPr>
          <w:rFonts w:hint="eastAsia" w:ascii="宋体" w:hAnsi="宋体" w:eastAsia="宋体" w:cs="宋体"/>
          <w:b/>
          <w:snapToGrid w:val="0"/>
          <w:color w:val="auto"/>
          <w:sz w:val="24"/>
          <w:highlight w:val="none"/>
        </w:rPr>
      </w:pPr>
      <w:bookmarkStart w:id="15" w:name="_Toc14919"/>
      <w:r>
        <w:rPr>
          <w:rFonts w:hint="eastAsia" w:ascii="宋体" w:hAnsi="宋体" w:eastAsia="宋体" w:cs="宋体"/>
          <w:b/>
          <w:snapToGrid w:val="0"/>
          <w:color w:val="auto"/>
          <w:sz w:val="24"/>
          <w:highlight w:val="none"/>
        </w:rPr>
        <w:t xml:space="preserve">第二节 </w:t>
      </w:r>
      <w:r>
        <w:rPr>
          <w:rFonts w:hint="eastAsia" w:ascii="宋体" w:hAnsi="宋体" w:eastAsia="宋体" w:cs="宋体"/>
          <w:b/>
          <w:snapToGrid w:val="0"/>
          <w:color w:val="auto"/>
          <w:sz w:val="24"/>
          <w:highlight w:val="none"/>
          <w:lang w:val="en-US" w:eastAsia="zh-CN"/>
        </w:rPr>
        <w:t xml:space="preserve">  </w:t>
      </w:r>
      <w:r>
        <w:rPr>
          <w:rFonts w:hint="eastAsia" w:ascii="宋体" w:hAnsi="宋体" w:eastAsia="宋体" w:cs="宋体"/>
          <w:b/>
          <w:snapToGrid w:val="0"/>
          <w:color w:val="auto"/>
          <w:sz w:val="24"/>
          <w:highlight w:val="none"/>
        </w:rPr>
        <w:t>重要事项时间地点一览表</w:t>
      </w:r>
      <w:bookmarkEnd w:id="13"/>
      <w:bookmarkEnd w:id="14"/>
      <w:bookmarkEnd w:id="15"/>
    </w:p>
    <w:tbl>
      <w:tblPr>
        <w:tblStyle w:val="19"/>
        <w:tblW w:w="5044"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8"/>
        <w:gridCol w:w="1398"/>
        <w:gridCol w:w="7888"/>
      </w:tblGrid>
      <w:tr w14:paraId="131C54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9"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F520167">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AD9D4C0">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6EAB9A7D">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BEAB354">
            <w:pPr>
              <w:widowControl/>
              <w:snapToGrid w:val="0"/>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17</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w:t>
            </w:r>
          </w:p>
        </w:tc>
      </w:tr>
      <w:tr w14:paraId="0015FA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6"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722C6D38">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9C17D3B">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获取招标文件</w:t>
            </w:r>
            <w:r>
              <w:rPr>
                <w:rFonts w:hint="eastAsia" w:ascii="宋体" w:hAnsi="宋体" w:eastAsia="宋体" w:cs="宋体"/>
                <w:snapToGrid w:val="0"/>
                <w:color w:val="auto"/>
                <w:kern w:val="0"/>
                <w:sz w:val="24"/>
                <w:szCs w:val="24"/>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24B0DCB">
            <w:pPr>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02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09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5D8874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3139747F">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73F64936">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5E3CC125">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09AD5FE">
            <w:pPr>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w:t>
            </w:r>
          </w:p>
        </w:tc>
      </w:tr>
      <w:tr w14:paraId="6B92B6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2"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670E02C4">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6CB4991">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01A44F65">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56A4BA50">
            <w:pPr>
              <w:pStyle w:val="25"/>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分至</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25</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00</w:t>
            </w:r>
            <w:r>
              <w:rPr>
                <w:rFonts w:hint="eastAsia" w:ascii="宋体" w:hAnsi="宋体" w:eastAsia="宋体" w:cs="宋体"/>
                <w:color w:val="auto"/>
                <w:kern w:val="0"/>
                <w:sz w:val="24"/>
                <w:szCs w:val="24"/>
                <w:highlight w:val="none"/>
              </w:rPr>
              <w:t>分</w:t>
            </w:r>
          </w:p>
        </w:tc>
      </w:tr>
      <w:tr w14:paraId="1DFB24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303F7A5D">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FED4586">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4F3572B1">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177EA2A">
            <w:pPr>
              <w:pStyle w:val="25"/>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投标保证金到账截止时间：</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01</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09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p w14:paraId="24803064">
            <w:pPr>
              <w:pStyle w:val="25"/>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投标保证担保上传截止时间：</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01</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09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p w14:paraId="48713807">
            <w:pPr>
              <w:pStyle w:val="25"/>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投标保证保险投保截止时间：</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01</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09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0AC2D6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7AA62B9D">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B215401">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6707F12D">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5A35FEF8">
            <w:pPr>
              <w:pStyle w:val="25"/>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02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09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50C812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6C167B9">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4E2BA029">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5AD7C5FE">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8344321">
            <w:pPr>
              <w:pStyle w:val="25"/>
              <w:widowControl/>
              <w:snapToGrid w:val="0"/>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02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09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0</w:t>
            </w:r>
            <w:bookmarkStart w:id="343" w:name="_GoBack"/>
            <w:bookmarkEnd w:id="343"/>
            <w:r>
              <w:rPr>
                <w:rFonts w:hint="eastAsia" w:ascii="宋体" w:hAnsi="宋体" w:cs="宋体"/>
                <w:color w:val="auto"/>
                <w:kern w:val="0"/>
                <w:sz w:val="24"/>
                <w:szCs w:val="24"/>
                <w:highlight w:val="none"/>
                <w:u w:val="single"/>
                <w:lang w:val="en-US" w:eastAsia="zh-CN"/>
              </w:rPr>
              <w:t>0</w:t>
            </w:r>
            <w:r>
              <w:rPr>
                <w:rFonts w:hint="eastAsia" w:ascii="宋体" w:hAnsi="宋体" w:eastAsia="宋体" w:cs="宋体"/>
                <w:color w:val="auto"/>
                <w:kern w:val="0"/>
                <w:sz w:val="24"/>
                <w:szCs w:val="24"/>
                <w:highlight w:val="none"/>
              </w:rPr>
              <w:t>分至</w:t>
            </w: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02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09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7FA814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7E86CC80">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2226AD6">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投标评审原件（如有）</w:t>
            </w:r>
          </w:p>
          <w:p w14:paraId="16C6B343">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递交地点</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0974899">
            <w:pPr>
              <w:pStyle w:val="25"/>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递交场所：韶关市公共资源交易中心</w:t>
            </w:r>
          </w:p>
          <w:p w14:paraId="67EE8DC5">
            <w:pPr>
              <w:pStyle w:val="25"/>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地址：广东省韶关市武江区西联镇，具体房间号以当日现场通知为准</w:t>
            </w:r>
            <w:r>
              <w:rPr>
                <w:rFonts w:hint="eastAsia" w:ascii="宋体" w:hAnsi="宋体" w:eastAsia="宋体" w:cs="宋体"/>
                <w:snapToGrid w:val="0"/>
                <w:color w:val="auto"/>
                <w:kern w:val="0"/>
                <w:sz w:val="24"/>
                <w:szCs w:val="24"/>
                <w:highlight w:val="none"/>
                <w:lang w:eastAsia="zh-CN"/>
              </w:rPr>
              <w:t>。</w:t>
            </w:r>
          </w:p>
        </w:tc>
      </w:tr>
      <w:tr w14:paraId="3E7CF1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3A35CC51">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799DF6EC">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4F90C3C3">
            <w:pPr>
              <w:pStyle w:val="25"/>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cs="宋体"/>
                <w:color w:val="auto"/>
                <w:kern w:val="0"/>
                <w:sz w:val="24"/>
                <w:szCs w:val="24"/>
                <w:highlight w:val="none"/>
                <w:u w:val="single"/>
                <w:lang w:val="en-US" w:eastAsia="zh-CN"/>
              </w:rPr>
              <w:t>2026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07</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02</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09</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rPr>
              <w:t>分</w:t>
            </w:r>
          </w:p>
        </w:tc>
      </w:tr>
      <w:tr w14:paraId="77C0D1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44"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AEF7368">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152E296">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67986DC3">
            <w:pPr>
              <w:pStyle w:val="25"/>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开标场所：韶关市公共资源交易中心</w:t>
            </w:r>
          </w:p>
          <w:p w14:paraId="04C858C1">
            <w:pPr>
              <w:pStyle w:val="25"/>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地址：广东省韶关市武江区西联镇，具体房间号以当日现场通知为准</w:t>
            </w:r>
            <w:r>
              <w:rPr>
                <w:rFonts w:hint="eastAsia" w:ascii="宋体" w:hAnsi="宋体" w:eastAsia="宋体" w:cs="宋体"/>
                <w:snapToGrid w:val="0"/>
                <w:color w:val="auto"/>
                <w:kern w:val="0"/>
                <w:sz w:val="24"/>
                <w:szCs w:val="24"/>
                <w:highlight w:val="none"/>
                <w:lang w:eastAsia="zh-CN"/>
              </w:rPr>
              <w:t>。</w:t>
            </w:r>
          </w:p>
        </w:tc>
      </w:tr>
      <w:tr w14:paraId="356CE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32" w:hRule="exact"/>
        </w:trPr>
        <w:tc>
          <w:tcPr>
            <w:tcW w:w="948" w:type="pct"/>
            <w:gridSpan w:val="2"/>
            <w:tcBorders>
              <w:top w:val="single" w:color="080000" w:sz="4" w:space="0"/>
              <w:left w:val="single" w:color="080000" w:sz="4" w:space="0"/>
              <w:bottom w:val="single" w:color="080000" w:sz="4" w:space="0"/>
              <w:right w:val="single" w:color="080000" w:sz="4" w:space="0"/>
            </w:tcBorders>
            <w:noWrap w:val="0"/>
            <w:vAlign w:val="center"/>
          </w:tcPr>
          <w:p w14:paraId="2002A2C7">
            <w:pPr>
              <w:pStyle w:val="25"/>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80FF75A">
            <w:pPr>
              <w:pStyle w:val="25"/>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7C8479DA">
      <w:pPr>
        <w:pStyle w:val="5"/>
        <w:wordWrap w:val="0"/>
        <w:autoSpaceDE/>
        <w:autoSpaceDN/>
        <w:snapToGrid w:val="0"/>
        <w:spacing w:after="260" w:line="360" w:lineRule="auto"/>
        <w:jc w:val="both"/>
        <w:rPr>
          <w:rFonts w:hint="eastAsia" w:ascii="宋体" w:hAnsi="宋体" w:eastAsia="宋体" w:cs="宋体"/>
          <w:b/>
          <w:snapToGrid w:val="0"/>
          <w:color w:val="auto"/>
          <w:sz w:val="24"/>
          <w:highlight w:val="none"/>
        </w:rPr>
      </w:pPr>
      <w:bookmarkStart w:id="16" w:name="_Toc10184"/>
      <w:bookmarkStart w:id="17" w:name="_Hlt69698705"/>
      <w:bookmarkStart w:id="18" w:name="_Toc27400"/>
      <w:bookmarkStart w:id="19" w:name="_Toc25412"/>
      <w:bookmarkStart w:id="20" w:name="_Hlt69698754"/>
      <w:r>
        <w:rPr>
          <w:rFonts w:hint="eastAsia" w:ascii="宋体" w:hAnsi="宋体" w:eastAsia="宋体" w:cs="宋体"/>
          <w:b/>
          <w:snapToGrid w:val="0"/>
          <w:color w:val="auto"/>
          <w:sz w:val="24"/>
          <w:highlight w:val="none"/>
        </w:rPr>
        <w:t xml:space="preserve">第三节 </w:t>
      </w:r>
      <w:r>
        <w:rPr>
          <w:rFonts w:hint="eastAsia" w:ascii="宋体" w:hAnsi="宋体" w:eastAsia="宋体" w:cs="宋体"/>
          <w:b/>
          <w:snapToGrid w:val="0"/>
          <w:color w:val="auto"/>
          <w:sz w:val="24"/>
          <w:highlight w:val="none"/>
          <w:lang w:val="en-US" w:eastAsia="zh-CN"/>
        </w:rPr>
        <w:t xml:space="preserve">  </w:t>
      </w:r>
      <w:r>
        <w:rPr>
          <w:rFonts w:hint="eastAsia" w:ascii="宋体" w:hAnsi="宋体" w:eastAsia="宋体" w:cs="宋体"/>
          <w:b/>
          <w:snapToGrid w:val="0"/>
          <w:color w:val="auto"/>
          <w:sz w:val="24"/>
          <w:highlight w:val="none"/>
        </w:rPr>
        <w:t>投标人须知</w:t>
      </w:r>
      <w:bookmarkStart w:id="21" w:name="_Hlt69669159"/>
      <w:bookmarkEnd w:id="21"/>
      <w:r>
        <w:rPr>
          <w:rFonts w:hint="eastAsia" w:ascii="宋体" w:hAnsi="宋体" w:eastAsia="宋体" w:cs="宋体"/>
          <w:b/>
          <w:snapToGrid w:val="0"/>
          <w:color w:val="auto"/>
          <w:sz w:val="24"/>
          <w:highlight w:val="none"/>
        </w:rPr>
        <w:t>正文</w:t>
      </w:r>
      <w:bookmarkEnd w:id="16"/>
      <w:bookmarkEnd w:id="17"/>
      <w:bookmarkEnd w:id="18"/>
      <w:bookmarkEnd w:id="19"/>
      <w:bookmarkEnd w:id="20"/>
    </w:p>
    <w:p w14:paraId="2CAA8BE0">
      <w:pPr>
        <w:wordWrap w:val="0"/>
        <w:adjustRightInd w:val="0"/>
        <w:snapToGrid w:val="0"/>
        <w:spacing w:line="360" w:lineRule="auto"/>
        <w:ind w:firstLine="480"/>
        <w:outlineLvl w:val="9"/>
        <w:rPr>
          <w:rFonts w:hint="eastAsia" w:ascii="宋体" w:hAnsi="宋体" w:eastAsia="宋体" w:cs="宋体"/>
          <w:b/>
          <w:snapToGrid w:val="0"/>
          <w:color w:val="auto"/>
          <w:kern w:val="0"/>
          <w:sz w:val="24"/>
          <w:highlight w:val="none"/>
          <w:u w:val="none"/>
        </w:rPr>
      </w:pPr>
      <w:bookmarkStart w:id="22" w:name="_Toc21609"/>
      <w:r>
        <w:rPr>
          <w:rFonts w:hint="eastAsia" w:ascii="宋体" w:hAnsi="宋体" w:eastAsia="宋体" w:cs="宋体"/>
          <w:color w:val="auto"/>
          <w:kern w:val="0"/>
          <w:sz w:val="24"/>
          <w:szCs w:val="22"/>
          <w:highlight w:val="none"/>
          <w:u w:val="single"/>
          <w:lang w:val="en-US" w:eastAsia="zh-CN"/>
        </w:rPr>
        <w:t>韶关市小岛片区城市提质升级项目</w:t>
      </w:r>
      <w:r>
        <w:rPr>
          <w:rFonts w:hint="eastAsia" w:ascii="宋体" w:hAnsi="宋体" w:eastAsia="宋体" w:cs="宋体"/>
          <w:bCs/>
          <w:snapToGrid w:val="0"/>
          <w:color w:val="auto"/>
          <w:kern w:val="0"/>
          <w:sz w:val="24"/>
          <w:szCs w:val="24"/>
          <w:highlight w:val="none"/>
          <w:u w:val="none"/>
          <w:lang w:eastAsia="zh-CN"/>
        </w:rPr>
        <w:t>经</w:t>
      </w:r>
      <w:r>
        <w:rPr>
          <w:rFonts w:hint="eastAsia" w:ascii="宋体" w:hAnsi="宋体" w:eastAsia="宋体" w:cs="宋体"/>
          <w:color w:val="auto"/>
          <w:kern w:val="0"/>
          <w:sz w:val="24"/>
          <w:szCs w:val="32"/>
          <w:highlight w:val="none"/>
          <w:u w:val="single"/>
          <w:lang w:eastAsia="zh-CN"/>
        </w:rPr>
        <w:t>韶关市浈江区发展和改革局</w:t>
      </w:r>
      <w:r>
        <w:rPr>
          <w:rFonts w:hint="eastAsia" w:ascii="宋体" w:hAnsi="宋体" w:eastAsia="宋体" w:cs="宋体"/>
          <w:color w:val="auto"/>
          <w:kern w:val="0"/>
          <w:sz w:val="24"/>
          <w:szCs w:val="32"/>
          <w:highlight w:val="none"/>
          <w:u w:val="single"/>
        </w:rPr>
        <w:t>以《</w:t>
      </w:r>
      <w:r>
        <w:rPr>
          <w:rFonts w:hint="eastAsia" w:ascii="宋体" w:hAnsi="宋体" w:eastAsia="宋体" w:cs="宋体"/>
          <w:color w:val="auto"/>
          <w:kern w:val="0"/>
          <w:sz w:val="24"/>
          <w:szCs w:val="22"/>
          <w:highlight w:val="none"/>
          <w:u w:val="single"/>
          <w:lang w:eastAsia="zh-CN"/>
        </w:rPr>
        <w:t>韶关市浈江区发展和改革局关于韶关市小岛片区城市提质升级项目可行性研究报告的批复</w:t>
      </w:r>
      <w:r>
        <w:rPr>
          <w:rFonts w:hint="eastAsia" w:ascii="宋体" w:hAnsi="宋体" w:eastAsia="宋体" w:cs="宋体"/>
          <w:color w:val="auto"/>
          <w:kern w:val="0"/>
          <w:sz w:val="24"/>
          <w:szCs w:val="32"/>
          <w:highlight w:val="none"/>
          <w:u w:val="single"/>
        </w:rPr>
        <w:t>》（</w:t>
      </w:r>
      <w:r>
        <w:rPr>
          <w:rFonts w:hint="eastAsia" w:ascii="宋体" w:hAnsi="宋体" w:eastAsia="宋体" w:cs="宋体"/>
          <w:color w:val="auto"/>
          <w:kern w:val="0"/>
          <w:sz w:val="24"/>
          <w:szCs w:val="32"/>
          <w:highlight w:val="none"/>
          <w:u w:val="single"/>
          <w:lang w:eastAsia="zh-CN"/>
        </w:rPr>
        <w:t>韶浈发改投审〔2026〕30号</w:t>
      </w:r>
      <w:r>
        <w:rPr>
          <w:rFonts w:hint="eastAsia" w:ascii="宋体" w:hAnsi="宋体" w:eastAsia="宋体" w:cs="宋体"/>
          <w:color w:val="auto"/>
          <w:kern w:val="0"/>
          <w:sz w:val="24"/>
          <w:szCs w:val="32"/>
          <w:highlight w:val="none"/>
          <w:u w:val="single"/>
        </w:rPr>
        <w:t>）</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2604-440204-04-01-906687</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none"/>
          <w:lang w:eastAsia="zh-CN"/>
        </w:rPr>
        <w:t>本项目业主为</w:t>
      </w:r>
      <w:r>
        <w:rPr>
          <w:rFonts w:hint="eastAsia" w:ascii="宋体" w:hAnsi="宋体" w:eastAsia="宋体" w:cs="宋体"/>
          <w:bCs/>
          <w:snapToGrid w:val="0"/>
          <w:color w:val="auto"/>
          <w:kern w:val="0"/>
          <w:sz w:val="24"/>
          <w:szCs w:val="24"/>
          <w:highlight w:val="none"/>
          <w:u w:val="single"/>
          <w:lang w:eastAsia="zh-CN"/>
        </w:rPr>
        <w:t>韶关市浈江区格致城市运营管理有限公司，</w:t>
      </w:r>
      <w:r>
        <w:rPr>
          <w:rFonts w:hint="eastAsia" w:ascii="宋体" w:hAnsi="宋体" w:eastAsia="宋体" w:cs="宋体"/>
          <w:bCs/>
          <w:snapToGrid w:val="0"/>
          <w:color w:val="auto"/>
          <w:kern w:val="0"/>
          <w:sz w:val="24"/>
          <w:szCs w:val="24"/>
          <w:highlight w:val="none"/>
          <w:u w:val="none"/>
          <w:lang w:eastAsia="zh-CN"/>
        </w:rPr>
        <w:t>建设资金来自</w:t>
      </w:r>
      <w:r>
        <w:rPr>
          <w:rFonts w:hint="eastAsia" w:ascii="宋体" w:hAnsi="宋体" w:eastAsia="宋体" w:cs="宋体"/>
          <w:snapToGrid w:val="0"/>
          <w:color w:val="auto"/>
          <w:kern w:val="0"/>
          <w:sz w:val="24"/>
          <w:szCs w:val="32"/>
          <w:highlight w:val="none"/>
          <w:u w:val="single"/>
          <w:lang w:eastAsia="zh-CN"/>
        </w:rPr>
        <w:t>上级财政投资、地方配套安排解决</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none"/>
          <w:lang w:eastAsia="zh-CN"/>
        </w:rPr>
        <w:t>出资比例为</w:t>
      </w:r>
      <w:r>
        <w:rPr>
          <w:rFonts w:hint="eastAsia" w:ascii="宋体" w:hAnsi="宋体" w:eastAsia="宋体" w:cs="宋体"/>
          <w:bCs/>
          <w:snapToGrid w:val="0"/>
          <w:color w:val="auto"/>
          <w:kern w:val="0"/>
          <w:sz w:val="24"/>
          <w:szCs w:val="24"/>
          <w:highlight w:val="none"/>
          <w:u w:val="single"/>
          <w:lang w:eastAsia="zh-CN"/>
        </w:rPr>
        <w:t>100%，</w:t>
      </w:r>
      <w:r>
        <w:rPr>
          <w:rFonts w:hint="eastAsia" w:ascii="宋体" w:hAnsi="宋体" w:eastAsia="宋体" w:cs="宋体"/>
          <w:bCs/>
          <w:snapToGrid w:val="0"/>
          <w:color w:val="auto"/>
          <w:kern w:val="0"/>
          <w:sz w:val="24"/>
          <w:szCs w:val="24"/>
          <w:highlight w:val="none"/>
          <w:u w:val="none"/>
          <w:lang w:eastAsia="zh-CN"/>
        </w:rPr>
        <w:t>招标人为</w:t>
      </w:r>
      <w:r>
        <w:rPr>
          <w:rFonts w:hint="eastAsia" w:ascii="宋体" w:hAnsi="宋体" w:eastAsia="宋体" w:cs="宋体"/>
          <w:bCs/>
          <w:snapToGrid w:val="0"/>
          <w:color w:val="auto"/>
          <w:kern w:val="0"/>
          <w:sz w:val="24"/>
          <w:szCs w:val="24"/>
          <w:highlight w:val="none"/>
          <w:u w:val="single"/>
          <w:lang w:eastAsia="zh-CN"/>
        </w:rPr>
        <w:t>韶关市浈江区格致城市运营管理有限公司，</w:t>
      </w:r>
      <w:r>
        <w:rPr>
          <w:rFonts w:hint="eastAsia" w:ascii="宋体" w:hAnsi="宋体" w:eastAsia="宋体" w:cs="宋体"/>
          <w:bCs/>
          <w:snapToGrid w:val="0"/>
          <w:color w:val="auto"/>
          <w:kern w:val="0"/>
          <w:sz w:val="24"/>
          <w:szCs w:val="24"/>
          <w:highlight w:val="none"/>
          <w:u w:val="none"/>
          <w:lang w:eastAsia="zh-CN"/>
        </w:rPr>
        <w:t>招标代理机构为</w:t>
      </w:r>
      <w:r>
        <w:rPr>
          <w:rFonts w:hint="eastAsia" w:ascii="宋体" w:hAnsi="宋体" w:eastAsia="宋体" w:cs="宋体"/>
          <w:bCs/>
          <w:snapToGrid w:val="0"/>
          <w:color w:val="auto"/>
          <w:kern w:val="0"/>
          <w:sz w:val="24"/>
          <w:szCs w:val="24"/>
          <w:highlight w:val="none"/>
          <w:u w:val="single"/>
          <w:lang w:eastAsia="zh-CN"/>
        </w:rPr>
        <w:t>广东科瑞工程管理有限公司。</w:t>
      </w:r>
      <w:r>
        <w:rPr>
          <w:rFonts w:hint="eastAsia" w:ascii="宋体" w:hAnsi="宋体" w:eastAsia="宋体" w:cs="宋体"/>
          <w:bCs/>
          <w:snapToGrid w:val="0"/>
          <w:color w:val="auto"/>
          <w:kern w:val="0"/>
          <w:sz w:val="24"/>
          <w:szCs w:val="24"/>
          <w:highlight w:val="none"/>
          <w:u w:val="none"/>
          <w:lang w:eastAsia="zh-CN"/>
        </w:rPr>
        <w:t>项目已具备招标条件，现对该项目的</w:t>
      </w:r>
      <w:r>
        <w:rPr>
          <w:rFonts w:hint="eastAsia" w:ascii="宋体" w:hAnsi="宋体" w:eastAsia="宋体" w:cs="宋体"/>
          <w:bCs/>
          <w:snapToGrid w:val="0"/>
          <w:color w:val="auto"/>
          <w:kern w:val="0"/>
          <w:sz w:val="24"/>
          <w:szCs w:val="24"/>
          <w:highlight w:val="none"/>
          <w:u w:val="single"/>
          <w:lang w:eastAsia="zh-CN"/>
        </w:rPr>
        <w:t>设计</w:t>
      </w:r>
      <w:r>
        <w:rPr>
          <w:rFonts w:hint="eastAsia" w:ascii="宋体" w:hAnsi="宋体" w:eastAsia="宋体" w:cs="宋体"/>
          <w:bCs/>
          <w:snapToGrid w:val="0"/>
          <w:color w:val="auto"/>
          <w:kern w:val="0"/>
          <w:sz w:val="24"/>
          <w:szCs w:val="24"/>
          <w:highlight w:val="none"/>
          <w:u w:val="none"/>
          <w:lang w:eastAsia="zh-CN"/>
        </w:rPr>
        <w:t>进行公开招标。</w:t>
      </w:r>
    </w:p>
    <w:p w14:paraId="773B0689">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23" w:name="_Toc17586"/>
      <w:bookmarkStart w:id="24" w:name="_Toc12542"/>
      <w:r>
        <w:rPr>
          <w:rFonts w:hint="eastAsia" w:ascii="宋体" w:hAnsi="宋体" w:eastAsia="宋体" w:cs="宋体"/>
          <w:b/>
          <w:snapToGrid w:val="0"/>
          <w:color w:val="auto"/>
          <w:sz w:val="24"/>
          <w:highlight w:val="none"/>
          <w:lang w:eastAsia="zh-CN"/>
        </w:rPr>
        <w:t>1.</w:t>
      </w:r>
      <w:r>
        <w:rPr>
          <w:rFonts w:hint="eastAsia" w:ascii="宋体" w:hAnsi="宋体" w:eastAsia="宋体" w:cs="宋体"/>
          <w:b/>
          <w:snapToGrid w:val="0"/>
          <w:color w:val="auto"/>
          <w:sz w:val="24"/>
          <w:highlight w:val="none"/>
        </w:rPr>
        <w:t>项目概况、招标范围和标段划分、投标费用</w:t>
      </w:r>
      <w:bookmarkEnd w:id="22"/>
      <w:bookmarkEnd w:id="23"/>
      <w:bookmarkEnd w:id="24"/>
    </w:p>
    <w:p w14:paraId="5202D954">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项目概况</w:t>
      </w:r>
    </w:p>
    <w:p w14:paraId="46F18B0C">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 xml:space="preserve"> 建设地点：</w:t>
      </w:r>
      <w:r>
        <w:rPr>
          <w:rFonts w:hint="eastAsia" w:ascii="宋体" w:hAnsi="宋体" w:eastAsia="宋体" w:cs="宋体"/>
          <w:b w:val="0"/>
          <w:bCs w:val="0"/>
          <w:snapToGrid w:val="0"/>
          <w:color w:val="auto"/>
          <w:kern w:val="0"/>
          <w:sz w:val="24"/>
          <w:szCs w:val="24"/>
          <w:highlight w:val="none"/>
          <w:u w:val="single"/>
          <w:lang w:val="en-US" w:eastAsia="zh-CN"/>
        </w:rPr>
        <w:t>韶关市浈江区风采街道小岛片区。</w:t>
      </w:r>
    </w:p>
    <w:p w14:paraId="1D64114F">
      <w:pPr>
        <w:wordWrap w:val="0"/>
        <w:adjustRightInd w:val="0"/>
        <w:snapToGrid w:val="0"/>
        <w:spacing w:line="360" w:lineRule="auto"/>
        <w:ind w:firstLine="482" w:firstLineChars="200"/>
        <w:jc w:val="left"/>
        <w:rPr>
          <w:rFonts w:hint="eastAsia" w:ascii="宋体" w:hAnsi="宋体" w:eastAsia="宋体" w:cs="宋体"/>
          <w:color w:val="auto"/>
          <w:sz w:val="24"/>
          <w:szCs w:val="22"/>
          <w:highlight w:val="none"/>
          <w:u w:val="single"/>
          <w:lang w:val="en-US" w:eastAsia="zh-CN"/>
        </w:rPr>
      </w:pPr>
      <w:r>
        <w:rPr>
          <w:rFonts w:hint="eastAsia" w:ascii="宋体" w:hAnsi="宋体" w:eastAsia="宋体" w:cs="宋体"/>
          <w:b/>
          <w:bCs/>
          <w:snapToGrid w:val="0"/>
          <w:color w:val="auto"/>
          <w:kern w:val="0"/>
          <w:sz w:val="24"/>
          <w:highlight w:val="none"/>
        </w:rPr>
        <w:t>1.1.2</w:t>
      </w:r>
      <w:r>
        <w:rPr>
          <w:rFonts w:hint="eastAsia" w:ascii="宋体" w:hAnsi="宋体" w:eastAsia="宋体" w:cs="宋体"/>
          <w:snapToGrid w:val="0"/>
          <w:color w:val="auto"/>
          <w:kern w:val="0"/>
          <w:sz w:val="24"/>
          <w:highlight w:val="none"/>
        </w:rPr>
        <w:t xml:space="preserve"> 建设内容和规模：</w:t>
      </w:r>
      <w:r>
        <w:rPr>
          <w:rFonts w:hint="eastAsia" w:ascii="宋体" w:hAnsi="宋体" w:eastAsia="宋体" w:cs="宋体"/>
          <w:color w:val="auto"/>
          <w:sz w:val="24"/>
          <w:szCs w:val="22"/>
          <w:highlight w:val="none"/>
          <w:u w:val="single"/>
          <w:lang w:val="en-US" w:eastAsia="zh-CN"/>
        </w:rPr>
        <w:t>改造提升道路系统，翻新骑行道、人行道和公共休闲步道共13.6km，新建跑步道5.1km，优化非机动车通行；完善公共服务设施，包括新建服务驿站780㎡，提升儿童活动区域7300㎡、改造三大研学基地约1.8万㎡；改造滨江全龄活动空间约3006㎡，修复生态环境约46580㎡，推进海绵城市建设，整治提升沿街建筑立面26000㎡；实施雨污分流改造，新建给水管约10000m，雨水管约7500m，污水管约2000m；建设新能源生态停车场700㎡，新增停车位170个，新建机动车充电桩138个，非机动车充电桩530个等工程。</w:t>
      </w:r>
    </w:p>
    <w:p w14:paraId="17EF68C4">
      <w:pPr>
        <w:wordWrap w:val="0"/>
        <w:adjustRightInd w:val="0"/>
        <w:snapToGrid w:val="0"/>
        <w:spacing w:line="360" w:lineRule="auto"/>
        <w:ind w:firstLine="480"/>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 xml:space="preserve"> 项目总投资：</w:t>
      </w:r>
      <w:r>
        <w:rPr>
          <w:rFonts w:hint="eastAsia" w:ascii="宋体" w:hAnsi="宋体" w:eastAsia="宋体" w:cs="宋体"/>
          <w:color w:val="auto"/>
          <w:sz w:val="24"/>
          <w:szCs w:val="22"/>
          <w:highlight w:val="none"/>
          <w:u w:val="single"/>
          <w:lang w:val="en-US" w:eastAsia="zh-CN"/>
        </w:rPr>
        <w:t>项目估算总投资14828.96万元，其中：工程费12148.62万元、工程建设其他费用2001.02万元、预备费679.32万元。</w:t>
      </w:r>
    </w:p>
    <w:p w14:paraId="038BFE6D">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1.2 </w:t>
      </w:r>
      <w:r>
        <w:rPr>
          <w:rFonts w:hint="eastAsia" w:ascii="宋体" w:hAnsi="宋体" w:eastAsia="宋体" w:cs="宋体"/>
          <w:snapToGrid w:val="0"/>
          <w:color w:val="auto"/>
          <w:kern w:val="0"/>
          <w:sz w:val="24"/>
          <w:szCs w:val="24"/>
          <w:highlight w:val="none"/>
        </w:rPr>
        <w:t>招标范围和标段划分</w:t>
      </w:r>
    </w:p>
    <w:p w14:paraId="08E93761">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 xml:space="preserve">1.2.1 </w:t>
      </w:r>
      <w:r>
        <w:rPr>
          <w:rFonts w:hint="eastAsia" w:ascii="宋体" w:hAnsi="宋体" w:eastAsia="宋体" w:cs="宋体"/>
          <w:snapToGrid w:val="0"/>
          <w:color w:val="auto"/>
          <w:kern w:val="0"/>
          <w:sz w:val="24"/>
          <w:szCs w:val="24"/>
          <w:highlight w:val="none"/>
        </w:rPr>
        <w:t>招标范围：</w:t>
      </w:r>
      <w:r>
        <w:rPr>
          <w:rFonts w:hint="eastAsia" w:ascii="宋体" w:hAnsi="宋体" w:eastAsia="宋体" w:cs="宋体"/>
          <w:snapToGrid w:val="0"/>
          <w:color w:val="auto"/>
          <w:kern w:val="0"/>
          <w:sz w:val="24"/>
          <w:szCs w:val="24"/>
          <w:highlight w:val="none"/>
          <w:lang w:val="en-US" w:eastAsia="zh-CN"/>
        </w:rPr>
        <w:t>本次招标所涉及的设计服务内容包括但不限于：</w:t>
      </w:r>
    </w:p>
    <w:p w14:paraId="61EA31D8">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①确保项目顺利实施的报建、报批、施工等所需的设计文件（含此项目初步设计文件、施工图设计文件且要求通过审查合格，初步设计概算编制等）；</w:t>
      </w:r>
    </w:p>
    <w:p w14:paraId="23E36904">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②验收过程中的设计指导及配合阶段验收及档案整理；</w:t>
      </w:r>
    </w:p>
    <w:p w14:paraId="6C9DFC9F">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③协助施工单位编制竣工图及后续设计服务工作；</w:t>
      </w:r>
    </w:p>
    <w:p w14:paraId="10A3D2B2">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④完成招标人提出的与项目相关并确保项目顺利实施的其他要求。</w:t>
      </w:r>
    </w:p>
    <w:p w14:paraId="303792B4">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1.2.2 </w:t>
      </w:r>
      <w:r>
        <w:rPr>
          <w:rFonts w:hint="eastAsia" w:ascii="宋体" w:hAnsi="宋体" w:eastAsia="宋体" w:cs="宋体"/>
          <w:snapToGrid w:val="0"/>
          <w:color w:val="auto"/>
          <w:kern w:val="0"/>
          <w:sz w:val="24"/>
          <w:szCs w:val="24"/>
          <w:highlight w:val="none"/>
        </w:rPr>
        <w:t>标段划分：本招标项目不划分标段。</w:t>
      </w:r>
    </w:p>
    <w:p w14:paraId="233A7E77">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1.3</w:t>
      </w:r>
      <w:r>
        <w:rPr>
          <w:rFonts w:hint="eastAsia" w:ascii="宋体" w:hAnsi="宋体" w:eastAsia="宋体" w:cs="宋体"/>
          <w:snapToGrid w:val="0"/>
          <w:color w:val="auto"/>
          <w:kern w:val="0"/>
          <w:sz w:val="24"/>
          <w:highlight w:val="none"/>
        </w:rPr>
        <w:t xml:space="preserve"> 投标费用：投标人应承担所有准备和参加投标的相关费用，不论投标结果如何，招标人均无义务和责任承担这些费用。</w:t>
      </w:r>
    </w:p>
    <w:p w14:paraId="6C06B895">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25" w:name="_Toc29077"/>
      <w:bookmarkStart w:id="26" w:name="_Toc20401"/>
      <w:bookmarkStart w:id="27" w:name="_Toc28649"/>
      <w:r>
        <w:rPr>
          <w:rFonts w:hint="eastAsia" w:ascii="宋体" w:hAnsi="宋体" w:eastAsia="宋体" w:cs="宋体"/>
          <w:b/>
          <w:snapToGrid w:val="0"/>
          <w:color w:val="auto"/>
          <w:sz w:val="24"/>
          <w:highlight w:val="none"/>
          <w:lang w:eastAsia="zh-CN"/>
        </w:rPr>
        <w:t>2.</w:t>
      </w:r>
      <w:r>
        <w:rPr>
          <w:rFonts w:hint="eastAsia" w:ascii="宋体" w:hAnsi="宋体" w:eastAsia="宋体" w:cs="宋体"/>
          <w:b/>
          <w:snapToGrid w:val="0"/>
          <w:color w:val="auto"/>
          <w:sz w:val="24"/>
          <w:highlight w:val="none"/>
        </w:rPr>
        <w:t>投标人资格要求</w:t>
      </w:r>
      <w:bookmarkEnd w:id="25"/>
      <w:bookmarkEnd w:id="26"/>
      <w:bookmarkEnd w:id="27"/>
      <w:bookmarkStart w:id="28" w:name="_Hlt74496495"/>
      <w:bookmarkEnd w:id="28"/>
    </w:p>
    <w:p w14:paraId="0B2CB33B">
      <w:pPr>
        <w:pStyle w:val="25"/>
        <w:spacing w:line="360" w:lineRule="auto"/>
        <w:ind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bookmarkStart w:id="29" w:name="_Toc16915"/>
      <w:r>
        <w:rPr>
          <w:rFonts w:hint="eastAsia" w:ascii="宋体" w:hAnsi="宋体" w:eastAsia="宋体" w:cs="宋体"/>
          <w:b/>
          <w:bCs/>
          <w:snapToGrid w:val="0"/>
          <w:color w:val="auto"/>
          <w:kern w:val="0"/>
          <w:sz w:val="24"/>
          <w:szCs w:val="20"/>
          <w:highlight w:val="none"/>
          <w:lang w:val="en-US" w:eastAsia="zh-CN" w:bidi="ar-SA"/>
        </w:rPr>
        <w:t>2.1</w:t>
      </w:r>
      <w:r>
        <w:rPr>
          <w:rFonts w:hint="eastAsia" w:ascii="宋体" w:hAnsi="宋体" w:eastAsia="宋体" w:cs="宋体"/>
          <w:snapToGrid w:val="0"/>
          <w:color w:val="auto"/>
          <w:kern w:val="0"/>
          <w:sz w:val="24"/>
          <w:szCs w:val="20"/>
          <w:highlight w:val="none"/>
          <w:lang w:val="en-US" w:eastAsia="zh-CN" w:bidi="ar-SA"/>
        </w:rPr>
        <w:t>本工程</w:t>
      </w:r>
      <w:r>
        <w:rPr>
          <w:rFonts w:hint="eastAsia" w:ascii="宋体" w:hAnsi="宋体" w:eastAsia="宋体" w:cs="宋体"/>
          <w:snapToGrid w:val="0"/>
          <w:color w:val="auto"/>
          <w:kern w:val="0"/>
          <w:sz w:val="24"/>
          <w:szCs w:val="20"/>
          <w:highlight w:val="none"/>
          <w:u w:val="single"/>
          <w:lang w:val="en-US" w:eastAsia="zh-CN" w:bidi="ar-SA"/>
        </w:rPr>
        <w:t>不接受</w:t>
      </w:r>
      <w:r>
        <w:rPr>
          <w:rFonts w:hint="eastAsia" w:ascii="宋体" w:hAnsi="宋体" w:eastAsia="宋体" w:cs="宋体"/>
          <w:snapToGrid w:val="0"/>
          <w:color w:val="auto"/>
          <w:kern w:val="0"/>
          <w:sz w:val="24"/>
          <w:szCs w:val="20"/>
          <w:highlight w:val="none"/>
          <w:lang w:val="en-US" w:eastAsia="zh-CN" w:bidi="ar-SA"/>
        </w:rPr>
        <w:t>联合体投标。</w:t>
      </w:r>
    </w:p>
    <w:p w14:paraId="4E67F188">
      <w:pPr>
        <w:pStyle w:val="25"/>
        <w:spacing w:line="360" w:lineRule="auto"/>
        <w:ind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2.2</w:t>
      </w:r>
      <w:r>
        <w:rPr>
          <w:rFonts w:hint="eastAsia" w:ascii="宋体" w:hAnsi="宋体" w:eastAsia="宋体" w:cs="宋体"/>
          <w:snapToGrid w:val="0"/>
          <w:color w:val="auto"/>
          <w:kern w:val="0"/>
          <w:sz w:val="24"/>
          <w:szCs w:val="20"/>
          <w:highlight w:val="none"/>
          <w:lang w:val="en-US" w:eastAsia="zh-CN" w:bidi="ar-SA"/>
        </w:rPr>
        <w:t>资质要求</w:t>
      </w:r>
    </w:p>
    <w:p w14:paraId="14C11E47">
      <w:pPr>
        <w:pStyle w:val="25"/>
        <w:spacing w:line="360" w:lineRule="auto"/>
        <w:ind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2.2.1</w:t>
      </w:r>
      <w:r>
        <w:rPr>
          <w:rFonts w:hint="eastAsia" w:ascii="宋体" w:hAnsi="宋体" w:eastAsia="宋体" w:cs="宋体"/>
          <w:snapToGrid w:val="0"/>
          <w:color w:val="auto"/>
          <w:kern w:val="0"/>
          <w:sz w:val="24"/>
          <w:szCs w:val="20"/>
          <w:highlight w:val="none"/>
          <w:lang w:val="en-US" w:eastAsia="zh-CN" w:bidi="ar-SA"/>
        </w:rPr>
        <w:t>投标人须持有市场监督管理部门（或原工商管理部门）核发的营业执照，按国家法律经营的独立法人。</w:t>
      </w:r>
    </w:p>
    <w:p w14:paraId="4437FE27">
      <w:pPr>
        <w:pStyle w:val="25"/>
        <w:spacing w:line="360" w:lineRule="auto"/>
        <w:ind w:left="36" w:leftChars="17"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2.2.2</w:t>
      </w:r>
      <w:r>
        <w:rPr>
          <w:rFonts w:hint="eastAsia" w:ascii="宋体" w:hAnsi="宋体" w:eastAsia="宋体" w:cs="宋体"/>
          <w:snapToGrid w:val="0"/>
          <w:color w:val="auto"/>
          <w:kern w:val="0"/>
          <w:sz w:val="24"/>
          <w:szCs w:val="20"/>
          <w:highlight w:val="none"/>
          <w:lang w:val="en-US" w:eastAsia="zh-CN" w:bidi="ar-SA"/>
        </w:rPr>
        <w:t>设计资质必须具备以下资质之一：</w:t>
      </w:r>
    </w:p>
    <w:p w14:paraId="3E743056">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（1）工程设计综合甲级资质；</w:t>
      </w:r>
    </w:p>
    <w:p w14:paraId="29B0B3CC">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（2）市政行业设计乙级以上（含乙级）资质；</w:t>
      </w:r>
    </w:p>
    <w:p w14:paraId="0100A85D">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（3）市政行业设计（燃气工程、轨道交通工程除外）乙级以上（含乙级）资质；</w:t>
      </w:r>
    </w:p>
    <w:p w14:paraId="0C00D129">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（4）市政行业工程设计（道路工程、排水工程）专业乙级以上（含乙级）资质。</w:t>
      </w:r>
    </w:p>
    <w:p w14:paraId="5E726363">
      <w:pPr>
        <w:pStyle w:val="25"/>
        <w:spacing w:line="360" w:lineRule="auto"/>
        <w:ind w:left="36" w:leftChars="17"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2.2.3</w:t>
      </w:r>
      <w:r>
        <w:rPr>
          <w:rFonts w:hint="eastAsia" w:ascii="宋体" w:hAnsi="宋体" w:eastAsia="宋体" w:cs="宋体"/>
          <w:snapToGrid w:val="0"/>
          <w:color w:val="auto"/>
          <w:kern w:val="0"/>
          <w:sz w:val="24"/>
          <w:szCs w:val="20"/>
          <w:highlight w:val="none"/>
          <w:lang w:val="en-US" w:eastAsia="zh-CN" w:bidi="ar-SA"/>
        </w:rPr>
        <w:t>根据有关文件精神，投标人的企业相关证书、人员资质、资格有效期到期的，均按该证书的发证机构相关行业主管部门最新文件执行（如自动顺延或推迟办理延期业务的通知），投标人必须将相关文件附在该证书后面，证明在开标日继续有效的。</w:t>
      </w:r>
    </w:p>
    <w:p w14:paraId="18669DBF">
      <w:pPr>
        <w:pStyle w:val="25"/>
        <w:spacing w:line="360" w:lineRule="auto"/>
        <w:ind w:left="36" w:leftChars="17"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2.3</w:t>
      </w:r>
      <w:r>
        <w:rPr>
          <w:rFonts w:hint="eastAsia" w:ascii="宋体" w:hAnsi="宋体" w:eastAsia="宋体" w:cs="宋体"/>
          <w:snapToGrid w:val="0"/>
          <w:color w:val="auto"/>
          <w:kern w:val="0"/>
          <w:sz w:val="24"/>
          <w:szCs w:val="20"/>
          <w:highlight w:val="none"/>
          <w:lang w:val="en-US" w:eastAsia="zh-CN" w:bidi="ar-SA"/>
        </w:rPr>
        <w:t>相关人员要求</w:t>
      </w:r>
    </w:p>
    <w:p w14:paraId="08151C0D">
      <w:pPr>
        <w:pStyle w:val="25"/>
        <w:spacing w:line="360" w:lineRule="auto"/>
        <w:ind w:left="36" w:leftChars="17"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2.3.1</w:t>
      </w:r>
      <w:r>
        <w:rPr>
          <w:rFonts w:hint="eastAsia" w:ascii="宋体" w:hAnsi="宋体" w:eastAsia="宋体" w:cs="宋体"/>
          <w:snapToGrid w:val="0"/>
          <w:color w:val="auto"/>
          <w:kern w:val="0"/>
          <w:sz w:val="24"/>
          <w:szCs w:val="20"/>
          <w:highlight w:val="none"/>
          <w:lang w:val="en-US" w:eastAsia="zh-CN" w:bidi="ar-SA"/>
        </w:rPr>
        <w:t>拟委派担任本招标项目的项目负责人（即设计负责人）须具备中级或以上工程师职称。</w:t>
      </w:r>
    </w:p>
    <w:p w14:paraId="00E35543">
      <w:pPr>
        <w:pStyle w:val="25"/>
        <w:spacing w:line="360" w:lineRule="auto"/>
        <w:ind w:left="36" w:leftChars="17"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2.3.2</w:t>
      </w:r>
      <w:r>
        <w:rPr>
          <w:rFonts w:hint="eastAsia" w:ascii="宋体" w:hAnsi="宋体" w:eastAsia="宋体" w:cs="宋体"/>
          <w:snapToGrid w:val="0"/>
          <w:color w:val="auto"/>
          <w:kern w:val="0"/>
          <w:sz w:val="24"/>
          <w:szCs w:val="20"/>
          <w:highlight w:val="none"/>
          <w:lang w:val="en-US" w:eastAsia="zh-CN" w:bidi="ar-SA"/>
        </w:rPr>
        <w:t>投标人与其拟派往本项目所有人员之间必须具备合法、唯一的劳动聘用关系（非退休人员提供在本单位缴纳的社保证明即可）。拟派人员中具备注册执业资格的，其注册单位须与投标人保持一致。</w:t>
      </w:r>
    </w:p>
    <w:p w14:paraId="6DB02A99">
      <w:pPr>
        <w:pStyle w:val="25"/>
        <w:spacing w:line="360" w:lineRule="auto"/>
        <w:ind w:left="36" w:leftChars="17"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2.4</w:t>
      </w:r>
      <w:r>
        <w:rPr>
          <w:rFonts w:hint="eastAsia" w:ascii="宋体" w:hAnsi="宋体" w:eastAsia="宋体" w:cs="宋体"/>
          <w:snapToGrid w:val="0"/>
          <w:color w:val="auto"/>
          <w:kern w:val="0"/>
          <w:sz w:val="24"/>
          <w:szCs w:val="20"/>
          <w:highlight w:val="none"/>
          <w:lang w:val="en-US" w:eastAsia="zh-CN" w:bidi="ar-SA"/>
        </w:rPr>
        <w:t>禁止投标条款</w:t>
      </w:r>
    </w:p>
    <w:p w14:paraId="765D3050">
      <w:pPr>
        <w:pStyle w:val="25"/>
        <w:spacing w:line="360" w:lineRule="auto"/>
        <w:ind w:left="36" w:leftChars="17"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2.4.1</w:t>
      </w:r>
      <w:r>
        <w:rPr>
          <w:rFonts w:hint="eastAsia" w:ascii="宋体" w:hAnsi="宋体" w:eastAsia="宋体" w:cs="宋体"/>
          <w:snapToGrid w:val="0"/>
          <w:color w:val="auto"/>
          <w:kern w:val="0"/>
          <w:sz w:val="24"/>
          <w:szCs w:val="20"/>
          <w:highlight w:val="none"/>
          <w:lang w:val="en-US" w:eastAsia="zh-CN" w:bidi="ar-SA"/>
        </w:rPr>
        <w:t xml:space="preserve"> 投标人不得存在下列情形之一：</w:t>
      </w:r>
    </w:p>
    <w:p w14:paraId="24EC4795">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（1）为招标人不具有独立法人资格的附属机构（单位）；</w:t>
      </w:r>
    </w:p>
    <w:p w14:paraId="07991E91">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（2）与招标人存在利害关系且可能影响招标公正性；</w:t>
      </w:r>
    </w:p>
    <w:p w14:paraId="4DA276F5">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（3）与本招标项目的其他投标人为同一个单位负责人；</w:t>
      </w:r>
    </w:p>
    <w:p w14:paraId="50E26C76">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（4）与本招标项目的其他投标人存在控股、管理关系；</w:t>
      </w:r>
    </w:p>
    <w:p w14:paraId="0CAE3792">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（5）为本招标项目的代建人；</w:t>
      </w:r>
    </w:p>
    <w:p w14:paraId="2F9C7126">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（6）为本招标项目的招标代理机构；</w:t>
      </w:r>
    </w:p>
    <w:p w14:paraId="643E2000">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（7）与本招标项目的代建人或招标代理机构同为一个法定代表人；</w:t>
      </w:r>
    </w:p>
    <w:p w14:paraId="6BA76842">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（8）与本招标项目的代建人或招标代理机构存在控股或参股关系；</w:t>
      </w:r>
    </w:p>
    <w:p w14:paraId="5F464FA4">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（9）与本招标项目的代建人或招标代理机构存在相互任职或工作关系；</w:t>
      </w:r>
    </w:p>
    <w:p w14:paraId="36519A8A">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（10）被依法暂停或者取消投标资格；</w:t>
      </w:r>
    </w:p>
    <w:p w14:paraId="70DE6144">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（11）被责令停产停业、暂扣或者吊销许可证、暂扣或者吊销执照；</w:t>
      </w:r>
    </w:p>
    <w:p w14:paraId="247AC524">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（12）进入清算程序，或被宣告破产，或其他丧失履约能力的情形；</w:t>
      </w:r>
    </w:p>
    <w:p w14:paraId="132C01FA">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（13）在最近三年内发生重大工程质量或安全问题（以相关行业主管部门的行政处罚决定或司法机关出具的有关法律文书为准）；</w:t>
      </w:r>
    </w:p>
    <w:p w14:paraId="037669E1">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（14）被“信用中国”网站（https://www.creditchina.gov.cn）发布的《法人和非法人组织公共信用信息报告》列为严重失信主体名单的。</w:t>
      </w:r>
    </w:p>
    <w:p w14:paraId="64AD9BAF">
      <w:pPr>
        <w:pStyle w:val="25"/>
        <w:spacing w:line="360" w:lineRule="auto"/>
        <w:ind w:left="36" w:leftChars="17"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2.4.2</w:t>
      </w:r>
      <w:r>
        <w:rPr>
          <w:rFonts w:hint="eastAsia" w:ascii="宋体" w:hAnsi="宋体" w:eastAsia="宋体" w:cs="宋体"/>
          <w:snapToGrid w:val="0"/>
          <w:color w:val="auto"/>
          <w:kern w:val="0"/>
          <w:sz w:val="24"/>
          <w:szCs w:val="20"/>
          <w:highlight w:val="none"/>
          <w:lang w:val="en-US" w:eastAsia="zh-CN" w:bidi="ar-SA"/>
        </w:rPr>
        <w:t>招标人拒绝以下名单中的单位参加本次投标：</w:t>
      </w:r>
    </w:p>
    <w:tbl>
      <w:tblPr>
        <w:tblStyle w:val="19"/>
        <w:tblW w:w="0" w:type="auto"/>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4833"/>
        <w:gridCol w:w="3652"/>
      </w:tblGrid>
      <w:tr w14:paraId="77E4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0" w:type="dxa"/>
            <w:noWrap w:val="0"/>
            <w:vAlign w:val="center"/>
          </w:tcPr>
          <w:p w14:paraId="029954C3">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序号</w:t>
            </w:r>
          </w:p>
        </w:tc>
        <w:tc>
          <w:tcPr>
            <w:tcW w:w="4833" w:type="dxa"/>
            <w:noWrap w:val="0"/>
            <w:vAlign w:val="center"/>
          </w:tcPr>
          <w:p w14:paraId="03AE0ED3">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单位名称</w:t>
            </w:r>
          </w:p>
        </w:tc>
        <w:tc>
          <w:tcPr>
            <w:tcW w:w="3652" w:type="dxa"/>
            <w:noWrap w:val="0"/>
            <w:vAlign w:val="center"/>
          </w:tcPr>
          <w:p w14:paraId="3A274635">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拒绝原因</w:t>
            </w:r>
          </w:p>
        </w:tc>
      </w:tr>
      <w:tr w14:paraId="2C40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840" w:type="dxa"/>
            <w:noWrap w:val="0"/>
            <w:vAlign w:val="center"/>
          </w:tcPr>
          <w:p w14:paraId="0A1BBB3D">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1</w:t>
            </w:r>
          </w:p>
        </w:tc>
        <w:tc>
          <w:tcPr>
            <w:tcW w:w="4833" w:type="dxa"/>
            <w:noWrap w:val="0"/>
            <w:vAlign w:val="center"/>
          </w:tcPr>
          <w:p w14:paraId="3EDC7479">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韶关市浈江区格致城市运营管理有限公司</w:t>
            </w:r>
          </w:p>
        </w:tc>
        <w:tc>
          <w:tcPr>
            <w:tcW w:w="3652" w:type="dxa"/>
            <w:noWrap w:val="0"/>
            <w:vAlign w:val="center"/>
          </w:tcPr>
          <w:p w14:paraId="1DA7D2D6">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为本招标项目的业主单位</w:t>
            </w:r>
          </w:p>
        </w:tc>
      </w:tr>
      <w:tr w14:paraId="0321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840" w:type="dxa"/>
            <w:noWrap w:val="0"/>
            <w:vAlign w:val="center"/>
          </w:tcPr>
          <w:p w14:paraId="6914B563">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2</w:t>
            </w:r>
          </w:p>
        </w:tc>
        <w:tc>
          <w:tcPr>
            <w:tcW w:w="4833" w:type="dxa"/>
            <w:noWrap w:val="0"/>
            <w:vAlign w:val="center"/>
          </w:tcPr>
          <w:p w14:paraId="76895F73">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广东科瑞工程管理有限公司</w:t>
            </w:r>
          </w:p>
        </w:tc>
        <w:tc>
          <w:tcPr>
            <w:tcW w:w="3652" w:type="dxa"/>
            <w:noWrap w:val="0"/>
            <w:vAlign w:val="center"/>
          </w:tcPr>
          <w:p w14:paraId="2FEB8C4B">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为本招标项目的招标代理机构</w:t>
            </w:r>
          </w:p>
        </w:tc>
      </w:tr>
      <w:tr w14:paraId="6F8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840" w:type="dxa"/>
            <w:noWrap w:val="0"/>
            <w:vAlign w:val="center"/>
          </w:tcPr>
          <w:p w14:paraId="5E7E99C5">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3</w:t>
            </w:r>
          </w:p>
        </w:tc>
        <w:tc>
          <w:tcPr>
            <w:tcW w:w="4833" w:type="dxa"/>
            <w:noWrap w:val="0"/>
            <w:vAlign w:val="center"/>
          </w:tcPr>
          <w:p w14:paraId="52C43D2E">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广东省国际工程咨询有限公司</w:t>
            </w:r>
          </w:p>
        </w:tc>
        <w:tc>
          <w:tcPr>
            <w:tcW w:w="3652" w:type="dxa"/>
            <w:noWrap w:val="0"/>
            <w:vAlign w:val="center"/>
          </w:tcPr>
          <w:p w14:paraId="6C5272AE">
            <w:pPr>
              <w:pStyle w:val="25"/>
              <w:spacing w:line="360" w:lineRule="auto"/>
              <w:ind w:right="48" w:rightChars="23"/>
              <w:jc w:val="center"/>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为本招标项目的可研编制单位</w:t>
            </w:r>
          </w:p>
        </w:tc>
      </w:tr>
    </w:tbl>
    <w:p w14:paraId="3338872F">
      <w:pPr>
        <w:pStyle w:val="25"/>
        <w:spacing w:line="360" w:lineRule="auto"/>
        <w:ind w:left="36" w:leftChars="17" w:right="48" w:rightChars="23" w:firstLine="482"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b/>
          <w:bCs/>
          <w:snapToGrid w:val="0"/>
          <w:color w:val="auto"/>
          <w:kern w:val="0"/>
          <w:sz w:val="24"/>
          <w:szCs w:val="20"/>
          <w:highlight w:val="none"/>
          <w:lang w:val="en-US" w:eastAsia="zh-CN" w:bidi="ar-SA"/>
        </w:rPr>
        <w:t>2.5</w:t>
      </w:r>
      <w:r>
        <w:rPr>
          <w:rFonts w:hint="eastAsia" w:ascii="宋体" w:hAnsi="宋体" w:eastAsia="宋体" w:cs="宋体"/>
          <w:snapToGrid w:val="0"/>
          <w:color w:val="auto"/>
          <w:kern w:val="0"/>
          <w:sz w:val="24"/>
          <w:szCs w:val="20"/>
          <w:highlight w:val="none"/>
          <w:lang w:val="en-US" w:eastAsia="zh-CN" w:bidi="ar-SA"/>
        </w:rPr>
        <w:t>其他要求</w:t>
      </w:r>
    </w:p>
    <w:p w14:paraId="4E653A6A">
      <w:pPr>
        <w:pStyle w:val="25"/>
        <w:spacing w:line="360" w:lineRule="auto"/>
        <w:ind w:left="36" w:leftChars="17" w:right="48" w:rightChars="23" w:firstLine="480" w:firstLineChars="200"/>
        <w:jc w:val="left"/>
        <w:rPr>
          <w:rFonts w:hint="eastAsia" w:ascii="宋体" w:hAnsi="宋体" w:eastAsia="宋体" w:cs="宋体"/>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0"/>
          <w:highlight w:val="none"/>
          <w:lang w:val="en-US" w:eastAsia="zh-CN" w:bidi="ar-SA"/>
        </w:rPr>
        <w:t>省外企业须按照《广东省住房和城乡建设厅关于取消省外建筑企业和人员进粤信息备案有关工作的通知》（粤建市﹝2015﹞52号）规定在“进粤企业和人员诚信信息登记平台”录入相关信息并通过数据规范检查，且主要配备人员（指拟委派项目部的所有人员）为“进粤企业和人员诚信信息登记平台”中人员。</w:t>
      </w:r>
    </w:p>
    <w:p w14:paraId="3EE9E1ED">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30" w:name="_Toc24436"/>
      <w:bookmarkStart w:id="31" w:name="_Toc30246"/>
      <w:r>
        <w:rPr>
          <w:rFonts w:hint="eastAsia" w:ascii="宋体" w:hAnsi="宋体" w:eastAsia="宋体" w:cs="宋体"/>
          <w:b/>
          <w:snapToGrid w:val="0"/>
          <w:color w:val="auto"/>
          <w:sz w:val="24"/>
          <w:highlight w:val="none"/>
          <w:lang w:eastAsia="zh-CN"/>
        </w:rPr>
        <w:t>3.</w:t>
      </w:r>
      <w:r>
        <w:rPr>
          <w:rFonts w:hint="eastAsia" w:ascii="宋体" w:hAnsi="宋体" w:eastAsia="宋体" w:cs="宋体"/>
          <w:b/>
          <w:snapToGrid w:val="0"/>
          <w:color w:val="auto"/>
          <w:sz w:val="24"/>
          <w:highlight w:val="none"/>
        </w:rPr>
        <w:t>招标文件获取</w:t>
      </w:r>
      <w:bookmarkEnd w:id="29"/>
      <w:bookmarkEnd w:id="30"/>
      <w:bookmarkEnd w:id="31"/>
    </w:p>
    <w:p w14:paraId="7F581E34">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 本次招标实行网上获取招标文件和电子投标。本项目招标文件随招标公告一并在全国公共资源交易平台（广东省·韶关市）（https://ygp.gdzwfw.gov.cn/ggzy-portal/#/440200/index）网站发布。招标文件一经在全国公共资源交易平台（广东省·韶关市）发布，视为发售投标人，招标文件及相关附件由投标人自行在全国公共资源交易平台（广东省·韶关市）网站下载。请于招标文件获取期间</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投标人操作指南》，了解网上获取招标文件操作流程。技术咨询电话：18819797080/0751-8379671 伍先生，业务咨询电话：0751-8633211。</w:t>
      </w:r>
    </w:p>
    <w:p w14:paraId="40FA3F16">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 只有申领了数字证书（CA）、“粤企签”或GDCA/SZCA/NETCA等符合法律法规规定的电子印章，并在交易系统中完成企业信息数据入库的投标人，方可使用建设工程交易系统进行招标文件及附件获取和电子投标。首次在韶关市参与建设工程招标投标活动的投标人，必须在平台系统上传企业相关资料办理企业入库事宜和持企业相关资料到韶关市公共资源交易中心办事大厅办理数字证书（CA）。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2F410EA7">
      <w:pPr>
        <w:tabs>
          <w:tab w:val="left" w:pos="7020"/>
        </w:tabs>
        <w:wordWrap w:val="0"/>
        <w:adjustRightInd w:val="0"/>
        <w:snapToGrid w:val="0"/>
        <w:spacing w:line="360" w:lineRule="auto"/>
        <w:ind w:firstLine="480"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0890FD97">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投标保证</w:t>
      </w:r>
    </w:p>
    <w:p w14:paraId="24B58DA1">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bookmarkStart w:id="32" w:name="_Toc9252"/>
      <w:r>
        <w:rPr>
          <w:rFonts w:hint="eastAsia" w:ascii="宋体" w:hAnsi="宋体" w:eastAsia="宋体" w:cs="宋体"/>
          <w:b/>
          <w:bCs/>
          <w:color w:val="auto"/>
          <w:kern w:val="0"/>
          <w:sz w:val="24"/>
          <w:szCs w:val="24"/>
          <w:highlight w:val="none"/>
        </w:rPr>
        <w:t>3.3.1</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投标人须缴纳金额为人民币</w:t>
      </w:r>
      <w:r>
        <w:rPr>
          <w:rFonts w:hint="eastAsia" w:ascii="宋体" w:hAnsi="宋体" w:eastAsia="宋体" w:cs="宋体"/>
          <w:snapToGrid w:val="0"/>
          <w:color w:val="auto"/>
          <w:kern w:val="0"/>
          <w:sz w:val="24"/>
          <w:szCs w:val="24"/>
          <w:highlight w:val="none"/>
          <w:lang w:val="en-US" w:eastAsia="zh-CN"/>
        </w:rPr>
        <w:t>伍万元整</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lang w:val="en-US" w:eastAsia="zh-CN"/>
        </w:rPr>
        <w:t>50,000.00元</w:t>
      </w:r>
      <w:r>
        <w:rPr>
          <w:rFonts w:hint="eastAsia" w:ascii="宋体" w:hAnsi="宋体" w:eastAsia="宋体" w:cs="宋体"/>
          <w:color w:val="auto"/>
          <w:kern w:val="0"/>
          <w:sz w:val="24"/>
          <w:szCs w:val="24"/>
          <w:highlight w:val="none"/>
          <w:u w:val="single"/>
          <w:lang w:eastAsia="zh-CN"/>
        </w:rPr>
        <w:t>）</w:t>
      </w:r>
      <w:r>
        <w:rPr>
          <w:rFonts w:hint="eastAsia" w:ascii="宋体" w:hAnsi="宋体" w:eastAsia="宋体" w:cs="宋体"/>
          <w:snapToGrid w:val="0"/>
          <w:color w:val="auto"/>
          <w:kern w:val="0"/>
          <w:sz w:val="24"/>
          <w:szCs w:val="24"/>
          <w:highlight w:val="none"/>
        </w:rPr>
        <w:t>的投标保证。</w:t>
      </w:r>
    </w:p>
    <w:p w14:paraId="070C1F86">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rPr>
        <w:t>3.3.2</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投标保证的形式包括投标保证金、投标保证担保、投标保证保险三种，由投标人自主选择。</w:t>
      </w:r>
    </w:p>
    <w:p w14:paraId="6FA5184F">
      <w:pPr>
        <w:pStyle w:val="8"/>
        <w:spacing w:line="360" w:lineRule="auto"/>
        <w:ind w:firstLine="480" w:firstLineChars="2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 </w:t>
      </w:r>
    </w:p>
    <w:p w14:paraId="69D88BD3">
      <w:pPr>
        <w:pStyle w:val="8"/>
        <w:spacing w:line="360" w:lineRule="auto"/>
        <w:ind w:firstLine="480" w:firstLineChars="2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eastAsia="zh-CN"/>
        </w:rPr>
        <w:t>（2）</w:t>
      </w:r>
      <w:r>
        <w:rPr>
          <w:rFonts w:hint="eastAsia" w:ascii="宋体" w:hAnsi="宋体" w:eastAsia="宋体" w:cs="宋体"/>
          <w:color w:val="auto"/>
          <w:kern w:val="0"/>
          <w:sz w:val="24"/>
          <w:szCs w:val="24"/>
          <w:highlight w:val="none"/>
          <w:shd w:val="clear" w:color="auto" w:fill="FFFFFF"/>
        </w:rPr>
        <w:t xml:space="preserve">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 </w:t>
      </w:r>
    </w:p>
    <w:p w14:paraId="4A863F8D">
      <w:pPr>
        <w:tabs>
          <w:tab w:val="left" w:pos="7020"/>
        </w:tabs>
        <w:wordWrap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14:paraId="530C8607">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温馨提醒：投标人采用投标保证担保或投标保证保险的，为避免在评标过程中因有效期发生争议，建议投标人将银行保函</w:t>
      </w:r>
      <w:r>
        <w:rPr>
          <w:rFonts w:hint="eastAsia" w:ascii="宋体" w:hAnsi="宋体" w:eastAsia="宋体" w:cs="宋体"/>
          <w:color w:val="auto"/>
          <w:kern w:val="0"/>
          <w:sz w:val="24"/>
          <w:szCs w:val="24"/>
          <w:highlight w:val="none"/>
        </w:rPr>
        <w:t>或电子保函</w:t>
      </w:r>
      <w:r>
        <w:rPr>
          <w:rFonts w:hint="eastAsia" w:ascii="宋体" w:hAnsi="宋体" w:eastAsia="宋体" w:cs="宋体"/>
          <w:snapToGrid w:val="0"/>
          <w:color w:val="auto"/>
          <w:kern w:val="0"/>
          <w:sz w:val="24"/>
          <w:szCs w:val="24"/>
          <w:highlight w:val="none"/>
        </w:rPr>
        <w:t>或电子保单有效期设置为较招标文件规定的投标有效期延长不少于20个日历天。</w:t>
      </w:r>
    </w:p>
    <w:p w14:paraId="308C80C5">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rPr>
        <w:t>3.4</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sz w:val="24"/>
          <w:szCs w:val="24"/>
          <w:highlight w:val="none"/>
        </w:rPr>
        <w:t>若投标人因自身原因未能正确完成网上获取招标文件、电子投标、缴纳投标保证的，其投标无效。</w:t>
      </w:r>
    </w:p>
    <w:p w14:paraId="6D672A24">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33" w:name="_Toc27789"/>
      <w:bookmarkStart w:id="34" w:name="_Toc4528"/>
      <w:r>
        <w:rPr>
          <w:rFonts w:hint="eastAsia" w:ascii="宋体" w:hAnsi="宋体" w:eastAsia="宋体" w:cs="宋体"/>
          <w:b/>
          <w:snapToGrid w:val="0"/>
          <w:color w:val="auto"/>
          <w:sz w:val="24"/>
          <w:highlight w:val="none"/>
          <w:lang w:eastAsia="zh-CN"/>
        </w:rPr>
        <w:t>4.</w:t>
      </w:r>
      <w:r>
        <w:rPr>
          <w:rFonts w:hint="eastAsia" w:ascii="宋体" w:hAnsi="宋体" w:eastAsia="宋体" w:cs="宋体"/>
          <w:b/>
          <w:snapToGrid w:val="0"/>
          <w:color w:val="auto"/>
          <w:sz w:val="24"/>
          <w:highlight w:val="none"/>
        </w:rPr>
        <w:t>工期要求</w:t>
      </w:r>
      <w:bookmarkEnd w:id="32"/>
      <w:bookmarkEnd w:id="33"/>
      <w:bookmarkEnd w:id="34"/>
    </w:p>
    <w:p w14:paraId="528C237A">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lang w:val="en-US" w:eastAsia="zh-CN"/>
        </w:rPr>
      </w:pPr>
      <w:bookmarkStart w:id="35" w:name="_Toc27354"/>
      <w:r>
        <w:rPr>
          <w:rFonts w:hint="eastAsia" w:ascii="宋体" w:hAnsi="宋体" w:eastAsia="宋体" w:cs="宋体"/>
          <w:snapToGrid w:val="0"/>
          <w:color w:val="auto"/>
          <w:kern w:val="0"/>
          <w:sz w:val="24"/>
          <w:szCs w:val="24"/>
          <w:highlight w:val="none"/>
          <w:lang w:val="en-US" w:eastAsia="zh-CN"/>
        </w:rPr>
        <w:t>计划工期：60个日历天。</w:t>
      </w:r>
    </w:p>
    <w:p w14:paraId="212F0ACF">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（1）初步设计计划工期：40个日历天内完成方案设计、初步设计并提交包括初步设计报告、工程量计算书、工程概算及工程相关图纸等能参加技术评审的所有成果；</w:t>
      </w:r>
    </w:p>
    <w:p w14:paraId="189EFAB9">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（2）开完技术评审会次日起10个日历天内完成对本项目初步设计技术评审会专家的评审修改意见的修改；</w:t>
      </w:r>
    </w:p>
    <w:p w14:paraId="06749B81">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（3）自发包人书面通知之日起10个日历天内提交施工图设计图纸。</w:t>
      </w:r>
    </w:p>
    <w:p w14:paraId="41E4E941">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eastAsia="zh-CN"/>
        </w:rPr>
      </w:pPr>
      <w:bookmarkStart w:id="36" w:name="_Toc14260"/>
      <w:r>
        <w:rPr>
          <w:rFonts w:hint="eastAsia" w:ascii="宋体" w:hAnsi="宋体" w:eastAsia="宋体" w:cs="宋体"/>
          <w:b/>
          <w:snapToGrid w:val="0"/>
          <w:color w:val="auto"/>
          <w:sz w:val="24"/>
          <w:highlight w:val="none"/>
          <w:lang w:eastAsia="zh-CN"/>
        </w:rPr>
        <w:t>5.设计工程内容和质量标准</w:t>
      </w:r>
      <w:bookmarkEnd w:id="35"/>
      <w:bookmarkEnd w:id="36"/>
    </w:p>
    <w:p w14:paraId="4C340745">
      <w:pPr>
        <w:wordWrap w:val="0"/>
        <w:adjustRightInd w:val="0"/>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本次设计工程的内容及要求：</w:t>
      </w:r>
    </w:p>
    <w:p w14:paraId="1BA8A2D1">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bookmarkStart w:id="37" w:name="_Toc11339"/>
      <w:r>
        <w:rPr>
          <w:rFonts w:hint="eastAsia" w:ascii="宋体" w:hAnsi="宋体" w:eastAsia="宋体" w:cs="宋体"/>
          <w:color w:val="auto"/>
          <w:sz w:val="24"/>
          <w:szCs w:val="24"/>
          <w:highlight w:val="none"/>
        </w:rPr>
        <w:t>设计阶段包括相关报建报批所需的施工图设计、效果图及施工配合等。</w:t>
      </w:r>
    </w:p>
    <w:p w14:paraId="57BC323D">
      <w:pPr>
        <w:keepNext w:val="0"/>
        <w:keepLines w:val="0"/>
        <w:pageBreakBefore w:val="0"/>
        <w:kinsoku/>
        <w:overflowPunct/>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本工程的方案设计均需经招标人确认后方可进入下一阶段设计，施工图文件必须与审批合格的报建图一致，不得随意修改。进入施工阶段后，涉及建设工程设计方案有关内容确需修改的，须配合</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单位向自然资源局申请调整，并通过审批。</w:t>
      </w:r>
    </w:p>
    <w:p w14:paraId="58AD04A6">
      <w:pPr>
        <w:keepNext w:val="0"/>
        <w:keepLines w:val="0"/>
        <w:pageBreakBefore w:val="0"/>
        <w:kinsoku/>
        <w:overflowPunct/>
        <w:topLinePunct w:val="0"/>
        <w:autoSpaceDE/>
        <w:autoSpaceDN/>
        <w:bidi w:val="0"/>
        <w:adjustRightInd w:val="0"/>
        <w:snapToGrid w:val="0"/>
        <w:spacing w:line="360" w:lineRule="auto"/>
        <w:ind w:firstLine="422" w:firstLineChars="1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.2</w:t>
      </w:r>
      <w:r>
        <w:rPr>
          <w:rFonts w:hint="eastAsia" w:ascii="宋体" w:hAnsi="宋体" w:eastAsia="宋体" w:cs="宋体"/>
          <w:color w:val="auto"/>
          <w:sz w:val="24"/>
          <w:szCs w:val="24"/>
          <w:highlight w:val="none"/>
        </w:rPr>
        <w:t>设计承包内容：中标单位按合同约定的招标文件内容要求、法律法规及国家强制性标准要求提供完整的完善施工图设计文件及建设期间的服务等内容。</w:t>
      </w:r>
    </w:p>
    <w:p w14:paraId="6750F055">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审定的施工图</w:t>
      </w:r>
      <w:r>
        <w:rPr>
          <w:rFonts w:hint="eastAsia" w:ascii="宋体" w:hAnsi="宋体" w:eastAsia="宋体" w:cs="宋体"/>
          <w:color w:val="auto"/>
          <w:sz w:val="24"/>
          <w:szCs w:val="24"/>
          <w:highlight w:val="none"/>
          <w:u w:val="single"/>
        </w:rPr>
        <w:t>8</w:t>
      </w:r>
      <w:r>
        <w:rPr>
          <w:rFonts w:hint="eastAsia" w:ascii="宋体" w:hAnsi="宋体" w:eastAsia="宋体" w:cs="宋体"/>
          <w:color w:val="auto"/>
          <w:sz w:val="24"/>
          <w:szCs w:val="24"/>
          <w:highlight w:val="none"/>
        </w:rPr>
        <w:t>套，原始数据提供的所有资料电子文件。</w:t>
      </w:r>
    </w:p>
    <w:p w14:paraId="1E976A72">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设计人要按照经批准的可研报告（修编）、规划条件等资料控制施工图设计，即限额设计。设计人要无条件对设计文件出现的遗漏或错误负责修改或补充，直到满足要求。</w:t>
      </w:r>
    </w:p>
    <w:p w14:paraId="713E4FB4">
      <w:pPr>
        <w:adjustRightInd w:val="0"/>
        <w:snapToGrid w:val="0"/>
        <w:spacing w:line="360" w:lineRule="auto"/>
        <w:ind w:firstLine="56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lang w:val="en-US" w:eastAsia="zh-CN"/>
        </w:rPr>
        <w:t>施工期间发生重大技术问题、质量安全突发事件或不可预见事件时，设计单位在接到建设单位（或其授权监理单位）通知后，应在约定时限内（紧急情况≤12小时，一般情况≤48小时），委派专业设计人员到达施工现场，研究并及时提出处理意见；涉及设计变更的，应按程序出具设计变更文件。</w:t>
      </w:r>
    </w:p>
    <w:p w14:paraId="68AFB163">
      <w:pPr>
        <w:keepNext w:val="0"/>
        <w:keepLines w:val="0"/>
        <w:pageBreakBefore w:val="0"/>
        <w:kinsoku/>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.5关于设计深度的要求</w:t>
      </w:r>
    </w:p>
    <w:p w14:paraId="3888C3FB">
      <w:pPr>
        <w:keepNext w:val="0"/>
        <w:keepLines w:val="0"/>
        <w:pageBreakBefore w:val="0"/>
        <w:kinsoku/>
        <w:overflowPunct/>
        <w:topLinePunct w:val="0"/>
        <w:autoSpaceDE/>
        <w:autoSpaceDN/>
        <w:bidi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.5.1</w:t>
      </w:r>
      <w:r>
        <w:rPr>
          <w:rFonts w:hint="eastAsia" w:ascii="宋体" w:hAnsi="宋体" w:eastAsia="宋体" w:cs="宋体"/>
          <w:color w:val="auto"/>
          <w:sz w:val="24"/>
          <w:szCs w:val="24"/>
          <w:highlight w:val="none"/>
        </w:rPr>
        <w:t>按国家及地方现行的设计文件深度规定等有关技术标准、设计规范（标准）要求。</w:t>
      </w:r>
    </w:p>
    <w:p w14:paraId="08056B76">
      <w:pPr>
        <w:keepNext w:val="0"/>
        <w:keepLines w:val="0"/>
        <w:pageBreakBefore w:val="0"/>
        <w:kinsoku/>
        <w:overflowPunct/>
        <w:topLinePunct w:val="0"/>
        <w:autoSpaceDE/>
        <w:autoSpaceDN/>
        <w:bidi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.5.2</w:t>
      </w:r>
      <w:r>
        <w:rPr>
          <w:rFonts w:hint="eastAsia" w:ascii="宋体" w:hAnsi="宋体" w:eastAsia="宋体" w:cs="宋体"/>
          <w:color w:val="auto"/>
          <w:sz w:val="24"/>
          <w:szCs w:val="24"/>
          <w:highlight w:val="none"/>
        </w:rPr>
        <w:t>各专业设计应同步进行，涉及单位应指定总体设计人统筹布局，做好各项设施的协调和衔接、位置预留，不得留待施工中临时变更。</w:t>
      </w:r>
    </w:p>
    <w:p w14:paraId="36CC7F4B">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.5.3</w:t>
      </w:r>
      <w:r>
        <w:rPr>
          <w:rFonts w:hint="eastAsia" w:ascii="宋体" w:hAnsi="宋体" w:eastAsia="宋体" w:cs="宋体"/>
          <w:color w:val="auto"/>
          <w:sz w:val="24"/>
          <w:szCs w:val="24"/>
          <w:highlight w:val="none"/>
        </w:rPr>
        <w:t>对技术复杂或造价、规模较大的主要分项工程应</w:t>
      </w:r>
      <w:r>
        <w:rPr>
          <w:rFonts w:hint="eastAsia" w:ascii="宋体" w:hAnsi="宋体" w:eastAsia="宋体" w:cs="宋体"/>
          <w:color w:val="auto"/>
          <w:sz w:val="24"/>
          <w:szCs w:val="24"/>
          <w:highlight w:val="none"/>
          <w:lang w:eastAsia="zh-CN"/>
        </w:rPr>
        <w:t>做</w:t>
      </w:r>
      <w:r>
        <w:rPr>
          <w:rFonts w:hint="eastAsia" w:ascii="宋体" w:hAnsi="宋体" w:eastAsia="宋体" w:cs="宋体"/>
          <w:color w:val="auto"/>
          <w:sz w:val="24"/>
          <w:szCs w:val="24"/>
          <w:highlight w:val="none"/>
        </w:rPr>
        <w:t>方案比较。</w:t>
      </w:r>
    </w:p>
    <w:p w14:paraId="2B0C60AB">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.5.4</w:t>
      </w:r>
      <w:r>
        <w:rPr>
          <w:rFonts w:hint="eastAsia" w:ascii="宋体" w:hAnsi="宋体" w:eastAsia="宋体" w:cs="宋体"/>
          <w:color w:val="auto"/>
          <w:sz w:val="24"/>
          <w:szCs w:val="24"/>
          <w:highlight w:val="none"/>
        </w:rPr>
        <w:t>设计文件的深度，应当满足主要设备材料订货、征地拆迁及编制施工图设计文件的需要。</w:t>
      </w:r>
    </w:p>
    <w:p w14:paraId="659504BF">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.5.5</w:t>
      </w:r>
      <w:r>
        <w:rPr>
          <w:rFonts w:hint="eastAsia" w:ascii="宋体" w:hAnsi="宋体" w:eastAsia="宋体" w:cs="宋体"/>
          <w:color w:val="auto"/>
          <w:sz w:val="24"/>
          <w:szCs w:val="24"/>
          <w:highlight w:val="none"/>
        </w:rPr>
        <w:t>施工图设计文件的深度，应当满足编制施工招标文件及设备材料采购，非标准设备制作和施工的需要，并注明建设工程合理使用年限。</w:t>
      </w:r>
    </w:p>
    <w:p w14:paraId="1A05F566">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5.5.6</w:t>
      </w:r>
      <w:r>
        <w:rPr>
          <w:rFonts w:hint="eastAsia" w:ascii="宋体" w:hAnsi="宋体" w:eastAsia="宋体" w:cs="宋体"/>
          <w:color w:val="auto"/>
          <w:sz w:val="24"/>
          <w:szCs w:val="24"/>
          <w:highlight w:val="none"/>
        </w:rPr>
        <w:t>相关的配套外部接口方案均需取得政府主管部门或规划部门认可。</w:t>
      </w:r>
    </w:p>
    <w:p w14:paraId="05E9D504">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5.5.7</w:t>
      </w:r>
      <w:r>
        <w:rPr>
          <w:rFonts w:hint="eastAsia" w:ascii="宋体" w:hAnsi="宋体" w:eastAsia="宋体" w:cs="宋体"/>
          <w:color w:val="auto"/>
          <w:sz w:val="24"/>
          <w:szCs w:val="24"/>
          <w:highlight w:val="none"/>
        </w:rPr>
        <w:t>施工图设计文件应考虑交通维护、临时施工便道、基坑支护、对周边建筑物的影响等因素，并提供相应的设计方案及计算书（可另册装订），以指导现场施工及过程评审。</w:t>
      </w:r>
    </w:p>
    <w:p w14:paraId="3E8A2A34">
      <w:pPr>
        <w:keepNext w:val="0"/>
        <w:keepLines w:val="0"/>
        <w:pageBreakBefore w:val="0"/>
        <w:kinsoku/>
        <w:overflowPunct/>
        <w:topLinePunct w:val="0"/>
        <w:autoSpaceDE/>
        <w:autoSpaceDN/>
        <w:bidi w:val="0"/>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.6设计后期配合施工工作</w:t>
      </w:r>
    </w:p>
    <w:p w14:paraId="0E7FA9CA">
      <w:pPr>
        <w:keepNext w:val="0"/>
        <w:keepLines w:val="0"/>
        <w:pageBreakBefore w:val="0"/>
        <w:kinsoku/>
        <w:overflowPunct/>
        <w:topLinePunct w:val="0"/>
        <w:autoSpaceDE/>
        <w:autoSpaceDN/>
        <w:bidi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.6.1</w:t>
      </w:r>
      <w:r>
        <w:rPr>
          <w:rFonts w:hint="eastAsia" w:ascii="宋体" w:hAnsi="宋体" w:eastAsia="宋体" w:cs="宋体"/>
          <w:color w:val="auto"/>
          <w:sz w:val="24"/>
          <w:szCs w:val="24"/>
          <w:highlight w:val="none"/>
        </w:rPr>
        <w:t>设计单位配合施工、监理招标及施工的工作内容如下：</w:t>
      </w:r>
    </w:p>
    <w:p w14:paraId="22C38BB2">
      <w:pPr>
        <w:keepNext w:val="0"/>
        <w:keepLines w:val="0"/>
        <w:pageBreakBefore w:val="0"/>
        <w:numPr>
          <w:ilvl w:val="0"/>
          <w:numId w:val="0"/>
        </w:numPr>
        <w:tabs>
          <w:tab w:val="left" w:pos="0"/>
          <w:tab w:val="left" w:pos="108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施工图设计（技术）交底；</w:t>
      </w:r>
    </w:p>
    <w:p w14:paraId="07F99459">
      <w:pPr>
        <w:keepNext w:val="0"/>
        <w:keepLines w:val="0"/>
        <w:pageBreakBefore w:val="0"/>
        <w:numPr>
          <w:ilvl w:val="0"/>
          <w:numId w:val="0"/>
        </w:numPr>
        <w:tabs>
          <w:tab w:val="left" w:pos="0"/>
          <w:tab w:val="left" w:pos="108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配合建设/勘察单位完成现场交桩复核</w:t>
      </w:r>
      <w:r>
        <w:rPr>
          <w:rFonts w:hint="eastAsia" w:ascii="宋体" w:hAnsi="宋体" w:eastAsia="宋体" w:cs="宋体"/>
          <w:color w:val="auto"/>
          <w:sz w:val="24"/>
          <w:szCs w:val="24"/>
          <w:highlight w:val="none"/>
        </w:rPr>
        <w:t>；</w:t>
      </w:r>
    </w:p>
    <w:p w14:paraId="1ADBA36D">
      <w:pPr>
        <w:keepNext w:val="0"/>
        <w:keepLines w:val="0"/>
        <w:pageBreakBefore w:val="0"/>
        <w:numPr>
          <w:ilvl w:val="0"/>
          <w:numId w:val="0"/>
        </w:numPr>
        <w:tabs>
          <w:tab w:val="left" w:pos="0"/>
          <w:tab w:val="left" w:pos="108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变更设计和所有补充设计；</w:t>
      </w:r>
    </w:p>
    <w:p w14:paraId="0E25E9D8">
      <w:pPr>
        <w:keepNext w:val="0"/>
        <w:keepLines w:val="0"/>
        <w:pageBreakBefore w:val="0"/>
        <w:numPr>
          <w:ilvl w:val="0"/>
          <w:numId w:val="0"/>
        </w:numPr>
        <w:tabs>
          <w:tab w:val="left" w:pos="0"/>
          <w:tab w:val="left" w:pos="108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会签设计变更审批表；</w:t>
      </w:r>
    </w:p>
    <w:p w14:paraId="6211DAC1">
      <w:pPr>
        <w:keepNext w:val="0"/>
        <w:keepLines w:val="0"/>
        <w:pageBreakBefore w:val="0"/>
        <w:numPr>
          <w:ilvl w:val="0"/>
          <w:numId w:val="0"/>
        </w:numPr>
        <w:tabs>
          <w:tab w:val="left" w:pos="0"/>
          <w:tab w:val="left" w:pos="108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highlight w:val="none"/>
        </w:rPr>
        <w:t>参加处理施工中发生的工程质量和安全事故；</w:t>
      </w:r>
    </w:p>
    <w:p w14:paraId="6A3FFB2E">
      <w:pPr>
        <w:keepNext w:val="0"/>
        <w:keepLines w:val="0"/>
        <w:pageBreakBefore w:val="0"/>
        <w:numPr>
          <w:ilvl w:val="0"/>
          <w:numId w:val="0"/>
        </w:numPr>
        <w:tabs>
          <w:tab w:val="left" w:pos="0"/>
          <w:tab w:val="left" w:pos="108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rPr>
        <w:t>参加隐蔽工程及工程竣工验收；</w:t>
      </w:r>
    </w:p>
    <w:p w14:paraId="78B5715D">
      <w:pPr>
        <w:keepNext w:val="0"/>
        <w:keepLines w:val="0"/>
        <w:pageBreakBefore w:val="0"/>
        <w:numPr>
          <w:ilvl w:val="0"/>
          <w:numId w:val="0"/>
        </w:numPr>
        <w:tabs>
          <w:tab w:val="left" w:pos="0"/>
          <w:tab w:val="left" w:pos="108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rPr>
        <w:t>解决与设计有关的施工问题；</w:t>
      </w:r>
    </w:p>
    <w:p w14:paraId="58B520C5">
      <w:pPr>
        <w:keepNext w:val="0"/>
        <w:keepLines w:val="0"/>
        <w:pageBreakBefore w:val="0"/>
        <w:numPr>
          <w:ilvl w:val="0"/>
          <w:numId w:val="0"/>
        </w:numPr>
        <w:tabs>
          <w:tab w:val="left" w:pos="0"/>
          <w:tab w:val="left" w:pos="108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rPr>
        <w:t>配合质量检测，提供设计技术参数并确认检测结论；</w:t>
      </w:r>
    </w:p>
    <w:p w14:paraId="5009985D">
      <w:pPr>
        <w:keepNext w:val="0"/>
        <w:keepLines w:val="0"/>
        <w:pageBreakBefore w:val="0"/>
        <w:numPr>
          <w:ilvl w:val="0"/>
          <w:numId w:val="0"/>
        </w:numPr>
        <w:tabs>
          <w:tab w:val="left" w:pos="0"/>
          <w:tab w:val="left" w:pos="108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lang w:val="en-US" w:eastAsia="zh-CN"/>
        </w:rPr>
        <w:t>对施工组织设计/专项方案中涉及设计标准、结构安全的内容提出技术复核意见</w:t>
      </w:r>
      <w:r>
        <w:rPr>
          <w:rFonts w:hint="eastAsia" w:ascii="宋体" w:hAnsi="宋体" w:eastAsia="宋体" w:cs="宋体"/>
          <w:color w:val="auto"/>
          <w:sz w:val="24"/>
          <w:szCs w:val="24"/>
        </w:rPr>
        <w:t>；</w:t>
      </w:r>
    </w:p>
    <w:p w14:paraId="7BCCC2DA">
      <w:pPr>
        <w:keepNext w:val="0"/>
        <w:keepLines w:val="0"/>
        <w:pageBreakBefore w:val="0"/>
        <w:numPr>
          <w:ilvl w:val="0"/>
          <w:numId w:val="0"/>
        </w:numPr>
        <w:tabs>
          <w:tab w:val="left" w:pos="0"/>
          <w:tab w:val="left" w:pos="1080"/>
          <w:tab w:val="left" w:pos="132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（10）</w:t>
      </w:r>
      <w:r>
        <w:rPr>
          <w:rFonts w:hint="eastAsia" w:ascii="宋体" w:hAnsi="宋体" w:eastAsia="宋体" w:cs="宋体"/>
          <w:color w:val="auto"/>
          <w:sz w:val="24"/>
          <w:szCs w:val="24"/>
          <w:highlight w:val="none"/>
        </w:rPr>
        <w:t>参加本项目建设有关会议；</w:t>
      </w:r>
    </w:p>
    <w:p w14:paraId="28F1315F">
      <w:pPr>
        <w:keepNext w:val="0"/>
        <w:keepLines w:val="0"/>
        <w:pageBreakBefore w:val="0"/>
        <w:numPr>
          <w:ilvl w:val="0"/>
          <w:numId w:val="0"/>
        </w:numPr>
        <w:tabs>
          <w:tab w:val="left" w:pos="0"/>
          <w:tab w:val="left" w:pos="1080"/>
          <w:tab w:val="left" w:pos="132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highlight w:val="none"/>
        </w:rPr>
        <w:t>在施工、监理招标期间配合建设及相关单位解释及完善施工图相关内容；</w:t>
      </w:r>
    </w:p>
    <w:p w14:paraId="4CD56FFD">
      <w:pPr>
        <w:keepNext w:val="0"/>
        <w:keepLines w:val="0"/>
        <w:pageBreakBefore w:val="0"/>
        <w:numPr>
          <w:ilvl w:val="0"/>
          <w:numId w:val="0"/>
        </w:numPr>
        <w:tabs>
          <w:tab w:val="left" w:pos="0"/>
          <w:tab w:val="left" w:pos="1080"/>
          <w:tab w:val="left" w:pos="1320"/>
        </w:tabs>
        <w:kinsoku/>
        <w:overflowPunct/>
        <w:topLinePunct w:val="0"/>
        <w:autoSpaceDE/>
        <w:autoSpaceDN/>
        <w:bidi w:val="0"/>
        <w:adjustRightInd w:val="0"/>
        <w:snapToGrid w:val="0"/>
        <w:spacing w:line="360" w:lineRule="auto"/>
        <w:ind w:left="0" w:firstLine="6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（12）</w:t>
      </w:r>
      <w:r>
        <w:rPr>
          <w:rFonts w:hint="eastAsia" w:ascii="宋体" w:hAnsi="宋体" w:eastAsia="宋体" w:cs="宋体"/>
          <w:color w:val="auto"/>
          <w:sz w:val="24"/>
          <w:szCs w:val="24"/>
          <w:highlight w:val="none"/>
        </w:rPr>
        <w:t>配合施工单位完成竣工图绘制，并按档案馆要求，完成必要的签字盖章。</w:t>
      </w:r>
    </w:p>
    <w:p w14:paraId="6642B4A9">
      <w:pPr>
        <w:keepNext w:val="0"/>
        <w:keepLines w:val="0"/>
        <w:pageBreakBefore w:val="0"/>
        <w:numPr>
          <w:ilvl w:val="0"/>
          <w:numId w:val="0"/>
        </w:numPr>
        <w:tabs>
          <w:tab w:val="left" w:pos="0"/>
          <w:tab w:val="left" w:pos="1080"/>
          <w:tab w:val="left" w:pos="1320"/>
        </w:tabs>
        <w:kinsoku/>
        <w:overflowPunct/>
        <w:topLinePunct w:val="0"/>
        <w:autoSpaceDE/>
        <w:autoSpaceDN/>
        <w:bidi w:val="0"/>
        <w:adjustRightInd w:val="0"/>
        <w:snapToGrid w:val="0"/>
        <w:spacing w:line="360" w:lineRule="auto"/>
        <w:ind w:left="600" w:left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.6.2</w:t>
      </w:r>
      <w:r>
        <w:rPr>
          <w:rFonts w:hint="eastAsia" w:ascii="宋体" w:hAnsi="宋体" w:eastAsia="宋体" w:cs="宋体"/>
          <w:color w:val="auto"/>
          <w:sz w:val="24"/>
          <w:szCs w:val="24"/>
          <w:highlight w:val="none"/>
        </w:rPr>
        <w:t>设计工作技术总结</w:t>
      </w:r>
    </w:p>
    <w:p w14:paraId="10B738F6">
      <w:pPr>
        <w:keepNext w:val="0"/>
        <w:keepLines w:val="0"/>
        <w:pageBreakBefore w:val="0"/>
        <w:numPr>
          <w:ilvl w:val="0"/>
          <w:numId w:val="0"/>
        </w:numPr>
        <w:tabs>
          <w:tab w:val="left" w:pos="0"/>
          <w:tab w:val="left" w:pos="1080"/>
          <w:tab w:val="left" w:pos="1320"/>
        </w:tabs>
        <w:kinsoku/>
        <w:overflowPunct/>
        <w:topLinePunct w:val="0"/>
        <w:autoSpaceDE/>
        <w:autoSpaceDN/>
        <w:bidi w:val="0"/>
        <w:adjustRightInd w:val="0"/>
        <w:snapToGrid w:val="0"/>
        <w:spacing w:line="360" w:lineRule="auto"/>
        <w:ind w:firstLine="6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计人须对本项目施工图、补充设计、设计变更等全部设计成果开展质量自查，编制设计文件质量检查报告，于项目竣工验收前提交发包人。项目竣工验收完成后，设计人负责梳理、整编全套设计档案资料，并组织编制工程设计技术总结，自竣工验收合格之日起10个日历天内完成，连同完整设计资料一并移交发包人，所有资料须符合当地工程档案归档相关规定。</w:t>
      </w:r>
      <w:bookmarkStart w:id="38" w:name="OLE_LINK1"/>
    </w:p>
    <w:p w14:paraId="68349993">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.7</w:t>
      </w:r>
      <w:r>
        <w:rPr>
          <w:rFonts w:hint="eastAsia" w:ascii="宋体" w:hAnsi="宋体" w:eastAsia="宋体" w:cs="宋体"/>
          <w:color w:val="auto"/>
          <w:sz w:val="24"/>
          <w:szCs w:val="24"/>
          <w:highlight w:val="none"/>
        </w:rPr>
        <w:t>限额设计要求</w:t>
      </w:r>
    </w:p>
    <w:p w14:paraId="0E5E38BC">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.7.1</w:t>
      </w:r>
      <w:r>
        <w:rPr>
          <w:rFonts w:hint="eastAsia" w:ascii="宋体" w:hAnsi="宋体" w:eastAsia="宋体" w:cs="宋体"/>
          <w:color w:val="auto"/>
          <w:sz w:val="24"/>
          <w:szCs w:val="24"/>
          <w:highlight w:val="none"/>
        </w:rPr>
        <w:t>施工图预算中的建安工程费不得超过初步设计概算中的建安工程费，在保证设计质量的前提下，设计人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概算限额为止。</w:t>
      </w:r>
    </w:p>
    <w:p w14:paraId="2046BD76">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.7.2</w:t>
      </w:r>
      <w:r>
        <w:rPr>
          <w:rFonts w:hint="eastAsia" w:ascii="宋体" w:hAnsi="宋体" w:eastAsia="宋体" w:cs="宋体"/>
          <w:color w:val="auto"/>
          <w:sz w:val="24"/>
          <w:szCs w:val="24"/>
          <w:highlight w:val="none"/>
        </w:rPr>
        <w:t>若造价咨询单位按施工图编制的建安工程费高于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.7.1条规定时，承包人必须无条件对施工图进行修改，直至满足限额设计要求。</w:t>
      </w:r>
    </w:p>
    <w:p w14:paraId="68EEAB67">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.8</w:t>
      </w:r>
      <w:r>
        <w:rPr>
          <w:rFonts w:hint="eastAsia" w:ascii="宋体" w:hAnsi="宋体" w:eastAsia="宋体" w:cs="宋体"/>
          <w:color w:val="auto"/>
          <w:sz w:val="24"/>
          <w:szCs w:val="24"/>
          <w:highlight w:val="none"/>
        </w:rPr>
        <w:t>设计时需要考虑与周边地块的开发相结合及相关规划方案的要求进行设计。</w:t>
      </w:r>
    </w:p>
    <w:p w14:paraId="7A970E54">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.9</w:t>
      </w:r>
      <w:r>
        <w:rPr>
          <w:rFonts w:hint="eastAsia" w:ascii="宋体" w:hAnsi="宋体" w:eastAsia="宋体" w:cs="宋体"/>
          <w:color w:val="auto"/>
          <w:sz w:val="24"/>
          <w:szCs w:val="24"/>
          <w:highlight w:val="none"/>
        </w:rPr>
        <w:t>承包人必须无条件对施工图设计进行修改，直至满足限额设计要求，不另行增加设计费。</w:t>
      </w:r>
    </w:p>
    <w:p w14:paraId="2DED5B48">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.10</w:t>
      </w:r>
      <w:r>
        <w:rPr>
          <w:rFonts w:hint="eastAsia" w:ascii="宋体" w:hAnsi="宋体" w:eastAsia="宋体" w:cs="宋体"/>
          <w:color w:val="auto"/>
          <w:sz w:val="24"/>
          <w:szCs w:val="24"/>
          <w:highlight w:val="none"/>
        </w:rPr>
        <w:t>凡参加本次招标的投标人被视为已充分认识和理解了任何与本工程有关的影响事项和困难等情况。</w:t>
      </w:r>
    </w:p>
    <w:p w14:paraId="3AAB41C7">
      <w:pPr>
        <w:keepNext w:val="0"/>
        <w:keepLines w:val="0"/>
        <w:pageBreakBefore w:val="0"/>
        <w:kinsoku/>
        <w:overflowPunct/>
        <w:topLinePunct w:val="0"/>
        <w:autoSpaceDE/>
        <w:autoSpaceDN/>
        <w:bidi w:val="0"/>
        <w:adjustRightInd w:val="0"/>
        <w:snapToGrid w:val="0"/>
        <w:spacing w:line="360" w:lineRule="auto"/>
        <w:ind w:firstLine="560"/>
        <w:rPr>
          <w:rFonts w:hint="eastAsia" w:ascii="宋体" w:hAnsi="宋体" w:eastAsia="宋体" w:cs="宋体"/>
          <w:b/>
          <w:snapToGrid w:val="0"/>
          <w:color w:val="auto"/>
          <w:sz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.11</w:t>
      </w:r>
      <w:r>
        <w:rPr>
          <w:rFonts w:hint="eastAsia" w:ascii="宋体" w:hAnsi="宋体" w:eastAsia="宋体" w:cs="宋体"/>
          <w:color w:val="auto"/>
          <w:sz w:val="24"/>
          <w:szCs w:val="24"/>
          <w:highlight w:val="none"/>
        </w:rPr>
        <w:t>招标人在实施过程中可根据实际情况对工程规模、任务内容等进行合理、适当调整。</w:t>
      </w:r>
      <w:bookmarkEnd w:id="38"/>
      <w:bookmarkStart w:id="39" w:name="_Hlt111690342"/>
      <w:bookmarkEnd w:id="39"/>
      <w:bookmarkStart w:id="40" w:name="_Hlt74496537"/>
      <w:bookmarkEnd w:id="40"/>
      <w:bookmarkStart w:id="41" w:name="_Hlt120502666"/>
      <w:bookmarkEnd w:id="41"/>
      <w:bookmarkStart w:id="42" w:name="_Hlt69356505"/>
      <w:bookmarkEnd w:id="42"/>
      <w:bookmarkStart w:id="43" w:name="_Hlt69699204"/>
      <w:bookmarkEnd w:id="43"/>
      <w:bookmarkStart w:id="44" w:name="_Hlt74493474"/>
      <w:bookmarkEnd w:id="44"/>
      <w:bookmarkStart w:id="45" w:name="_Hlt88974078"/>
      <w:bookmarkEnd w:id="45"/>
      <w:bookmarkStart w:id="46" w:name="_Hlt121563076"/>
      <w:bookmarkEnd w:id="46"/>
    </w:p>
    <w:p w14:paraId="0DFD6636">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47" w:name="_Toc15136"/>
      <w:bookmarkStart w:id="48" w:name="_Toc18463"/>
      <w:r>
        <w:rPr>
          <w:rFonts w:hint="eastAsia" w:ascii="宋体" w:hAnsi="宋体" w:eastAsia="宋体" w:cs="宋体"/>
          <w:b/>
          <w:snapToGrid w:val="0"/>
          <w:color w:val="auto"/>
          <w:sz w:val="24"/>
          <w:highlight w:val="none"/>
          <w:lang w:eastAsia="zh-CN"/>
        </w:rPr>
        <w:t>6.</w:t>
      </w:r>
      <w:r>
        <w:rPr>
          <w:rFonts w:hint="eastAsia" w:ascii="宋体" w:hAnsi="宋体" w:eastAsia="宋体" w:cs="宋体"/>
          <w:b/>
          <w:snapToGrid w:val="0"/>
          <w:color w:val="auto"/>
          <w:sz w:val="24"/>
          <w:highlight w:val="none"/>
        </w:rPr>
        <w:t>现场踏勘</w:t>
      </w:r>
      <w:bookmarkEnd w:id="37"/>
      <w:bookmarkEnd w:id="47"/>
      <w:bookmarkEnd w:id="48"/>
    </w:p>
    <w:p w14:paraId="3D5576EA">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6.1</w:t>
      </w:r>
      <w:r>
        <w:rPr>
          <w:rFonts w:hint="eastAsia" w:ascii="宋体" w:hAnsi="宋体" w:eastAsia="宋体" w:cs="宋体"/>
          <w:snapToGrid w:val="0"/>
          <w:color w:val="auto"/>
          <w:kern w:val="0"/>
          <w:sz w:val="24"/>
          <w:szCs w:val="24"/>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30E507E2">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w:t>
      </w:r>
      <w:r>
        <w:rPr>
          <w:rFonts w:hint="eastAsia" w:ascii="宋体" w:hAnsi="宋体" w:eastAsia="宋体" w:cs="宋体"/>
          <w:snapToGrid w:val="0"/>
          <w:color w:val="auto"/>
          <w:kern w:val="0"/>
          <w:sz w:val="24"/>
          <w:szCs w:val="24"/>
          <w:highlight w:val="none"/>
        </w:rPr>
        <w:t xml:space="preserve"> 在现场踏勘过程中，投标人应确保自身安全，投标人如果发生人身伤亡、财物或其他损失，法律法规有规定的按有关规定处理，没有规定的由投标人自行负责。</w:t>
      </w:r>
    </w:p>
    <w:p w14:paraId="0FF3AA61">
      <w:pPr>
        <w:wordWrap w:val="0"/>
        <w:adjustRightInd w:val="0"/>
        <w:snapToGrid w:val="0"/>
        <w:spacing w:line="360" w:lineRule="auto"/>
        <w:ind w:firstLine="560"/>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6.3</w:t>
      </w:r>
      <w:r>
        <w:rPr>
          <w:rFonts w:hint="eastAsia" w:ascii="宋体" w:hAnsi="宋体" w:eastAsia="宋体" w:cs="宋体"/>
          <w:snapToGrid w:val="0"/>
          <w:color w:val="auto"/>
          <w:kern w:val="0"/>
          <w:sz w:val="24"/>
          <w:szCs w:val="24"/>
          <w:highlight w:val="none"/>
        </w:rPr>
        <w:t xml:space="preserve"> 现场踏勘期间的交通、食宿由投标人自行安排，费用自理。</w:t>
      </w:r>
      <w:bookmarkStart w:id="49" w:name="_Toc17134"/>
    </w:p>
    <w:p w14:paraId="2DB32726">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50" w:name="_Toc2667"/>
      <w:bookmarkStart w:id="51" w:name="_Toc9044"/>
      <w:r>
        <w:rPr>
          <w:rFonts w:hint="eastAsia" w:ascii="宋体" w:hAnsi="宋体" w:eastAsia="宋体" w:cs="宋体"/>
          <w:b/>
          <w:snapToGrid w:val="0"/>
          <w:color w:val="auto"/>
          <w:sz w:val="24"/>
          <w:highlight w:val="none"/>
          <w:lang w:eastAsia="zh-CN"/>
        </w:rPr>
        <w:t>7.</w:t>
      </w:r>
      <w:r>
        <w:rPr>
          <w:rFonts w:hint="eastAsia" w:ascii="宋体" w:hAnsi="宋体" w:eastAsia="宋体" w:cs="宋体"/>
          <w:b/>
          <w:snapToGrid w:val="0"/>
          <w:color w:val="auto"/>
          <w:sz w:val="24"/>
          <w:highlight w:val="none"/>
        </w:rPr>
        <w:t>招标文件的提问和答疑</w:t>
      </w:r>
      <w:bookmarkEnd w:id="49"/>
      <w:bookmarkEnd w:id="50"/>
      <w:bookmarkEnd w:id="51"/>
      <w:bookmarkStart w:id="52" w:name="_Hlt74496410"/>
      <w:bookmarkEnd w:id="52"/>
    </w:p>
    <w:p w14:paraId="4AE8F4D9">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w:t>
      </w:r>
      <w:r>
        <w:rPr>
          <w:rFonts w:hint="eastAsia" w:ascii="宋体" w:hAnsi="宋体" w:eastAsia="宋体" w:cs="宋体"/>
          <w:snapToGrid w:val="0"/>
          <w:color w:val="auto"/>
          <w:kern w:val="0"/>
          <w:sz w:val="24"/>
          <w:szCs w:val="24"/>
          <w:highlight w:val="none"/>
          <w:lang w:eastAsia="zh-CN"/>
        </w:rPr>
        <w:t>作出</w:t>
      </w:r>
      <w:r>
        <w:rPr>
          <w:rFonts w:hint="eastAsia" w:ascii="宋体" w:hAnsi="宋体" w:eastAsia="宋体" w:cs="宋体"/>
          <w:snapToGrid w:val="0"/>
          <w:color w:val="auto"/>
          <w:kern w:val="0"/>
          <w:sz w:val="24"/>
          <w:szCs w:val="24"/>
          <w:highlight w:val="none"/>
        </w:rPr>
        <w:t>答复，并形成答疑书（或补充通知）报相关行政主管部门备案后在报名网站上发布。答疑书（或补充通知）作为招标文件的补充，是招标文件的组成部分，在网上向所有投标人公开</w:t>
      </w:r>
      <w:r>
        <w:rPr>
          <w:rFonts w:hint="eastAsia" w:ascii="宋体" w:hAnsi="宋体" w:eastAsia="宋体" w:cs="宋体"/>
          <w:snapToGrid w:val="0"/>
          <w:color w:val="auto"/>
          <w:kern w:val="0"/>
          <w:sz w:val="24"/>
          <w:szCs w:val="24"/>
          <w:highlight w:val="none"/>
          <w:lang w:bidi="ar"/>
        </w:rPr>
        <w:t>。</w:t>
      </w:r>
    </w:p>
    <w:p w14:paraId="74088BE7">
      <w:pPr>
        <w:wordWrap w:val="0"/>
        <w:adjustRightInd w:val="0"/>
        <w:snapToGrid w:val="0"/>
        <w:spacing w:line="360" w:lineRule="auto"/>
        <w:ind w:firstLine="560"/>
        <w:rPr>
          <w:rFonts w:hint="eastAsia" w:ascii="宋体" w:hAnsi="宋体" w:eastAsia="宋体" w:cs="宋体"/>
          <w:strike/>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7.2 </w:t>
      </w:r>
      <w:r>
        <w:rPr>
          <w:rFonts w:hint="eastAsia" w:ascii="宋体" w:hAnsi="宋体" w:eastAsia="宋体" w:cs="宋体"/>
          <w:snapToGrid w:val="0"/>
          <w:color w:val="auto"/>
          <w:kern w:val="0"/>
          <w:sz w:val="24"/>
          <w:szCs w:val="24"/>
          <w:highlight w:val="none"/>
        </w:rPr>
        <w:t>若由于投标人自身原因未及时获得答疑书（或补充通知），由此发生的任何责任由投标人自行承担。</w:t>
      </w:r>
    </w:p>
    <w:p w14:paraId="4D940D12">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答疑书（或补充通知）对招标文件的修改或补充内容作为招标文件的组成部分，具有约束作用。招标文件的澄清、修改、补充等内容均以答疑书（或补充通知）中明确的内容为准</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snapToGrid w:val="0"/>
          <w:color w:val="auto"/>
          <w:kern w:val="0"/>
          <w:sz w:val="24"/>
          <w:szCs w:val="24"/>
          <w:highlight w:val="none"/>
        </w:rPr>
        <w:t>当招标文件、招标文件的澄清、修改、补充等文件在同一内容的表述上不一致时，以最后发出的答疑书（或补充通知）为准。</w:t>
      </w:r>
    </w:p>
    <w:p w14:paraId="3361F963">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7.4 </w:t>
      </w:r>
      <w:r>
        <w:rPr>
          <w:rFonts w:hint="eastAsia" w:ascii="宋体" w:hAnsi="宋体" w:eastAsia="宋体" w:cs="宋体"/>
          <w:snapToGrid w:val="0"/>
          <w:color w:val="auto"/>
          <w:kern w:val="0"/>
          <w:sz w:val="24"/>
          <w:szCs w:val="24"/>
          <w:highlight w:val="none"/>
        </w:rPr>
        <w:t>投标人在规定的时间内未对招标文件提出澄清或疑问的，招标人将视其为无异议。对招标文件中描述有</w:t>
      </w:r>
      <w:r>
        <w:rPr>
          <w:rFonts w:hint="eastAsia" w:ascii="宋体" w:hAnsi="宋体" w:eastAsia="宋体" w:cs="宋体"/>
          <w:snapToGrid w:val="0"/>
          <w:color w:val="auto"/>
          <w:kern w:val="0"/>
          <w:sz w:val="24"/>
          <w:szCs w:val="24"/>
          <w:highlight w:val="none"/>
          <w:lang w:eastAsia="zh-CN"/>
        </w:rPr>
        <w:t>歧义</w:t>
      </w:r>
      <w:r>
        <w:rPr>
          <w:rFonts w:hint="eastAsia" w:ascii="宋体" w:hAnsi="宋体" w:eastAsia="宋体" w:cs="宋体"/>
          <w:snapToGrid w:val="0"/>
          <w:color w:val="auto"/>
          <w:kern w:val="0"/>
          <w:sz w:val="24"/>
          <w:szCs w:val="24"/>
          <w:highlight w:val="none"/>
        </w:rPr>
        <w:t>或前后不一致的地方，评标委员会有权进行评判，但对同一条款的评判应适用于每个投标人。</w:t>
      </w:r>
    </w:p>
    <w:p w14:paraId="14CF022B">
      <w:pPr>
        <w:wordWrap w:val="0"/>
        <w:adjustRightInd w:val="0"/>
        <w:snapToGrid w:val="0"/>
        <w:spacing w:line="360" w:lineRule="auto"/>
        <w:ind w:firstLine="560"/>
        <w:rPr>
          <w:rFonts w:hint="eastAsia" w:ascii="宋体" w:hAnsi="宋体" w:eastAsia="宋体" w:cs="宋体"/>
          <w:b/>
          <w:snapToGrid w:val="0"/>
          <w:color w:val="auto"/>
          <w:sz w:val="24"/>
          <w:highlight w:val="none"/>
        </w:rPr>
      </w:pPr>
      <w:r>
        <w:rPr>
          <w:rFonts w:hint="eastAsia" w:ascii="宋体" w:hAnsi="宋体" w:eastAsia="宋体" w:cs="宋体"/>
          <w:b/>
          <w:bCs/>
          <w:snapToGrid w:val="0"/>
          <w:color w:val="auto"/>
          <w:kern w:val="0"/>
          <w:sz w:val="24"/>
          <w:szCs w:val="24"/>
          <w:highlight w:val="none"/>
        </w:rPr>
        <w:t xml:space="preserve">7.5 </w:t>
      </w:r>
      <w:r>
        <w:rPr>
          <w:rFonts w:hint="eastAsia" w:ascii="宋体" w:hAnsi="宋体" w:eastAsia="宋体" w:cs="宋体"/>
          <w:snapToGrid w:val="0"/>
          <w:color w:val="auto"/>
          <w:kern w:val="0"/>
          <w:sz w:val="24"/>
          <w:szCs w:val="24"/>
          <w:highlight w:val="none"/>
        </w:rPr>
        <w:t>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bookmarkStart w:id="53" w:name="_Hlt69699188"/>
      <w:bookmarkEnd w:id="53"/>
      <w:bookmarkStart w:id="54" w:name="_Hlt92513715"/>
      <w:bookmarkEnd w:id="54"/>
      <w:bookmarkStart w:id="55" w:name="_Hlt92513711"/>
      <w:bookmarkEnd w:id="55"/>
      <w:bookmarkStart w:id="56" w:name="_Toc23312"/>
    </w:p>
    <w:p w14:paraId="13D15247">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57" w:name="_Toc19788"/>
      <w:bookmarkStart w:id="58" w:name="_Toc3679"/>
      <w:r>
        <w:rPr>
          <w:rFonts w:hint="eastAsia" w:ascii="宋体" w:hAnsi="宋体" w:eastAsia="宋体" w:cs="宋体"/>
          <w:b/>
          <w:snapToGrid w:val="0"/>
          <w:color w:val="auto"/>
          <w:sz w:val="24"/>
          <w:highlight w:val="none"/>
          <w:lang w:eastAsia="zh-CN"/>
        </w:rPr>
        <w:t>8.</w:t>
      </w:r>
      <w:r>
        <w:rPr>
          <w:rFonts w:hint="eastAsia" w:ascii="宋体" w:hAnsi="宋体" w:eastAsia="宋体" w:cs="宋体"/>
          <w:b/>
          <w:snapToGrid w:val="0"/>
          <w:color w:val="auto"/>
          <w:sz w:val="24"/>
          <w:highlight w:val="none"/>
        </w:rPr>
        <w:t>最高投标限价的确定</w:t>
      </w:r>
      <w:bookmarkEnd w:id="56"/>
      <w:bookmarkEnd w:id="57"/>
      <w:bookmarkEnd w:id="58"/>
    </w:p>
    <w:p w14:paraId="211D41C2">
      <w:pPr>
        <w:spacing w:line="360" w:lineRule="auto"/>
        <w:ind w:firstLine="482" w:firstLineChars="200"/>
        <w:rPr>
          <w:rFonts w:hint="eastAsia" w:ascii="宋体" w:hAnsi="宋体" w:eastAsia="宋体" w:cs="宋体"/>
          <w:snapToGrid w:val="0"/>
          <w:color w:val="auto"/>
          <w:kern w:val="0"/>
          <w:sz w:val="24"/>
          <w:szCs w:val="32"/>
          <w:highlight w:val="none"/>
          <w:lang w:eastAsia="zh-CN"/>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snapToGrid w:val="0"/>
          <w:color w:val="auto"/>
          <w:kern w:val="0"/>
          <w:sz w:val="24"/>
          <w:szCs w:val="24"/>
          <w:highlight w:val="none"/>
        </w:rPr>
        <w:t xml:space="preserve"> 经研究确定</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本项目设计招标最高投标限价为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人民币</w:t>
      </w:r>
      <w:r>
        <w:rPr>
          <w:rFonts w:hint="eastAsia" w:ascii="宋体" w:hAnsi="宋体" w:eastAsia="宋体" w:cs="宋体"/>
          <w:snapToGrid w:val="0"/>
          <w:color w:val="auto"/>
          <w:kern w:val="0"/>
          <w:sz w:val="24"/>
          <w:szCs w:val="24"/>
          <w:highlight w:val="none"/>
          <w:lang w:eastAsia="zh-CN"/>
        </w:rPr>
        <w:t>贰佰叁拾肆万柒仟壹佰零玖元玖角玖分</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2,347,109.99</w:t>
      </w:r>
      <w:r>
        <w:rPr>
          <w:rFonts w:hint="eastAsia" w:ascii="宋体" w:hAnsi="宋体" w:eastAsia="宋体" w:cs="宋体"/>
          <w:snapToGrid w:val="0"/>
          <w:color w:val="auto"/>
          <w:kern w:val="0"/>
          <w:sz w:val="24"/>
          <w:szCs w:val="24"/>
          <w:highlight w:val="none"/>
        </w:rPr>
        <w:t>元)</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结算时按财政局审定的建安工程费预算价为计费基数，参《工程勘察设计收费管理规定》的通知</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计价格[2002]10号计算工程设计费基准价</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最终工程设计费=工程设计费基准价</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kern w:val="0"/>
          <w:sz w:val="24"/>
          <w:szCs w:val="24"/>
          <w:highlight w:val="none"/>
        </w:rPr>
        <w:t>65%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kern w:val="0"/>
          <w:sz w:val="24"/>
          <w:szCs w:val="24"/>
          <w:highlight w:val="none"/>
        </w:rPr>
        <w:t>(1-投标下浮率)。</w:t>
      </w:r>
      <w:r>
        <w:rPr>
          <w:rFonts w:hint="eastAsia" w:ascii="宋体" w:hAnsi="宋体" w:eastAsia="宋体" w:cs="宋体"/>
          <w:snapToGrid w:val="0"/>
          <w:color w:val="auto"/>
          <w:kern w:val="0"/>
          <w:sz w:val="24"/>
          <w:szCs w:val="32"/>
          <w:highlight w:val="none"/>
        </w:rPr>
        <w:t>具体详见下表</w:t>
      </w:r>
      <w:r>
        <w:rPr>
          <w:rFonts w:hint="eastAsia" w:ascii="宋体" w:hAnsi="宋体" w:eastAsia="宋体" w:cs="宋体"/>
          <w:snapToGrid w:val="0"/>
          <w:color w:val="auto"/>
          <w:kern w:val="0"/>
          <w:sz w:val="24"/>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34"/>
        <w:gridCol w:w="2066"/>
        <w:gridCol w:w="2100"/>
        <w:gridCol w:w="3662"/>
      </w:tblGrid>
      <w:tr w14:paraId="5AA1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shd w:val="clear" w:color="auto" w:fill="auto"/>
            <w:vAlign w:val="center"/>
          </w:tcPr>
          <w:p w14:paraId="00197369">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1234" w:type="dxa"/>
            <w:shd w:val="clear" w:color="auto" w:fill="auto"/>
            <w:vAlign w:val="center"/>
          </w:tcPr>
          <w:p w14:paraId="135C17AC">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项目名称</w:t>
            </w:r>
          </w:p>
        </w:tc>
        <w:tc>
          <w:tcPr>
            <w:tcW w:w="2066" w:type="dxa"/>
            <w:shd w:val="clear" w:color="auto" w:fill="auto"/>
            <w:vAlign w:val="center"/>
          </w:tcPr>
          <w:p w14:paraId="799A7671">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报价下浮率</w:t>
            </w:r>
          </w:p>
        </w:tc>
        <w:tc>
          <w:tcPr>
            <w:tcW w:w="2100" w:type="dxa"/>
            <w:shd w:val="clear" w:color="auto" w:fill="auto"/>
            <w:vAlign w:val="center"/>
          </w:tcPr>
          <w:p w14:paraId="60182A37">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最高投标限价</w:t>
            </w:r>
          </w:p>
        </w:tc>
        <w:tc>
          <w:tcPr>
            <w:tcW w:w="3662" w:type="dxa"/>
            <w:shd w:val="clear" w:color="auto" w:fill="auto"/>
            <w:vAlign w:val="center"/>
          </w:tcPr>
          <w:p w14:paraId="05918970">
            <w:pPr>
              <w:spacing w:line="36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备注</w:t>
            </w:r>
          </w:p>
        </w:tc>
      </w:tr>
      <w:tr w14:paraId="6E79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shd w:val="clear" w:color="auto" w:fill="auto"/>
            <w:vAlign w:val="center"/>
          </w:tcPr>
          <w:p w14:paraId="300F7617">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1234" w:type="dxa"/>
            <w:shd w:val="clear" w:color="auto" w:fill="auto"/>
            <w:vAlign w:val="center"/>
          </w:tcPr>
          <w:p w14:paraId="2BA35362">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设计费</w:t>
            </w:r>
          </w:p>
        </w:tc>
        <w:tc>
          <w:tcPr>
            <w:tcW w:w="2066" w:type="dxa"/>
            <w:shd w:val="clear" w:color="auto" w:fill="auto"/>
            <w:vAlign w:val="center"/>
          </w:tcPr>
          <w:p w14:paraId="78136E73">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≥0.00%</w:t>
            </w:r>
          </w:p>
        </w:tc>
        <w:tc>
          <w:tcPr>
            <w:tcW w:w="2100" w:type="dxa"/>
            <w:shd w:val="clear" w:color="auto" w:fill="auto"/>
            <w:vAlign w:val="center"/>
          </w:tcPr>
          <w:p w14:paraId="3A109F2B">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2,347,109.99</w:t>
            </w:r>
            <w:r>
              <w:rPr>
                <w:rFonts w:hint="eastAsia" w:ascii="宋体" w:hAnsi="宋体" w:eastAsia="宋体" w:cs="宋体"/>
                <w:snapToGrid w:val="0"/>
                <w:color w:val="auto"/>
                <w:kern w:val="0"/>
                <w:sz w:val="24"/>
                <w:szCs w:val="24"/>
                <w:highlight w:val="none"/>
              </w:rPr>
              <w:t>元</w:t>
            </w:r>
          </w:p>
        </w:tc>
        <w:tc>
          <w:tcPr>
            <w:tcW w:w="3662" w:type="dxa"/>
            <w:shd w:val="clear" w:color="auto" w:fill="auto"/>
            <w:vAlign w:val="center"/>
          </w:tcPr>
          <w:p w14:paraId="17EE176C">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结算时按已审定的建安工程费预算价为计费基数计算。</w:t>
            </w:r>
          </w:p>
        </w:tc>
      </w:tr>
    </w:tbl>
    <w:p w14:paraId="00EBF9D7">
      <w:pPr>
        <w:wordWrap w:val="0"/>
        <w:adjustRightInd w:val="0"/>
        <w:snapToGrid w:val="0"/>
        <w:spacing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snapToGrid w:val="0"/>
          <w:color w:val="auto"/>
          <w:kern w:val="0"/>
          <w:sz w:val="24"/>
          <w:highlight w:val="none"/>
        </w:rPr>
        <w:t>备注：</w:t>
      </w:r>
      <w:bookmarkStart w:id="59" w:name="_Toc30645"/>
      <w:r>
        <w:rPr>
          <w:rFonts w:hint="eastAsia" w:ascii="宋体" w:hAnsi="宋体" w:eastAsia="宋体" w:cs="宋体"/>
          <w:bCs/>
          <w:snapToGrid w:val="0"/>
          <w:color w:val="auto"/>
          <w:sz w:val="24"/>
          <w:szCs w:val="24"/>
          <w:highlight w:val="none"/>
        </w:rPr>
        <w:t>1</w:t>
      </w:r>
      <w:r>
        <w:rPr>
          <w:rFonts w:hint="eastAsia" w:ascii="宋体" w:hAnsi="宋体" w:eastAsia="宋体" w:cs="宋体"/>
          <w:bCs/>
          <w:snapToGrid w:val="0"/>
          <w:color w:val="auto"/>
          <w:sz w:val="24"/>
          <w:szCs w:val="24"/>
          <w:highlight w:val="none"/>
          <w:lang w:val="en-US" w:eastAsia="zh-CN"/>
        </w:rPr>
        <w:t>.</w:t>
      </w:r>
      <w:r>
        <w:rPr>
          <w:rFonts w:hint="eastAsia" w:ascii="宋体" w:hAnsi="宋体" w:eastAsia="宋体" w:cs="宋体"/>
          <w:bCs/>
          <w:snapToGrid w:val="0"/>
          <w:color w:val="auto"/>
          <w:sz w:val="24"/>
          <w:szCs w:val="24"/>
          <w:highlight w:val="none"/>
        </w:rPr>
        <w:t>各单项或合计投标报价超过最高投标限价为无效报价。</w:t>
      </w:r>
    </w:p>
    <w:p w14:paraId="16F86B14">
      <w:pPr>
        <w:wordWrap w:val="0"/>
        <w:adjustRightInd w:val="0"/>
        <w:snapToGrid w:val="0"/>
        <w:spacing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2</w:t>
      </w:r>
      <w:r>
        <w:rPr>
          <w:rFonts w:hint="eastAsia" w:ascii="宋体" w:hAnsi="宋体" w:eastAsia="宋体" w:cs="宋体"/>
          <w:bCs/>
          <w:snapToGrid w:val="0"/>
          <w:color w:val="auto"/>
          <w:sz w:val="24"/>
          <w:szCs w:val="24"/>
          <w:highlight w:val="none"/>
          <w:lang w:val="en-US" w:eastAsia="zh-CN"/>
        </w:rPr>
        <w:t>.</w:t>
      </w:r>
      <w:r>
        <w:rPr>
          <w:rFonts w:hint="eastAsia" w:ascii="宋体" w:hAnsi="宋体" w:eastAsia="宋体" w:cs="宋体"/>
          <w:bCs/>
          <w:snapToGrid w:val="0"/>
          <w:color w:val="auto"/>
          <w:sz w:val="24"/>
          <w:szCs w:val="24"/>
          <w:highlight w:val="none"/>
        </w:rPr>
        <w:t>投标下浮率及投标报价均按“四舍五入原则”精确到两位小数。</w:t>
      </w:r>
    </w:p>
    <w:p w14:paraId="7E08575E">
      <w:pPr>
        <w:wordWrap w:val="0"/>
        <w:adjustRightInd w:val="0"/>
        <w:snapToGrid w:val="0"/>
        <w:spacing w:line="360" w:lineRule="auto"/>
        <w:ind w:firstLine="480" w:firstLineChars="200"/>
        <w:rPr>
          <w:rFonts w:hint="eastAsia" w:ascii="宋体" w:hAnsi="宋体" w:eastAsia="宋体" w:cs="宋体"/>
          <w:bCs/>
          <w:snapToGrid w:val="0"/>
          <w:color w:val="auto"/>
          <w:sz w:val="24"/>
          <w:szCs w:val="24"/>
          <w:highlight w:val="none"/>
        </w:rPr>
      </w:pPr>
      <w:r>
        <w:rPr>
          <w:rFonts w:hint="eastAsia" w:ascii="宋体" w:hAnsi="宋体" w:eastAsia="宋体" w:cs="宋体"/>
          <w:bCs/>
          <w:snapToGrid w:val="0"/>
          <w:color w:val="auto"/>
          <w:sz w:val="24"/>
          <w:szCs w:val="24"/>
          <w:highlight w:val="none"/>
        </w:rPr>
        <w:t>3</w:t>
      </w:r>
      <w:r>
        <w:rPr>
          <w:rFonts w:hint="eastAsia" w:ascii="宋体" w:hAnsi="宋体" w:eastAsia="宋体" w:cs="宋体"/>
          <w:bCs/>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本项目的建安工程费暂定价为人民币12148.62万元。</w:t>
      </w:r>
    </w:p>
    <w:p w14:paraId="479EC704">
      <w:pPr>
        <w:wordWrap w:val="0"/>
        <w:adjustRightInd w:val="0"/>
        <w:snapToGrid w:val="0"/>
        <w:spacing w:line="360" w:lineRule="auto"/>
        <w:ind w:firstLine="480" w:firstLineChars="200"/>
        <w:rPr>
          <w:rFonts w:hint="eastAsia" w:ascii="宋体" w:hAnsi="宋体" w:eastAsia="宋体" w:cs="宋体"/>
          <w:bCs/>
          <w:snapToGrid w:val="0"/>
          <w:color w:val="auto"/>
          <w:sz w:val="24"/>
          <w:szCs w:val="24"/>
          <w:highlight w:val="none"/>
          <w:lang w:eastAsia="zh-CN"/>
        </w:rPr>
      </w:pPr>
      <w:r>
        <w:rPr>
          <w:rFonts w:hint="eastAsia" w:ascii="宋体" w:hAnsi="宋体" w:eastAsia="宋体" w:cs="宋体"/>
          <w:bCs/>
          <w:snapToGrid w:val="0"/>
          <w:color w:val="auto"/>
          <w:sz w:val="24"/>
          <w:szCs w:val="24"/>
          <w:highlight w:val="none"/>
        </w:rPr>
        <w:t>4</w:t>
      </w:r>
      <w:r>
        <w:rPr>
          <w:rFonts w:hint="eastAsia" w:ascii="宋体" w:hAnsi="宋体" w:eastAsia="宋体" w:cs="宋体"/>
          <w:bCs/>
          <w:snapToGrid w:val="0"/>
          <w:color w:val="auto"/>
          <w:sz w:val="24"/>
          <w:szCs w:val="24"/>
          <w:highlight w:val="none"/>
          <w:lang w:val="en-US" w:eastAsia="zh-CN"/>
        </w:rPr>
        <w:t>.</w:t>
      </w:r>
      <w:r>
        <w:rPr>
          <w:rFonts w:hint="eastAsia" w:ascii="宋体" w:hAnsi="宋体" w:eastAsia="宋体" w:cs="宋体"/>
          <w:bCs/>
          <w:snapToGrid w:val="0"/>
          <w:color w:val="auto"/>
          <w:sz w:val="24"/>
          <w:szCs w:val="24"/>
          <w:highlight w:val="none"/>
        </w:rPr>
        <w:t>计费依据及计算规则:国家计委、建设部《工程勘察设计收费管理规定》的通知</w:t>
      </w:r>
      <w:r>
        <w:rPr>
          <w:rFonts w:hint="eastAsia" w:ascii="宋体" w:hAnsi="宋体" w:eastAsia="宋体" w:cs="宋体"/>
          <w:bCs/>
          <w:snapToGrid w:val="0"/>
          <w:color w:val="auto"/>
          <w:sz w:val="24"/>
          <w:szCs w:val="24"/>
          <w:highlight w:val="none"/>
          <w:lang w:val="en-US" w:eastAsia="zh-CN"/>
        </w:rPr>
        <w:t>-</w:t>
      </w:r>
      <w:r>
        <w:rPr>
          <w:rFonts w:hint="eastAsia" w:ascii="宋体" w:hAnsi="宋体" w:eastAsia="宋体" w:cs="宋体"/>
          <w:bCs/>
          <w:snapToGrid w:val="0"/>
          <w:color w:val="auto"/>
          <w:sz w:val="24"/>
          <w:szCs w:val="24"/>
          <w:highlight w:val="none"/>
        </w:rPr>
        <w:t>计价格[2002]10号，即</w:t>
      </w:r>
      <w:r>
        <w:rPr>
          <w:rFonts w:hint="eastAsia" w:ascii="宋体" w:hAnsi="宋体" w:eastAsia="宋体" w:cs="宋体"/>
          <w:bCs/>
          <w:snapToGrid w:val="0"/>
          <w:color w:val="auto"/>
          <w:sz w:val="24"/>
          <w:szCs w:val="24"/>
          <w:highlight w:val="none"/>
          <w:lang w:eastAsia="zh-CN"/>
        </w:rPr>
        <w:t>：</w:t>
      </w:r>
      <w:r>
        <w:rPr>
          <w:rFonts w:hint="eastAsia" w:ascii="宋体" w:hAnsi="宋体" w:eastAsia="宋体" w:cs="宋体"/>
          <w:bCs/>
          <w:snapToGrid w:val="0"/>
          <w:color w:val="auto"/>
          <w:sz w:val="24"/>
          <w:szCs w:val="24"/>
          <w:highlight w:val="none"/>
        </w:rPr>
        <w:t>工程设计费基准价=工程设计费基价(采用直线内插法计取)</w:t>
      </w:r>
      <w:r>
        <w:rPr>
          <w:rFonts w:hint="eastAsia" w:ascii="宋体" w:hAnsi="宋体" w:eastAsia="宋体" w:cs="宋体"/>
          <w:snapToGrid w:val="0"/>
          <w:color w:val="auto"/>
          <w:sz w:val="24"/>
          <w:szCs w:val="24"/>
          <w:highlight w:val="none"/>
        </w:rPr>
        <w:t>×</w:t>
      </w:r>
      <w:r>
        <w:rPr>
          <w:rFonts w:hint="eastAsia" w:ascii="宋体" w:hAnsi="宋体" w:eastAsia="宋体" w:cs="宋体"/>
          <w:bCs/>
          <w:snapToGrid w:val="0"/>
          <w:color w:val="auto"/>
          <w:sz w:val="24"/>
          <w:szCs w:val="24"/>
          <w:highlight w:val="none"/>
        </w:rPr>
        <w:t>专业调整系数(取1.0)</w:t>
      </w:r>
      <w:r>
        <w:rPr>
          <w:rFonts w:hint="eastAsia" w:ascii="宋体" w:hAnsi="宋体" w:eastAsia="宋体" w:cs="宋体"/>
          <w:snapToGrid w:val="0"/>
          <w:color w:val="auto"/>
          <w:sz w:val="24"/>
          <w:szCs w:val="24"/>
          <w:highlight w:val="none"/>
        </w:rPr>
        <w:t>×</w:t>
      </w:r>
      <w:r>
        <w:rPr>
          <w:rFonts w:hint="eastAsia" w:ascii="宋体" w:hAnsi="宋体" w:eastAsia="宋体" w:cs="宋体"/>
          <w:bCs/>
          <w:snapToGrid w:val="0"/>
          <w:color w:val="auto"/>
          <w:sz w:val="24"/>
          <w:szCs w:val="24"/>
          <w:highlight w:val="none"/>
        </w:rPr>
        <w:t>工程复杂调整系数(取1.0)</w:t>
      </w:r>
      <w:r>
        <w:rPr>
          <w:rFonts w:hint="eastAsia" w:ascii="宋体" w:hAnsi="宋体" w:eastAsia="宋体" w:cs="宋体"/>
          <w:snapToGrid w:val="0"/>
          <w:color w:val="auto"/>
          <w:sz w:val="24"/>
          <w:szCs w:val="24"/>
          <w:highlight w:val="none"/>
        </w:rPr>
        <w:t>×</w:t>
      </w:r>
      <w:r>
        <w:rPr>
          <w:rFonts w:hint="eastAsia" w:ascii="宋体" w:hAnsi="宋体" w:eastAsia="宋体" w:cs="宋体"/>
          <w:bCs/>
          <w:snapToGrid w:val="0"/>
          <w:color w:val="auto"/>
          <w:sz w:val="24"/>
          <w:szCs w:val="24"/>
          <w:highlight w:val="none"/>
        </w:rPr>
        <w:t>附加调整系数(取1.0)</w:t>
      </w:r>
      <w:r>
        <w:rPr>
          <w:rFonts w:hint="eastAsia" w:ascii="宋体" w:hAnsi="宋体" w:eastAsia="宋体" w:cs="宋体"/>
          <w:bCs/>
          <w:snapToGrid w:val="0"/>
          <w:color w:val="auto"/>
          <w:sz w:val="24"/>
          <w:szCs w:val="24"/>
          <w:highlight w:val="none"/>
          <w:lang w:eastAsia="zh-CN"/>
        </w:rPr>
        <w:t>。</w:t>
      </w:r>
    </w:p>
    <w:p w14:paraId="0E7CA04E">
      <w:pPr>
        <w:wordWrap w:val="0"/>
        <w:adjustRightInd w:val="0"/>
        <w:snapToGrid w:val="0"/>
        <w:spacing w:line="360" w:lineRule="auto"/>
        <w:ind w:firstLine="480" w:firstLineChars="200"/>
        <w:rPr>
          <w:rFonts w:hint="eastAsia" w:ascii="宋体" w:hAnsi="宋体" w:eastAsia="宋体" w:cs="宋体"/>
          <w:b/>
          <w:snapToGrid w:val="0"/>
          <w:color w:val="auto"/>
          <w:sz w:val="24"/>
          <w:highlight w:val="none"/>
          <w:lang w:eastAsia="zh-CN"/>
        </w:rPr>
      </w:pPr>
      <w:r>
        <w:rPr>
          <w:rFonts w:hint="eastAsia" w:ascii="宋体" w:hAnsi="宋体" w:eastAsia="宋体" w:cs="宋体"/>
          <w:bCs/>
          <w:snapToGrid w:val="0"/>
          <w:color w:val="auto"/>
          <w:sz w:val="24"/>
          <w:szCs w:val="24"/>
          <w:highlight w:val="none"/>
          <w:lang w:val="en-US" w:eastAsia="zh-CN"/>
        </w:rPr>
        <w:t>5.</w:t>
      </w:r>
      <w:r>
        <w:rPr>
          <w:rFonts w:hint="eastAsia" w:ascii="宋体" w:hAnsi="宋体" w:eastAsia="宋体" w:cs="宋体"/>
          <w:bCs/>
          <w:snapToGrid w:val="0"/>
          <w:color w:val="auto"/>
          <w:sz w:val="24"/>
          <w:szCs w:val="24"/>
          <w:highlight w:val="none"/>
        </w:rPr>
        <w:t>以上投标报价均为含税报价(增值税)</w:t>
      </w:r>
      <w:r>
        <w:rPr>
          <w:rFonts w:hint="eastAsia" w:ascii="宋体" w:hAnsi="宋体" w:eastAsia="宋体" w:cs="宋体"/>
          <w:bCs/>
          <w:snapToGrid w:val="0"/>
          <w:color w:val="auto"/>
          <w:sz w:val="24"/>
          <w:szCs w:val="24"/>
          <w:highlight w:val="none"/>
          <w:lang w:eastAsia="zh-CN"/>
        </w:rPr>
        <w:t>。</w:t>
      </w:r>
    </w:p>
    <w:p w14:paraId="784635B6">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60" w:name="_Toc31242"/>
      <w:bookmarkStart w:id="61" w:name="_Toc11959"/>
      <w:r>
        <w:rPr>
          <w:rFonts w:hint="eastAsia" w:ascii="宋体" w:hAnsi="宋体" w:eastAsia="宋体" w:cs="宋体"/>
          <w:b/>
          <w:snapToGrid w:val="0"/>
          <w:color w:val="auto"/>
          <w:sz w:val="24"/>
          <w:highlight w:val="none"/>
          <w:lang w:eastAsia="zh-CN"/>
        </w:rPr>
        <w:t>9.</w:t>
      </w:r>
      <w:r>
        <w:rPr>
          <w:rFonts w:hint="eastAsia" w:ascii="宋体" w:hAnsi="宋体" w:eastAsia="宋体" w:cs="宋体"/>
          <w:b/>
          <w:snapToGrid w:val="0"/>
          <w:color w:val="auto"/>
          <w:sz w:val="24"/>
          <w:highlight w:val="none"/>
        </w:rPr>
        <w:t>投标报价</w:t>
      </w:r>
      <w:bookmarkStart w:id="62" w:name="_Hlt74498519"/>
      <w:bookmarkEnd w:id="62"/>
      <w:r>
        <w:rPr>
          <w:rFonts w:hint="eastAsia" w:ascii="宋体" w:hAnsi="宋体" w:eastAsia="宋体" w:cs="宋体"/>
          <w:b/>
          <w:snapToGrid w:val="0"/>
          <w:color w:val="auto"/>
          <w:sz w:val="24"/>
          <w:highlight w:val="none"/>
        </w:rPr>
        <w:t>的约定</w:t>
      </w:r>
      <w:bookmarkEnd w:id="59"/>
      <w:bookmarkEnd w:id="60"/>
      <w:bookmarkEnd w:id="61"/>
    </w:p>
    <w:p w14:paraId="07F682AD">
      <w:pPr>
        <w:wordWrap w:val="0"/>
        <w:adjustRightInd w:val="0"/>
        <w:snapToGrid w:val="0"/>
        <w:spacing w:line="360" w:lineRule="auto"/>
        <w:ind w:firstLine="482" w:firstLineChars="200"/>
        <w:rPr>
          <w:rFonts w:hint="eastAsia" w:ascii="宋体" w:hAnsi="宋体" w:eastAsia="宋体" w:cs="宋体"/>
          <w:color w:val="auto"/>
          <w:sz w:val="24"/>
          <w:szCs w:val="24"/>
          <w:highlight w:val="none"/>
        </w:rPr>
      </w:pPr>
      <w:bookmarkStart w:id="63" w:name="_Toc18198"/>
      <w:r>
        <w:rPr>
          <w:rFonts w:hint="eastAsia" w:ascii="宋体" w:hAnsi="宋体" w:eastAsia="宋体" w:cs="宋体"/>
          <w:b/>
          <w:snapToGrid w:val="0"/>
          <w:color w:val="auto"/>
          <w:sz w:val="24"/>
          <w:szCs w:val="24"/>
          <w:highlight w:val="none"/>
        </w:rPr>
        <w:t>9.1</w:t>
      </w:r>
      <w:r>
        <w:rPr>
          <w:rFonts w:hint="eastAsia" w:ascii="宋体" w:hAnsi="宋体" w:eastAsia="宋体" w:cs="宋体"/>
          <w:snapToGrid w:val="0"/>
          <w:color w:val="auto"/>
          <w:kern w:val="0"/>
          <w:sz w:val="24"/>
          <w:szCs w:val="22"/>
          <w:highlight w:val="none"/>
        </w:rPr>
        <w:t>投标人以设计费的合计总价进行投标报价。设计费报价及费率均不得超出最高投标限价规定的相应限价</w:t>
      </w:r>
      <w:r>
        <w:rPr>
          <w:rFonts w:hint="eastAsia" w:ascii="宋体" w:hAnsi="宋体" w:eastAsia="宋体" w:cs="宋体"/>
          <w:snapToGrid w:val="0"/>
          <w:color w:val="auto"/>
          <w:kern w:val="0"/>
          <w:sz w:val="24"/>
          <w:szCs w:val="24"/>
          <w:highlight w:val="none"/>
        </w:rPr>
        <w:t>。</w:t>
      </w:r>
    </w:p>
    <w:p w14:paraId="52B5EB18">
      <w:pPr>
        <w:keepNext w:val="0"/>
        <w:keepLines w:val="0"/>
        <w:pageBreakBefore w:val="0"/>
        <w:kinsoku/>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9.2</w:t>
      </w:r>
      <w:r>
        <w:rPr>
          <w:rFonts w:hint="eastAsia" w:ascii="宋体" w:hAnsi="宋体" w:eastAsia="宋体" w:cs="宋体"/>
          <w:color w:val="auto"/>
          <w:sz w:val="24"/>
          <w:szCs w:val="24"/>
          <w:highlight w:val="none"/>
        </w:rPr>
        <w:t>设计费投标报价：设计费应包括招标文件中招标内容（范围）及设计任务书（若有）所规定的所有设计工作的所有费用，应包含各个不同专业的设计费用、进行优化设计或修改设计所增加的设计费用。</w:t>
      </w:r>
    </w:p>
    <w:p w14:paraId="5DF183C9">
      <w:pPr>
        <w:keepNext w:val="0"/>
        <w:keepLines w:val="0"/>
        <w:pageBreakBefore w:val="0"/>
        <w:kinsoku/>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9.3</w:t>
      </w:r>
      <w:r>
        <w:rPr>
          <w:rFonts w:hint="eastAsia" w:ascii="宋体" w:hAnsi="宋体" w:eastAsia="宋体" w:cs="宋体"/>
          <w:color w:val="auto"/>
          <w:sz w:val="24"/>
          <w:szCs w:val="24"/>
          <w:highlight w:val="none"/>
        </w:rPr>
        <w:t>投标人投标报价必须按照本次招标公布的最高投标限价的相关规定进行编制。</w:t>
      </w:r>
    </w:p>
    <w:p w14:paraId="6D524977">
      <w:pPr>
        <w:keepNext w:val="0"/>
        <w:keepLines w:val="0"/>
        <w:pageBreakBefore w:val="0"/>
        <w:kinsoku/>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9.4</w:t>
      </w:r>
      <w:r>
        <w:rPr>
          <w:rFonts w:hint="eastAsia" w:ascii="宋体" w:hAnsi="宋体" w:eastAsia="宋体" w:cs="宋体"/>
          <w:color w:val="auto"/>
          <w:sz w:val="24"/>
          <w:szCs w:val="24"/>
          <w:highlight w:val="none"/>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5E561DB8">
      <w:pPr>
        <w:keepNext w:val="0"/>
        <w:keepLines w:val="0"/>
        <w:pageBreakBefore w:val="0"/>
        <w:kinsoku/>
        <w:overflowPunct/>
        <w:topLinePunct w:val="0"/>
        <w:autoSpaceDE/>
        <w:autoSpaceDN/>
        <w:bidi w:val="0"/>
        <w:spacing w:line="36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rPr>
        <w:t>9.5</w:t>
      </w:r>
      <w:r>
        <w:rPr>
          <w:rFonts w:hint="eastAsia" w:ascii="宋体" w:hAnsi="宋体" w:eastAsia="宋体" w:cs="宋体"/>
          <w:color w:val="auto"/>
          <w:sz w:val="24"/>
          <w:szCs w:val="24"/>
          <w:highlight w:val="none"/>
        </w:rPr>
        <w:t>本项目投标报价应综合考虑设计总包服务费、专家评审费，绿色建筑设计费（如有）以及所有专业及工程复杂程度相关的调整系数以及报建工作所需的内容等所包含的一切费用，还应考虑任何阶段性设计修改不增加任何费用的风险。</w:t>
      </w:r>
      <w:r>
        <w:rPr>
          <w:rFonts w:hint="eastAsia" w:ascii="宋体" w:hAnsi="宋体" w:eastAsia="宋体" w:cs="宋体"/>
          <w:color w:val="auto"/>
          <w:sz w:val="24"/>
          <w:szCs w:val="24"/>
          <w:highlight w:val="none"/>
          <w:lang w:val="zh-CN"/>
        </w:rPr>
        <w:t>设计费的报价应包含进行优化设计或修改设计所增加的设计费用。</w:t>
      </w:r>
    </w:p>
    <w:p w14:paraId="4B25DF55">
      <w:pPr>
        <w:keepNext w:val="0"/>
        <w:keepLines w:val="0"/>
        <w:pageBreakBefore w:val="0"/>
        <w:kinsoku/>
        <w:overflowPunct/>
        <w:topLinePunct w:val="0"/>
        <w:autoSpaceDE/>
        <w:autoSpaceDN/>
        <w:bidi w:val="0"/>
        <w:spacing w:line="360" w:lineRule="auto"/>
        <w:ind w:firstLine="482" w:firstLineChars="200"/>
        <w:rPr>
          <w:rFonts w:hint="eastAsia" w:ascii="宋体" w:hAnsi="宋体" w:eastAsia="宋体" w:cs="宋体"/>
          <w:b/>
          <w:snapToGrid w:val="0"/>
          <w:color w:val="auto"/>
          <w:sz w:val="24"/>
          <w:highlight w:val="none"/>
        </w:rPr>
      </w:pPr>
      <w:r>
        <w:rPr>
          <w:rFonts w:hint="eastAsia" w:ascii="宋体" w:hAnsi="宋体" w:eastAsia="宋体" w:cs="宋体"/>
          <w:b/>
          <w:bCs/>
          <w:color w:val="auto"/>
          <w:sz w:val="24"/>
          <w:szCs w:val="24"/>
          <w:highlight w:val="none"/>
        </w:rPr>
        <w:t>9.6</w:t>
      </w:r>
      <w:r>
        <w:rPr>
          <w:rFonts w:hint="eastAsia" w:ascii="宋体" w:hAnsi="宋体" w:eastAsia="宋体" w:cs="宋体"/>
          <w:color w:val="auto"/>
          <w:sz w:val="24"/>
          <w:szCs w:val="24"/>
          <w:highlight w:val="none"/>
        </w:rPr>
        <w:t>投标报价时应充分考虑“拟签订合同的主要条款”及“中标人须知”中所列条款的要求及风险。</w:t>
      </w:r>
    </w:p>
    <w:p w14:paraId="7BB87CF9">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64" w:name="_Toc1017"/>
      <w:bookmarkStart w:id="65" w:name="_Toc7068"/>
      <w:r>
        <w:rPr>
          <w:rFonts w:hint="eastAsia" w:ascii="宋体" w:hAnsi="宋体" w:eastAsia="宋体" w:cs="宋体"/>
          <w:b/>
          <w:snapToGrid w:val="0"/>
          <w:color w:val="auto"/>
          <w:sz w:val="24"/>
          <w:highlight w:val="none"/>
          <w:lang w:eastAsia="zh-CN"/>
        </w:rPr>
        <w:t>10.</w:t>
      </w:r>
      <w:r>
        <w:rPr>
          <w:rFonts w:hint="eastAsia" w:ascii="宋体" w:hAnsi="宋体" w:eastAsia="宋体" w:cs="宋体"/>
          <w:b/>
          <w:snapToGrid w:val="0"/>
          <w:color w:val="auto"/>
          <w:sz w:val="24"/>
          <w:highlight w:val="none"/>
        </w:rPr>
        <w:t>投标文件的编制</w:t>
      </w:r>
      <w:bookmarkStart w:id="66" w:name="_Hlt69332370"/>
      <w:bookmarkEnd w:id="66"/>
      <w:bookmarkStart w:id="67" w:name="_Hlt69208262"/>
      <w:bookmarkEnd w:id="67"/>
      <w:r>
        <w:rPr>
          <w:rFonts w:hint="eastAsia" w:ascii="宋体" w:hAnsi="宋体" w:eastAsia="宋体" w:cs="宋体"/>
          <w:b/>
          <w:snapToGrid w:val="0"/>
          <w:color w:val="auto"/>
          <w:sz w:val="24"/>
          <w:highlight w:val="none"/>
        </w:rPr>
        <w:t>要求</w:t>
      </w:r>
      <w:bookmarkEnd w:id="63"/>
      <w:bookmarkEnd w:id="64"/>
      <w:bookmarkEnd w:id="65"/>
      <w:bookmarkStart w:id="68" w:name="_Hlt78768224"/>
      <w:bookmarkEnd w:id="68"/>
      <w:bookmarkStart w:id="69" w:name="_Hlt74497202"/>
      <w:bookmarkEnd w:id="69"/>
      <w:bookmarkStart w:id="70" w:name="_Hlt74495594"/>
      <w:bookmarkEnd w:id="70"/>
    </w:p>
    <w:p w14:paraId="587AD4E1">
      <w:pPr>
        <w:wordWrap w:val="0"/>
        <w:adjustRightInd w:val="0"/>
        <w:snapToGrid w:val="0"/>
        <w:spacing w:line="360" w:lineRule="auto"/>
        <w:ind w:firstLine="482" w:firstLineChars="200"/>
        <w:outlineLvl w:val="3"/>
        <w:rPr>
          <w:rFonts w:hint="eastAsia" w:ascii="宋体" w:hAnsi="宋体" w:eastAsia="宋体" w:cs="宋体"/>
          <w:b/>
          <w:snapToGrid w:val="0"/>
          <w:color w:val="auto"/>
          <w:sz w:val="24"/>
          <w:highlight w:val="none"/>
        </w:rPr>
      </w:pPr>
      <w:bookmarkStart w:id="71" w:name="_Toc11185"/>
      <w:bookmarkStart w:id="72" w:name="_Toc257031159"/>
      <w:bookmarkStart w:id="73" w:name="_Toc274313880"/>
      <w:r>
        <w:rPr>
          <w:rFonts w:hint="eastAsia" w:ascii="宋体" w:hAnsi="宋体" w:eastAsia="宋体" w:cs="宋体"/>
          <w:b/>
          <w:bCs/>
          <w:snapToGrid w:val="0"/>
          <w:color w:val="auto"/>
          <w:sz w:val="24"/>
          <w:highlight w:val="none"/>
        </w:rPr>
        <w:t>10.1</w:t>
      </w:r>
      <w:r>
        <w:rPr>
          <w:rFonts w:hint="eastAsia" w:ascii="宋体" w:hAnsi="宋体" w:eastAsia="宋体" w:cs="宋体"/>
          <w:bCs/>
          <w:snapToGrid w:val="0"/>
          <w:color w:val="auto"/>
          <w:sz w:val="24"/>
          <w:highlight w:val="none"/>
        </w:rPr>
        <w:t xml:space="preserve"> 一般要求</w:t>
      </w:r>
      <w:bookmarkEnd w:id="71"/>
    </w:p>
    <w:p w14:paraId="5A547CB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投标文件应按第五章投标文件格式规定的内容，投标人提交的投标文件应当使用招标文件所提供的投标文件全部格式。</w:t>
      </w:r>
    </w:p>
    <w:p w14:paraId="249C33A6">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10.1.1</w:t>
      </w:r>
      <w:r>
        <w:rPr>
          <w:rFonts w:hint="eastAsia" w:ascii="宋体" w:hAnsi="宋体" w:eastAsia="宋体" w:cs="宋体"/>
          <w:snapToGrid w:val="0"/>
          <w:color w:val="auto"/>
          <w:kern w:val="0"/>
          <w:sz w:val="24"/>
          <w:highlight w:val="none"/>
        </w:rPr>
        <w:t xml:space="preserve"> 投标人必须响应招标文件，并在充分理解招标文件的基础上编制投标文件。因投标文件不符合招标文件的要求而造成的损失和后果，由投标人自行承担。</w:t>
      </w:r>
      <w:bookmarkStart w:id="74" w:name="_Hlt74496890"/>
      <w:bookmarkEnd w:id="74"/>
    </w:p>
    <w:p w14:paraId="7F9EAE48">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sz w:val="24"/>
          <w:szCs w:val="24"/>
          <w:highlight w:val="none"/>
        </w:rPr>
        <w:t>投标文件包括</w:t>
      </w:r>
      <w:r>
        <w:rPr>
          <w:rFonts w:hint="eastAsia" w:ascii="宋体" w:hAnsi="宋体" w:eastAsia="宋体" w:cs="宋体"/>
          <w:b/>
          <w:bCs/>
          <w:color w:val="auto"/>
          <w:sz w:val="24"/>
          <w:szCs w:val="24"/>
          <w:highlight w:val="none"/>
          <w:lang w:eastAsia="zh-CN"/>
        </w:rPr>
        <w:t>商务经济标书</w:t>
      </w:r>
      <w:r>
        <w:rPr>
          <w:rFonts w:hint="eastAsia" w:ascii="宋体" w:hAnsi="宋体" w:eastAsia="宋体" w:cs="宋体"/>
          <w:b/>
          <w:bCs/>
          <w:color w:val="auto"/>
          <w:sz w:val="24"/>
          <w:szCs w:val="24"/>
          <w:highlight w:val="none"/>
        </w:rPr>
        <w:t>、技术</w:t>
      </w:r>
      <w:r>
        <w:rPr>
          <w:rFonts w:hint="eastAsia" w:ascii="宋体" w:hAnsi="宋体" w:eastAsia="宋体" w:cs="宋体"/>
          <w:b/>
          <w:bCs/>
          <w:color w:val="auto"/>
          <w:sz w:val="24"/>
          <w:szCs w:val="24"/>
          <w:highlight w:val="none"/>
          <w:lang w:eastAsia="zh-CN"/>
        </w:rPr>
        <w:t>标书</w:t>
      </w:r>
      <w:r>
        <w:rPr>
          <w:rFonts w:hint="eastAsia" w:ascii="宋体" w:hAnsi="宋体" w:eastAsia="宋体" w:cs="宋体"/>
          <w:b/>
          <w:bCs/>
          <w:color w:val="auto"/>
          <w:sz w:val="24"/>
          <w:szCs w:val="24"/>
          <w:highlight w:val="none"/>
          <w:lang w:val="en-US" w:eastAsia="zh-CN"/>
        </w:rPr>
        <w:t>、定标文件三</w:t>
      </w:r>
      <w:r>
        <w:rPr>
          <w:rFonts w:hint="eastAsia" w:ascii="宋体" w:hAnsi="宋体" w:eastAsia="宋体" w:cs="宋体"/>
          <w:color w:val="auto"/>
          <w:sz w:val="24"/>
          <w:szCs w:val="24"/>
          <w:highlight w:val="none"/>
        </w:rPr>
        <w:t>个分册。</w:t>
      </w:r>
      <w:r>
        <w:rPr>
          <w:rFonts w:hint="eastAsia" w:ascii="宋体" w:hAnsi="宋体" w:eastAsia="宋体" w:cs="宋体"/>
          <w:b/>
          <w:bCs/>
          <w:snapToGrid w:val="0"/>
          <w:color w:val="auto"/>
          <w:kern w:val="0"/>
          <w:sz w:val="24"/>
          <w:highlight w:val="none"/>
        </w:rPr>
        <w:t>投标文件全部采用电子文档</w:t>
      </w:r>
      <w:r>
        <w:rPr>
          <w:rFonts w:hint="eastAsia" w:ascii="宋体" w:hAnsi="宋体" w:eastAsia="宋体" w:cs="宋体"/>
          <w:color w:val="auto"/>
          <w:sz w:val="24"/>
          <w:szCs w:val="24"/>
          <w:highlight w:val="none"/>
        </w:rPr>
        <w:t>（中标人自中标通知书发出之日起五个工作日内再提供正本1份、副本三份的纸质版投标文件给招标人存档）</w:t>
      </w:r>
      <w:r>
        <w:rPr>
          <w:rFonts w:hint="eastAsia" w:ascii="宋体" w:hAnsi="宋体" w:eastAsia="宋体" w:cs="宋体"/>
          <w:b/>
          <w:bCs/>
          <w:snapToGrid w:val="0"/>
          <w:color w:val="auto"/>
          <w:kern w:val="0"/>
          <w:sz w:val="24"/>
          <w:highlight w:val="none"/>
        </w:rPr>
        <w:t>，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中的【服务指南】。</w:t>
      </w:r>
    </w:p>
    <w:p w14:paraId="3A568041">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10.1.3</w:t>
      </w:r>
      <w:r>
        <w:rPr>
          <w:rFonts w:hint="eastAsia" w:ascii="宋体" w:hAnsi="宋体" w:eastAsia="宋体" w:cs="宋体"/>
          <w:snapToGrid w:val="0"/>
          <w:color w:val="auto"/>
          <w:kern w:val="0"/>
          <w:sz w:val="24"/>
          <w:highlight w:val="none"/>
        </w:rPr>
        <w:t xml:space="preserve"> 投标文件需按以下要求签字、盖章：</w:t>
      </w:r>
    </w:p>
    <w:p w14:paraId="33C6A4C1">
      <w:pPr>
        <w:wordWrap w:val="0"/>
        <w:adjustRightInd w:val="0"/>
        <w:snapToGrid w:val="0"/>
        <w:spacing w:line="360" w:lineRule="auto"/>
        <w:ind w:firstLine="56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电子投标文件：</w:t>
      </w:r>
    </w:p>
    <w:p w14:paraId="39612142">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10.1.3.1 </w:t>
      </w:r>
      <w:r>
        <w:rPr>
          <w:rFonts w:hint="eastAsia" w:ascii="宋体" w:hAnsi="宋体" w:eastAsia="宋体" w:cs="宋体"/>
          <w:snapToGrid w:val="0"/>
          <w:color w:val="auto"/>
          <w:kern w:val="0"/>
          <w:sz w:val="24"/>
          <w:highlight w:val="none"/>
        </w:rPr>
        <w:t>投标文件封面、组成内容中凡注明“签字”处由要求的人员签字或电子签章；凡注明“签字或盖章”处由要求的人员签字或盖其私章（电子印章）；凡注明“签字并盖执业印章”处由要求的人员签字并盖其执业印章。</w:t>
      </w:r>
    </w:p>
    <w:p w14:paraId="3DDB4B8B">
      <w:pPr>
        <w:wordWrap w:val="0"/>
        <w:adjustRightInd w:val="0"/>
        <w:snapToGrid w:val="0"/>
        <w:spacing w:line="360" w:lineRule="auto"/>
        <w:ind w:firstLine="560"/>
        <w:rPr>
          <w:rFonts w:hint="eastAsia" w:ascii="宋体" w:hAnsi="宋体" w:eastAsia="宋体" w:cs="宋体"/>
          <w:snapToGrid w:val="0"/>
          <w:color w:val="auto"/>
          <w:kern w:val="0"/>
          <w:sz w:val="24"/>
          <w:highlight w:val="none"/>
          <w:lang w:eastAsia="zh-CN"/>
        </w:rPr>
      </w:pPr>
      <w:r>
        <w:rPr>
          <w:rFonts w:hint="eastAsia" w:ascii="宋体" w:hAnsi="宋体" w:eastAsia="宋体" w:cs="宋体"/>
          <w:b/>
          <w:bCs/>
          <w:snapToGrid w:val="0"/>
          <w:color w:val="auto"/>
          <w:kern w:val="0"/>
          <w:sz w:val="24"/>
          <w:highlight w:val="none"/>
        </w:rPr>
        <w:t xml:space="preserve">10.1.3.2 </w:t>
      </w:r>
      <w:r>
        <w:rPr>
          <w:rFonts w:hint="eastAsia" w:ascii="宋体" w:hAnsi="宋体" w:eastAsia="宋体" w:cs="宋体"/>
          <w:snapToGrid w:val="0"/>
          <w:color w:val="auto"/>
          <w:kern w:val="0"/>
          <w:sz w:val="24"/>
          <w:highlight w:val="none"/>
        </w:rPr>
        <w:t>投标文件封套、封面、组成内容中凡要求录入投标人名称且注明“盖单位章”处盖单位法人公章（电子印章）</w:t>
      </w:r>
      <w:r>
        <w:rPr>
          <w:rFonts w:hint="eastAsia" w:ascii="宋体" w:hAnsi="宋体" w:eastAsia="宋体" w:cs="宋体"/>
          <w:snapToGrid w:val="0"/>
          <w:color w:val="auto"/>
          <w:kern w:val="0"/>
          <w:sz w:val="24"/>
          <w:highlight w:val="none"/>
          <w:lang w:eastAsia="zh-CN"/>
        </w:rPr>
        <w:t>。</w:t>
      </w:r>
    </w:p>
    <w:p w14:paraId="736179DE">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10.1.3.3 </w:t>
      </w:r>
      <w:r>
        <w:rPr>
          <w:rFonts w:hint="eastAsia" w:ascii="宋体" w:hAnsi="宋体" w:eastAsia="宋体" w:cs="宋体"/>
          <w:snapToGrid w:val="0"/>
          <w:color w:val="auto"/>
          <w:kern w:val="0"/>
          <w:sz w:val="24"/>
          <w:highlight w:val="none"/>
        </w:rPr>
        <w:t>投标文件的签字均为签字人本人亲笔署名或签章（电子印章），其余部分的彩色扫描件无须另行签字、盖章。</w:t>
      </w:r>
    </w:p>
    <w:p w14:paraId="113D5AA9">
      <w:pPr>
        <w:wordWrap w:val="0"/>
        <w:adjustRightInd w:val="0"/>
        <w:snapToGrid w:val="0"/>
        <w:spacing w:line="360" w:lineRule="auto"/>
        <w:ind w:firstLine="482" w:firstLineChars="200"/>
        <w:outlineLvl w:val="3"/>
        <w:rPr>
          <w:rFonts w:hint="eastAsia" w:ascii="宋体" w:hAnsi="宋体" w:eastAsia="宋体" w:cs="宋体"/>
          <w:b/>
          <w:bCs/>
          <w:snapToGrid w:val="0"/>
          <w:color w:val="auto"/>
          <w:sz w:val="24"/>
          <w:highlight w:val="none"/>
        </w:rPr>
      </w:pPr>
      <w:bookmarkStart w:id="75" w:name="_Toc32152"/>
      <w:r>
        <w:rPr>
          <w:rFonts w:hint="eastAsia" w:ascii="宋体" w:hAnsi="宋体" w:eastAsia="宋体" w:cs="宋体"/>
          <w:b/>
          <w:bCs/>
          <w:snapToGrid w:val="0"/>
          <w:color w:val="auto"/>
          <w:sz w:val="24"/>
          <w:highlight w:val="none"/>
        </w:rPr>
        <w:t xml:space="preserve">10.2 </w:t>
      </w:r>
      <w:r>
        <w:rPr>
          <w:rFonts w:hint="eastAsia" w:ascii="宋体" w:hAnsi="宋体" w:eastAsia="宋体" w:cs="宋体"/>
          <w:b/>
          <w:bCs/>
          <w:snapToGrid w:val="0"/>
          <w:color w:val="auto"/>
          <w:sz w:val="24"/>
          <w:highlight w:val="none"/>
          <w:lang w:eastAsia="zh-CN"/>
        </w:rPr>
        <w:t>商务经济标书</w:t>
      </w:r>
      <w:r>
        <w:rPr>
          <w:rFonts w:hint="eastAsia" w:ascii="宋体" w:hAnsi="宋体" w:eastAsia="宋体" w:cs="宋体"/>
          <w:b/>
          <w:bCs/>
          <w:snapToGrid w:val="0"/>
          <w:color w:val="auto"/>
          <w:sz w:val="24"/>
          <w:highlight w:val="none"/>
        </w:rPr>
        <w:t>的编制要求</w:t>
      </w:r>
      <w:bookmarkEnd w:id="72"/>
      <w:bookmarkEnd w:id="73"/>
      <w:bookmarkEnd w:id="75"/>
    </w:p>
    <w:p w14:paraId="0772FF84">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u w:val="single"/>
        </w:rPr>
      </w:pPr>
      <w:r>
        <w:rPr>
          <w:rFonts w:hint="eastAsia" w:ascii="宋体" w:hAnsi="宋体" w:eastAsia="宋体" w:cs="宋体"/>
          <w:b/>
          <w:bCs/>
          <w:snapToGrid w:val="0"/>
          <w:color w:val="auto"/>
          <w:kern w:val="0"/>
          <w:sz w:val="24"/>
          <w:highlight w:val="none"/>
        </w:rPr>
        <w:t>10.2.1</w:t>
      </w:r>
      <w:r>
        <w:rPr>
          <w:rFonts w:hint="eastAsia" w:ascii="宋体" w:hAnsi="宋体" w:eastAsia="宋体" w:cs="宋体"/>
          <w:snapToGrid w:val="0"/>
          <w:color w:val="auto"/>
          <w:kern w:val="0"/>
          <w:sz w:val="24"/>
          <w:highlight w:val="none"/>
        </w:rPr>
        <w:t xml:space="preserve"> </w:t>
      </w:r>
      <w:r>
        <w:rPr>
          <w:rFonts w:hint="eastAsia" w:ascii="宋体" w:hAnsi="宋体" w:eastAsia="宋体" w:cs="宋体"/>
          <w:bCs/>
          <w:snapToGrid w:val="0"/>
          <w:color w:val="auto"/>
          <w:kern w:val="0"/>
          <w:sz w:val="24"/>
          <w:highlight w:val="none"/>
          <w:lang w:eastAsia="zh-CN"/>
        </w:rPr>
        <w:t>商务经济标书</w:t>
      </w:r>
      <w:r>
        <w:rPr>
          <w:rFonts w:hint="eastAsia" w:ascii="宋体" w:hAnsi="宋体" w:eastAsia="宋体" w:cs="宋体"/>
          <w:snapToGrid w:val="0"/>
          <w:color w:val="auto"/>
          <w:kern w:val="0"/>
          <w:sz w:val="24"/>
          <w:highlight w:val="none"/>
        </w:rPr>
        <w:t>包括但不限于以下内容：</w:t>
      </w:r>
    </w:p>
    <w:p w14:paraId="43A01A60">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（1）封面（格式一）；</w:t>
      </w:r>
    </w:p>
    <w:p w14:paraId="4AA07136">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（2）目录；</w:t>
      </w:r>
    </w:p>
    <w:p w14:paraId="0D08CDB0">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（3）</w:t>
      </w:r>
      <w:r>
        <w:rPr>
          <w:rFonts w:hint="eastAsia" w:ascii="宋体" w:hAnsi="宋体" w:eastAsia="宋体" w:cs="宋体"/>
          <w:snapToGrid w:val="0"/>
          <w:color w:val="auto"/>
          <w:kern w:val="0"/>
          <w:sz w:val="24"/>
          <w:szCs w:val="24"/>
          <w:highlight w:val="none"/>
        </w:rPr>
        <w:t>《投标函》（格式二）</w:t>
      </w:r>
      <w:r>
        <w:rPr>
          <w:rFonts w:hint="eastAsia" w:ascii="宋体" w:hAnsi="宋体" w:eastAsia="宋体" w:cs="宋体"/>
          <w:snapToGrid w:val="0"/>
          <w:color w:val="auto"/>
          <w:kern w:val="0"/>
          <w:sz w:val="24"/>
          <w:szCs w:val="18"/>
          <w:highlight w:val="none"/>
        </w:rPr>
        <w:t>；</w:t>
      </w:r>
    </w:p>
    <w:p w14:paraId="639E7447">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w:t>
      </w:r>
      <w:r>
        <w:rPr>
          <w:rFonts w:hint="eastAsia" w:ascii="宋体" w:hAnsi="宋体" w:eastAsia="宋体" w:cs="宋体"/>
          <w:color w:val="auto"/>
          <w:sz w:val="24"/>
          <w:szCs w:val="24"/>
          <w:highlight w:val="none"/>
        </w:rPr>
        <w:t>工程项目报价表</w:t>
      </w:r>
      <w:r>
        <w:rPr>
          <w:rFonts w:hint="eastAsia" w:ascii="宋体" w:hAnsi="宋体" w:eastAsia="宋体" w:cs="宋体"/>
          <w:snapToGrid w:val="0"/>
          <w:color w:val="auto"/>
          <w:kern w:val="0"/>
          <w:sz w:val="24"/>
          <w:highlight w:val="none"/>
        </w:rPr>
        <w:t>》（格式三）</w:t>
      </w:r>
    </w:p>
    <w:p w14:paraId="1F2B44FB">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highlight w:val="none"/>
        </w:rPr>
        <w:t>（5）《</w:t>
      </w:r>
      <w:r>
        <w:rPr>
          <w:rFonts w:hint="eastAsia" w:ascii="宋体" w:hAnsi="宋体" w:eastAsia="宋体" w:cs="宋体"/>
          <w:snapToGrid w:val="0"/>
          <w:color w:val="auto"/>
          <w:kern w:val="0"/>
          <w:sz w:val="24"/>
          <w:szCs w:val="22"/>
          <w:highlight w:val="none"/>
        </w:rPr>
        <w:t>各项</w:t>
      </w:r>
      <w:r>
        <w:rPr>
          <w:rFonts w:hint="eastAsia" w:ascii="宋体" w:hAnsi="宋体" w:eastAsia="宋体" w:cs="宋体"/>
          <w:snapToGrid w:val="0"/>
          <w:color w:val="auto"/>
          <w:kern w:val="0"/>
          <w:sz w:val="24"/>
          <w:highlight w:val="none"/>
        </w:rPr>
        <w:t>承诺一览表》（格式四）；</w:t>
      </w:r>
    </w:p>
    <w:p w14:paraId="76772BDA">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（6）《授权委托书》（格式五）；</w:t>
      </w:r>
    </w:p>
    <w:p w14:paraId="41191E65">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（7）《法定代表人身份证明》（格式六）；</w:t>
      </w:r>
    </w:p>
    <w:p w14:paraId="1A9A986B">
      <w:pPr>
        <w:wordWrap w:val="0"/>
        <w:adjustRightInd w:val="0"/>
        <w:snapToGrid w:val="0"/>
        <w:spacing w:line="360" w:lineRule="auto"/>
        <w:ind w:firstLine="480" w:firstLineChars="200"/>
        <w:rPr>
          <w:rFonts w:hint="eastAsia" w:ascii="宋体" w:hAnsi="宋体" w:eastAsia="宋体" w:cs="宋体"/>
          <w:b/>
          <w:bCs/>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8）投标保证缴纳证明（投标人采用投标保证金的，附建设工程交易系统《缴纳投标保证金通知书》页面截图和银行转账单扫描件；采用投标保证担保的，附银行保函彩色扫描件；采用投标保证保险的，附电子保单和</w:t>
      </w:r>
      <w:r>
        <w:rPr>
          <w:rFonts w:hint="eastAsia" w:ascii="宋体" w:hAnsi="宋体" w:eastAsia="宋体" w:cs="宋体"/>
          <w:b/>
          <w:bCs/>
          <w:snapToGrid w:val="0"/>
          <w:color w:val="auto"/>
          <w:kern w:val="0"/>
          <w:sz w:val="24"/>
          <w:szCs w:val="18"/>
          <w:highlight w:val="none"/>
        </w:rPr>
        <w:t>《韶关市公共资源交易一体化平台保证金缴纳信息》页面截图）；</w:t>
      </w:r>
    </w:p>
    <w:p w14:paraId="42C4681B">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（9）《投标人基本情况表》（格式</w:t>
      </w:r>
      <w:r>
        <w:rPr>
          <w:rFonts w:hint="eastAsia" w:ascii="宋体" w:hAnsi="宋体" w:eastAsia="宋体" w:cs="宋体"/>
          <w:snapToGrid w:val="0"/>
          <w:color w:val="auto"/>
          <w:kern w:val="0"/>
          <w:sz w:val="24"/>
          <w:szCs w:val="18"/>
          <w:highlight w:val="none"/>
          <w:lang w:val="en-US" w:eastAsia="zh-CN"/>
        </w:rPr>
        <w:t>七</w:t>
      </w:r>
      <w:r>
        <w:rPr>
          <w:rFonts w:hint="eastAsia" w:ascii="宋体" w:hAnsi="宋体" w:eastAsia="宋体" w:cs="宋体"/>
          <w:snapToGrid w:val="0"/>
          <w:color w:val="auto"/>
          <w:kern w:val="0"/>
          <w:sz w:val="24"/>
          <w:szCs w:val="18"/>
          <w:highlight w:val="none"/>
        </w:rPr>
        <w:t>）及所附资料；</w:t>
      </w:r>
    </w:p>
    <w:p w14:paraId="6D7484B2">
      <w:pPr>
        <w:wordWrap w:val="0"/>
        <w:adjustRightInd w:val="0"/>
        <w:snapToGrid w:val="0"/>
        <w:spacing w:line="360" w:lineRule="auto"/>
        <w:ind w:firstLine="480" w:firstLineChars="200"/>
        <w:rPr>
          <w:rFonts w:hint="eastAsia" w:ascii="宋体" w:hAnsi="宋体" w:eastAsia="宋体" w:cs="宋体"/>
          <w:strike/>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（10）《</w:t>
      </w:r>
      <w:r>
        <w:rPr>
          <w:rFonts w:hint="eastAsia" w:ascii="宋体" w:hAnsi="宋体" w:eastAsia="宋体" w:cs="宋体"/>
          <w:color w:val="auto"/>
          <w:sz w:val="24"/>
          <w:szCs w:val="24"/>
          <w:highlight w:val="none"/>
          <w:lang w:eastAsia="zh-CN"/>
        </w:rPr>
        <w:t>设计负责人简历表</w:t>
      </w:r>
      <w:r>
        <w:rPr>
          <w:rFonts w:hint="eastAsia" w:ascii="宋体" w:hAnsi="宋体" w:eastAsia="宋体" w:cs="宋体"/>
          <w:snapToGrid w:val="0"/>
          <w:color w:val="auto"/>
          <w:kern w:val="0"/>
          <w:sz w:val="24"/>
          <w:szCs w:val="18"/>
          <w:highlight w:val="none"/>
        </w:rPr>
        <w:t>》（格式</w:t>
      </w:r>
      <w:r>
        <w:rPr>
          <w:rFonts w:hint="eastAsia" w:ascii="宋体" w:hAnsi="宋体" w:eastAsia="宋体" w:cs="宋体"/>
          <w:snapToGrid w:val="0"/>
          <w:color w:val="auto"/>
          <w:kern w:val="0"/>
          <w:sz w:val="24"/>
          <w:szCs w:val="18"/>
          <w:highlight w:val="none"/>
          <w:lang w:val="en-US" w:eastAsia="zh-CN"/>
        </w:rPr>
        <w:t>八</w:t>
      </w:r>
      <w:r>
        <w:rPr>
          <w:rFonts w:hint="eastAsia" w:ascii="宋体" w:hAnsi="宋体" w:eastAsia="宋体" w:cs="宋体"/>
          <w:snapToGrid w:val="0"/>
          <w:color w:val="auto"/>
          <w:kern w:val="0"/>
          <w:sz w:val="24"/>
          <w:szCs w:val="18"/>
          <w:highlight w:val="none"/>
        </w:rPr>
        <w:t>）及所附资料；</w:t>
      </w:r>
    </w:p>
    <w:p w14:paraId="54F5AA6F">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（11）《</w:t>
      </w:r>
      <w:r>
        <w:rPr>
          <w:rFonts w:hint="eastAsia" w:ascii="宋体" w:hAnsi="宋体" w:eastAsia="宋体" w:cs="宋体"/>
          <w:color w:val="auto"/>
          <w:sz w:val="24"/>
          <w:szCs w:val="24"/>
          <w:highlight w:val="none"/>
        </w:rPr>
        <w:t>本项目拟投入的人员基本情况表</w:t>
      </w:r>
      <w:r>
        <w:rPr>
          <w:rFonts w:hint="eastAsia" w:ascii="宋体" w:hAnsi="宋体" w:eastAsia="宋体" w:cs="宋体"/>
          <w:snapToGrid w:val="0"/>
          <w:color w:val="auto"/>
          <w:kern w:val="0"/>
          <w:sz w:val="24"/>
          <w:szCs w:val="18"/>
          <w:highlight w:val="none"/>
        </w:rPr>
        <w:t>》（格式</w:t>
      </w:r>
      <w:r>
        <w:rPr>
          <w:rFonts w:hint="eastAsia" w:ascii="宋体" w:hAnsi="宋体" w:eastAsia="宋体" w:cs="宋体"/>
          <w:snapToGrid w:val="0"/>
          <w:color w:val="auto"/>
          <w:kern w:val="0"/>
          <w:sz w:val="24"/>
          <w:szCs w:val="18"/>
          <w:highlight w:val="none"/>
          <w:lang w:val="en-US" w:eastAsia="zh-CN"/>
        </w:rPr>
        <w:t>九</w:t>
      </w:r>
      <w:r>
        <w:rPr>
          <w:rFonts w:hint="eastAsia" w:ascii="宋体" w:hAnsi="宋体" w:eastAsia="宋体" w:cs="宋体"/>
          <w:snapToGrid w:val="0"/>
          <w:color w:val="auto"/>
          <w:kern w:val="0"/>
          <w:sz w:val="24"/>
          <w:szCs w:val="18"/>
          <w:highlight w:val="none"/>
        </w:rPr>
        <w:t>）</w:t>
      </w:r>
      <w:r>
        <w:rPr>
          <w:rFonts w:hint="eastAsia" w:ascii="宋体" w:hAnsi="宋体" w:eastAsia="宋体" w:cs="宋体"/>
          <w:color w:val="auto"/>
          <w:sz w:val="24"/>
          <w:szCs w:val="24"/>
          <w:highlight w:val="none"/>
        </w:rPr>
        <w:t>及所附资料</w:t>
      </w:r>
      <w:r>
        <w:rPr>
          <w:rFonts w:hint="eastAsia" w:ascii="宋体" w:hAnsi="宋体" w:eastAsia="宋体" w:cs="宋体"/>
          <w:snapToGrid w:val="0"/>
          <w:color w:val="auto"/>
          <w:kern w:val="0"/>
          <w:sz w:val="24"/>
          <w:szCs w:val="18"/>
          <w:highlight w:val="none"/>
        </w:rPr>
        <w:t>；</w:t>
      </w:r>
    </w:p>
    <w:p w14:paraId="17E42BED">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（12）本节第</w:t>
      </w:r>
      <w:r>
        <w:rPr>
          <w:rFonts w:hint="eastAsia" w:ascii="宋体" w:hAnsi="宋体" w:eastAsia="宋体" w:cs="宋体"/>
          <w:b/>
          <w:bCs/>
          <w:snapToGrid w:val="0"/>
          <w:color w:val="auto"/>
          <w:kern w:val="0"/>
          <w:sz w:val="24"/>
          <w:szCs w:val="18"/>
          <w:highlight w:val="none"/>
        </w:rPr>
        <w:t>15.5.1</w:t>
      </w:r>
      <w:r>
        <w:rPr>
          <w:rFonts w:hint="eastAsia" w:ascii="宋体" w:hAnsi="宋体" w:eastAsia="宋体" w:cs="宋体"/>
          <w:snapToGrid w:val="0"/>
          <w:color w:val="auto"/>
          <w:kern w:val="0"/>
          <w:sz w:val="24"/>
          <w:szCs w:val="18"/>
          <w:highlight w:val="none"/>
        </w:rPr>
        <w:t>目“评标方法”要求提供的评审资料；</w:t>
      </w:r>
    </w:p>
    <w:p w14:paraId="49923835">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w:t>
      </w:r>
      <w:r>
        <w:rPr>
          <w:rFonts w:hint="eastAsia" w:ascii="宋体" w:hAnsi="宋体" w:eastAsia="宋体" w:cs="宋体"/>
          <w:snapToGrid w:val="0"/>
          <w:color w:val="auto"/>
          <w:kern w:val="0"/>
          <w:sz w:val="24"/>
          <w:szCs w:val="18"/>
          <w:highlight w:val="none"/>
          <w:lang w:val="en-US" w:eastAsia="zh-CN"/>
        </w:rPr>
        <w:t>3</w:t>
      </w:r>
      <w:r>
        <w:rPr>
          <w:rFonts w:hint="eastAsia" w:ascii="宋体" w:hAnsi="宋体" w:eastAsia="宋体" w:cs="宋体"/>
          <w:snapToGrid w:val="0"/>
          <w:color w:val="auto"/>
          <w:kern w:val="0"/>
          <w:sz w:val="24"/>
          <w:szCs w:val="18"/>
          <w:highlight w:val="none"/>
        </w:rPr>
        <w:t>）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E7A188D">
      <w:pPr>
        <w:wordWrap w:val="0"/>
        <w:adjustRightInd w:val="0"/>
        <w:snapToGrid w:val="0"/>
        <w:spacing w:line="360" w:lineRule="auto"/>
        <w:ind w:firstLine="482"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b/>
          <w:bCs/>
          <w:snapToGrid w:val="0"/>
          <w:color w:val="auto"/>
          <w:kern w:val="0"/>
          <w:sz w:val="24"/>
          <w:szCs w:val="18"/>
          <w:highlight w:val="none"/>
        </w:rPr>
        <w:t>10.2.2</w:t>
      </w:r>
      <w:r>
        <w:rPr>
          <w:rFonts w:hint="eastAsia" w:ascii="宋体" w:hAnsi="宋体" w:eastAsia="宋体" w:cs="宋体"/>
          <w:snapToGrid w:val="0"/>
          <w:color w:val="auto"/>
          <w:kern w:val="0"/>
          <w:sz w:val="24"/>
          <w:szCs w:val="18"/>
          <w:highlight w:val="none"/>
        </w:rPr>
        <w:t xml:space="preserve"> 本节第</w:t>
      </w:r>
      <w:r>
        <w:rPr>
          <w:rFonts w:hint="eastAsia" w:ascii="宋体" w:hAnsi="宋体" w:eastAsia="宋体" w:cs="宋体"/>
          <w:b/>
          <w:bCs/>
          <w:snapToGrid w:val="0"/>
          <w:color w:val="auto"/>
          <w:kern w:val="0"/>
          <w:sz w:val="24"/>
          <w:szCs w:val="18"/>
          <w:highlight w:val="none"/>
        </w:rPr>
        <w:t>10.2.1</w:t>
      </w:r>
      <w:r>
        <w:rPr>
          <w:rFonts w:hint="eastAsia" w:ascii="宋体" w:hAnsi="宋体" w:eastAsia="宋体" w:cs="宋体"/>
          <w:snapToGrid w:val="0"/>
          <w:color w:val="auto"/>
          <w:kern w:val="0"/>
          <w:sz w:val="24"/>
          <w:szCs w:val="18"/>
          <w:highlight w:val="none"/>
        </w:rPr>
        <w:t>目中所列出的</w:t>
      </w:r>
      <w:r>
        <w:rPr>
          <w:rFonts w:hint="eastAsia" w:ascii="宋体" w:hAnsi="宋体" w:eastAsia="宋体" w:cs="宋体"/>
          <w:snapToGrid w:val="0"/>
          <w:color w:val="auto"/>
          <w:kern w:val="0"/>
          <w:sz w:val="24"/>
          <w:szCs w:val="18"/>
          <w:highlight w:val="none"/>
          <w:lang w:eastAsia="zh-CN"/>
        </w:rPr>
        <w:t>商务经济标书</w:t>
      </w:r>
      <w:r>
        <w:rPr>
          <w:rFonts w:hint="eastAsia" w:ascii="宋体" w:hAnsi="宋体" w:eastAsia="宋体" w:cs="宋体"/>
          <w:snapToGrid w:val="0"/>
          <w:color w:val="auto"/>
          <w:kern w:val="0"/>
          <w:sz w:val="24"/>
          <w:szCs w:val="18"/>
          <w:highlight w:val="none"/>
        </w:rPr>
        <w:t>组成内容中，第（1）至第（1</w:t>
      </w:r>
      <w:r>
        <w:rPr>
          <w:rFonts w:hint="eastAsia" w:ascii="宋体" w:hAnsi="宋体" w:eastAsia="宋体" w:cs="宋体"/>
          <w:snapToGrid w:val="0"/>
          <w:color w:val="auto"/>
          <w:kern w:val="0"/>
          <w:sz w:val="24"/>
          <w:szCs w:val="18"/>
          <w:highlight w:val="none"/>
          <w:lang w:val="en-US" w:eastAsia="zh-CN"/>
        </w:rPr>
        <w:t>1</w:t>
      </w:r>
      <w:r>
        <w:rPr>
          <w:rFonts w:hint="eastAsia" w:ascii="宋体" w:hAnsi="宋体" w:eastAsia="宋体" w:cs="宋体"/>
          <w:snapToGrid w:val="0"/>
          <w:color w:val="auto"/>
          <w:kern w:val="0"/>
          <w:sz w:val="24"/>
          <w:szCs w:val="18"/>
          <w:highlight w:val="none"/>
        </w:rPr>
        <w:t>）项所有投标人均应提供</w:t>
      </w:r>
      <w:r>
        <w:rPr>
          <w:rFonts w:hint="eastAsia" w:ascii="宋体" w:hAnsi="宋体" w:eastAsia="宋体" w:cs="宋体"/>
          <w:b/>
          <w:bCs/>
          <w:snapToGrid w:val="0"/>
          <w:color w:val="auto"/>
          <w:kern w:val="0"/>
          <w:sz w:val="24"/>
          <w:szCs w:val="18"/>
          <w:highlight w:val="none"/>
        </w:rPr>
        <w:t>。</w:t>
      </w:r>
    </w:p>
    <w:p w14:paraId="7614848B">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18"/>
          <w:highlight w:val="none"/>
        </w:rPr>
      </w:pPr>
      <w:r>
        <w:rPr>
          <w:rFonts w:hint="eastAsia" w:ascii="宋体" w:hAnsi="宋体" w:eastAsia="宋体" w:cs="宋体"/>
          <w:b/>
          <w:bCs/>
          <w:snapToGrid w:val="0"/>
          <w:color w:val="auto"/>
          <w:kern w:val="0"/>
          <w:sz w:val="24"/>
          <w:highlight w:val="none"/>
        </w:rPr>
        <w:t>10.2.3</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商务经济标书</w:t>
      </w:r>
      <w:r>
        <w:rPr>
          <w:rFonts w:hint="eastAsia" w:ascii="宋体" w:hAnsi="宋体" w:eastAsia="宋体" w:cs="宋体"/>
          <w:snapToGrid w:val="0"/>
          <w:color w:val="auto"/>
          <w:kern w:val="0"/>
          <w:sz w:val="24"/>
          <w:highlight w:val="none"/>
        </w:rPr>
        <w:t>的组成内容按本节第</w:t>
      </w:r>
      <w:r>
        <w:rPr>
          <w:rFonts w:hint="eastAsia" w:ascii="宋体" w:hAnsi="宋体" w:eastAsia="宋体" w:cs="宋体"/>
          <w:b/>
          <w:bCs/>
          <w:snapToGrid w:val="0"/>
          <w:color w:val="auto"/>
          <w:kern w:val="0"/>
          <w:sz w:val="24"/>
          <w:highlight w:val="none"/>
        </w:rPr>
        <w:t>10.2.1</w:t>
      </w:r>
      <w:r>
        <w:rPr>
          <w:rFonts w:hint="eastAsia" w:ascii="宋体" w:hAnsi="宋体" w:eastAsia="宋体" w:cs="宋体"/>
          <w:snapToGrid w:val="0"/>
          <w:color w:val="auto"/>
          <w:kern w:val="0"/>
          <w:sz w:val="24"/>
          <w:highlight w:val="none"/>
        </w:rPr>
        <w:t>目规定的顺序整理、编排后，逐页（页码起始从封面开始）连续标记页码。</w:t>
      </w:r>
    </w:p>
    <w:p w14:paraId="718A13D6">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10.2.4</w:t>
      </w:r>
      <w:r>
        <w:rPr>
          <w:rFonts w:hint="eastAsia" w:ascii="宋体" w:hAnsi="宋体" w:eastAsia="宋体" w:cs="宋体"/>
          <w:snapToGrid w:val="0"/>
          <w:color w:val="auto"/>
          <w:kern w:val="0"/>
          <w:sz w:val="24"/>
          <w:highlight w:val="none"/>
        </w:rPr>
        <w:t xml:space="preserve"> </w:t>
      </w:r>
      <w:r>
        <w:rPr>
          <w:rFonts w:hint="eastAsia" w:ascii="宋体" w:hAnsi="宋体" w:eastAsia="宋体" w:cs="宋体"/>
          <w:bCs/>
          <w:snapToGrid w:val="0"/>
          <w:color w:val="auto"/>
          <w:kern w:val="0"/>
          <w:sz w:val="24"/>
          <w:highlight w:val="none"/>
          <w:lang w:eastAsia="zh-CN"/>
        </w:rPr>
        <w:t>商务经济标书</w:t>
      </w:r>
      <w:r>
        <w:rPr>
          <w:rFonts w:hint="eastAsia" w:ascii="宋体" w:hAnsi="宋体" w:eastAsia="宋体" w:cs="宋体"/>
          <w:snapToGrid w:val="0"/>
          <w:color w:val="auto"/>
          <w:kern w:val="0"/>
          <w:sz w:val="24"/>
          <w:highlight w:val="none"/>
        </w:rPr>
        <w:t>应尽量避免手工涂改、行间插字或删除。如果出现上述情况，改动之处应加盖单位章确认或由投标人的法定代表人或其委托代理人签字确认。</w:t>
      </w:r>
    </w:p>
    <w:p w14:paraId="6695ACE7">
      <w:pPr>
        <w:wordWrap w:val="0"/>
        <w:adjustRightInd w:val="0"/>
        <w:snapToGrid w:val="0"/>
        <w:spacing w:line="360" w:lineRule="auto"/>
        <w:ind w:firstLine="482" w:firstLineChars="200"/>
        <w:outlineLvl w:val="3"/>
        <w:rPr>
          <w:rFonts w:hint="eastAsia" w:ascii="宋体" w:hAnsi="宋体" w:eastAsia="宋体" w:cs="宋体"/>
          <w:b/>
          <w:bCs/>
          <w:snapToGrid w:val="0"/>
          <w:color w:val="auto"/>
          <w:sz w:val="24"/>
          <w:highlight w:val="none"/>
        </w:rPr>
      </w:pPr>
      <w:bookmarkStart w:id="76" w:name="_Toc24810"/>
      <w:bookmarkStart w:id="77" w:name="_Toc274313881"/>
      <w:r>
        <w:rPr>
          <w:rFonts w:hint="eastAsia" w:ascii="宋体" w:hAnsi="宋体" w:eastAsia="宋体" w:cs="宋体"/>
          <w:b/>
          <w:bCs/>
          <w:snapToGrid w:val="0"/>
          <w:color w:val="auto"/>
          <w:sz w:val="24"/>
          <w:highlight w:val="none"/>
        </w:rPr>
        <w:t>10.3</w:t>
      </w:r>
      <w:bookmarkStart w:id="78" w:name="_Hlt69670035"/>
      <w:bookmarkEnd w:id="78"/>
      <w:r>
        <w:rPr>
          <w:rFonts w:hint="eastAsia" w:ascii="宋体" w:hAnsi="宋体" w:eastAsia="宋体" w:cs="宋体"/>
          <w:b/>
          <w:bCs/>
          <w:snapToGrid w:val="0"/>
          <w:color w:val="auto"/>
          <w:sz w:val="24"/>
          <w:highlight w:val="none"/>
        </w:rPr>
        <w:t xml:space="preserve"> 技术</w:t>
      </w:r>
      <w:r>
        <w:rPr>
          <w:rFonts w:hint="eastAsia" w:ascii="宋体" w:hAnsi="宋体" w:eastAsia="宋体" w:cs="宋体"/>
          <w:b/>
          <w:bCs/>
          <w:snapToGrid w:val="0"/>
          <w:color w:val="auto"/>
          <w:sz w:val="24"/>
          <w:highlight w:val="none"/>
          <w:lang w:val="en-US" w:eastAsia="zh-CN"/>
        </w:rPr>
        <w:t>标书</w:t>
      </w:r>
      <w:r>
        <w:rPr>
          <w:rFonts w:hint="eastAsia" w:ascii="宋体" w:hAnsi="宋体" w:eastAsia="宋体" w:cs="宋体"/>
          <w:b/>
          <w:bCs/>
          <w:snapToGrid w:val="0"/>
          <w:color w:val="auto"/>
          <w:sz w:val="24"/>
          <w:highlight w:val="none"/>
        </w:rPr>
        <w:t>的编制要求</w:t>
      </w:r>
      <w:bookmarkEnd w:id="76"/>
      <w:bookmarkEnd w:id="77"/>
    </w:p>
    <w:p w14:paraId="28EBBB1B">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10.3.1</w:t>
      </w:r>
      <w:r>
        <w:rPr>
          <w:rFonts w:hint="eastAsia" w:ascii="宋体" w:hAnsi="宋体" w:eastAsia="宋体" w:cs="宋体"/>
          <w:snapToGrid w:val="0"/>
          <w:color w:val="auto"/>
          <w:kern w:val="0"/>
          <w:sz w:val="24"/>
          <w:highlight w:val="none"/>
        </w:rPr>
        <w:t xml:space="preserve"> 技术标书包括但不限于以下内容：</w:t>
      </w:r>
    </w:p>
    <w:p w14:paraId="66641FEE">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（1）封面（格式一）；</w:t>
      </w:r>
    </w:p>
    <w:p w14:paraId="172A0737">
      <w:pPr>
        <w:wordWrap w:val="0"/>
        <w:adjustRightInd w:val="0"/>
        <w:snapToGrid w:val="0"/>
        <w:spacing w:line="360" w:lineRule="auto"/>
        <w:ind w:firstLine="480"/>
        <w:rPr>
          <w:rFonts w:hint="eastAsia" w:ascii="宋体" w:hAnsi="宋体" w:eastAsia="宋体" w:cs="宋体"/>
          <w:color w:val="auto"/>
          <w:highlight w:val="none"/>
        </w:rPr>
      </w:pPr>
      <w:r>
        <w:rPr>
          <w:rFonts w:hint="eastAsia" w:ascii="宋体" w:hAnsi="宋体" w:eastAsia="宋体" w:cs="宋体"/>
          <w:snapToGrid w:val="0"/>
          <w:color w:val="auto"/>
          <w:kern w:val="0"/>
          <w:sz w:val="24"/>
          <w:highlight w:val="none"/>
        </w:rPr>
        <w:t>（2）目录；</w:t>
      </w:r>
      <w:bookmarkStart w:id="79" w:name="_Hlt69699579"/>
      <w:bookmarkEnd w:id="79"/>
    </w:p>
    <w:p w14:paraId="064E6162">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w:t>
      </w:r>
      <w:r>
        <w:rPr>
          <w:rFonts w:hint="eastAsia" w:ascii="宋体" w:hAnsi="宋体" w:eastAsia="宋体" w:cs="宋体"/>
          <w:snapToGrid w:val="0"/>
          <w:color w:val="auto"/>
          <w:kern w:val="0"/>
          <w:sz w:val="24"/>
          <w:szCs w:val="18"/>
          <w:highlight w:val="none"/>
        </w:rPr>
        <w:t>本节第</w:t>
      </w:r>
      <w:r>
        <w:rPr>
          <w:rFonts w:hint="eastAsia" w:ascii="宋体" w:hAnsi="宋体" w:eastAsia="宋体" w:cs="宋体"/>
          <w:b/>
          <w:bCs/>
          <w:snapToGrid w:val="0"/>
          <w:color w:val="auto"/>
          <w:kern w:val="0"/>
          <w:sz w:val="24"/>
          <w:szCs w:val="18"/>
          <w:highlight w:val="none"/>
        </w:rPr>
        <w:t>15.5.1</w:t>
      </w:r>
      <w:r>
        <w:rPr>
          <w:rFonts w:hint="eastAsia" w:ascii="宋体" w:hAnsi="宋体" w:eastAsia="宋体" w:cs="宋体"/>
          <w:snapToGrid w:val="0"/>
          <w:color w:val="auto"/>
          <w:kern w:val="0"/>
          <w:sz w:val="24"/>
          <w:szCs w:val="18"/>
          <w:highlight w:val="none"/>
        </w:rPr>
        <w:t>目</w:t>
      </w:r>
      <w:r>
        <w:rPr>
          <w:rFonts w:hint="eastAsia" w:ascii="宋体" w:hAnsi="宋体" w:eastAsia="宋体" w:cs="宋体"/>
          <w:snapToGrid w:val="0"/>
          <w:color w:val="auto"/>
          <w:kern w:val="0"/>
          <w:sz w:val="24"/>
          <w:szCs w:val="24"/>
          <w:highlight w:val="none"/>
        </w:rPr>
        <w:t>“评标方法《综合评分表》”</w:t>
      </w:r>
      <w:r>
        <w:rPr>
          <w:rFonts w:hint="eastAsia" w:ascii="宋体" w:hAnsi="宋体" w:eastAsia="宋体" w:cs="宋体"/>
          <w:color w:val="auto"/>
          <w:sz w:val="24"/>
          <w:szCs w:val="24"/>
          <w:highlight w:val="none"/>
        </w:rPr>
        <w:t>的</w:t>
      </w:r>
      <w:r>
        <w:rPr>
          <w:rFonts w:hint="eastAsia" w:ascii="宋体" w:hAnsi="宋体" w:eastAsia="宋体" w:cs="宋体"/>
          <w:snapToGrid w:val="0"/>
          <w:color w:val="auto"/>
          <w:kern w:val="0"/>
          <w:sz w:val="24"/>
          <w:szCs w:val="18"/>
          <w:highlight w:val="none"/>
        </w:rPr>
        <w:t>要求提供的评审资料</w:t>
      </w:r>
      <w:r>
        <w:rPr>
          <w:rFonts w:hint="eastAsia" w:ascii="宋体" w:hAnsi="宋体" w:eastAsia="宋体" w:cs="宋体"/>
          <w:snapToGrid w:val="0"/>
          <w:color w:val="auto"/>
          <w:kern w:val="0"/>
          <w:sz w:val="24"/>
          <w:highlight w:val="none"/>
        </w:rPr>
        <w:t>。</w:t>
      </w:r>
    </w:p>
    <w:p w14:paraId="76F4F531">
      <w:pPr>
        <w:wordWrap w:val="0"/>
        <w:adjustRightInd w:val="0"/>
        <w:snapToGrid w:val="0"/>
        <w:spacing w:line="360" w:lineRule="auto"/>
        <w:ind w:firstLine="48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eastAsia="宋体" w:cs="宋体"/>
          <w:snapToGrid w:val="0"/>
          <w:color w:val="auto"/>
          <w:kern w:val="0"/>
          <w:sz w:val="24"/>
          <w:szCs w:val="18"/>
          <w:highlight w:val="none"/>
          <w:lang w:val="en-US" w:eastAsia="zh-CN"/>
        </w:rPr>
        <w:t>4</w:t>
      </w:r>
      <w:r>
        <w:rPr>
          <w:rFonts w:hint="eastAsia" w:ascii="宋体" w:hAnsi="宋体" w:eastAsia="宋体" w:cs="宋体"/>
          <w:snapToGrid w:val="0"/>
          <w:color w:val="auto"/>
          <w:kern w:val="0"/>
          <w:sz w:val="24"/>
          <w:szCs w:val="18"/>
          <w:highlight w:val="none"/>
        </w:rPr>
        <w:t>）投标人认为有必要补充的其他资料。</w:t>
      </w:r>
    </w:p>
    <w:p w14:paraId="1F296BE0">
      <w:pPr>
        <w:wordWrap w:val="0"/>
        <w:adjustRightInd w:val="0"/>
        <w:snapToGrid w:val="0"/>
        <w:spacing w:line="360" w:lineRule="auto"/>
        <w:ind w:firstLine="480"/>
        <w:rPr>
          <w:rFonts w:hint="eastAsia" w:ascii="宋体" w:hAnsi="宋体" w:eastAsia="宋体" w:cs="宋体"/>
          <w:snapToGrid w:val="0"/>
          <w:color w:val="auto"/>
          <w:kern w:val="0"/>
          <w:sz w:val="24"/>
          <w:szCs w:val="18"/>
          <w:highlight w:val="none"/>
        </w:rPr>
      </w:pPr>
      <w:r>
        <w:rPr>
          <w:rFonts w:hint="eastAsia" w:ascii="宋体" w:hAnsi="宋体" w:eastAsia="宋体" w:cs="宋体"/>
          <w:b/>
          <w:bCs/>
          <w:snapToGrid w:val="0"/>
          <w:color w:val="auto"/>
          <w:kern w:val="0"/>
          <w:sz w:val="24"/>
          <w:szCs w:val="18"/>
          <w:highlight w:val="none"/>
        </w:rPr>
        <w:t>10.3.2</w:t>
      </w:r>
      <w:r>
        <w:rPr>
          <w:rFonts w:hint="eastAsia" w:ascii="宋体" w:hAnsi="宋体" w:eastAsia="宋体" w:cs="宋体"/>
          <w:snapToGrid w:val="0"/>
          <w:color w:val="auto"/>
          <w:kern w:val="0"/>
          <w:sz w:val="24"/>
          <w:szCs w:val="18"/>
          <w:highlight w:val="none"/>
        </w:rPr>
        <w:t xml:space="preserve"> 本节第</w:t>
      </w:r>
      <w:r>
        <w:rPr>
          <w:rFonts w:hint="eastAsia" w:ascii="宋体" w:hAnsi="宋体" w:eastAsia="宋体" w:cs="宋体"/>
          <w:b/>
          <w:bCs/>
          <w:snapToGrid w:val="0"/>
          <w:color w:val="auto"/>
          <w:kern w:val="0"/>
          <w:sz w:val="24"/>
          <w:szCs w:val="18"/>
          <w:highlight w:val="none"/>
        </w:rPr>
        <w:t>10.3.1</w:t>
      </w:r>
      <w:r>
        <w:rPr>
          <w:rFonts w:hint="eastAsia" w:ascii="宋体" w:hAnsi="宋体" w:eastAsia="宋体" w:cs="宋体"/>
          <w:snapToGrid w:val="0"/>
          <w:color w:val="auto"/>
          <w:kern w:val="0"/>
          <w:sz w:val="24"/>
          <w:szCs w:val="18"/>
          <w:highlight w:val="none"/>
        </w:rPr>
        <w:t>目中所列出的</w:t>
      </w:r>
      <w:r>
        <w:rPr>
          <w:rFonts w:hint="eastAsia" w:ascii="宋体" w:hAnsi="宋体" w:eastAsia="宋体" w:cs="宋体"/>
          <w:snapToGrid w:val="0"/>
          <w:color w:val="auto"/>
          <w:kern w:val="0"/>
          <w:sz w:val="24"/>
          <w:highlight w:val="none"/>
        </w:rPr>
        <w:t>技术标书</w:t>
      </w:r>
      <w:r>
        <w:rPr>
          <w:rFonts w:hint="eastAsia" w:ascii="宋体" w:hAnsi="宋体" w:eastAsia="宋体" w:cs="宋体"/>
          <w:snapToGrid w:val="0"/>
          <w:color w:val="auto"/>
          <w:kern w:val="0"/>
          <w:sz w:val="24"/>
          <w:szCs w:val="18"/>
          <w:highlight w:val="none"/>
        </w:rPr>
        <w:t>组成内容中，第（1）至第（</w:t>
      </w:r>
      <w:r>
        <w:rPr>
          <w:rFonts w:hint="eastAsia" w:ascii="宋体" w:hAnsi="宋体" w:eastAsia="宋体" w:cs="宋体"/>
          <w:snapToGrid w:val="0"/>
          <w:color w:val="auto"/>
          <w:kern w:val="0"/>
          <w:sz w:val="24"/>
          <w:szCs w:val="18"/>
          <w:highlight w:val="none"/>
          <w:lang w:val="en-US" w:eastAsia="zh-CN"/>
        </w:rPr>
        <w:t>2</w:t>
      </w:r>
      <w:r>
        <w:rPr>
          <w:rFonts w:hint="eastAsia" w:ascii="宋体" w:hAnsi="宋体" w:eastAsia="宋体" w:cs="宋体"/>
          <w:snapToGrid w:val="0"/>
          <w:color w:val="auto"/>
          <w:kern w:val="0"/>
          <w:sz w:val="24"/>
          <w:szCs w:val="18"/>
          <w:highlight w:val="none"/>
        </w:rPr>
        <w:t>）项所有投标人均应提供</w:t>
      </w:r>
      <w:bookmarkStart w:id="80" w:name="_Hlt145127239"/>
      <w:bookmarkEnd w:id="80"/>
      <w:r>
        <w:rPr>
          <w:rFonts w:hint="eastAsia" w:ascii="宋体" w:hAnsi="宋体" w:eastAsia="宋体" w:cs="宋体"/>
          <w:snapToGrid w:val="0"/>
          <w:color w:val="auto"/>
          <w:kern w:val="0"/>
          <w:sz w:val="24"/>
          <w:szCs w:val="18"/>
          <w:highlight w:val="none"/>
        </w:rPr>
        <w:t>。</w:t>
      </w:r>
    </w:p>
    <w:p w14:paraId="38235F4E">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10.3.3</w:t>
      </w:r>
      <w:r>
        <w:rPr>
          <w:rFonts w:hint="eastAsia" w:ascii="宋体" w:hAnsi="宋体" w:eastAsia="宋体" w:cs="宋体"/>
          <w:snapToGrid w:val="0"/>
          <w:color w:val="auto"/>
          <w:kern w:val="0"/>
          <w:sz w:val="24"/>
          <w:highlight w:val="none"/>
        </w:rPr>
        <w:t xml:space="preserve"> 技术标书的组成内容按本节第</w:t>
      </w:r>
      <w:r>
        <w:rPr>
          <w:rFonts w:hint="eastAsia" w:ascii="宋体" w:hAnsi="宋体" w:eastAsia="宋体" w:cs="宋体"/>
          <w:b/>
          <w:bCs/>
          <w:snapToGrid w:val="0"/>
          <w:color w:val="auto"/>
          <w:kern w:val="0"/>
          <w:sz w:val="24"/>
          <w:highlight w:val="none"/>
        </w:rPr>
        <w:t>10.3.1</w:t>
      </w:r>
      <w:r>
        <w:rPr>
          <w:rFonts w:hint="eastAsia" w:ascii="宋体" w:hAnsi="宋体" w:eastAsia="宋体" w:cs="宋体"/>
          <w:snapToGrid w:val="0"/>
          <w:color w:val="auto"/>
          <w:kern w:val="0"/>
          <w:sz w:val="24"/>
          <w:highlight w:val="none"/>
        </w:rPr>
        <w:t>目规定的顺序整理、编排后，逐页（页码起始从封面开始）连续标记页码。</w:t>
      </w:r>
    </w:p>
    <w:p w14:paraId="48B02EBA">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10.3.4</w:t>
      </w:r>
      <w:r>
        <w:rPr>
          <w:rFonts w:hint="eastAsia" w:ascii="宋体" w:hAnsi="宋体" w:eastAsia="宋体" w:cs="宋体"/>
          <w:snapToGrid w:val="0"/>
          <w:color w:val="auto"/>
          <w:kern w:val="0"/>
          <w:sz w:val="24"/>
          <w:highlight w:val="none"/>
        </w:rPr>
        <w:t xml:space="preserve"> 技术标书应尽量避免手工涂改、行间插字或删除。如果出现上述情况，改动之处应加盖单位章确认或由投标人的法定代表人或其委托代理人签字确认。</w:t>
      </w:r>
    </w:p>
    <w:p w14:paraId="7DAE74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val="0"/>
          <w:color w:val="auto"/>
          <w:sz w:val="24"/>
          <w:highlight w:val="none"/>
          <w:lang w:val="en-US" w:eastAsia="zh-CN"/>
        </w:rPr>
      </w:pPr>
      <w:bookmarkStart w:id="81" w:name="_Toc25423"/>
      <w:r>
        <w:rPr>
          <w:rFonts w:hint="eastAsia" w:ascii="宋体" w:hAnsi="宋体" w:eastAsia="宋体" w:cs="宋体"/>
          <w:b/>
          <w:bCs w:val="0"/>
          <w:snapToGrid w:val="0"/>
          <w:color w:val="auto"/>
          <w:kern w:val="0"/>
          <w:sz w:val="24"/>
          <w:highlight w:val="none"/>
          <w:lang w:val="en-US" w:eastAsia="zh-CN"/>
        </w:rPr>
        <w:t>10.4</w:t>
      </w:r>
      <w:r>
        <w:rPr>
          <w:rFonts w:hint="eastAsia" w:ascii="宋体" w:hAnsi="宋体" w:eastAsia="宋体" w:cs="宋体"/>
          <w:b/>
          <w:bCs w:val="0"/>
          <w:color w:val="auto"/>
          <w:sz w:val="24"/>
          <w:highlight w:val="none"/>
          <w:lang w:val="en-US" w:eastAsia="zh-CN"/>
        </w:rPr>
        <w:t>定标文件的编制要求</w:t>
      </w:r>
    </w:p>
    <w:p w14:paraId="415200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lang w:val="en-US" w:eastAsia="zh-CN"/>
        </w:rPr>
        <w:t>10.4.</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14FC58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highlight w:val="none"/>
          <w:lang w:val="en-US" w:eastAsia="zh-CN"/>
        </w:rPr>
        <w:t>1) 定标因素评审资料（格式十）</w:t>
      </w:r>
    </w:p>
    <w:p w14:paraId="611C45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snapToGrid w:val="0"/>
          <w:color w:val="auto"/>
          <w:kern w:val="0"/>
          <w:sz w:val="24"/>
          <w:highlight w:val="none"/>
          <w:lang w:val="en-US" w:eastAsia="zh-CN"/>
        </w:rPr>
      </w:pPr>
      <w:r>
        <w:rPr>
          <w:rFonts w:hint="eastAsia" w:ascii="宋体" w:hAnsi="宋体" w:eastAsia="宋体" w:cs="宋体"/>
          <w:b w:val="0"/>
          <w:bCs w:val="0"/>
          <w:color w:val="auto"/>
          <w:sz w:val="24"/>
          <w:highlight w:val="none"/>
          <w:lang w:val="en-US" w:eastAsia="zh-CN"/>
        </w:rPr>
        <w:t xml:space="preserve">10.4.2 </w:t>
      </w:r>
      <w:r>
        <w:rPr>
          <w:rFonts w:hint="eastAsia" w:ascii="宋体" w:hAnsi="宋体" w:eastAsia="宋体" w:cs="宋体"/>
          <w:b w:val="0"/>
          <w:bCs w:val="0"/>
          <w:color w:val="auto"/>
          <w:sz w:val="24"/>
          <w:highlight w:val="none"/>
        </w:rPr>
        <w:t>本节第</w:t>
      </w:r>
      <w:r>
        <w:rPr>
          <w:rFonts w:hint="eastAsia" w:ascii="宋体" w:hAnsi="宋体" w:eastAsia="宋体" w:cs="宋体"/>
          <w:b w:val="0"/>
          <w:bCs w:val="0"/>
          <w:color w:val="auto"/>
          <w:sz w:val="24"/>
          <w:highlight w:val="none"/>
          <w:lang w:val="en-US" w:eastAsia="zh-CN"/>
        </w:rPr>
        <w:t>10.4.1</w:t>
      </w:r>
      <w:r>
        <w:rPr>
          <w:rFonts w:hint="eastAsia" w:ascii="宋体" w:hAnsi="宋体" w:eastAsia="宋体" w:cs="宋体"/>
          <w:b w:val="0"/>
          <w:bCs w:val="0"/>
          <w:color w:val="auto"/>
          <w:sz w:val="24"/>
          <w:highlight w:val="none"/>
        </w:rPr>
        <w:t>目中所列出的组成内容中，第（1）项所有投标人均应提供。</w:t>
      </w:r>
    </w:p>
    <w:p w14:paraId="559122E4">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82" w:name="_Toc26545"/>
      <w:bookmarkStart w:id="83" w:name="_Toc4416"/>
      <w:r>
        <w:rPr>
          <w:rFonts w:hint="eastAsia" w:ascii="宋体" w:hAnsi="宋体" w:eastAsia="宋体" w:cs="宋体"/>
          <w:b/>
          <w:snapToGrid w:val="0"/>
          <w:color w:val="auto"/>
          <w:sz w:val="24"/>
          <w:highlight w:val="none"/>
          <w:lang w:eastAsia="zh-CN"/>
        </w:rPr>
        <w:t>11.</w:t>
      </w:r>
      <w:bookmarkEnd w:id="81"/>
      <w:r>
        <w:rPr>
          <w:rFonts w:hint="eastAsia" w:ascii="宋体" w:hAnsi="宋体" w:eastAsia="宋体" w:cs="宋体"/>
          <w:b/>
          <w:snapToGrid w:val="0"/>
          <w:color w:val="auto"/>
          <w:sz w:val="24"/>
          <w:highlight w:val="none"/>
        </w:rPr>
        <w:t>电子投标</w:t>
      </w:r>
      <w:bookmarkEnd w:id="82"/>
      <w:bookmarkEnd w:id="83"/>
    </w:p>
    <w:p w14:paraId="7E42EFC5">
      <w:pPr>
        <w:pStyle w:val="10"/>
        <w:wordWrap w:val="0"/>
        <w:adjustRightInd w:val="0"/>
        <w:snapToGrid w:val="0"/>
        <w:spacing w:line="360" w:lineRule="auto"/>
        <w:ind w:firstLineChars="0"/>
        <w:rPr>
          <w:rFonts w:hint="eastAsia" w:ascii="宋体" w:hAnsi="宋体" w:eastAsia="宋体" w:cs="宋体"/>
          <w:snapToGrid w:val="0"/>
          <w:color w:val="auto"/>
          <w:kern w:val="0"/>
          <w:sz w:val="24"/>
          <w:szCs w:val="24"/>
          <w:highlight w:val="none"/>
        </w:rPr>
      </w:pPr>
      <w:bookmarkStart w:id="84" w:name="_Hlt66200498"/>
      <w:bookmarkEnd w:id="84"/>
      <w:bookmarkStart w:id="85" w:name="_Hlt66511038"/>
      <w:bookmarkEnd w:id="85"/>
      <w:bookmarkStart w:id="86" w:name="_Toc28866"/>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在交易平台上传加盖了电子印章的投标文件、录入相关信息及标书页码信息，并提交投标标书（页码起始从封面开始）。提交标书为已加密投标文件。具体操作详见全国公共资源交易平台（广东省·韶关市）（https://ygp.gdzwfw.gov.cn/ggzy-portal/#/440200/index）。</w:t>
      </w:r>
    </w:p>
    <w:p w14:paraId="45639CE7">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评标采用全流程电子化进行招标投标（投标人应根据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w:t>
      </w:r>
      <w:r>
        <w:rPr>
          <w:rFonts w:hint="eastAsia" w:ascii="宋体" w:hAnsi="宋体" w:eastAsia="宋体" w:cs="宋体"/>
          <w:snapToGrid w:val="0"/>
          <w:color w:val="auto"/>
          <w:kern w:val="0"/>
          <w:sz w:val="24"/>
          <w:szCs w:val="24"/>
          <w:highlight w:val="none"/>
          <w:lang w:eastAsia="zh-CN"/>
        </w:rPr>
        <w:t>截止</w:t>
      </w:r>
      <w:r>
        <w:rPr>
          <w:rFonts w:hint="eastAsia" w:ascii="宋体" w:hAnsi="宋体" w:eastAsia="宋体" w:cs="宋体"/>
          <w:snapToGrid w:val="0"/>
          <w:color w:val="auto"/>
          <w:kern w:val="0"/>
          <w:sz w:val="24"/>
          <w:szCs w:val="24"/>
          <w:highlight w:val="none"/>
        </w:rPr>
        <w:t>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5F6C7D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投标文件完成上传后，投标人应使用CA数字证书对投标文件进行文件加密，形成加密的投标文件并提交标书。</w:t>
      </w:r>
    </w:p>
    <w:p w14:paraId="03313EFF">
      <w:pPr>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11.2</w:t>
      </w:r>
      <w:r>
        <w:rPr>
          <w:rFonts w:hint="eastAsia" w:ascii="宋体" w:hAnsi="宋体" w:eastAsia="宋体" w:cs="宋体"/>
          <w:snapToGrid w:val="0"/>
          <w:color w:val="auto"/>
          <w:kern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6015115A">
      <w:pPr>
        <w:wordWrap w:val="0"/>
        <w:adjustRightInd w:val="0"/>
        <w:snapToGrid w:val="0"/>
        <w:spacing w:line="360" w:lineRule="auto"/>
        <w:ind w:firstLine="482" w:firstLineChars="200"/>
        <w:rPr>
          <w:rFonts w:hint="eastAsia" w:ascii="宋体" w:hAnsi="宋体" w:eastAsia="宋体" w:cs="宋体"/>
          <w:bCs/>
          <w:snapToGrid w:val="0"/>
          <w:color w:val="auto"/>
          <w:sz w:val="24"/>
          <w:szCs w:val="24"/>
          <w:highlight w:val="none"/>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电子投标及投标解密失败及突发情况的补救方案</w:t>
      </w:r>
    </w:p>
    <w:p w14:paraId="2B2456A1">
      <w:pPr>
        <w:pStyle w:val="10"/>
        <w:wordWrap w:val="0"/>
        <w:adjustRightInd w:val="0"/>
        <w:snapToGrid w:val="0"/>
        <w:spacing w:line="360" w:lineRule="auto"/>
        <w:ind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11.3.1</w:t>
      </w:r>
      <w:r>
        <w:rPr>
          <w:rFonts w:hint="eastAsia" w:ascii="宋体" w:hAnsi="宋体" w:eastAsia="宋体" w:cs="宋体"/>
          <w:snapToGrid w:val="0"/>
          <w:color w:val="auto"/>
          <w:kern w:val="0"/>
          <w:sz w:val="24"/>
          <w:szCs w:val="24"/>
          <w:highlight w:val="none"/>
        </w:rPr>
        <w:t>按照交易平台关于全流程电子化项目的相关指南进行操作。详见：全国公共资源交易平台（广东省·韶关市）（https://ygp.gdzwfw.gov.cn/ggzy-portal/#/440200/index）中的【服务指南】。</w:t>
      </w:r>
    </w:p>
    <w:p w14:paraId="25A2F6D1">
      <w:pPr>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11.3.2</w:t>
      </w:r>
      <w:r>
        <w:rPr>
          <w:rFonts w:hint="eastAsia" w:ascii="宋体" w:hAnsi="宋体" w:eastAsia="宋体" w:cs="宋体"/>
          <w:snapToGrid w:val="0"/>
          <w:color w:val="auto"/>
          <w:kern w:val="0"/>
          <w:sz w:val="24"/>
          <w:szCs w:val="24"/>
          <w:highlight w:val="none"/>
        </w:rPr>
        <w:t>补救方案</w:t>
      </w:r>
    </w:p>
    <w:p w14:paraId="65E80AAF">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（1）投标文件解密失败的补救方案：</w:t>
      </w:r>
    </w:p>
    <w:p w14:paraId="1ABF25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在规定时间内，因投标人之外原因</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指网络瘫痪、服务器损坏、交易系统故障短期无法恢复</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等导致的电子投标文件解密失败，投标人应在规定的时限内按要求成功上传未加密的备用投标文件（投标人重传时间为30分钟，30分钟未重传系统会判断投标无效）继续开标程序。</w:t>
      </w:r>
      <w:r>
        <w:rPr>
          <w:rFonts w:hint="eastAsia" w:ascii="宋体" w:hAnsi="宋体" w:eastAsia="宋体" w:cs="宋体"/>
          <w:b/>
          <w:bCs/>
          <w:color w:val="auto"/>
          <w:sz w:val="24"/>
          <w:szCs w:val="24"/>
          <w:highlight w:val="none"/>
        </w:rPr>
        <w:t>电子投标文件解密失败且未在规定的时限内按要求成功上传未加密的备用投标文件的，视为无效投标。</w:t>
      </w:r>
    </w:p>
    <w:p w14:paraId="5F2C6636">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（2）评标时突发情况的补救方案</w:t>
      </w:r>
    </w:p>
    <w:p w14:paraId="10CE8F38">
      <w:pPr>
        <w:spacing w:line="360" w:lineRule="auto"/>
        <w:ind w:firstLine="480" w:firstLineChars="200"/>
        <w:rPr>
          <w:rFonts w:hint="eastAsia" w:ascii="宋体" w:hAnsi="宋体" w:eastAsia="宋体" w:cs="宋体"/>
          <w:b/>
          <w:snapToGrid w:val="0"/>
          <w:color w:val="auto"/>
          <w:kern w:val="0"/>
          <w:sz w:val="24"/>
          <w:highlight w:val="none"/>
        </w:rPr>
      </w:pPr>
      <w:r>
        <w:rPr>
          <w:rFonts w:hint="eastAsia" w:ascii="宋体" w:hAnsi="宋体" w:eastAsia="宋体" w:cs="宋体"/>
          <w:snapToGrid w:val="0"/>
          <w:color w:val="auto"/>
          <w:kern w:val="0"/>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06A9CAA3">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87" w:name="_Toc29297"/>
      <w:bookmarkStart w:id="88" w:name="_Toc14466"/>
      <w:r>
        <w:rPr>
          <w:rFonts w:hint="eastAsia" w:ascii="宋体" w:hAnsi="宋体" w:eastAsia="宋体" w:cs="宋体"/>
          <w:b/>
          <w:snapToGrid w:val="0"/>
          <w:color w:val="auto"/>
          <w:sz w:val="24"/>
          <w:highlight w:val="none"/>
          <w:lang w:eastAsia="zh-CN"/>
        </w:rPr>
        <w:t>12.</w:t>
      </w:r>
      <w:r>
        <w:rPr>
          <w:rFonts w:hint="eastAsia" w:ascii="宋体" w:hAnsi="宋体" w:eastAsia="宋体" w:cs="宋体"/>
          <w:b/>
          <w:snapToGrid w:val="0"/>
          <w:color w:val="auto"/>
          <w:sz w:val="24"/>
          <w:highlight w:val="none"/>
        </w:rPr>
        <w:t>投标文件的递交</w:t>
      </w:r>
      <w:bookmarkEnd w:id="86"/>
      <w:bookmarkEnd w:id="87"/>
      <w:bookmarkEnd w:id="88"/>
    </w:p>
    <w:p w14:paraId="0D3D57E2">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12.1</w:t>
      </w:r>
      <w:r>
        <w:rPr>
          <w:rFonts w:hint="eastAsia" w:ascii="宋体" w:hAnsi="宋体" w:eastAsia="宋体" w:cs="宋体"/>
          <w:snapToGrid w:val="0"/>
          <w:color w:val="auto"/>
          <w:kern w:val="0"/>
          <w:sz w:val="24"/>
          <w:szCs w:val="24"/>
          <w:highlight w:val="none"/>
        </w:rPr>
        <w:t xml:space="preserve"> 在投标文件提交截止时间前，投标人通过韶关市公共资源交易一体化平台提交已加密投标文件。逾期提交的电子投标文件，韶关市公共资源交易一体化平台将予以拒收。</w:t>
      </w:r>
    </w:p>
    <w:p w14:paraId="60D55262">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12.1.1</w:t>
      </w:r>
      <w:r>
        <w:rPr>
          <w:rFonts w:hint="eastAsia" w:ascii="宋体" w:hAnsi="宋体" w:eastAsia="宋体" w:cs="宋体"/>
          <w:snapToGrid w:val="0"/>
          <w:color w:val="auto"/>
          <w:kern w:val="0"/>
          <w:sz w:val="24"/>
          <w:szCs w:val="24"/>
          <w:highlight w:val="none"/>
        </w:rPr>
        <w:t xml:space="preserve"> 提交时间：见本章第二节“重要事项时间地点一览表”。</w:t>
      </w:r>
    </w:p>
    <w:p w14:paraId="4DD7F506">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12.1.2</w:t>
      </w:r>
      <w:r>
        <w:rPr>
          <w:rFonts w:hint="eastAsia" w:ascii="宋体" w:hAnsi="宋体" w:eastAsia="宋体" w:cs="宋体"/>
          <w:snapToGrid w:val="0"/>
          <w:color w:val="auto"/>
          <w:kern w:val="0"/>
          <w:sz w:val="24"/>
          <w:szCs w:val="24"/>
          <w:highlight w:val="none"/>
        </w:rPr>
        <w:t xml:space="preserve"> 投标人无</w:t>
      </w:r>
      <w:r>
        <w:rPr>
          <w:rFonts w:hint="eastAsia" w:ascii="宋体" w:hAnsi="宋体" w:eastAsia="宋体" w:cs="宋体"/>
          <w:snapToGrid w:val="0"/>
          <w:color w:val="auto"/>
          <w:kern w:val="0"/>
          <w:sz w:val="24"/>
          <w:szCs w:val="24"/>
          <w:highlight w:val="none"/>
          <w:lang w:eastAsia="zh-CN"/>
        </w:rPr>
        <w:t>需</w:t>
      </w:r>
      <w:r>
        <w:rPr>
          <w:rFonts w:hint="eastAsia" w:ascii="宋体" w:hAnsi="宋体" w:eastAsia="宋体" w:cs="宋体"/>
          <w:snapToGrid w:val="0"/>
          <w:color w:val="auto"/>
          <w:kern w:val="0"/>
          <w:sz w:val="24"/>
          <w:szCs w:val="24"/>
          <w:highlight w:val="none"/>
        </w:rPr>
        <w:t>进行现场签到。</w:t>
      </w:r>
    </w:p>
    <w:p w14:paraId="61F25567">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递交时间和地点：见本章第二节“重要事项时间地点一览表”。</w:t>
      </w:r>
    </w:p>
    <w:p w14:paraId="5C3E0A9A">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12.3</w:t>
      </w:r>
      <w:r>
        <w:rPr>
          <w:rFonts w:hint="eastAsia" w:ascii="宋体" w:hAnsi="宋体" w:eastAsia="宋体" w:cs="宋体"/>
          <w:snapToGrid w:val="0"/>
          <w:color w:val="auto"/>
          <w:kern w:val="0"/>
          <w:sz w:val="24"/>
          <w:szCs w:val="24"/>
          <w:highlight w:val="none"/>
        </w:rPr>
        <w:t xml:space="preserve"> 投标人代表到达现场后，应出示以下身份证明材料：</w:t>
      </w:r>
    </w:p>
    <w:p w14:paraId="79451FAA">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（1）本人有效的第二代居民身份证；</w:t>
      </w:r>
    </w:p>
    <w:p w14:paraId="74558EF0">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（2）法定代表人到场的，出示《法定代表人身份证明》（格式</w:t>
      </w:r>
      <w:r>
        <w:rPr>
          <w:rFonts w:hint="eastAsia" w:ascii="宋体" w:hAnsi="宋体" w:eastAsia="宋体" w:cs="宋体"/>
          <w:snapToGrid w:val="0"/>
          <w:color w:val="auto"/>
          <w:kern w:val="0"/>
          <w:sz w:val="24"/>
          <w:szCs w:val="24"/>
          <w:highlight w:val="none"/>
          <w:lang w:val="en-US" w:eastAsia="zh-CN"/>
        </w:rPr>
        <w:t>六</w:t>
      </w:r>
      <w:r>
        <w:rPr>
          <w:rFonts w:hint="eastAsia" w:ascii="宋体" w:hAnsi="宋体" w:eastAsia="宋体" w:cs="宋体"/>
          <w:snapToGrid w:val="0"/>
          <w:color w:val="auto"/>
          <w:kern w:val="0"/>
          <w:sz w:val="24"/>
          <w:szCs w:val="24"/>
          <w:highlight w:val="none"/>
        </w:rPr>
        <w:t>）；委托代理人到场的，应同时出示《授权委托书》（格式</w:t>
      </w:r>
      <w:r>
        <w:rPr>
          <w:rFonts w:hint="eastAsia" w:ascii="宋体" w:hAnsi="宋体" w:eastAsia="宋体" w:cs="宋体"/>
          <w:snapToGrid w:val="0"/>
          <w:color w:val="auto"/>
          <w:kern w:val="0"/>
          <w:sz w:val="24"/>
          <w:szCs w:val="24"/>
          <w:highlight w:val="none"/>
          <w:lang w:val="en-US" w:eastAsia="zh-CN"/>
        </w:rPr>
        <w:t>五</w:t>
      </w:r>
      <w:r>
        <w:rPr>
          <w:rFonts w:hint="eastAsia" w:ascii="宋体" w:hAnsi="宋体" w:eastAsia="宋体" w:cs="宋体"/>
          <w:snapToGrid w:val="0"/>
          <w:color w:val="auto"/>
          <w:kern w:val="0"/>
          <w:sz w:val="24"/>
          <w:szCs w:val="24"/>
          <w:highlight w:val="none"/>
        </w:rPr>
        <w:t>）和《法定代表人身份证明》。</w:t>
      </w:r>
    </w:p>
    <w:p w14:paraId="3EAB1AE7">
      <w:pPr>
        <w:wordWrap w:val="0"/>
        <w:adjustRightInd w:val="0"/>
        <w:snapToGrid w:val="0"/>
        <w:spacing w:line="360" w:lineRule="auto"/>
        <w:ind w:firstLine="482" w:firstLineChars="200"/>
        <w:rPr>
          <w:rFonts w:hint="eastAsia" w:ascii="宋体" w:hAnsi="宋体" w:eastAsia="宋体" w:cs="宋体"/>
          <w:snapToGrid w:val="0"/>
          <w:color w:val="auto"/>
          <w:kern w:val="0"/>
          <w:sz w:val="24"/>
          <w:szCs w:val="22"/>
          <w:highlight w:val="none"/>
        </w:rPr>
      </w:pPr>
      <w:r>
        <w:rPr>
          <w:rFonts w:hint="eastAsia" w:ascii="宋体" w:hAnsi="宋体" w:eastAsia="宋体" w:cs="宋体"/>
          <w:b/>
          <w:bCs/>
          <w:snapToGrid w:val="0"/>
          <w:color w:val="auto"/>
          <w:kern w:val="0"/>
          <w:sz w:val="24"/>
          <w:highlight w:val="none"/>
        </w:rPr>
        <w:t>12.</w:t>
      </w:r>
      <w:r>
        <w:rPr>
          <w:rFonts w:hint="eastAsia" w:ascii="宋体" w:hAnsi="宋体" w:eastAsia="宋体" w:cs="宋体"/>
          <w:b/>
          <w:bCs/>
          <w:snapToGrid w:val="0"/>
          <w:color w:val="auto"/>
          <w:kern w:val="0"/>
          <w:sz w:val="24"/>
          <w:highlight w:val="none"/>
          <w:lang w:val="en-US" w:eastAsia="zh-CN"/>
        </w:rPr>
        <w:t>4</w:t>
      </w:r>
      <w:r>
        <w:rPr>
          <w:rFonts w:hint="eastAsia" w:ascii="宋体" w:hAnsi="宋体" w:eastAsia="宋体" w:cs="宋体"/>
          <w:snapToGrid w:val="0"/>
          <w:color w:val="auto"/>
          <w:kern w:val="0"/>
          <w:sz w:val="24"/>
          <w:szCs w:val="22"/>
          <w:highlight w:val="none"/>
        </w:rPr>
        <w:t>出现下述情形之一，属于未成功提交投标文件，按无效投标处理：</w:t>
      </w:r>
    </w:p>
    <w:p w14:paraId="0F8A2660">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（1）至提交投标文件截止时，投标文件未完整上传或未提交投标。</w:t>
      </w:r>
    </w:p>
    <w:p w14:paraId="5E9EBD4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（2）投标文件未按投标格式中注明需签字盖章的要求进行签名（含电子签名）和加盖电子印章，或签名（含电子签名）或电子印章不完整的。</w:t>
      </w:r>
    </w:p>
    <w:p w14:paraId="093D53E3">
      <w:pPr>
        <w:wordWrap w:val="0"/>
        <w:adjustRightInd w:val="0"/>
        <w:snapToGrid w:val="0"/>
        <w:spacing w:line="360" w:lineRule="auto"/>
        <w:ind w:firstLine="480" w:firstLineChars="200"/>
        <w:rPr>
          <w:rFonts w:hint="eastAsia" w:ascii="宋体" w:hAnsi="宋体" w:eastAsia="宋体" w:cs="宋体"/>
          <w:b/>
          <w:snapToGrid w:val="0"/>
          <w:color w:val="auto"/>
          <w:kern w:val="0"/>
          <w:sz w:val="24"/>
          <w:highlight w:val="none"/>
        </w:rPr>
      </w:pPr>
      <w:r>
        <w:rPr>
          <w:rFonts w:hint="eastAsia" w:ascii="宋体" w:hAnsi="宋体" w:eastAsia="宋体" w:cs="宋体"/>
          <w:snapToGrid w:val="0"/>
          <w:color w:val="auto"/>
          <w:kern w:val="0"/>
          <w:sz w:val="24"/>
          <w:highlight w:val="none"/>
        </w:rPr>
        <w:t>（3）非投标人原因导致电子投标文件解密失败且未在规定的时限内按要求成功上传未加密的备用投标文件的。</w:t>
      </w:r>
      <w:bookmarkStart w:id="89" w:name="_Toc32121"/>
    </w:p>
    <w:p w14:paraId="07576581">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90" w:name="_Toc25408"/>
      <w:bookmarkStart w:id="91" w:name="_Toc4244"/>
      <w:r>
        <w:rPr>
          <w:rFonts w:hint="eastAsia" w:ascii="宋体" w:hAnsi="宋体" w:eastAsia="宋体" w:cs="宋体"/>
          <w:b/>
          <w:snapToGrid w:val="0"/>
          <w:color w:val="auto"/>
          <w:sz w:val="24"/>
          <w:highlight w:val="none"/>
          <w:lang w:eastAsia="zh-CN"/>
        </w:rPr>
        <w:t>13.</w:t>
      </w:r>
      <w:r>
        <w:rPr>
          <w:rFonts w:hint="eastAsia" w:ascii="宋体" w:hAnsi="宋体" w:eastAsia="宋体" w:cs="宋体"/>
          <w:b/>
          <w:snapToGrid w:val="0"/>
          <w:color w:val="auto"/>
          <w:sz w:val="24"/>
          <w:highlight w:val="none"/>
        </w:rPr>
        <w:t>投标有效期</w:t>
      </w:r>
      <w:bookmarkEnd w:id="89"/>
      <w:bookmarkEnd w:id="90"/>
      <w:bookmarkEnd w:id="91"/>
    </w:p>
    <w:p w14:paraId="1F98F95A">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本次招标投标有效期为</w:t>
      </w:r>
      <w:r>
        <w:rPr>
          <w:rFonts w:hint="eastAsia" w:ascii="宋体" w:hAnsi="宋体" w:eastAsia="宋体" w:cs="宋体"/>
          <w:snapToGrid w:val="0"/>
          <w:color w:val="auto"/>
          <w:kern w:val="0"/>
          <w:sz w:val="24"/>
          <w:highlight w:val="none"/>
          <w:u w:val="single"/>
        </w:rPr>
        <w:t>90</w:t>
      </w:r>
      <w:r>
        <w:rPr>
          <w:rFonts w:hint="eastAsia" w:ascii="宋体" w:hAnsi="宋体" w:eastAsia="宋体" w:cs="宋体"/>
          <w:snapToGrid w:val="0"/>
          <w:color w:val="auto"/>
          <w:kern w:val="0"/>
          <w:sz w:val="24"/>
          <w:highlight w:val="none"/>
        </w:rPr>
        <w:t>个日历天，投标有效期从提交投标文件的截止之日起计算。在此期间，投标人不得撤销或修改其投标文件，否则其投标保证不予退还。</w:t>
      </w:r>
    </w:p>
    <w:p w14:paraId="653A82CD">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92" w:name="_Toc8020"/>
      <w:bookmarkStart w:id="93" w:name="_Toc1376"/>
      <w:bookmarkStart w:id="94" w:name="_Toc11200"/>
      <w:r>
        <w:rPr>
          <w:rFonts w:hint="eastAsia" w:ascii="宋体" w:hAnsi="宋体" w:eastAsia="宋体" w:cs="宋体"/>
          <w:b/>
          <w:snapToGrid w:val="0"/>
          <w:color w:val="auto"/>
          <w:sz w:val="24"/>
          <w:highlight w:val="none"/>
          <w:lang w:eastAsia="zh-CN"/>
        </w:rPr>
        <w:t>14.</w:t>
      </w:r>
      <w:bookmarkEnd w:id="92"/>
      <w:r>
        <w:rPr>
          <w:rFonts w:hint="eastAsia" w:ascii="宋体" w:hAnsi="宋体" w:eastAsia="宋体" w:cs="宋体"/>
          <w:b/>
          <w:snapToGrid w:val="0"/>
          <w:color w:val="auto"/>
          <w:sz w:val="24"/>
          <w:highlight w:val="none"/>
        </w:rPr>
        <w:t>开标规定</w:t>
      </w:r>
      <w:bookmarkEnd w:id="93"/>
      <w:bookmarkEnd w:id="94"/>
    </w:p>
    <w:p w14:paraId="613F85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szCs w:val="24"/>
          <w:highlight w:val="none"/>
        </w:rPr>
        <w:t>14.1</w:t>
      </w:r>
      <w:r>
        <w:rPr>
          <w:rFonts w:hint="eastAsia" w:ascii="宋体" w:hAnsi="宋体" w:eastAsia="宋体" w:cs="宋体"/>
          <w:color w:val="auto"/>
          <w:sz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14:paraId="0E6638D3">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14.1.1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14:paraId="4950B95D">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14.1.2</w:t>
      </w:r>
      <w:r>
        <w:rPr>
          <w:rFonts w:hint="eastAsia" w:ascii="宋体" w:hAnsi="宋体" w:eastAsia="宋体" w:cs="宋体"/>
          <w:snapToGrid w:val="0"/>
          <w:color w:val="auto"/>
          <w:kern w:val="0"/>
          <w:sz w:val="24"/>
          <w:szCs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6A064BB0">
      <w:pPr>
        <w:wordWrap w:val="0"/>
        <w:adjustRightInd w:val="0"/>
        <w:snapToGrid w:val="0"/>
        <w:spacing w:line="360" w:lineRule="auto"/>
        <w:ind w:firstLine="48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highlight w:val="none"/>
        </w:rPr>
        <w:t xml:space="preserve">14.1.3 </w:t>
      </w:r>
      <w:r>
        <w:rPr>
          <w:rFonts w:hint="eastAsia" w:ascii="宋体" w:hAnsi="宋体" w:eastAsia="宋体" w:cs="宋体"/>
          <w:b/>
          <w:bCs/>
          <w:color w:val="auto"/>
          <w:sz w:val="24"/>
          <w:szCs w:val="24"/>
          <w:highlight w:val="none"/>
        </w:rPr>
        <w:t>实行全流程电子化招标投标的项目，投标人无须进行现场签到，可登录交易平台观看开标实况、提出异议或进行澄清、确认等操作，具体按招标文件和系统操作手册为准。</w:t>
      </w:r>
    </w:p>
    <w:p w14:paraId="43B4C628">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14.2</w:t>
      </w:r>
      <w:r>
        <w:rPr>
          <w:rFonts w:hint="eastAsia" w:ascii="宋体" w:hAnsi="宋体" w:eastAsia="宋体" w:cs="宋体"/>
          <w:snapToGrid w:val="0"/>
          <w:color w:val="auto"/>
          <w:kern w:val="0"/>
          <w:sz w:val="24"/>
          <w:highlight w:val="none"/>
        </w:rPr>
        <w:t xml:space="preserve"> 开标程序</w:t>
      </w:r>
    </w:p>
    <w:p w14:paraId="1A83AAB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（1）主持人（招标人代表或招标人授权的招标代理机构人员）宣读开标纪律。</w:t>
      </w:r>
    </w:p>
    <w:p w14:paraId="6D60DA91">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（2）主持人宣布唱标人、记录人、见证人、监督人等有关人员姓名。</w:t>
      </w:r>
    </w:p>
    <w:p w14:paraId="47329701">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（3）招标代理机构在交易场所工作人员的见证下，对投标人的电子投标信息进行解密，交易平台系统自动生成《投标保证缴纳情况表》和《开标一览表》。</w:t>
      </w:r>
    </w:p>
    <w:p w14:paraId="6605000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2974C663">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261C1951">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（5）唱标人检查《开标一览表》中各投标人的投标总价、质量标准、工期是否符合招标文件规定。若不符合规定，招标代理机构应将有关情形在《开标一览表》“备注”栏中注明。</w:t>
      </w:r>
    </w:p>
    <w:p w14:paraId="5731769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w:t>
      </w:r>
      <w:r>
        <w:rPr>
          <w:rFonts w:hint="eastAsia" w:ascii="宋体" w:hAnsi="宋体" w:eastAsia="宋体" w:cs="宋体"/>
          <w:color w:val="auto"/>
          <w:sz w:val="24"/>
          <w:szCs w:val="24"/>
          <w:highlight w:val="none"/>
        </w:rPr>
        <w:t>招标人代表、唱标人、记录人等有关人员在《投标保证缴纳情况表》以及《开标一览表》上签字确认。</w:t>
      </w:r>
    </w:p>
    <w:p w14:paraId="3251764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（7）主持人宣布有关注意事项后，宣布开标结束。</w:t>
      </w:r>
    </w:p>
    <w:p w14:paraId="141DB0C7">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14.3</w:t>
      </w:r>
      <w:r>
        <w:rPr>
          <w:rFonts w:hint="eastAsia" w:ascii="宋体" w:hAnsi="宋体" w:eastAsia="宋体" w:cs="宋体"/>
          <w:snapToGrid w:val="0"/>
          <w:color w:val="auto"/>
          <w:kern w:val="0"/>
          <w:sz w:val="24"/>
          <w:highlight w:val="none"/>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09C9E682">
      <w:pPr>
        <w:wordWrap w:val="0"/>
        <w:adjustRightInd w:val="0"/>
        <w:snapToGrid w:val="0"/>
        <w:spacing w:line="360" w:lineRule="auto"/>
        <w:ind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bCs/>
          <w:snapToGrid w:val="0"/>
          <w:color w:val="auto"/>
          <w:kern w:val="0"/>
          <w:sz w:val="24"/>
          <w:highlight w:val="none"/>
        </w:rPr>
        <w:t>14.4</w:t>
      </w:r>
      <w:r>
        <w:rPr>
          <w:rFonts w:hint="eastAsia" w:ascii="宋体" w:hAnsi="宋体" w:eastAsia="宋体" w:cs="宋体"/>
          <w:snapToGrid w:val="0"/>
          <w:color w:val="auto"/>
          <w:kern w:val="0"/>
          <w:sz w:val="24"/>
          <w:highlight w:val="none"/>
        </w:rPr>
        <w:t xml:space="preserve"> </w:t>
      </w:r>
      <w:bookmarkStart w:id="95" w:name="_Hlt127093805"/>
      <w:bookmarkEnd w:id="95"/>
      <w:r>
        <w:rPr>
          <w:rFonts w:hint="eastAsia" w:ascii="宋体" w:hAnsi="宋体" w:eastAsia="宋体" w:cs="宋体"/>
          <w:snapToGrid w:val="0"/>
          <w:color w:val="auto"/>
          <w:kern w:val="0"/>
          <w:sz w:val="24"/>
          <w:highlight w:val="none"/>
        </w:rPr>
        <w:t>招标代理机构将《开标一览表》以及其他有关资料移交评标委员会。</w:t>
      </w:r>
      <w:bookmarkStart w:id="96" w:name="_Toc27699"/>
    </w:p>
    <w:p w14:paraId="043ADD89">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97" w:name="_Toc27719"/>
      <w:bookmarkStart w:id="98" w:name="_Toc10047"/>
      <w:r>
        <w:rPr>
          <w:rFonts w:hint="eastAsia" w:ascii="宋体" w:hAnsi="宋体" w:eastAsia="宋体" w:cs="宋体"/>
          <w:b/>
          <w:snapToGrid w:val="0"/>
          <w:color w:val="auto"/>
          <w:sz w:val="24"/>
          <w:highlight w:val="none"/>
          <w:lang w:eastAsia="zh-CN"/>
        </w:rPr>
        <w:t>15.</w:t>
      </w:r>
      <w:bookmarkEnd w:id="96"/>
      <w:r>
        <w:rPr>
          <w:rFonts w:hint="eastAsia" w:ascii="宋体" w:hAnsi="宋体" w:eastAsia="宋体" w:cs="宋体"/>
          <w:b/>
          <w:snapToGrid w:val="0"/>
          <w:color w:val="auto"/>
          <w:sz w:val="24"/>
          <w:highlight w:val="none"/>
        </w:rPr>
        <w:t>评标</w:t>
      </w:r>
      <w:r>
        <w:rPr>
          <w:rFonts w:hint="eastAsia" w:ascii="宋体" w:hAnsi="宋体" w:eastAsia="宋体" w:cs="宋体"/>
          <w:b/>
          <w:snapToGrid w:val="0"/>
          <w:color w:val="auto"/>
          <w:sz w:val="24"/>
          <w:highlight w:val="none"/>
          <w:lang w:eastAsia="zh-CN"/>
        </w:rPr>
        <w:t>规定</w:t>
      </w:r>
      <w:bookmarkEnd w:id="97"/>
      <w:bookmarkEnd w:id="98"/>
    </w:p>
    <w:p w14:paraId="3EDCFB4D">
      <w:pPr>
        <w:wordWrap w:val="0"/>
        <w:adjustRightInd w:val="0"/>
        <w:snapToGrid w:val="0"/>
        <w:spacing w:line="360" w:lineRule="auto"/>
        <w:ind w:firstLine="482" w:firstLineChars="200"/>
        <w:rPr>
          <w:rFonts w:hint="eastAsia" w:ascii="宋体" w:hAnsi="宋体" w:eastAsia="宋体" w:cs="宋体"/>
          <w:b w:val="0"/>
          <w:bCs w:val="0"/>
          <w:snapToGrid w:val="0"/>
          <w:color w:val="auto"/>
          <w:kern w:val="0"/>
          <w:sz w:val="24"/>
          <w:highlight w:val="none"/>
        </w:rPr>
      </w:pPr>
      <w:bookmarkStart w:id="99" w:name="_Toc3829"/>
      <w:r>
        <w:rPr>
          <w:rFonts w:hint="eastAsia" w:ascii="宋体" w:hAnsi="宋体" w:eastAsia="宋体" w:cs="宋体"/>
          <w:b/>
          <w:bCs/>
          <w:snapToGrid w:val="0"/>
          <w:color w:val="auto"/>
          <w:kern w:val="0"/>
          <w:sz w:val="24"/>
          <w:highlight w:val="none"/>
        </w:rPr>
        <w:t>15.1</w:t>
      </w:r>
      <w:r>
        <w:rPr>
          <w:rFonts w:hint="eastAsia" w:ascii="宋体" w:hAnsi="宋体" w:eastAsia="宋体" w:cs="宋体"/>
          <w:b w:val="0"/>
          <w:bCs w:val="0"/>
          <w:snapToGrid w:val="0"/>
          <w:color w:val="auto"/>
          <w:kern w:val="0"/>
          <w:sz w:val="24"/>
          <w:highlight w:val="none"/>
        </w:rPr>
        <w:t xml:space="preserve"> 评标委员会</w:t>
      </w:r>
      <w:bookmarkEnd w:id="99"/>
    </w:p>
    <w:p w14:paraId="57862557">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15.1.1</w:t>
      </w:r>
      <w:r>
        <w:rPr>
          <w:rFonts w:hint="eastAsia" w:ascii="宋体" w:hAnsi="宋体" w:eastAsia="宋体" w:cs="宋体"/>
          <w:snapToGrid w:val="0"/>
          <w:color w:val="auto"/>
          <w:kern w:val="0"/>
          <w:sz w:val="24"/>
          <w:highlight w:val="none"/>
        </w:rPr>
        <w:t xml:space="preserve">  评标委员会由5人组成，其中招标人代表0人，专家5人。专家从</w:t>
      </w:r>
      <w:r>
        <w:rPr>
          <w:rFonts w:hint="eastAsia" w:ascii="宋体" w:hAnsi="宋体" w:eastAsia="宋体" w:cs="宋体"/>
          <w:snapToGrid w:val="0"/>
          <w:color w:val="auto"/>
          <w:kern w:val="0"/>
          <w:sz w:val="24"/>
          <w:highlight w:val="none"/>
          <w:lang w:eastAsia="zh-CN"/>
        </w:rPr>
        <w:t>广东省综合评标评审专家库</w:t>
      </w:r>
      <w:r>
        <w:rPr>
          <w:rFonts w:hint="eastAsia" w:ascii="宋体" w:hAnsi="宋体" w:eastAsia="宋体" w:cs="宋体"/>
          <w:snapToGrid w:val="0"/>
          <w:color w:val="auto"/>
          <w:kern w:val="0"/>
          <w:sz w:val="24"/>
          <w:highlight w:val="none"/>
          <w:lang w:val="en-US" w:eastAsia="zh-CN"/>
        </w:rPr>
        <w:t>--韶关市区域</w:t>
      </w:r>
      <w:r>
        <w:rPr>
          <w:rFonts w:hint="eastAsia" w:ascii="宋体" w:hAnsi="宋体" w:eastAsia="宋体" w:cs="宋体"/>
          <w:snapToGrid w:val="0"/>
          <w:color w:val="auto"/>
          <w:kern w:val="0"/>
          <w:sz w:val="24"/>
          <w:highlight w:val="none"/>
        </w:rPr>
        <w:t>中随机抽取，其中技术类专家3人，经济类专家2人。评标委员会设负责人，由评标委员会成员推举产生。评标委员会负责人与评标委员会的其他成员有同等的表决权。</w:t>
      </w:r>
    </w:p>
    <w:p w14:paraId="1EE86894">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15.1.2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1CCC977A">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0C589AA9">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4D5DA43F">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6E8AC614">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0B4D71F0">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15.2.1</w:t>
      </w:r>
      <w:r>
        <w:rPr>
          <w:rFonts w:hint="eastAsia" w:ascii="宋体" w:hAnsi="宋体" w:eastAsia="宋体" w:cs="宋体"/>
          <w:snapToGrid w:val="0"/>
          <w:color w:val="auto"/>
          <w:kern w:val="0"/>
          <w:sz w:val="24"/>
          <w:highlight w:val="none"/>
        </w:rPr>
        <w:t>评标委员会专家参加评标活动时实行主动回避制度。有下列情形之一的，应当主动提出回避，不得担任该招标项目的评标委员会成员。</w:t>
      </w:r>
    </w:p>
    <w:p w14:paraId="4A315F31">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（1）投标人或投标人主要负责人的近亲属；</w:t>
      </w:r>
    </w:p>
    <w:p w14:paraId="05C22C2E">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（2）项目主管部门或者行政监督部门的人员；</w:t>
      </w:r>
    </w:p>
    <w:p w14:paraId="71E7C30B">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（3）与投标人有经济利益关系，可能影响对投标公正评审的；</w:t>
      </w:r>
    </w:p>
    <w:p w14:paraId="75B04098">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（4）曾因在招标、评标以及其他与招标投标有关活动中从事违法行为而受过行政处罚或刑事处罚的。</w:t>
      </w:r>
    </w:p>
    <w:p w14:paraId="6D65512B">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2DB69F20">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15.2.3</w:t>
      </w:r>
      <w:r>
        <w:rPr>
          <w:rFonts w:hint="eastAsia" w:ascii="宋体" w:hAnsi="宋体" w:eastAsia="宋体" w:cs="宋体"/>
          <w:b/>
          <w:bCs/>
          <w:color w:val="auto"/>
          <w:sz w:val="24"/>
          <w:highlight w:val="none"/>
        </w:rPr>
        <w:t xml:space="preserve"> </w:t>
      </w:r>
      <w:r>
        <w:rPr>
          <w:rFonts w:hint="eastAsia" w:ascii="宋体" w:hAnsi="宋体" w:eastAsia="宋体" w:cs="宋体"/>
          <w:color w:val="auto"/>
          <w:kern w:val="0"/>
          <w:sz w:val="24"/>
          <w:highlight w:val="none"/>
        </w:rPr>
        <w:t>有下列情形之一的，经招标人与公共资源交易中心审核确认后，</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kern w:val="0"/>
          <w:sz w:val="24"/>
          <w:highlight w:val="none"/>
        </w:rPr>
        <w:t>专家应按规定重新抽取。</w:t>
      </w:r>
    </w:p>
    <w:p w14:paraId="0032FE59">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（1）已抽取的评标专家与评标的项目有利害关系，可能会妨碍公正评审；</w:t>
      </w:r>
    </w:p>
    <w:p w14:paraId="0695D270">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（2）由于原评标专家的违规行为，评标无效，评标活动需重新组织；</w:t>
      </w:r>
    </w:p>
    <w:p w14:paraId="68ADD1DC">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（3）已抽取的评标专家未能参加评标活动或未能按时完成评标任务。</w:t>
      </w:r>
    </w:p>
    <w:p w14:paraId="29530222">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bCs/>
          <w:snapToGrid w:val="0"/>
          <w:color w:val="auto"/>
          <w:kern w:val="0"/>
          <w:sz w:val="24"/>
          <w:highlight w:val="none"/>
          <w:lang w:val="en-US" w:eastAsia="zh-CN"/>
        </w:rPr>
        <w:t>15.3</w:t>
      </w:r>
      <w:r>
        <w:rPr>
          <w:rFonts w:hint="eastAsia" w:ascii="宋体" w:hAnsi="宋体" w:eastAsia="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0A39A773">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15.3.1</w:t>
      </w:r>
      <w:r>
        <w:rPr>
          <w:rFonts w:hint="eastAsia" w:ascii="宋体" w:hAnsi="宋体" w:eastAsia="宋体" w:cs="宋体"/>
          <w:b/>
          <w:bCs/>
          <w:color w:val="auto"/>
          <w:kern w:val="0"/>
          <w:sz w:val="24"/>
          <w:highlight w:val="none"/>
        </w:rPr>
        <w:t xml:space="preserve"> </w:t>
      </w:r>
      <w:r>
        <w:rPr>
          <w:rFonts w:hint="eastAsia" w:ascii="宋体" w:hAnsi="宋体" w:eastAsia="宋体" w:cs="宋体"/>
          <w:color w:val="auto"/>
          <w:kern w:val="0"/>
          <w:sz w:val="24"/>
          <w:highlight w:val="none"/>
        </w:rPr>
        <w:t>开标后，直至授予中标人合同为止，凡属于对投标人文件的审查、澄清、评价和比较有关的资料及与中标候选人的推荐情况，与评标有关的其他任何情况均应严格保密。</w:t>
      </w:r>
    </w:p>
    <w:p w14:paraId="655ED662">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15.3.2</w:t>
      </w:r>
      <w:r>
        <w:rPr>
          <w:rFonts w:hint="eastAsia" w:ascii="宋体" w:hAnsi="宋体" w:eastAsia="宋体" w:cs="宋体"/>
          <w:b/>
          <w:bCs/>
          <w:color w:val="auto"/>
          <w:kern w:val="0"/>
          <w:sz w:val="24"/>
          <w:highlight w:val="none"/>
        </w:rPr>
        <w:t xml:space="preserve"> </w:t>
      </w:r>
      <w:r>
        <w:rPr>
          <w:rFonts w:hint="eastAsia" w:ascii="宋体" w:hAnsi="宋体" w:eastAsia="宋体" w:cs="宋体"/>
          <w:color w:val="auto"/>
          <w:kern w:val="0"/>
          <w:sz w:val="24"/>
          <w:highlight w:val="none"/>
        </w:rPr>
        <w:t>在投标文件的评审和比较、中标候选人推荐以及授予合同的过程中，投标人向招标人和评标委员会施加影响的任何行为，都将会导致其投标被拒绝。</w:t>
      </w:r>
    </w:p>
    <w:p w14:paraId="18E54ADE">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15.3.3</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0F7D294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highlight w:val="none"/>
          <w:lang w:val="en-US" w:eastAsia="zh-CN"/>
        </w:rPr>
      </w:pPr>
      <w:r>
        <w:rPr>
          <w:rFonts w:hint="eastAsia" w:ascii="宋体" w:hAnsi="宋体" w:eastAsia="宋体" w:cs="宋体"/>
          <w:b/>
          <w:bCs/>
          <w:color w:val="auto"/>
          <w:kern w:val="0"/>
          <w:sz w:val="24"/>
          <w:highlight w:val="none"/>
          <w:lang w:val="en-US" w:eastAsia="zh-CN"/>
        </w:rPr>
        <w:t>15.4</w:t>
      </w:r>
      <w:r>
        <w:rPr>
          <w:rFonts w:hint="eastAsia" w:ascii="宋体" w:hAnsi="宋体" w:eastAsia="宋体" w:cs="宋体"/>
          <w:b/>
          <w:color w:val="auto"/>
          <w:sz w:val="24"/>
          <w:highlight w:val="none"/>
          <w:lang w:eastAsia="zh-CN"/>
        </w:rPr>
        <w:t>评标结果公示</w:t>
      </w:r>
      <w:r>
        <w:rPr>
          <w:rFonts w:hint="eastAsia" w:ascii="宋体" w:hAnsi="宋体" w:eastAsia="宋体" w:cs="宋体"/>
          <w:b/>
          <w:color w:val="auto"/>
          <w:sz w:val="24"/>
          <w:highlight w:val="none"/>
        </w:rPr>
        <w:t xml:space="preserve"> </w:t>
      </w:r>
    </w:p>
    <w:p w14:paraId="36412A90">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3002B19F">
      <w:pPr>
        <w:keepNext w:val="0"/>
        <w:keepLines w:val="0"/>
        <w:pageBreakBefore w:val="0"/>
        <w:widowControl w:val="0"/>
        <w:kinsoku/>
        <w:wordWrap/>
        <w:overflowPunct/>
        <w:topLinePunct w:val="0"/>
        <w:autoSpaceDE/>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15.5定标结果</w:t>
      </w:r>
      <w:r>
        <w:rPr>
          <w:rFonts w:hint="eastAsia" w:ascii="宋体" w:hAnsi="宋体" w:eastAsia="宋体" w:cs="宋体"/>
          <w:b/>
          <w:color w:val="auto"/>
          <w:sz w:val="24"/>
          <w:highlight w:val="none"/>
        </w:rPr>
        <w:t>公示</w:t>
      </w:r>
    </w:p>
    <w:p w14:paraId="5861B66C">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7A89E797">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00" w:name="_Toc3823"/>
      <w:bookmarkStart w:id="101" w:name="_Toc26663"/>
      <w:r>
        <w:rPr>
          <w:rFonts w:hint="eastAsia" w:ascii="宋体" w:hAnsi="宋体" w:eastAsia="宋体" w:cs="宋体"/>
          <w:b/>
          <w:snapToGrid w:val="0"/>
          <w:color w:val="auto"/>
          <w:sz w:val="24"/>
          <w:highlight w:val="none"/>
          <w:lang w:val="en-US" w:eastAsia="zh-CN"/>
        </w:rPr>
        <w:t>16.中标确认</w:t>
      </w:r>
      <w:bookmarkEnd w:id="100"/>
      <w:bookmarkEnd w:id="101"/>
    </w:p>
    <w:p w14:paraId="3F319ED4">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16.1.</w:t>
      </w:r>
      <w:r>
        <w:rPr>
          <w:rFonts w:hint="eastAsia" w:ascii="宋体" w:hAnsi="宋体" w:eastAsia="宋体" w:cs="宋体"/>
          <w:b/>
          <w:color w:val="auto"/>
          <w:sz w:val="24"/>
          <w:highlight w:val="none"/>
        </w:rPr>
        <w:t>中标人确定</w:t>
      </w:r>
    </w:p>
    <w:p w14:paraId="1733761F">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16.1</w:t>
      </w:r>
      <w:r>
        <w:rPr>
          <w:rFonts w:hint="eastAsia" w:ascii="宋体" w:hAnsi="宋体" w:eastAsia="宋体" w:cs="宋体"/>
          <w:b/>
          <w:bCs/>
          <w:color w:val="auto"/>
          <w:sz w:val="24"/>
          <w:highlight w:val="none"/>
        </w:rPr>
        <w:t xml:space="preserve">.1 </w:t>
      </w:r>
      <w:r>
        <w:rPr>
          <w:rFonts w:hint="eastAsia" w:ascii="宋体" w:hAnsi="宋体" w:eastAsia="宋体" w:cs="宋体"/>
          <w:color w:val="auto"/>
          <w:sz w:val="24"/>
          <w:highlight w:val="none"/>
        </w:rPr>
        <w:t>中标人确定。</w:t>
      </w:r>
      <w:r>
        <w:rPr>
          <w:rFonts w:hint="eastAsia" w:ascii="宋体" w:hAnsi="宋体" w:eastAsia="宋体" w:cs="宋体"/>
          <w:color w:val="auto"/>
          <w:sz w:val="24"/>
          <w:highlight w:val="none"/>
          <w:lang w:eastAsia="zh-CN"/>
        </w:rPr>
        <w:t>中</w:t>
      </w:r>
      <w:r>
        <w:rPr>
          <w:rFonts w:hint="eastAsia" w:ascii="宋体" w:hAnsi="宋体" w:eastAsia="宋体" w:cs="宋体"/>
          <w:color w:val="auto"/>
          <w:sz w:val="24"/>
          <w:highlight w:val="none"/>
        </w:rPr>
        <w:t>标结果公示期满无异议的，招标人确认</w:t>
      </w:r>
      <w:r>
        <w:rPr>
          <w:rFonts w:hint="eastAsia" w:ascii="宋体" w:hAnsi="宋体" w:eastAsia="宋体" w:cs="宋体"/>
          <w:strike w:val="0"/>
          <w:dstrike w:val="0"/>
          <w:color w:val="auto"/>
          <w:sz w:val="24"/>
          <w:highlight w:val="none"/>
        </w:rPr>
        <w:t>排名第一的</w:t>
      </w:r>
      <w:r>
        <w:rPr>
          <w:rFonts w:hint="eastAsia" w:ascii="宋体" w:hAnsi="宋体" w:eastAsia="宋体" w:cs="宋体"/>
          <w:color w:val="auto"/>
          <w:sz w:val="24"/>
          <w:highlight w:val="none"/>
        </w:rPr>
        <w:t>中标候选人为中标人，中标人的投标报价即为中标价。</w:t>
      </w:r>
    </w:p>
    <w:p w14:paraId="4A7B965F">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16.1</w:t>
      </w:r>
      <w:r>
        <w:rPr>
          <w:rFonts w:hint="eastAsia" w:ascii="宋体" w:hAnsi="宋体" w:eastAsia="宋体" w:cs="宋体"/>
          <w:b/>
          <w:bCs/>
          <w:color w:val="auto"/>
          <w:sz w:val="24"/>
          <w:highlight w:val="none"/>
        </w:rPr>
        <w:t>.2</w:t>
      </w:r>
      <w:r>
        <w:rPr>
          <w:rFonts w:hint="eastAsia" w:ascii="宋体" w:hAnsi="宋体" w:eastAsia="宋体" w:cs="宋体"/>
          <w:color w:val="auto"/>
          <w:sz w:val="24"/>
          <w:highlight w:val="none"/>
        </w:rPr>
        <w:t xml:space="preserve"> </w:t>
      </w:r>
      <w:r>
        <w:rPr>
          <w:rFonts w:hint="eastAsia" w:ascii="宋体" w:hAnsi="宋体" w:eastAsia="宋体" w:cs="宋体"/>
          <w:color w:val="auto"/>
          <w:sz w:val="24"/>
          <w:szCs w:val="24"/>
          <w:highlight w:val="none"/>
        </w:rPr>
        <w:t>中标人确定后，招标人应当</w:t>
      </w:r>
      <w:r>
        <w:rPr>
          <w:rFonts w:hint="eastAsia" w:ascii="宋体" w:hAnsi="宋体" w:eastAsia="宋体" w:cs="宋体"/>
          <w:color w:val="auto"/>
          <w:sz w:val="24"/>
          <w:szCs w:val="24"/>
          <w:highlight w:val="none"/>
          <w:lang w:eastAsia="zh-CN"/>
        </w:rPr>
        <w:t>于</w:t>
      </w:r>
      <w:r>
        <w:rPr>
          <w:rFonts w:hint="eastAsia" w:ascii="宋体" w:hAnsi="宋体" w:eastAsia="宋体" w:cs="宋体"/>
          <w:color w:val="auto"/>
          <w:sz w:val="24"/>
          <w:szCs w:val="24"/>
          <w:highlight w:val="none"/>
        </w:rPr>
        <w:t>7日</w:t>
      </w:r>
      <w:r>
        <w:rPr>
          <w:rFonts w:hint="eastAsia" w:ascii="宋体" w:hAnsi="宋体" w:eastAsia="宋体" w:cs="宋体"/>
          <w:color w:val="auto"/>
          <w:sz w:val="24"/>
          <w:szCs w:val="24"/>
          <w:highlight w:val="none"/>
          <w:u w:val="none"/>
        </w:rPr>
        <w:t>内</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u w:val="none"/>
          <w:lang w:eastAsia="zh-CN"/>
        </w:rPr>
        <w:t>线</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u w:val="none"/>
        </w:rPr>
        <w:t>加盖招标人单位</w:t>
      </w:r>
      <w:r>
        <w:rPr>
          <w:rFonts w:hint="eastAsia" w:ascii="宋体" w:hAnsi="宋体" w:eastAsia="宋体" w:cs="宋体"/>
          <w:color w:val="auto"/>
          <w:sz w:val="24"/>
          <w:szCs w:val="24"/>
          <w:highlight w:val="none"/>
          <w:u w:val="none"/>
          <w:lang w:eastAsia="zh-CN"/>
        </w:rPr>
        <w:t>电子签</w:t>
      </w:r>
      <w:r>
        <w:rPr>
          <w:rFonts w:hint="eastAsia" w:ascii="宋体" w:hAnsi="宋体" w:eastAsia="宋体" w:cs="宋体"/>
          <w:color w:val="auto"/>
          <w:sz w:val="24"/>
          <w:szCs w:val="24"/>
          <w:highlight w:val="none"/>
          <w:u w:val="none"/>
        </w:rPr>
        <w:t>章的中标通知书</w:t>
      </w:r>
      <w:r>
        <w:rPr>
          <w:rFonts w:hint="eastAsia" w:ascii="宋体" w:hAnsi="宋体" w:eastAsia="宋体" w:cs="宋体"/>
          <w:color w:val="auto"/>
          <w:sz w:val="24"/>
          <w:szCs w:val="24"/>
          <w:highlight w:val="none"/>
          <w:u w:val="none"/>
          <w:lang w:eastAsia="zh-CN"/>
        </w:rPr>
        <w:t>并</w:t>
      </w:r>
      <w:r>
        <w:rPr>
          <w:rFonts w:hint="eastAsia" w:ascii="宋体" w:hAnsi="宋体" w:eastAsia="宋体" w:cs="宋体"/>
          <w:color w:val="auto"/>
          <w:sz w:val="24"/>
          <w:szCs w:val="24"/>
          <w:highlight w:val="none"/>
          <w:u w:val="none"/>
        </w:rPr>
        <w:t>发放到中标人及各相关单位</w:t>
      </w:r>
      <w:r>
        <w:rPr>
          <w:rFonts w:hint="eastAsia" w:ascii="宋体" w:hAnsi="宋体" w:eastAsia="宋体" w:cs="宋体"/>
          <w:color w:val="auto"/>
          <w:sz w:val="24"/>
          <w:highlight w:val="none"/>
        </w:rPr>
        <w:t>。招标人最迟应当在投标有效期届满30日前发出中标通知书，否则，应当按照本投标人须知投标有效期的规定延长投标有效期。</w:t>
      </w:r>
    </w:p>
    <w:p w14:paraId="3397959C">
      <w:pPr>
        <w:pStyle w:val="26"/>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kern w:val="2"/>
          <w:highlight w:val="none"/>
          <w:u w:val="none"/>
        </w:rPr>
      </w:pPr>
      <w:r>
        <w:rPr>
          <w:rFonts w:hint="eastAsia" w:ascii="宋体" w:hAnsi="宋体" w:eastAsia="宋体" w:cs="宋体"/>
          <w:b/>
          <w:bCs/>
          <w:color w:val="auto"/>
          <w:kern w:val="2"/>
          <w:highlight w:val="none"/>
          <w:u w:val="none"/>
          <w:lang w:val="en-US" w:eastAsia="zh-CN"/>
        </w:rPr>
        <w:t>16.1</w:t>
      </w:r>
      <w:r>
        <w:rPr>
          <w:rFonts w:hint="eastAsia" w:ascii="宋体" w:hAnsi="宋体" w:eastAsia="宋体" w:cs="宋体"/>
          <w:b/>
          <w:bCs/>
          <w:color w:val="auto"/>
          <w:kern w:val="2"/>
          <w:highlight w:val="none"/>
          <w:u w:val="none"/>
        </w:rPr>
        <w:t>.3</w:t>
      </w:r>
      <w:r>
        <w:rPr>
          <w:rFonts w:hint="eastAsia" w:ascii="宋体" w:hAnsi="宋体" w:eastAsia="宋体" w:cs="宋体"/>
          <w:b/>
          <w:bCs/>
          <w:color w:val="auto"/>
          <w:kern w:val="2"/>
          <w:highlight w:val="none"/>
          <w:u w:val="none"/>
          <w:lang w:val="en-US" w:eastAsia="zh-CN"/>
        </w:rPr>
        <w:t xml:space="preserve"> </w:t>
      </w:r>
      <w:r>
        <w:rPr>
          <w:rFonts w:hint="eastAsia" w:ascii="宋体" w:hAnsi="宋体" w:eastAsia="宋体" w:cs="宋体"/>
          <w:color w:val="auto"/>
          <w:sz w:val="24"/>
          <w:szCs w:val="24"/>
          <w:highlight w:val="none"/>
          <w:u w:val="none"/>
        </w:rPr>
        <w:t>招标人应当</w:t>
      </w:r>
      <w:r>
        <w:rPr>
          <w:rFonts w:hint="eastAsia" w:ascii="宋体" w:hAnsi="宋体" w:eastAsia="宋体" w:cs="宋体"/>
          <w:i w:val="0"/>
          <w:color w:val="auto"/>
          <w:kern w:val="0"/>
          <w:sz w:val="24"/>
          <w:szCs w:val="24"/>
          <w:highlight w:val="none"/>
          <w:u w:val="none"/>
          <w:lang w:val="en-US" w:eastAsia="zh-CN" w:bidi="ar"/>
        </w:rPr>
        <w:t>自中标通知书发出之日起15日内</w:t>
      </w:r>
      <w:r>
        <w:rPr>
          <w:rFonts w:hint="eastAsia" w:ascii="宋体" w:hAnsi="宋体" w:eastAsia="宋体" w:cs="宋体"/>
          <w:color w:val="auto"/>
          <w:spacing w:val="0"/>
          <w:sz w:val="24"/>
          <w:szCs w:val="24"/>
          <w:highlight w:val="none"/>
          <w:u w:val="none"/>
          <w:lang w:eastAsia="zh-CN"/>
        </w:rPr>
        <w:t>，通过</w:t>
      </w:r>
      <w:r>
        <w:rPr>
          <w:rFonts w:hint="eastAsia" w:ascii="宋体" w:hAnsi="宋体" w:eastAsia="宋体" w:cs="宋体"/>
          <w:color w:val="auto"/>
          <w:spacing w:val="0"/>
          <w:sz w:val="24"/>
          <w:szCs w:val="24"/>
          <w:highlight w:val="none"/>
          <w:u w:val="none"/>
        </w:rPr>
        <w:t>广东省招标投标监管网和公共资源交易平台</w:t>
      </w:r>
      <w:r>
        <w:rPr>
          <w:rFonts w:hint="eastAsia" w:ascii="宋体" w:hAnsi="宋体" w:eastAsia="宋体" w:cs="宋体"/>
          <w:color w:val="auto"/>
          <w:spacing w:val="0"/>
          <w:sz w:val="24"/>
          <w:szCs w:val="24"/>
          <w:highlight w:val="none"/>
          <w:u w:val="none"/>
          <w:lang w:eastAsia="zh-CN"/>
        </w:rPr>
        <w:t>发布中标结果公示。</w:t>
      </w:r>
      <w:r>
        <w:rPr>
          <w:rFonts w:hint="eastAsia" w:ascii="宋体" w:hAnsi="宋体" w:eastAsia="宋体" w:cs="宋体"/>
          <w:color w:val="auto"/>
          <w:kern w:val="2"/>
          <w:highlight w:val="none"/>
          <w:u w:val="none"/>
        </w:rPr>
        <w:t xml:space="preserve"> </w:t>
      </w:r>
      <w:r>
        <w:rPr>
          <w:rFonts w:hint="eastAsia" w:ascii="宋体" w:hAnsi="宋体" w:eastAsia="宋体" w:cs="宋体"/>
          <w:color w:val="auto"/>
          <w:highlight w:val="none"/>
          <w:u w:val="none"/>
        </w:rPr>
        <w:t>招标人应当自确定中标人之日起15日内，</w:t>
      </w:r>
      <w:r>
        <w:rPr>
          <w:rFonts w:hint="eastAsia" w:ascii="宋体" w:hAnsi="宋体" w:eastAsia="宋体" w:cs="宋体"/>
          <w:color w:val="auto"/>
          <w:highlight w:val="none"/>
          <w:u w:val="none"/>
          <w:lang w:eastAsia="zh-CN"/>
        </w:rPr>
        <w:t>在线</w:t>
      </w:r>
      <w:r>
        <w:rPr>
          <w:rFonts w:hint="eastAsia" w:ascii="宋体" w:hAnsi="宋体" w:eastAsia="宋体" w:cs="宋体"/>
          <w:color w:val="auto"/>
          <w:highlight w:val="none"/>
          <w:u w:val="none"/>
        </w:rPr>
        <w:t>向有关</w:t>
      </w:r>
      <w:r>
        <w:rPr>
          <w:rFonts w:hint="eastAsia" w:ascii="宋体" w:hAnsi="宋体" w:eastAsia="宋体" w:cs="宋体"/>
          <w:color w:val="auto"/>
          <w:highlight w:val="none"/>
          <w:u w:val="none"/>
          <w:lang w:eastAsia="zh-CN"/>
        </w:rPr>
        <w:t>招标管理</w:t>
      </w:r>
      <w:r>
        <w:rPr>
          <w:rFonts w:hint="eastAsia" w:ascii="宋体" w:hAnsi="宋体" w:eastAsia="宋体" w:cs="宋体"/>
          <w:color w:val="auto"/>
          <w:highlight w:val="none"/>
          <w:u w:val="none"/>
        </w:rPr>
        <w:t>部门提交招标投标情况的书面报告。</w:t>
      </w:r>
    </w:p>
    <w:p w14:paraId="07B5D14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16.2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异议和投诉</w:t>
      </w:r>
    </w:p>
    <w:p w14:paraId="4750EA3E">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16.2.1</w:t>
      </w:r>
      <w:r>
        <w:rPr>
          <w:rFonts w:hint="eastAsia" w:ascii="宋体" w:hAnsi="宋体" w:eastAsia="宋体" w:cs="宋体"/>
          <w:color w:val="auto"/>
          <w:sz w:val="24"/>
          <w:highlight w:val="none"/>
        </w:rPr>
        <w:t xml:space="preserve"> 投标人或者其他利害关系人对招标项目的</w:t>
      </w:r>
      <w:r>
        <w:rPr>
          <w:rFonts w:hint="eastAsia" w:ascii="宋体" w:hAnsi="宋体" w:eastAsia="宋体" w:cs="宋体"/>
          <w:color w:val="auto"/>
          <w:sz w:val="24"/>
          <w:highlight w:val="none"/>
          <w:lang w:eastAsia="zh-CN"/>
        </w:rPr>
        <w:t>评</w:t>
      </w:r>
      <w:r>
        <w:rPr>
          <w:rFonts w:hint="eastAsia" w:ascii="宋体" w:hAnsi="宋体" w:eastAsia="宋体" w:cs="宋体"/>
          <w:color w:val="auto"/>
          <w:sz w:val="24"/>
          <w:highlight w:val="none"/>
        </w:rPr>
        <w:t>标</w:t>
      </w:r>
      <w:r>
        <w:rPr>
          <w:rFonts w:hint="eastAsia" w:ascii="宋体" w:hAnsi="宋体" w:eastAsia="宋体" w:cs="宋体"/>
          <w:color w:val="auto"/>
          <w:sz w:val="24"/>
          <w:highlight w:val="none"/>
          <w:lang w:eastAsia="zh-CN"/>
        </w:rPr>
        <w:t>和中标</w:t>
      </w:r>
      <w:r>
        <w:rPr>
          <w:rFonts w:hint="eastAsia" w:ascii="宋体" w:hAnsi="宋体" w:eastAsia="宋体" w:cs="宋体"/>
          <w:color w:val="auto"/>
          <w:sz w:val="24"/>
          <w:highlight w:val="none"/>
        </w:rPr>
        <w:t>结果有异议的，应当在</w:t>
      </w:r>
      <w:r>
        <w:rPr>
          <w:rFonts w:hint="eastAsia" w:ascii="宋体" w:hAnsi="宋体" w:eastAsia="宋体" w:cs="宋体"/>
          <w:b w:val="0"/>
          <w:bCs w:val="0"/>
          <w:color w:val="auto"/>
          <w:spacing w:val="0"/>
          <w:position w:val="0"/>
          <w:sz w:val="24"/>
          <w:szCs w:val="24"/>
          <w:highlight w:val="none"/>
          <w:u w:val="none" w:color="auto"/>
          <w:lang w:val="en-US" w:eastAsia="zh-CN"/>
        </w:rPr>
        <w:t>定标候选人和中标候选人</w:t>
      </w:r>
      <w:r>
        <w:rPr>
          <w:rFonts w:hint="eastAsia" w:ascii="宋体" w:hAnsi="宋体" w:eastAsia="宋体" w:cs="宋体"/>
          <w:color w:val="auto"/>
          <w:sz w:val="24"/>
          <w:highlight w:val="none"/>
        </w:rPr>
        <w:t>公示期</w:t>
      </w:r>
      <w:r>
        <w:rPr>
          <w:rFonts w:hint="eastAsia" w:ascii="宋体" w:hAnsi="宋体" w:eastAsia="宋体" w:cs="宋体"/>
          <w:color w:val="auto"/>
          <w:sz w:val="24"/>
          <w:highlight w:val="none"/>
          <w:lang w:eastAsia="zh-CN"/>
        </w:rPr>
        <w:t>间按规定线上</w:t>
      </w:r>
      <w:r>
        <w:rPr>
          <w:rFonts w:hint="eastAsia" w:ascii="宋体" w:hAnsi="宋体" w:eastAsia="宋体" w:cs="宋体"/>
          <w:color w:val="auto"/>
          <w:sz w:val="24"/>
          <w:highlight w:val="none"/>
        </w:rPr>
        <w:t>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64BD818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16.2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2</w:t>
      </w:r>
      <w:r>
        <w:rPr>
          <w:rFonts w:hint="eastAsia" w:ascii="宋体" w:hAnsi="宋体" w:eastAsia="宋体" w:cs="宋体"/>
          <w:color w:val="auto"/>
          <w:kern w:val="0"/>
          <w:sz w:val="24"/>
          <w:szCs w:val="24"/>
          <w:highlight w:val="none"/>
        </w:rPr>
        <w:t>在</w:t>
      </w:r>
      <w:r>
        <w:rPr>
          <w:rFonts w:hint="eastAsia" w:ascii="宋体" w:hAnsi="宋体" w:eastAsia="宋体" w:cs="宋体"/>
          <w:b w:val="0"/>
          <w:bCs w:val="0"/>
          <w:color w:val="auto"/>
          <w:spacing w:val="0"/>
          <w:position w:val="0"/>
          <w:sz w:val="24"/>
          <w:szCs w:val="24"/>
          <w:highlight w:val="none"/>
          <w:u w:val="none" w:color="auto"/>
          <w:lang w:val="en-US" w:eastAsia="zh-CN"/>
        </w:rPr>
        <w:t>定标候选人和中标候选人</w:t>
      </w:r>
      <w:r>
        <w:rPr>
          <w:rFonts w:hint="eastAsia" w:ascii="宋体" w:hAnsi="宋体" w:eastAsia="宋体" w:cs="宋体"/>
          <w:color w:val="auto"/>
          <w:kern w:val="0"/>
          <w:sz w:val="24"/>
          <w:szCs w:val="24"/>
          <w:highlight w:val="none"/>
        </w:rPr>
        <w:t>公示期间有关评标结果的异议成立的，招标人</w:t>
      </w:r>
      <w:r>
        <w:rPr>
          <w:rFonts w:hint="eastAsia" w:ascii="宋体" w:hAnsi="宋体" w:eastAsia="宋体" w:cs="宋体"/>
          <w:color w:val="auto"/>
          <w:kern w:val="0"/>
          <w:sz w:val="24"/>
          <w:szCs w:val="24"/>
          <w:highlight w:val="none"/>
          <w:lang w:eastAsia="zh-CN"/>
        </w:rPr>
        <w:t>原则上</w:t>
      </w:r>
      <w:r>
        <w:rPr>
          <w:rFonts w:hint="eastAsia" w:ascii="宋体" w:hAnsi="宋体" w:eastAsia="宋体" w:cs="宋体"/>
          <w:color w:val="auto"/>
          <w:kern w:val="0"/>
          <w:sz w:val="24"/>
          <w:szCs w:val="24"/>
          <w:highlight w:val="none"/>
        </w:rPr>
        <w:t>应当组织原评标委员会</w:t>
      </w:r>
      <w:r>
        <w:rPr>
          <w:rFonts w:hint="eastAsia" w:ascii="宋体" w:hAnsi="宋体" w:eastAsia="宋体" w:cs="宋体"/>
          <w:color w:val="auto"/>
          <w:kern w:val="0"/>
          <w:sz w:val="24"/>
          <w:szCs w:val="24"/>
          <w:highlight w:val="none"/>
          <w:lang w:eastAsia="zh-CN"/>
        </w:rPr>
        <w:t>和原定标委员会</w:t>
      </w:r>
      <w:r>
        <w:rPr>
          <w:rFonts w:hint="eastAsia" w:ascii="宋体" w:hAnsi="宋体" w:eastAsia="宋体" w:cs="宋体"/>
          <w:color w:val="auto"/>
          <w:kern w:val="0"/>
          <w:sz w:val="24"/>
          <w:szCs w:val="24"/>
          <w:highlight w:val="none"/>
        </w:rPr>
        <w:t>对有关的问题予以纠正，问题纠正后再公示</w:t>
      </w:r>
      <w:r>
        <w:rPr>
          <w:rFonts w:hint="eastAsia" w:ascii="宋体" w:hAnsi="宋体" w:eastAsia="宋体" w:cs="宋体"/>
          <w:color w:val="auto"/>
          <w:kern w:val="0"/>
          <w:sz w:val="24"/>
          <w:szCs w:val="24"/>
          <w:highlight w:val="none"/>
          <w:lang w:eastAsia="zh-CN"/>
        </w:rPr>
        <w:t>定标候选人和</w:t>
      </w:r>
      <w:r>
        <w:rPr>
          <w:rFonts w:hint="eastAsia" w:ascii="宋体" w:hAnsi="宋体" w:eastAsia="宋体" w:cs="宋体"/>
          <w:color w:val="auto"/>
          <w:kern w:val="0"/>
          <w:sz w:val="24"/>
          <w:szCs w:val="24"/>
          <w:highlight w:val="none"/>
        </w:rPr>
        <w:t>中标候选人。</w:t>
      </w:r>
    </w:p>
    <w:p w14:paraId="62D0FF62">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16.2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3</w:t>
      </w:r>
      <w:r>
        <w:rPr>
          <w:rFonts w:hint="eastAsia" w:ascii="宋体" w:hAnsi="宋体" w:eastAsia="宋体" w:cs="宋体"/>
          <w:color w:val="auto"/>
          <w:sz w:val="24"/>
          <w:highlight w:val="none"/>
        </w:rPr>
        <w:t>投标人或其他利害关系人认为招标投标活动不符合法律、行政法规规定的，可以自知道或者应当知道之日起10日内</w:t>
      </w:r>
      <w:r>
        <w:rPr>
          <w:rFonts w:hint="eastAsia" w:ascii="宋体" w:hAnsi="宋体" w:eastAsia="宋体" w:cs="宋体"/>
          <w:color w:val="auto"/>
          <w:sz w:val="24"/>
          <w:highlight w:val="none"/>
          <w:lang w:eastAsia="zh-CN"/>
        </w:rPr>
        <w:t>按规定线上</w:t>
      </w:r>
      <w:r>
        <w:rPr>
          <w:rFonts w:hint="eastAsia" w:ascii="宋体" w:hAnsi="宋体" w:eastAsia="宋体" w:cs="宋体"/>
          <w:color w:val="auto"/>
          <w:sz w:val="24"/>
          <w:highlight w:val="none"/>
        </w:rPr>
        <w:t>向有关</w:t>
      </w:r>
      <w:r>
        <w:rPr>
          <w:rFonts w:hint="eastAsia" w:ascii="宋体" w:hAnsi="宋体" w:eastAsia="宋体" w:cs="宋体"/>
          <w:color w:val="auto"/>
          <w:sz w:val="24"/>
          <w:highlight w:val="none"/>
          <w:lang w:eastAsia="zh-CN"/>
        </w:rPr>
        <w:t>招标管理</w:t>
      </w:r>
      <w:r>
        <w:rPr>
          <w:rFonts w:hint="eastAsia" w:ascii="宋体" w:hAnsi="宋体" w:eastAsia="宋体" w:cs="宋体"/>
          <w:color w:val="auto"/>
          <w:sz w:val="24"/>
          <w:highlight w:val="none"/>
        </w:rPr>
        <w:t>部门投诉。投诉应当有明确的请求和必要的证明材料。</w:t>
      </w:r>
      <w:r>
        <w:rPr>
          <w:rFonts w:hint="eastAsia" w:ascii="宋体" w:hAnsi="宋体" w:eastAsia="宋体" w:cs="宋体"/>
          <w:color w:val="auto"/>
          <w:sz w:val="24"/>
          <w:highlight w:val="none"/>
          <w:lang w:eastAsia="zh-CN"/>
        </w:rPr>
        <w:t>招标管理</w:t>
      </w:r>
      <w:r>
        <w:rPr>
          <w:rFonts w:hint="eastAsia" w:ascii="宋体" w:hAnsi="宋体" w:eastAsia="宋体" w:cs="宋体"/>
          <w:color w:val="auto"/>
          <w:sz w:val="24"/>
          <w:highlight w:val="none"/>
        </w:rPr>
        <w:t>部门应当自收到投诉之日起30个工作日内作出书面处理决定。</w:t>
      </w:r>
    </w:p>
    <w:p w14:paraId="04373AD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highlight w:val="none"/>
          <w:lang w:val="en-US" w:eastAsia="zh-CN"/>
        </w:rPr>
      </w:pPr>
      <w:bookmarkStart w:id="102" w:name="_Toc236550039"/>
      <w:r>
        <w:rPr>
          <w:rFonts w:hint="eastAsia" w:ascii="宋体" w:hAnsi="宋体" w:eastAsia="宋体" w:cs="宋体"/>
          <w:b/>
          <w:bCs/>
          <w:color w:val="auto"/>
          <w:sz w:val="24"/>
          <w:highlight w:val="none"/>
          <w:lang w:val="en-US" w:eastAsia="zh-CN"/>
        </w:rPr>
        <w:t>16.3．废除授标</w:t>
      </w:r>
      <w:bookmarkEnd w:id="102"/>
    </w:p>
    <w:p w14:paraId="612B4161">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16</w:t>
      </w:r>
      <w:r>
        <w:rPr>
          <w:rFonts w:hint="eastAsia" w:ascii="宋体" w:hAnsi="宋体" w:eastAsia="宋体" w:cs="宋体"/>
          <w:b/>
          <w:bCs/>
          <w:color w:val="auto"/>
          <w:sz w:val="24"/>
          <w:highlight w:val="none"/>
        </w:rPr>
        <w:t>.1</w:t>
      </w:r>
      <w:r>
        <w:rPr>
          <w:rFonts w:hint="eastAsia" w:ascii="宋体" w:hAnsi="宋体" w:eastAsia="宋体" w:cs="宋体"/>
          <w:color w:val="auto"/>
          <w:sz w:val="24"/>
          <w:highlight w:val="none"/>
          <w:lang w:eastAsia="zh-CN"/>
        </w:rPr>
        <w:t>评定标完成后，中标候选人有下列情形之一的，招标人应按规定取消中标候选人资格或废除授标</w:t>
      </w:r>
      <w:r>
        <w:rPr>
          <w:rFonts w:hint="eastAsia" w:ascii="宋体" w:hAnsi="宋体" w:eastAsia="宋体" w:cs="宋体"/>
          <w:color w:val="auto"/>
          <w:sz w:val="24"/>
          <w:highlight w:val="none"/>
        </w:rPr>
        <w:t>：</w:t>
      </w:r>
    </w:p>
    <w:p w14:paraId="5BF1893B">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（1）以他人名义投标或者以其他方式弄虚作假骗取中标的；</w:t>
      </w:r>
    </w:p>
    <w:p w14:paraId="472531F0">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（2）与其他投标人串通投标或以行贿的手段谋取中标的；</w:t>
      </w:r>
    </w:p>
    <w:p w14:paraId="11A2F7A6">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）不是从本投标企业基本账户</w:t>
      </w:r>
      <w:r>
        <w:rPr>
          <w:rFonts w:hint="eastAsia" w:ascii="宋体" w:hAnsi="宋体" w:eastAsia="宋体" w:cs="宋体"/>
          <w:color w:val="auto"/>
          <w:sz w:val="24"/>
          <w:highlight w:val="none"/>
          <w:lang w:eastAsia="zh-CN"/>
        </w:rPr>
        <w:t>提交</w:t>
      </w:r>
      <w:r>
        <w:rPr>
          <w:rFonts w:hint="eastAsia" w:ascii="宋体" w:hAnsi="宋体" w:eastAsia="宋体" w:cs="宋体"/>
          <w:color w:val="auto"/>
          <w:sz w:val="24"/>
          <w:highlight w:val="none"/>
          <w:lang w:val="en-US" w:eastAsia="zh-CN"/>
        </w:rPr>
        <w:t>投标保证金</w:t>
      </w:r>
      <w:r>
        <w:rPr>
          <w:rFonts w:hint="eastAsia" w:ascii="宋体" w:hAnsi="宋体" w:eastAsia="宋体" w:cs="宋体"/>
          <w:color w:val="auto"/>
          <w:sz w:val="24"/>
          <w:highlight w:val="none"/>
          <w:lang w:eastAsia="zh-CN"/>
        </w:rPr>
        <w:t>或以虚假方式提交投标保证金保函（保单）</w:t>
      </w:r>
      <w:r>
        <w:rPr>
          <w:rFonts w:hint="eastAsia" w:ascii="宋体" w:hAnsi="宋体" w:eastAsia="宋体" w:cs="宋体"/>
          <w:color w:val="auto"/>
          <w:sz w:val="24"/>
          <w:highlight w:val="none"/>
        </w:rPr>
        <w:t>的；</w:t>
      </w:r>
    </w:p>
    <w:p w14:paraId="5B371C14">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于投标有效期终止之前撤回投标文件，或者排名第一的中标候选人放弃中标资格的；</w:t>
      </w:r>
    </w:p>
    <w:p w14:paraId="2A63ED6B">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）因中标人过错而未能按照规定与招标人签订合同或中标人因不可抗力提出不能履行合同的；</w:t>
      </w:r>
    </w:p>
    <w:p w14:paraId="4A5EA08A">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）因中标人过错而未能按照招标文件要求向招标人提交履约</w:t>
      </w:r>
      <w:r>
        <w:rPr>
          <w:rFonts w:hint="eastAsia" w:ascii="宋体" w:hAnsi="宋体" w:eastAsia="宋体" w:cs="宋体"/>
          <w:color w:val="auto"/>
          <w:sz w:val="24"/>
          <w:highlight w:val="none"/>
          <w:lang w:eastAsia="zh-CN"/>
        </w:rPr>
        <w:t>担</w:t>
      </w:r>
      <w:r>
        <w:rPr>
          <w:rFonts w:hint="eastAsia" w:ascii="宋体" w:hAnsi="宋体" w:eastAsia="宋体" w:cs="宋体"/>
          <w:color w:val="auto"/>
          <w:sz w:val="24"/>
          <w:highlight w:val="none"/>
        </w:rPr>
        <w:t>保的；</w:t>
      </w:r>
    </w:p>
    <w:p w14:paraId="260ACB30">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rPr>
        <w:t>中标人被有关部门查实存在影响中标结果的违法行为，不符合中标条件的</w:t>
      </w:r>
      <w:r>
        <w:rPr>
          <w:rFonts w:hint="eastAsia" w:ascii="宋体" w:hAnsi="宋体" w:eastAsia="宋体" w:cs="宋体"/>
          <w:color w:val="auto"/>
          <w:sz w:val="24"/>
          <w:highlight w:val="none"/>
          <w:lang w:val="en-US" w:eastAsia="zh-CN"/>
        </w:rPr>
        <w:t>；</w:t>
      </w:r>
    </w:p>
    <w:p w14:paraId="1C97AE28">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人在参加本项目投标时有本企业投标承诺书所列被依法限制或暂停承揽业务</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停业的处罚的；</w:t>
      </w:r>
    </w:p>
    <w:p w14:paraId="27D0A002">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）招标文件明确规定可以废除授标的其他情形。</w:t>
      </w:r>
    </w:p>
    <w:p w14:paraId="00ACE736">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360" w:lineRule="auto"/>
        <w:ind w:left="0" w:leftChars="0" w:right="0" w:firstLine="480" w:firstLineChars="200"/>
        <w:jc w:val="both"/>
        <w:textAlignment w:val="auto"/>
        <w:outlineLvl w:val="9"/>
        <w:rPr>
          <w:rFonts w:hint="eastAsia" w:ascii="宋体" w:hAnsi="宋体" w:eastAsia="宋体" w:cs="宋体"/>
          <w:b w:val="0"/>
          <w:bCs w:val="0"/>
          <w:color w:val="auto"/>
          <w:spacing w:val="0"/>
          <w:sz w:val="24"/>
          <w:szCs w:val="24"/>
          <w:highlight w:val="none"/>
          <w:u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.2</w:t>
      </w:r>
      <w:r>
        <w:rPr>
          <w:rFonts w:hint="eastAsia" w:ascii="宋体" w:hAnsi="宋体" w:eastAsia="宋体" w:cs="宋体"/>
          <w:b w:val="0"/>
          <w:bCs w:val="0"/>
          <w:strike w:val="0"/>
          <w:dstrike w:val="0"/>
          <w:color w:val="auto"/>
          <w:spacing w:val="0"/>
          <w:sz w:val="24"/>
          <w:szCs w:val="24"/>
          <w:highlight w:val="none"/>
        </w:rPr>
        <w:t>排名第一的</w:t>
      </w:r>
      <w:r>
        <w:rPr>
          <w:rFonts w:hint="eastAsia" w:ascii="宋体" w:hAnsi="宋体" w:eastAsia="宋体" w:cs="宋体"/>
          <w:b w:val="0"/>
          <w:bCs w:val="0"/>
          <w:color w:val="auto"/>
          <w:spacing w:val="0"/>
          <w:sz w:val="24"/>
          <w:szCs w:val="24"/>
          <w:highlight w:val="none"/>
        </w:rPr>
        <w:t>中标候选人</w:t>
      </w:r>
      <w:r>
        <w:rPr>
          <w:rFonts w:hint="eastAsia" w:ascii="宋体" w:hAnsi="宋体" w:eastAsia="宋体" w:cs="宋体"/>
          <w:color w:val="auto"/>
          <w:sz w:val="24"/>
          <w:highlight w:val="none"/>
          <w:lang w:eastAsia="zh-CN"/>
        </w:rPr>
        <w:t>被</w:t>
      </w:r>
      <w:r>
        <w:rPr>
          <w:rFonts w:hint="eastAsia" w:ascii="宋体" w:hAnsi="宋体" w:eastAsia="宋体" w:cs="宋体"/>
          <w:color w:val="auto"/>
          <w:sz w:val="24"/>
          <w:highlight w:val="none"/>
        </w:rPr>
        <w:t>取消中标候选人资格或废除授标</w:t>
      </w:r>
      <w:r>
        <w:rPr>
          <w:rFonts w:hint="eastAsia" w:ascii="宋体" w:hAnsi="宋体" w:eastAsia="宋体" w:cs="宋体"/>
          <w:b w:val="0"/>
          <w:bCs w:val="0"/>
          <w:color w:val="auto"/>
          <w:spacing w:val="0"/>
          <w:sz w:val="24"/>
          <w:szCs w:val="24"/>
          <w:highlight w:val="none"/>
        </w:rPr>
        <w:t>，</w:t>
      </w:r>
      <w:r>
        <w:rPr>
          <w:rFonts w:hint="eastAsia" w:ascii="宋体" w:hAnsi="宋体" w:eastAsia="宋体" w:cs="宋体"/>
          <w:b w:val="0"/>
          <w:bCs w:val="0"/>
          <w:color w:val="auto"/>
          <w:spacing w:val="0"/>
          <w:sz w:val="24"/>
          <w:szCs w:val="24"/>
          <w:highlight w:val="none"/>
          <w:u w:val="none"/>
        </w:rPr>
        <w:t>招标人可以按照</w:t>
      </w:r>
      <w:r>
        <w:rPr>
          <w:rFonts w:hint="eastAsia" w:ascii="宋体" w:hAnsi="宋体" w:eastAsia="宋体" w:cs="宋体"/>
          <w:b w:val="0"/>
          <w:bCs w:val="0"/>
          <w:color w:val="auto"/>
          <w:spacing w:val="0"/>
          <w:sz w:val="24"/>
          <w:szCs w:val="24"/>
          <w:highlight w:val="none"/>
          <w:u w:val="none"/>
          <w:lang w:eastAsia="zh-CN"/>
        </w:rPr>
        <w:t>定标委员会</w:t>
      </w:r>
      <w:r>
        <w:rPr>
          <w:rFonts w:hint="eastAsia" w:ascii="宋体" w:hAnsi="宋体" w:eastAsia="宋体" w:cs="宋体"/>
          <w:b w:val="0"/>
          <w:bCs w:val="0"/>
          <w:color w:val="auto"/>
          <w:spacing w:val="0"/>
          <w:sz w:val="24"/>
          <w:szCs w:val="24"/>
          <w:highlight w:val="none"/>
          <w:u w:val="none"/>
        </w:rPr>
        <w:t>提出的中标候选人名单排序</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依次确定其他中标候选人为中标人，</w:t>
      </w:r>
      <w:r>
        <w:rPr>
          <w:rFonts w:hint="eastAsia" w:ascii="宋体" w:hAnsi="宋体" w:eastAsia="宋体" w:cs="宋体"/>
          <w:b w:val="0"/>
          <w:bCs w:val="0"/>
          <w:color w:val="auto"/>
          <w:spacing w:val="0"/>
          <w:sz w:val="24"/>
          <w:szCs w:val="24"/>
          <w:highlight w:val="none"/>
          <w:u w:val="none"/>
          <w:lang w:eastAsia="zh-CN"/>
        </w:rPr>
        <w:t>并</w:t>
      </w:r>
      <w:r>
        <w:rPr>
          <w:rFonts w:hint="eastAsia" w:ascii="宋体" w:hAnsi="宋体" w:eastAsia="宋体" w:cs="宋体"/>
          <w:color w:val="auto"/>
          <w:sz w:val="24"/>
          <w:szCs w:val="24"/>
          <w:highlight w:val="none"/>
        </w:rPr>
        <w:t>按规定实行中标结果公示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sz w:val="24"/>
          <w:szCs w:val="24"/>
          <w:highlight w:val="none"/>
          <w:u w:val="none"/>
        </w:rPr>
        <w:t>也可以</w:t>
      </w:r>
      <w:r>
        <w:rPr>
          <w:rFonts w:hint="eastAsia" w:ascii="宋体" w:hAnsi="宋体" w:eastAsia="宋体" w:cs="宋体"/>
          <w:b w:val="0"/>
          <w:bCs w:val="0"/>
          <w:color w:val="auto"/>
          <w:spacing w:val="0"/>
          <w:sz w:val="24"/>
          <w:szCs w:val="24"/>
          <w:highlight w:val="none"/>
          <w:u w:val="none"/>
          <w:lang w:eastAsia="zh-CN"/>
        </w:rPr>
        <w:t>按规定</w:t>
      </w:r>
      <w:r>
        <w:rPr>
          <w:rFonts w:hint="eastAsia" w:ascii="宋体" w:hAnsi="宋体" w:eastAsia="宋体" w:cs="宋体"/>
          <w:b w:val="0"/>
          <w:bCs w:val="0"/>
          <w:color w:val="auto"/>
          <w:spacing w:val="0"/>
          <w:sz w:val="24"/>
          <w:szCs w:val="24"/>
          <w:highlight w:val="none"/>
          <w:u w:val="none"/>
        </w:rPr>
        <w:t>重新组织招标</w:t>
      </w:r>
      <w:r>
        <w:rPr>
          <w:rFonts w:hint="eastAsia" w:ascii="宋体" w:hAnsi="宋体" w:eastAsia="宋体" w:cs="宋体"/>
          <w:color w:val="auto"/>
          <w:sz w:val="24"/>
          <w:highlight w:val="none"/>
        </w:rPr>
        <w:t>或报原项目审批</w:t>
      </w:r>
      <w:r>
        <w:rPr>
          <w:rFonts w:hint="eastAsia" w:ascii="宋体" w:hAnsi="宋体" w:eastAsia="宋体" w:cs="宋体"/>
          <w:color w:val="auto"/>
          <w:sz w:val="24"/>
          <w:highlight w:val="none"/>
          <w:lang w:eastAsia="zh-CN"/>
        </w:rPr>
        <w:t>、核准</w:t>
      </w:r>
      <w:r>
        <w:rPr>
          <w:rFonts w:hint="eastAsia" w:ascii="宋体" w:hAnsi="宋体" w:eastAsia="宋体" w:cs="宋体"/>
          <w:color w:val="auto"/>
          <w:sz w:val="24"/>
          <w:highlight w:val="none"/>
        </w:rPr>
        <w:t>部门重新</w:t>
      </w:r>
      <w:r>
        <w:rPr>
          <w:rFonts w:hint="eastAsia" w:ascii="宋体" w:hAnsi="宋体" w:eastAsia="宋体" w:cs="宋体"/>
          <w:color w:val="auto"/>
          <w:sz w:val="24"/>
          <w:highlight w:val="none"/>
          <w:lang w:eastAsia="zh-CN"/>
        </w:rPr>
        <w:t>审批、</w:t>
      </w:r>
      <w:r>
        <w:rPr>
          <w:rFonts w:hint="eastAsia" w:ascii="宋体" w:hAnsi="宋体" w:eastAsia="宋体" w:cs="宋体"/>
          <w:color w:val="auto"/>
          <w:sz w:val="24"/>
          <w:highlight w:val="none"/>
        </w:rPr>
        <w:t>核准招标方式。</w:t>
      </w:r>
    </w:p>
    <w:p w14:paraId="49C65D87">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3招标人有下列情形之一的，应依法承担相应的责任：</w:t>
      </w:r>
    </w:p>
    <w:p w14:paraId="24509036">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（1）无正当理由不发出中标通知书的</w:t>
      </w:r>
      <w:r>
        <w:rPr>
          <w:rFonts w:hint="eastAsia" w:ascii="宋体" w:hAnsi="宋体" w:eastAsia="宋体" w:cs="宋体"/>
          <w:color w:val="auto"/>
          <w:sz w:val="24"/>
          <w:highlight w:val="none"/>
          <w:lang w:eastAsia="zh-CN"/>
        </w:rPr>
        <w:t>；</w:t>
      </w:r>
    </w:p>
    <w:p w14:paraId="2E9EE8D5">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（2）招标人不按照规定确定中标人的；</w:t>
      </w:r>
    </w:p>
    <w:p w14:paraId="23EB0648">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（3）中标通知书发出后无正当理由改变中标结果的；</w:t>
      </w:r>
    </w:p>
    <w:p w14:paraId="7DD87694">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（4）无正当理由不与中标人签订合同的；</w:t>
      </w:r>
    </w:p>
    <w:p w14:paraId="6FBACFE0">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（5）在签订合同时向中标人提出附加条件或者更改合同实质性内容的。</w:t>
      </w:r>
    </w:p>
    <w:p w14:paraId="4CC18516">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03" w:name="_Toc9037"/>
      <w:bookmarkStart w:id="104" w:name="_Toc31730"/>
      <w:r>
        <w:rPr>
          <w:rFonts w:hint="eastAsia" w:ascii="宋体" w:hAnsi="宋体" w:eastAsia="宋体" w:cs="宋体"/>
          <w:b/>
          <w:snapToGrid w:val="0"/>
          <w:color w:val="auto"/>
          <w:sz w:val="24"/>
          <w:highlight w:val="none"/>
          <w:lang w:val="en-US" w:eastAsia="zh-CN"/>
        </w:rPr>
        <w:t>17.电子管理规定</w:t>
      </w:r>
      <w:bookmarkEnd w:id="103"/>
      <w:bookmarkEnd w:id="104"/>
    </w:p>
    <w:p w14:paraId="4708766A">
      <w:pPr>
        <w:keepNext w:val="0"/>
        <w:keepLines w:val="0"/>
        <w:pageBreakBefore w:val="0"/>
        <w:widowControl/>
        <w:kinsoku/>
        <w:wordWrap/>
        <w:overflowPunct/>
        <w:topLinePunct w:val="0"/>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17.1</w:t>
      </w:r>
      <w:r>
        <w:rPr>
          <w:rFonts w:hint="eastAsia" w:ascii="宋体" w:hAnsi="宋体" w:eastAsia="宋体" w:cs="宋体"/>
          <w:b/>
          <w:color w:val="auto"/>
          <w:kern w:val="0"/>
          <w:sz w:val="24"/>
          <w:highlight w:val="none"/>
        </w:rPr>
        <w:t>.应急管理</w:t>
      </w:r>
    </w:p>
    <w:p w14:paraId="734EEE66">
      <w:pPr>
        <w:keepNext w:val="0"/>
        <w:keepLines w:val="0"/>
        <w:pageBreakBefore w:val="0"/>
        <w:widowControl/>
        <w:kinsoku/>
        <w:wordWrap/>
        <w:overflowPunct/>
        <w:topLinePunct w:val="0"/>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17.1</w:t>
      </w:r>
      <w:r>
        <w:rPr>
          <w:rFonts w:hint="eastAsia" w:ascii="宋体" w:hAnsi="宋体" w:eastAsia="宋体" w:cs="宋体"/>
          <w:b/>
          <w:bCs/>
          <w:color w:val="auto"/>
          <w:kern w:val="0"/>
          <w:sz w:val="24"/>
          <w:highlight w:val="none"/>
        </w:rPr>
        <w:t>.1</w:t>
      </w:r>
      <w:r>
        <w:rPr>
          <w:rFonts w:hint="eastAsia" w:ascii="宋体" w:hAnsi="宋体" w:eastAsia="宋体" w:cs="宋体"/>
          <w:color w:val="auto"/>
          <w:kern w:val="0"/>
          <w:sz w:val="24"/>
          <w:highlight w:val="none"/>
        </w:rPr>
        <w:t>发生下列情形之一时，招标人（招标代理机构）、公共资源交易中心应报告招标管理部门，未开标的暂停开标，已进入系统进行开标、评标（定标）的，宣布开标、评标（定标）无效、中止或终止，由招标人（招标代理机构）在招标管理部门代表监督和公共资源交易中心代表见证下对提交的电子投标文件进行加密封存，恢复开标、评标（定标）的时间视解决实际问题情况而定。</w:t>
      </w:r>
    </w:p>
    <w:p w14:paraId="3D434D2B">
      <w:pPr>
        <w:keepNext w:val="0"/>
        <w:keepLines w:val="0"/>
        <w:pageBreakBefore w:val="0"/>
        <w:widowControl/>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（1）因国际互联网中断、停电、网络入侵、不可抗力等非可控因素导致系统不能正常运行；</w:t>
      </w:r>
    </w:p>
    <w:p w14:paraId="1A4C73AF">
      <w:pPr>
        <w:keepNext w:val="0"/>
        <w:keepLines w:val="0"/>
        <w:pageBreakBefore w:val="0"/>
        <w:widowControl/>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（2）因系统服务器发生故障而无法访问系统或无法使用系统</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因电子招标投标系统软件或网络数据库出现错误不能进行正常操作；</w:t>
      </w:r>
    </w:p>
    <w:p w14:paraId="58BECD2A">
      <w:pPr>
        <w:keepNext w:val="0"/>
        <w:keepLines w:val="0"/>
        <w:pageBreakBefore w:val="0"/>
        <w:widowControl/>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）电子招</w:t>
      </w:r>
      <w:r>
        <w:rPr>
          <w:rFonts w:hint="eastAsia" w:ascii="宋体" w:hAnsi="宋体" w:eastAsia="宋体" w:cs="宋体"/>
          <w:color w:val="auto"/>
          <w:kern w:val="0"/>
          <w:sz w:val="24"/>
          <w:highlight w:val="none"/>
          <w:lang w:eastAsia="zh-CN"/>
        </w:rPr>
        <w:t>标</w:t>
      </w:r>
      <w:r>
        <w:rPr>
          <w:rFonts w:hint="eastAsia" w:ascii="宋体" w:hAnsi="宋体" w:eastAsia="宋体" w:cs="宋体"/>
          <w:color w:val="auto"/>
          <w:kern w:val="0"/>
          <w:sz w:val="24"/>
          <w:highlight w:val="none"/>
        </w:rPr>
        <w:t>投标系统发现有安全漏洞，有潜在的泄密危险；</w:t>
      </w:r>
      <w:r>
        <w:rPr>
          <w:rFonts w:hint="eastAsia" w:ascii="宋体" w:hAnsi="宋体" w:eastAsia="宋体" w:cs="宋体"/>
          <w:color w:val="auto"/>
          <w:kern w:val="0"/>
          <w:sz w:val="24"/>
          <w:highlight w:val="none"/>
          <w:lang w:eastAsia="zh-CN"/>
        </w:rPr>
        <w:t>或</w:t>
      </w:r>
      <w:r>
        <w:rPr>
          <w:rFonts w:hint="eastAsia" w:ascii="宋体" w:hAnsi="宋体" w:eastAsia="宋体" w:cs="宋体"/>
          <w:color w:val="auto"/>
          <w:kern w:val="0"/>
          <w:sz w:val="24"/>
          <w:highlight w:val="none"/>
        </w:rPr>
        <w:t>计算机病毒造成影响；</w:t>
      </w:r>
    </w:p>
    <w:p w14:paraId="06E3C24B">
      <w:pPr>
        <w:keepNext w:val="0"/>
        <w:keepLines w:val="0"/>
        <w:pageBreakBefore w:val="0"/>
        <w:widowControl/>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）其他无法保证电子招标投标过程公平、公正和信息安全的意外情况；</w:t>
      </w:r>
    </w:p>
    <w:p w14:paraId="12B9AC6A">
      <w:pPr>
        <w:keepNext w:val="0"/>
        <w:keepLines w:val="0"/>
        <w:pageBreakBefore w:val="0"/>
        <w:widowControl/>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）相关行政监督部门</w:t>
      </w:r>
      <w:r>
        <w:rPr>
          <w:rFonts w:hint="eastAsia" w:ascii="宋体" w:hAnsi="宋体" w:eastAsia="宋体" w:cs="宋体"/>
          <w:color w:val="auto"/>
          <w:kern w:val="0"/>
          <w:sz w:val="24"/>
          <w:highlight w:val="none"/>
          <w:lang w:eastAsia="zh-CN"/>
        </w:rPr>
        <w:t>和</w:t>
      </w:r>
      <w:r>
        <w:rPr>
          <w:rFonts w:hint="eastAsia" w:ascii="宋体" w:hAnsi="宋体" w:eastAsia="宋体" w:cs="宋体"/>
          <w:color w:val="auto"/>
          <w:kern w:val="0"/>
          <w:sz w:val="24"/>
          <w:highlight w:val="none"/>
        </w:rPr>
        <w:t>司法、纪检监察等机关依法要求中止或终止电子招标投标活动；</w:t>
      </w:r>
    </w:p>
    <w:p w14:paraId="0356AE0B">
      <w:pPr>
        <w:keepNext w:val="0"/>
        <w:keepLines w:val="0"/>
        <w:pageBreakBefore w:val="0"/>
        <w:widowControl/>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）法律法规规定的其他情形。</w:t>
      </w:r>
    </w:p>
    <w:p w14:paraId="0377751E">
      <w:pPr>
        <w:keepNext w:val="0"/>
        <w:keepLines w:val="0"/>
        <w:pageBreakBefore w:val="0"/>
        <w:widowControl/>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对于另行安排时间开标、评标（定标）的项目，有关业绩、奖项等评审资料仍以原截标时间为准，开标时，招标人（招标代理机构）须出具书面说明，提请评委注意有关评标业绩仍以原截标时间为准。</w:t>
      </w:r>
    </w:p>
    <w:p w14:paraId="4039F208">
      <w:pPr>
        <w:keepNext w:val="0"/>
        <w:keepLines w:val="0"/>
        <w:pageBreakBefore w:val="0"/>
        <w:widowControl/>
        <w:kinsoku/>
        <w:wordWrap/>
        <w:overflowPunct/>
        <w:topLinePunct w:val="0"/>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17.1</w:t>
      </w:r>
      <w:r>
        <w:rPr>
          <w:rFonts w:hint="eastAsia" w:ascii="宋体" w:hAnsi="宋体" w:eastAsia="宋体" w:cs="宋体"/>
          <w:b/>
          <w:bCs/>
          <w:color w:val="auto"/>
          <w:kern w:val="0"/>
          <w:sz w:val="24"/>
          <w:highlight w:val="none"/>
        </w:rPr>
        <w:t>.2</w:t>
      </w:r>
      <w:r>
        <w:rPr>
          <w:rFonts w:hint="eastAsia" w:ascii="宋体" w:hAnsi="宋体" w:eastAsia="宋体" w:cs="宋体"/>
          <w:color w:val="auto"/>
          <w:kern w:val="0"/>
          <w:sz w:val="24"/>
          <w:highlight w:val="none"/>
        </w:rPr>
        <w:t>评审或评标过程中如遇系统故障等突发事件，评标</w:t>
      </w:r>
      <w:r>
        <w:rPr>
          <w:rFonts w:hint="eastAsia" w:ascii="宋体" w:hAnsi="宋体" w:eastAsia="宋体" w:cs="宋体"/>
          <w:color w:val="auto"/>
          <w:kern w:val="0"/>
          <w:sz w:val="24"/>
          <w:highlight w:val="none"/>
          <w:lang w:eastAsia="zh-CN"/>
        </w:rPr>
        <w:t>定标</w:t>
      </w:r>
      <w:r>
        <w:rPr>
          <w:rFonts w:hint="eastAsia" w:ascii="宋体" w:hAnsi="宋体" w:eastAsia="宋体" w:cs="宋体"/>
          <w:color w:val="auto"/>
          <w:kern w:val="0"/>
          <w:sz w:val="24"/>
          <w:highlight w:val="none"/>
        </w:rPr>
        <w:t>专家应及时与现场工作人员沟通解决。</w:t>
      </w:r>
    </w:p>
    <w:p w14:paraId="2DB2816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highlight w:val="none"/>
          <w:lang w:val="en-US" w:eastAsia="zh-CN"/>
        </w:rPr>
        <w:t>17.1</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3</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活动开始前，因主场或副场网络故障、电子设备或者评标系统故障，以及其他原因导致无法正常评标时，招标人可以延迟评标开始时间，待故障解除后开始评标；超过评标开始时间2小时仍无法解除故障的，由招标人确定是否进行评标。如延期评标，招标人应当配合主场、副场做好招投标资料的封存和保密工作，另行组建评标委员会进行评标。</w:t>
      </w:r>
    </w:p>
    <w:p w14:paraId="0CDB052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highlight w:val="none"/>
          <w:lang w:val="en-US" w:eastAsia="zh-CN"/>
        </w:rPr>
        <w:t>17.</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69A4E37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highlight w:val="none"/>
          <w:lang w:val="en-US" w:eastAsia="zh-CN"/>
        </w:rPr>
        <w:t>17.</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color w:val="auto"/>
          <w:kern w:val="0"/>
          <w:sz w:val="24"/>
          <w:szCs w:val="24"/>
          <w:highlight w:val="none"/>
        </w:rPr>
        <w:t>采用远程异地评标方式评标的</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主场和副场应当做好远程异地评标活动全程见证服务并采用音视频设备在线记录，妥善保存评标活动过程中的文字和音视频资料。评标结束后，副场应当在5个工作日内将评标活动过程中产生的纸质资料原件、电子文档、音视频以及其他有关资料，按双方约定的方式移交主场保存，保存期限按国家有关规定执行。</w:t>
      </w:r>
    </w:p>
    <w:p w14:paraId="2DD31394">
      <w:pPr>
        <w:keepNext w:val="0"/>
        <w:keepLines w:val="0"/>
        <w:pageBreakBefore w:val="0"/>
        <w:widowControl/>
        <w:kinsoku/>
        <w:wordWrap/>
        <w:overflowPunct/>
        <w:topLinePunct w:val="0"/>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17.1</w:t>
      </w:r>
      <w:r>
        <w:rPr>
          <w:rFonts w:hint="eastAsia" w:ascii="宋体" w:hAnsi="宋体" w:eastAsia="宋体" w:cs="宋体"/>
          <w:b/>
          <w:bCs/>
          <w:color w:val="auto"/>
          <w:kern w:val="0"/>
          <w:sz w:val="24"/>
          <w:highlight w:val="none"/>
        </w:rPr>
        <w:t>.</w:t>
      </w:r>
      <w:r>
        <w:rPr>
          <w:rFonts w:hint="eastAsia" w:ascii="宋体" w:hAnsi="宋体" w:eastAsia="宋体" w:cs="宋体"/>
          <w:b/>
          <w:bCs/>
          <w:color w:val="auto"/>
          <w:kern w:val="0"/>
          <w:sz w:val="24"/>
          <w:highlight w:val="none"/>
          <w:lang w:val="en-US" w:eastAsia="zh-CN"/>
        </w:rPr>
        <w:t>6</w:t>
      </w:r>
      <w:r>
        <w:rPr>
          <w:rFonts w:hint="eastAsia" w:ascii="宋体" w:hAnsi="宋体" w:eastAsia="宋体" w:cs="宋体"/>
          <w:color w:val="auto"/>
          <w:kern w:val="0"/>
          <w:sz w:val="24"/>
          <w:highlight w:val="none"/>
        </w:rPr>
        <w:t>电子招标投标中止、终止或结束后，招标人（招标代理机构）应将电子招标投标活动的记录下载打印成纸质文档存档。</w:t>
      </w:r>
    </w:p>
    <w:p w14:paraId="3C5B8521">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05" w:name="_Toc11001"/>
      <w:bookmarkStart w:id="106" w:name="_Toc10722"/>
      <w:r>
        <w:rPr>
          <w:rFonts w:hint="eastAsia" w:ascii="宋体" w:hAnsi="宋体" w:eastAsia="宋体" w:cs="宋体"/>
          <w:b/>
          <w:snapToGrid w:val="0"/>
          <w:color w:val="auto"/>
          <w:sz w:val="24"/>
          <w:highlight w:val="none"/>
          <w:lang w:val="en-US" w:eastAsia="zh-CN"/>
        </w:rPr>
        <w:t>18.相关规定</w:t>
      </w:r>
      <w:bookmarkEnd w:id="105"/>
      <w:bookmarkEnd w:id="106"/>
    </w:p>
    <w:p w14:paraId="66B70E20">
      <w:pPr>
        <w:keepNext w:val="0"/>
        <w:keepLines w:val="0"/>
        <w:pageBreakBefore w:val="0"/>
        <w:widowControl/>
        <w:kinsoku/>
        <w:wordWrap/>
        <w:overflowPunct/>
        <w:topLinePunct w:val="0"/>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18.</w:t>
      </w:r>
      <w:r>
        <w:rPr>
          <w:rFonts w:hint="eastAsia" w:ascii="宋体" w:hAnsi="宋体" w:eastAsia="宋体" w:cs="宋体"/>
          <w:b/>
          <w:bCs/>
          <w:color w:val="auto"/>
          <w:kern w:val="0"/>
          <w:sz w:val="24"/>
          <w:highlight w:val="none"/>
        </w:rPr>
        <w:t>1</w:t>
      </w:r>
      <w:r>
        <w:rPr>
          <w:rFonts w:hint="eastAsia" w:ascii="宋体" w:hAnsi="宋体" w:eastAsia="宋体" w:cs="宋体"/>
          <w:color w:val="auto"/>
          <w:kern w:val="0"/>
          <w:sz w:val="24"/>
          <w:highlight w:val="none"/>
        </w:rPr>
        <w:t>招标人（招标代理机构）、潜在投标人遗失数字证书或密码的，应当及时到原办理机构挂失并重新申领，由此造成不能及时办理招标申请备案、澄清、修改、答疑或不能及时参加投标、提出疑问、上传投标文件等后果由招标人（招标代理机构）或潜在投标人自行负责。</w:t>
      </w:r>
    </w:p>
    <w:p w14:paraId="7EE514FA">
      <w:pPr>
        <w:keepNext w:val="0"/>
        <w:keepLines w:val="0"/>
        <w:pageBreakBefore w:val="0"/>
        <w:widowControl/>
        <w:kinsoku/>
        <w:wordWrap/>
        <w:overflowPunct/>
        <w:topLinePunct w:val="0"/>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18.</w:t>
      </w:r>
      <w:r>
        <w:rPr>
          <w:rFonts w:hint="eastAsia" w:ascii="宋体" w:hAnsi="宋体" w:eastAsia="宋体" w:cs="宋体"/>
          <w:b/>
          <w:bCs/>
          <w:color w:val="auto"/>
          <w:kern w:val="0"/>
          <w:sz w:val="24"/>
          <w:highlight w:val="none"/>
        </w:rPr>
        <w:t>2</w:t>
      </w:r>
      <w:r>
        <w:rPr>
          <w:rFonts w:hint="eastAsia" w:ascii="宋体" w:hAnsi="宋体" w:eastAsia="宋体" w:cs="宋体"/>
          <w:color w:val="auto"/>
          <w:kern w:val="0"/>
          <w:sz w:val="24"/>
          <w:highlight w:val="none"/>
        </w:rPr>
        <w:t>投标人在电子招标投标活动中实施下列行为之一，所产生的后果由投标人自行承担。</w:t>
      </w:r>
    </w:p>
    <w:p w14:paraId="1EA0F2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（1）投标人的数字证书和密码被他人冒用、盗用；</w:t>
      </w:r>
    </w:p>
    <w:p w14:paraId="7AA074E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（2）使用他人数字证书或把数字证书借给他人使用的，依法按以他人名义投标处理；有围标串标行为的，依法按串通投标处理；</w:t>
      </w:r>
    </w:p>
    <w:p w14:paraId="2B03833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（3）因投标人计算机系统遭遇网络堵塞、病毒入侵、硬件故障等导致不能正常登录网上招标投标系统参与投标；</w:t>
      </w:r>
    </w:p>
    <w:p w14:paraId="687575FB">
      <w:pPr>
        <w:keepNext w:val="0"/>
        <w:keepLines w:val="0"/>
        <w:pageBreakBefore w:val="0"/>
        <w:widowControl/>
        <w:kinsoku/>
        <w:wordWrap/>
        <w:overflowPunct/>
        <w:topLinePunct w:val="0"/>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highlight w:val="none"/>
        </w:rPr>
      </w:pPr>
      <w:r>
        <w:rPr>
          <w:rFonts w:hint="eastAsia" w:ascii="宋体" w:hAnsi="宋体" w:eastAsia="宋体" w:cs="宋体"/>
          <w:color w:val="auto"/>
          <w:kern w:val="0"/>
          <w:sz w:val="24"/>
          <w:highlight w:val="none"/>
        </w:rPr>
        <w:t>（4）经</w:t>
      </w:r>
      <w:r>
        <w:rPr>
          <w:rFonts w:hint="eastAsia" w:ascii="宋体" w:hAnsi="宋体" w:eastAsia="宋体" w:cs="宋体"/>
          <w:color w:val="auto"/>
          <w:kern w:val="0"/>
          <w:sz w:val="24"/>
          <w:highlight w:val="none"/>
          <w:lang w:eastAsia="zh-CN"/>
        </w:rPr>
        <w:t>电子招标投标</w:t>
      </w:r>
      <w:r>
        <w:rPr>
          <w:rFonts w:hint="eastAsia" w:ascii="宋体" w:hAnsi="宋体" w:eastAsia="宋体" w:cs="宋体"/>
          <w:color w:val="auto"/>
          <w:kern w:val="0"/>
          <w:sz w:val="24"/>
          <w:highlight w:val="none"/>
        </w:rPr>
        <w:t>系统检测到投标人</w:t>
      </w:r>
      <w:r>
        <w:rPr>
          <w:rFonts w:hint="eastAsia" w:ascii="宋体" w:hAnsi="宋体" w:eastAsia="宋体" w:cs="宋体"/>
          <w:color w:val="auto"/>
          <w:kern w:val="0"/>
          <w:sz w:val="24"/>
          <w:highlight w:val="none"/>
          <w:lang w:eastAsia="zh-CN"/>
        </w:rPr>
        <w:t>的</w:t>
      </w:r>
      <w:r>
        <w:rPr>
          <w:rFonts w:hint="eastAsia" w:ascii="宋体" w:hAnsi="宋体" w:eastAsia="宋体" w:cs="宋体"/>
          <w:color w:val="auto"/>
          <w:sz w:val="24"/>
          <w:highlight w:val="none"/>
        </w:rPr>
        <w:t>投标文件编制及上传存在</w:t>
      </w:r>
      <w:r>
        <w:rPr>
          <w:rFonts w:hint="eastAsia" w:ascii="宋体" w:hAnsi="宋体" w:eastAsia="宋体" w:cs="宋体"/>
          <w:color w:val="auto"/>
          <w:sz w:val="24"/>
          <w:highlight w:val="none"/>
          <w:lang w:eastAsia="zh-CN"/>
        </w:rPr>
        <w:t>有与不同投标人</w:t>
      </w:r>
      <w:r>
        <w:rPr>
          <w:rFonts w:hint="eastAsia" w:ascii="宋体" w:hAnsi="宋体" w:eastAsia="宋体" w:cs="宋体"/>
          <w:color w:val="auto"/>
          <w:sz w:val="24"/>
          <w:highlight w:val="none"/>
        </w:rPr>
        <w:t>同一网卡地址、硬盘序列号、软件序列号或投标文件异常一致（通过</w:t>
      </w:r>
      <w:r>
        <w:rPr>
          <w:rFonts w:hint="eastAsia" w:ascii="宋体" w:hAnsi="宋体" w:eastAsia="宋体" w:cs="宋体"/>
          <w:color w:val="auto"/>
          <w:sz w:val="24"/>
          <w:highlight w:val="none"/>
          <w:lang w:eastAsia="zh-CN"/>
        </w:rPr>
        <w:t>公共资源</w:t>
      </w:r>
      <w:r>
        <w:rPr>
          <w:rFonts w:hint="eastAsia" w:ascii="宋体" w:hAnsi="宋体" w:eastAsia="宋体" w:cs="宋体"/>
          <w:color w:val="auto"/>
          <w:sz w:val="24"/>
          <w:highlight w:val="none"/>
        </w:rPr>
        <w:t>交易中心计算机编制或上传的除外）</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情形</w:t>
      </w:r>
      <w:r>
        <w:rPr>
          <w:rFonts w:hint="eastAsia" w:ascii="宋体" w:hAnsi="宋体" w:eastAsia="宋体" w:cs="宋体"/>
          <w:color w:val="auto"/>
          <w:kern w:val="0"/>
          <w:sz w:val="24"/>
          <w:highlight w:val="none"/>
        </w:rPr>
        <w:t>，视为串通投标行为，其投标无效，并依法处理。</w:t>
      </w:r>
    </w:p>
    <w:p w14:paraId="4CC672A2">
      <w:pPr>
        <w:keepNext w:val="0"/>
        <w:keepLines w:val="0"/>
        <w:pageBreakBefore w:val="0"/>
        <w:kinsoku/>
        <w:wordWrap/>
        <w:overflowPunct/>
        <w:topLinePunct w:val="0"/>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val="en-US" w:eastAsia="zh-CN"/>
        </w:rPr>
        <w:t>18.</w:t>
      </w:r>
      <w:r>
        <w:rPr>
          <w:rFonts w:hint="eastAsia" w:ascii="宋体" w:hAnsi="宋体" w:eastAsia="宋体" w:cs="宋体"/>
          <w:b/>
          <w:bCs/>
          <w:color w:val="auto"/>
          <w:sz w:val="24"/>
          <w:highlight w:val="none"/>
          <w:lang w:val="en-US" w:eastAsia="zh-CN"/>
        </w:rPr>
        <w:t>3</w:t>
      </w:r>
      <w:r>
        <w:rPr>
          <w:rFonts w:hint="eastAsia" w:ascii="宋体" w:hAnsi="宋体" w:eastAsia="宋体" w:cs="宋体"/>
          <w:color w:val="auto"/>
          <w:kern w:val="0"/>
          <w:sz w:val="24"/>
          <w:highlight w:val="none"/>
        </w:rPr>
        <w:t>电子评标的项目，</w:t>
      </w:r>
      <w:r>
        <w:rPr>
          <w:rFonts w:hint="eastAsia" w:ascii="宋体" w:hAnsi="宋体" w:eastAsia="宋体" w:cs="宋体"/>
          <w:color w:val="auto"/>
          <w:kern w:val="0"/>
          <w:sz w:val="24"/>
          <w:highlight w:val="none"/>
          <w:lang w:eastAsia="zh-CN"/>
        </w:rPr>
        <w:t>投标时，</w:t>
      </w:r>
      <w:r>
        <w:rPr>
          <w:rFonts w:hint="eastAsia" w:ascii="宋体" w:hAnsi="宋体" w:eastAsia="宋体" w:cs="宋体"/>
          <w:color w:val="auto"/>
          <w:kern w:val="0"/>
          <w:sz w:val="24"/>
          <w:highlight w:val="none"/>
        </w:rPr>
        <w:t>投标文件一律不接受纸质文件，投标人须递交具备法律效力的电子投标文件。</w:t>
      </w:r>
    </w:p>
    <w:p w14:paraId="2ABC2C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val="en-US" w:eastAsia="zh-CN"/>
        </w:rPr>
        <w:t>18.</w:t>
      </w:r>
      <w:r>
        <w:rPr>
          <w:rFonts w:hint="eastAsia" w:ascii="宋体" w:hAnsi="宋体" w:eastAsia="宋体" w:cs="宋体"/>
          <w:b/>
          <w:bCs/>
          <w:color w:val="auto"/>
          <w:sz w:val="24"/>
          <w:highlight w:val="none"/>
          <w:lang w:val="en-US" w:eastAsia="zh-CN"/>
        </w:rPr>
        <w:t>4</w:t>
      </w:r>
      <w:r>
        <w:rPr>
          <w:rFonts w:hint="eastAsia" w:ascii="宋体" w:hAnsi="宋体" w:eastAsia="宋体" w:cs="宋体"/>
          <w:color w:val="auto"/>
          <w:kern w:val="0"/>
          <w:sz w:val="24"/>
          <w:highlight w:val="none"/>
        </w:rPr>
        <w:t>经数字证书签章签名上传的招标资料或投标资料具有法律效力。招标人（招标代理机构）、潜在投标人应当对其上传资料的真实性、完整性和准确性负责。</w:t>
      </w:r>
    </w:p>
    <w:p w14:paraId="1E1BB913">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18.</w:t>
      </w:r>
      <w:r>
        <w:rPr>
          <w:rFonts w:hint="eastAsia" w:ascii="宋体" w:hAnsi="宋体" w:eastAsia="宋体" w:cs="宋体"/>
          <w:b/>
          <w:bCs/>
          <w:color w:val="auto"/>
          <w:sz w:val="24"/>
          <w:highlight w:val="none"/>
          <w:lang w:val="en-US" w:eastAsia="zh-CN"/>
        </w:rPr>
        <w:t>5</w:t>
      </w:r>
      <w:r>
        <w:rPr>
          <w:rFonts w:hint="eastAsia" w:ascii="宋体" w:hAnsi="宋体" w:eastAsia="宋体" w:cs="宋体"/>
          <w:color w:val="auto"/>
          <w:kern w:val="0"/>
          <w:sz w:val="24"/>
          <w:highlight w:val="none"/>
        </w:rPr>
        <w:t>评标（定标）工作完成后，电子招标投标系统将电子辅助评标（定标）过</w:t>
      </w:r>
      <w:r>
        <w:rPr>
          <w:rFonts w:hint="eastAsia" w:ascii="宋体" w:hAnsi="宋体" w:eastAsia="宋体" w:cs="宋体"/>
          <w:color w:val="auto"/>
          <w:kern w:val="0"/>
          <w:sz w:val="24"/>
          <w:highlight w:val="none"/>
          <w:lang w:eastAsia="zh-CN"/>
        </w:rPr>
        <w:t>程中</w:t>
      </w:r>
      <w:r>
        <w:rPr>
          <w:rFonts w:hint="eastAsia" w:ascii="宋体" w:hAnsi="宋体" w:eastAsia="宋体" w:cs="宋体"/>
          <w:color w:val="auto"/>
          <w:kern w:val="0"/>
          <w:sz w:val="24"/>
          <w:highlight w:val="none"/>
        </w:rPr>
        <w:t>产生的数据和记录自动存档，并进行数据的汇总、统计，供有关部门查询、监督。</w:t>
      </w:r>
    </w:p>
    <w:p w14:paraId="264CB41B">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18.6</w:t>
      </w:r>
      <w:r>
        <w:rPr>
          <w:rFonts w:hint="eastAsia" w:ascii="宋体" w:hAnsi="宋体" w:eastAsia="宋体" w:cs="宋体"/>
          <w:color w:val="auto"/>
          <w:kern w:val="0"/>
          <w:sz w:val="24"/>
          <w:highlight w:val="none"/>
        </w:rPr>
        <w:t>电子辅助评标（定标）的档案，除纪检监察机关、行政监督部门或者司法机关依法进行核查外，其他任何单位或个人不得擅自查阅档案资料。</w:t>
      </w:r>
    </w:p>
    <w:p w14:paraId="56E93A34">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07" w:name="_Toc24844"/>
      <w:bookmarkStart w:id="108" w:name="_Toc21725"/>
      <w:r>
        <w:rPr>
          <w:rFonts w:hint="eastAsia" w:ascii="宋体" w:hAnsi="宋体" w:eastAsia="宋体" w:cs="宋体"/>
          <w:b/>
          <w:snapToGrid w:val="0"/>
          <w:color w:val="auto"/>
          <w:sz w:val="24"/>
          <w:highlight w:val="none"/>
          <w:lang w:val="en-US" w:eastAsia="zh-CN"/>
        </w:rPr>
        <w:t>19.其他</w:t>
      </w:r>
      <w:bookmarkEnd w:id="107"/>
      <w:bookmarkEnd w:id="108"/>
    </w:p>
    <w:p w14:paraId="2769A5BB">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19.1.放弃中标的处理</w:t>
      </w:r>
    </w:p>
    <w:p w14:paraId="45268085">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19.1.1</w:t>
      </w:r>
      <w:r>
        <w:rPr>
          <w:rFonts w:hint="eastAsia" w:ascii="宋体" w:hAnsi="宋体" w:eastAsia="宋体" w:cs="宋体"/>
          <w:color w:val="auto"/>
          <w:kern w:val="0"/>
          <w:sz w:val="24"/>
          <w:highlight w:val="none"/>
          <w:lang w:val="en-US" w:eastAsia="zh-CN"/>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0CCF1CA9">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19.1.2</w:t>
      </w:r>
      <w:r>
        <w:rPr>
          <w:rFonts w:hint="eastAsia" w:ascii="宋体" w:hAnsi="宋体" w:eastAsia="宋体" w:cs="宋体"/>
          <w:color w:val="auto"/>
          <w:kern w:val="0"/>
          <w:sz w:val="24"/>
          <w:highlight w:val="none"/>
          <w:lang w:val="en-US" w:eastAsia="zh-CN"/>
        </w:rPr>
        <w:t>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5550BC16">
      <w:pPr>
        <w:keepNext w:val="0"/>
        <w:keepLines w:val="0"/>
        <w:pageBreakBefore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 xml:space="preserve">19.1.3 </w:t>
      </w:r>
      <w:r>
        <w:rPr>
          <w:rFonts w:hint="eastAsia" w:ascii="宋体" w:hAnsi="宋体" w:eastAsia="宋体" w:cs="宋体"/>
          <w:color w:val="auto"/>
          <w:kern w:val="0"/>
          <w:sz w:val="24"/>
          <w:highlight w:val="none"/>
          <w:lang w:val="en-US" w:eastAsia="zh-CN"/>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75AA3CB6">
      <w:pPr>
        <w:wordWrap w:val="0"/>
        <w:adjustRightInd w:val="0"/>
        <w:snapToGrid w:val="0"/>
        <w:spacing w:line="360" w:lineRule="auto"/>
        <w:ind w:firstLine="562"/>
        <w:rPr>
          <w:rFonts w:hint="eastAsia" w:ascii="宋体" w:hAnsi="宋体" w:eastAsia="宋体" w:cs="宋体"/>
          <w:color w:val="auto"/>
        </w:rPr>
      </w:pPr>
      <w:r>
        <w:rPr>
          <w:rFonts w:hint="eastAsia" w:ascii="宋体" w:hAnsi="宋体" w:eastAsia="宋体" w:cs="宋体"/>
          <w:b/>
          <w:bCs/>
          <w:color w:val="auto"/>
          <w:kern w:val="0"/>
          <w:sz w:val="24"/>
          <w:highlight w:val="none"/>
          <w:lang w:val="en-US" w:eastAsia="zh-CN"/>
        </w:rPr>
        <w:t>19.1.4</w:t>
      </w:r>
      <w:r>
        <w:rPr>
          <w:rFonts w:hint="eastAsia" w:ascii="宋体" w:hAnsi="宋体" w:eastAsia="宋体" w:cs="宋体"/>
          <w:color w:val="auto"/>
          <w:kern w:val="0"/>
          <w:sz w:val="24"/>
          <w:highlight w:val="none"/>
          <w:lang w:val="en-US" w:eastAsia="zh-CN"/>
        </w:rPr>
        <w:t>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09CBAA49">
      <w:pPr>
        <w:rPr>
          <w:rFonts w:hint="eastAsia" w:ascii="宋体" w:hAnsi="宋体" w:eastAsia="宋体" w:cs="宋体"/>
          <w:color w:val="auto"/>
        </w:rPr>
      </w:pPr>
    </w:p>
    <w:p w14:paraId="41100730">
      <w:pPr>
        <w:rPr>
          <w:rFonts w:hint="eastAsia" w:ascii="宋体" w:hAnsi="宋体" w:eastAsia="宋体" w:cs="宋体"/>
          <w:color w:val="auto"/>
        </w:rPr>
      </w:pPr>
    </w:p>
    <w:p w14:paraId="17571A00">
      <w:pPr>
        <w:rPr>
          <w:rFonts w:hint="eastAsia" w:ascii="宋体" w:hAnsi="宋体" w:eastAsia="宋体" w:cs="宋体"/>
          <w:color w:val="auto"/>
        </w:rPr>
      </w:pPr>
    </w:p>
    <w:p w14:paraId="6AB707D8">
      <w:pPr>
        <w:rPr>
          <w:rFonts w:hint="eastAsia" w:ascii="宋体" w:hAnsi="宋体" w:eastAsia="宋体" w:cs="宋体"/>
          <w:color w:val="auto"/>
        </w:rPr>
      </w:pPr>
    </w:p>
    <w:p w14:paraId="15EFF868">
      <w:pPr>
        <w:rPr>
          <w:rFonts w:hint="eastAsia" w:ascii="宋体" w:hAnsi="宋体" w:eastAsia="宋体" w:cs="宋体"/>
          <w:color w:val="auto"/>
        </w:rPr>
      </w:pPr>
    </w:p>
    <w:p w14:paraId="145475FB">
      <w:pPr>
        <w:rPr>
          <w:rFonts w:hint="eastAsia" w:ascii="宋体" w:hAnsi="宋体" w:eastAsia="宋体" w:cs="宋体"/>
          <w:color w:val="auto"/>
        </w:rPr>
      </w:pPr>
    </w:p>
    <w:p w14:paraId="301CF05D">
      <w:pPr>
        <w:rPr>
          <w:rFonts w:hint="eastAsia" w:ascii="宋体" w:hAnsi="宋体" w:eastAsia="宋体" w:cs="宋体"/>
          <w:color w:val="auto"/>
        </w:rPr>
      </w:pPr>
    </w:p>
    <w:p w14:paraId="276D2403">
      <w:pPr>
        <w:rPr>
          <w:rFonts w:hint="eastAsia" w:ascii="宋体" w:hAnsi="宋体" w:eastAsia="宋体" w:cs="宋体"/>
          <w:color w:val="auto"/>
        </w:rPr>
      </w:pPr>
    </w:p>
    <w:p w14:paraId="4E8FBBE5">
      <w:pPr>
        <w:rPr>
          <w:rFonts w:hint="eastAsia" w:ascii="宋体" w:hAnsi="宋体" w:eastAsia="宋体" w:cs="宋体"/>
          <w:color w:val="auto"/>
        </w:rPr>
      </w:pPr>
    </w:p>
    <w:p w14:paraId="5A3DE45E">
      <w:pPr>
        <w:rPr>
          <w:rFonts w:hint="eastAsia" w:ascii="宋体" w:hAnsi="宋体" w:eastAsia="宋体" w:cs="宋体"/>
          <w:color w:val="auto"/>
        </w:rPr>
      </w:pPr>
    </w:p>
    <w:p w14:paraId="6C4D67B4">
      <w:pPr>
        <w:rPr>
          <w:rFonts w:hint="eastAsia" w:ascii="宋体" w:hAnsi="宋体" w:eastAsia="宋体" w:cs="宋体"/>
          <w:color w:val="auto"/>
        </w:rPr>
      </w:pPr>
    </w:p>
    <w:p w14:paraId="55446A4A">
      <w:pPr>
        <w:rPr>
          <w:rFonts w:hint="eastAsia" w:ascii="宋体" w:hAnsi="宋体" w:eastAsia="宋体" w:cs="宋体"/>
          <w:color w:val="auto"/>
        </w:rPr>
      </w:pPr>
    </w:p>
    <w:p w14:paraId="548F3FFF">
      <w:pPr>
        <w:rPr>
          <w:rFonts w:hint="eastAsia" w:ascii="宋体" w:hAnsi="宋体" w:eastAsia="宋体" w:cs="宋体"/>
          <w:color w:val="auto"/>
        </w:rPr>
      </w:pPr>
    </w:p>
    <w:p w14:paraId="1C943DAC">
      <w:pPr>
        <w:rPr>
          <w:rFonts w:hint="eastAsia" w:ascii="宋体" w:hAnsi="宋体" w:eastAsia="宋体" w:cs="宋体"/>
          <w:color w:val="auto"/>
        </w:rPr>
      </w:pPr>
    </w:p>
    <w:p w14:paraId="6C336D5F">
      <w:pPr>
        <w:rPr>
          <w:rFonts w:hint="eastAsia" w:ascii="宋体" w:hAnsi="宋体" w:eastAsia="宋体" w:cs="宋体"/>
          <w:color w:val="auto"/>
        </w:rPr>
      </w:pPr>
    </w:p>
    <w:p w14:paraId="0855CCF5">
      <w:pPr>
        <w:rPr>
          <w:rFonts w:hint="eastAsia" w:ascii="宋体" w:hAnsi="宋体" w:eastAsia="宋体" w:cs="宋体"/>
          <w:color w:val="auto"/>
        </w:rPr>
      </w:pPr>
    </w:p>
    <w:p w14:paraId="5421D381">
      <w:pPr>
        <w:rPr>
          <w:rFonts w:hint="eastAsia" w:ascii="宋体" w:hAnsi="宋体" w:eastAsia="宋体" w:cs="宋体"/>
          <w:color w:val="auto"/>
        </w:rPr>
      </w:pPr>
    </w:p>
    <w:p w14:paraId="566DCA0C">
      <w:pPr>
        <w:rPr>
          <w:rFonts w:hint="eastAsia" w:ascii="宋体" w:hAnsi="宋体" w:eastAsia="宋体" w:cs="宋体"/>
          <w:color w:val="auto"/>
        </w:rPr>
      </w:pPr>
    </w:p>
    <w:p w14:paraId="13A2A88D">
      <w:pPr>
        <w:rPr>
          <w:rFonts w:hint="eastAsia" w:ascii="宋体" w:hAnsi="宋体" w:eastAsia="宋体" w:cs="宋体"/>
          <w:color w:val="auto"/>
        </w:rPr>
      </w:pPr>
    </w:p>
    <w:p w14:paraId="08C26BA4">
      <w:pPr>
        <w:rPr>
          <w:rFonts w:hint="eastAsia" w:ascii="宋体" w:hAnsi="宋体" w:eastAsia="宋体" w:cs="宋体"/>
          <w:color w:val="auto"/>
        </w:rPr>
      </w:pPr>
    </w:p>
    <w:p w14:paraId="7996CCC0">
      <w:pPr>
        <w:pStyle w:val="2"/>
        <w:ind w:left="0" w:leftChars="0" w:firstLine="0" w:firstLineChars="0"/>
        <w:rPr>
          <w:rFonts w:hint="eastAsia" w:ascii="宋体" w:hAnsi="宋体" w:eastAsia="宋体" w:cs="宋体"/>
          <w:color w:val="auto"/>
        </w:rPr>
      </w:pPr>
    </w:p>
    <w:p w14:paraId="1DDB4D20">
      <w:pPr>
        <w:pStyle w:val="5"/>
        <w:wordWrap w:val="0"/>
        <w:autoSpaceDE/>
        <w:autoSpaceDN/>
        <w:snapToGrid w:val="0"/>
        <w:spacing w:after="260" w:line="440" w:lineRule="exact"/>
        <w:jc w:val="both"/>
        <w:rPr>
          <w:rFonts w:hint="eastAsia" w:ascii="宋体" w:hAnsi="宋体" w:eastAsia="宋体" w:cs="宋体"/>
          <w:b/>
          <w:snapToGrid w:val="0"/>
          <w:color w:val="auto"/>
          <w:sz w:val="24"/>
          <w:highlight w:val="none"/>
        </w:rPr>
      </w:pPr>
      <w:bookmarkStart w:id="109" w:name="_Toc4023"/>
      <w:bookmarkStart w:id="110" w:name="_Toc22784"/>
      <w:bookmarkStart w:id="111" w:name="_Toc26755"/>
      <w:r>
        <w:rPr>
          <w:rFonts w:hint="eastAsia" w:ascii="宋体" w:hAnsi="宋体" w:eastAsia="宋体" w:cs="宋体"/>
          <w:b/>
          <w:snapToGrid w:val="0"/>
          <w:color w:val="auto"/>
          <w:sz w:val="24"/>
          <w:highlight w:val="none"/>
          <w:lang w:val="en-US" w:eastAsia="zh-CN"/>
        </w:rPr>
        <w:t xml:space="preserve">第四节   </w:t>
      </w:r>
      <w:r>
        <w:rPr>
          <w:rFonts w:hint="eastAsia" w:ascii="宋体" w:hAnsi="宋体" w:eastAsia="宋体" w:cs="宋体"/>
          <w:b/>
          <w:snapToGrid w:val="0"/>
          <w:color w:val="auto"/>
          <w:sz w:val="24"/>
          <w:highlight w:val="none"/>
        </w:rPr>
        <w:t>评标</w:t>
      </w:r>
      <w:r>
        <w:rPr>
          <w:rFonts w:hint="eastAsia" w:ascii="宋体" w:hAnsi="宋体" w:eastAsia="宋体" w:cs="宋体"/>
          <w:b/>
          <w:snapToGrid w:val="0"/>
          <w:color w:val="auto"/>
          <w:sz w:val="24"/>
          <w:highlight w:val="none"/>
          <w:lang w:eastAsia="zh-CN"/>
        </w:rPr>
        <w:t>定标</w:t>
      </w:r>
      <w:r>
        <w:rPr>
          <w:rFonts w:hint="eastAsia" w:ascii="宋体" w:hAnsi="宋体" w:eastAsia="宋体" w:cs="宋体"/>
          <w:b/>
          <w:snapToGrid w:val="0"/>
          <w:color w:val="auto"/>
          <w:sz w:val="24"/>
          <w:highlight w:val="none"/>
        </w:rPr>
        <w:t>办法</w:t>
      </w:r>
      <w:bookmarkEnd w:id="109"/>
      <w:bookmarkEnd w:id="110"/>
    </w:p>
    <w:p w14:paraId="668A37F5">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12" w:name="_Toc23880"/>
      <w:r>
        <w:rPr>
          <w:rFonts w:hint="eastAsia" w:ascii="宋体" w:hAnsi="宋体" w:eastAsia="宋体" w:cs="宋体"/>
          <w:b/>
          <w:snapToGrid w:val="0"/>
          <w:color w:val="auto"/>
          <w:sz w:val="24"/>
          <w:highlight w:val="none"/>
          <w:lang w:val="en-US" w:eastAsia="zh-CN"/>
        </w:rPr>
        <w:t>一、评标定标原则</w:t>
      </w:r>
      <w:bookmarkEnd w:id="112"/>
    </w:p>
    <w:p w14:paraId="0D2E93B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定标</w:t>
      </w:r>
      <w:r>
        <w:rPr>
          <w:rFonts w:hint="eastAsia" w:ascii="宋体" w:hAnsi="宋体" w:eastAsia="宋体" w:cs="宋体"/>
          <w:color w:val="auto"/>
          <w:sz w:val="24"/>
          <w:szCs w:val="24"/>
          <w:highlight w:val="none"/>
        </w:rPr>
        <w:t>工作应依据《中华人民共和国招标投标法》及广东省、</w:t>
      </w:r>
      <w:r>
        <w:rPr>
          <w:rFonts w:hint="eastAsia" w:ascii="宋体" w:hAnsi="宋体" w:eastAsia="宋体" w:cs="宋体"/>
          <w:color w:val="auto"/>
          <w:sz w:val="24"/>
          <w:szCs w:val="24"/>
          <w:highlight w:val="none"/>
          <w:lang w:val="en-US" w:eastAsia="zh-CN"/>
        </w:rPr>
        <w:t>韶关市</w:t>
      </w:r>
      <w:r>
        <w:rPr>
          <w:rFonts w:hint="eastAsia" w:ascii="宋体" w:hAnsi="宋体" w:eastAsia="宋体" w:cs="宋体"/>
          <w:color w:val="auto"/>
          <w:sz w:val="24"/>
          <w:szCs w:val="24"/>
          <w:highlight w:val="none"/>
        </w:rPr>
        <w:t>有关招标投标法规和规定，</w:t>
      </w:r>
      <w:r>
        <w:rPr>
          <w:rFonts w:hint="eastAsia" w:ascii="宋体" w:hAnsi="宋体" w:eastAsia="宋体" w:cs="宋体"/>
          <w:color w:val="auto"/>
          <w:sz w:val="24"/>
          <w:szCs w:val="24"/>
          <w:highlight w:val="none"/>
          <w:lang w:eastAsia="zh-CN"/>
        </w:rPr>
        <w:t>遵循“公平、公正、科学、择优”的原则</w:t>
      </w:r>
      <w:r>
        <w:rPr>
          <w:rFonts w:hint="eastAsia" w:ascii="宋体" w:hAnsi="宋体" w:eastAsia="宋体" w:cs="宋体"/>
          <w:color w:val="auto"/>
          <w:sz w:val="24"/>
          <w:szCs w:val="24"/>
          <w:highlight w:val="none"/>
        </w:rPr>
        <w:t>进行。</w:t>
      </w:r>
    </w:p>
    <w:p w14:paraId="2467C831">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13" w:name="_Toc17197"/>
      <w:r>
        <w:rPr>
          <w:rFonts w:hint="eastAsia" w:ascii="宋体" w:hAnsi="宋体" w:eastAsia="宋体" w:cs="宋体"/>
          <w:b/>
          <w:snapToGrid w:val="0"/>
          <w:color w:val="auto"/>
          <w:sz w:val="24"/>
          <w:highlight w:val="none"/>
          <w:lang w:val="en-US" w:eastAsia="zh-CN"/>
        </w:rPr>
        <w:t>二、定标规则</w:t>
      </w:r>
      <w:bookmarkEnd w:id="113"/>
    </w:p>
    <w:p w14:paraId="23798EDA">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标委员会应当根据招标文件规定的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w:t>
      </w:r>
      <w:r>
        <w:rPr>
          <w:rFonts w:hint="eastAsia" w:ascii="宋体" w:hAnsi="宋体" w:eastAsia="宋体" w:cs="宋体"/>
          <w:b w:val="0"/>
          <w:i w:val="0"/>
          <w:snapToGrid/>
          <w:color w:val="auto"/>
          <w:sz w:val="24"/>
          <w:szCs w:val="24"/>
          <w:highlight w:val="none"/>
          <w:u w:val="none"/>
          <w:shd w:val="clear" w:color="auto" w:fill="FFFFFF"/>
          <w:lang w:eastAsia="zh-CN"/>
        </w:rPr>
        <w:t>对定标候选人</w:t>
      </w:r>
      <w:r>
        <w:rPr>
          <w:rFonts w:hint="eastAsia" w:ascii="宋体" w:hAnsi="宋体" w:eastAsia="宋体" w:cs="宋体"/>
          <w:color w:val="auto"/>
          <w:sz w:val="24"/>
          <w:szCs w:val="24"/>
          <w:highlight w:val="none"/>
        </w:rPr>
        <w:t>进行系统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评审和比较。招标文件中没有规定的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不得作为</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标的依据。</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独立完成对</w:t>
      </w:r>
      <w:r>
        <w:rPr>
          <w:rFonts w:hint="eastAsia" w:ascii="宋体" w:hAnsi="宋体" w:eastAsia="宋体" w:cs="宋体"/>
          <w:b w:val="0"/>
          <w:i w:val="0"/>
          <w:snapToGrid/>
          <w:color w:val="auto"/>
          <w:sz w:val="24"/>
          <w:szCs w:val="24"/>
          <w:highlight w:val="none"/>
          <w:u w:val="none"/>
          <w:shd w:val="clear" w:color="auto" w:fill="FFFFFF"/>
          <w:lang w:eastAsia="zh-CN"/>
        </w:rPr>
        <w:t>定标候选人</w:t>
      </w:r>
      <w:r>
        <w:rPr>
          <w:rFonts w:hint="eastAsia" w:ascii="宋体" w:hAnsi="宋体" w:eastAsia="宋体" w:cs="宋体"/>
          <w:color w:val="auto"/>
          <w:sz w:val="24"/>
          <w:szCs w:val="24"/>
          <w:highlight w:val="none"/>
        </w:rPr>
        <w:t>的评审，并对</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标结果签字确认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标委员会应依照招标文件规定的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w:t>
      </w:r>
      <w:r>
        <w:rPr>
          <w:rFonts w:hint="eastAsia" w:ascii="宋体" w:hAnsi="宋体" w:eastAsia="宋体" w:cs="宋体"/>
          <w:color w:val="auto"/>
          <w:sz w:val="24"/>
          <w:szCs w:val="24"/>
          <w:highlight w:val="none"/>
          <w:lang w:val="en-US" w:eastAsia="zh-CN"/>
        </w:rPr>
        <w:t>方法和细则，</w:t>
      </w:r>
      <w:r>
        <w:rPr>
          <w:rFonts w:hint="eastAsia" w:ascii="宋体" w:hAnsi="宋体" w:eastAsia="宋体" w:cs="宋体"/>
          <w:color w:val="auto"/>
          <w:sz w:val="24"/>
          <w:szCs w:val="24"/>
          <w:highlight w:val="none"/>
        </w:rPr>
        <w:t>对各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标委员会成员的</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标结果进行汇总。</w:t>
      </w:r>
    </w:p>
    <w:bookmarkEnd w:id="111"/>
    <w:p w14:paraId="0AC95F62">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14" w:name="_Toc2791"/>
      <w:r>
        <w:rPr>
          <w:rFonts w:hint="eastAsia" w:ascii="宋体" w:hAnsi="宋体" w:eastAsia="宋体" w:cs="宋体"/>
          <w:b/>
          <w:snapToGrid w:val="0"/>
          <w:color w:val="auto"/>
          <w:sz w:val="24"/>
          <w:highlight w:val="none"/>
          <w:lang w:val="en-US" w:eastAsia="zh-CN"/>
        </w:rPr>
        <w:t>三、评标细则</w:t>
      </w:r>
      <w:bookmarkEnd w:id="114"/>
    </w:p>
    <w:p w14:paraId="528F8A3F">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根据有关法律、法规的相关规定，结合本招标项目资金来源和规模特点，本次招标采用</w:t>
      </w:r>
      <w:r>
        <w:rPr>
          <w:rFonts w:hint="eastAsia" w:ascii="宋体" w:hAnsi="宋体" w:eastAsia="宋体" w:cs="宋体"/>
          <w:b/>
          <w:bCs/>
          <w:snapToGrid w:val="0"/>
          <w:color w:val="auto"/>
          <w:kern w:val="0"/>
          <w:sz w:val="24"/>
          <w:highlight w:val="none"/>
          <w:u w:val="single"/>
        </w:rPr>
        <w:t>综合评</w:t>
      </w:r>
      <w:r>
        <w:rPr>
          <w:rFonts w:hint="eastAsia" w:ascii="宋体" w:hAnsi="宋体" w:eastAsia="宋体" w:cs="宋体"/>
          <w:b/>
          <w:bCs/>
          <w:snapToGrid w:val="0"/>
          <w:color w:val="auto"/>
          <w:kern w:val="0"/>
          <w:sz w:val="24"/>
          <w:highlight w:val="none"/>
          <w:u w:val="single"/>
          <w:lang w:val="en-US" w:eastAsia="zh-CN"/>
        </w:rPr>
        <w:t>分</w:t>
      </w:r>
      <w:r>
        <w:rPr>
          <w:rFonts w:hint="eastAsia" w:ascii="宋体" w:hAnsi="宋体" w:eastAsia="宋体" w:cs="宋体"/>
          <w:b/>
          <w:bCs/>
          <w:snapToGrid w:val="0"/>
          <w:color w:val="auto"/>
          <w:kern w:val="0"/>
          <w:sz w:val="24"/>
          <w:highlight w:val="none"/>
          <w:u w:val="single"/>
        </w:rPr>
        <w:t>法</w:t>
      </w:r>
      <w:r>
        <w:rPr>
          <w:rFonts w:hint="eastAsia" w:ascii="宋体" w:hAnsi="宋体" w:eastAsia="宋体" w:cs="宋体"/>
          <w:snapToGrid w:val="0"/>
          <w:color w:val="auto"/>
          <w:kern w:val="0"/>
          <w:sz w:val="24"/>
          <w:highlight w:val="none"/>
        </w:rPr>
        <w:t>进行评标。</w:t>
      </w:r>
    </w:p>
    <w:p w14:paraId="43D7B729">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outlineLvl w:val="9"/>
        <w:rPr>
          <w:rFonts w:hint="eastAsia" w:ascii="宋体" w:hAnsi="宋体" w:eastAsia="宋体" w:cs="宋体"/>
          <w:b/>
          <w:bCs/>
          <w:color w:val="auto"/>
          <w:sz w:val="24"/>
          <w:szCs w:val="24"/>
          <w:highlight w:val="none"/>
          <w:lang w:eastAsia="zh-CN"/>
        </w:rPr>
      </w:pPr>
      <w:bookmarkStart w:id="115" w:name="_Toc15501"/>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 评审范围</w:t>
      </w:r>
      <w:bookmarkEnd w:id="115"/>
    </w:p>
    <w:p w14:paraId="25E85701">
      <w:pPr>
        <w:wordWrap w:val="0"/>
        <w:adjustRightInd w:val="0"/>
        <w:snapToGrid w:val="0"/>
        <w:spacing w:line="360" w:lineRule="auto"/>
        <w:ind w:firstLine="480"/>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评标委员会应对所有投标人的投标文件进行评审。</w:t>
      </w:r>
    </w:p>
    <w:p w14:paraId="6929C16C">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outlineLvl w:val="9"/>
        <w:rPr>
          <w:rFonts w:hint="eastAsia" w:ascii="宋体" w:hAnsi="宋体" w:eastAsia="宋体" w:cs="宋体"/>
          <w:b/>
          <w:bCs/>
          <w:color w:val="auto"/>
          <w:sz w:val="24"/>
          <w:szCs w:val="24"/>
          <w:highlight w:val="none"/>
        </w:rPr>
      </w:pPr>
      <w:bookmarkStart w:id="116" w:name="_Toc20456"/>
      <w:bookmarkStart w:id="117" w:name="_Toc17846"/>
      <w:bookmarkStart w:id="118" w:name="_Toc27584"/>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初步评审阶段</w:t>
      </w:r>
      <w:bookmarkEnd w:id="116"/>
      <w:bookmarkEnd w:id="117"/>
    </w:p>
    <w:bookmarkEnd w:id="118"/>
    <w:p w14:paraId="39CA32A5">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初步评审阶段分为资格评审、形式评审和响应性评审三个环节。</w:t>
      </w:r>
    </w:p>
    <w:p w14:paraId="251B825D">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初步评审阶段各个环节否决投标的全部条件，在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本章 </w:t>
      </w:r>
      <w:r>
        <w:rPr>
          <w:rFonts w:hint="eastAsia" w:ascii="宋体" w:hAnsi="宋体" w:eastAsia="宋体" w:cs="宋体"/>
          <w:bCs/>
          <w:color w:val="auto"/>
          <w:sz w:val="24"/>
          <w:szCs w:val="24"/>
          <w:highlight w:val="none"/>
        </w:rPr>
        <w:t>第五节 否决投标条件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r>
        <w:rPr>
          <w:rFonts w:hint="eastAsia" w:ascii="宋体" w:hAnsi="宋体" w:eastAsia="宋体" w:cs="宋体"/>
          <w:color w:val="auto"/>
          <w:sz w:val="24"/>
          <w:szCs w:val="24"/>
          <w:highlight w:val="none"/>
          <w:lang w:eastAsia="zh-CN"/>
        </w:rPr>
        <w:t>。</w:t>
      </w:r>
    </w:p>
    <w:p w14:paraId="1E982446">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资格评审环节</w:t>
      </w:r>
    </w:p>
    <w:p w14:paraId="41B0D516">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资格评审事项包括：</w:t>
      </w:r>
    </w:p>
    <w:p w14:paraId="5636E020">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（1）投标人是否符合本章第三节</w:t>
      </w:r>
      <w:r>
        <w:rPr>
          <w:rFonts w:hint="eastAsia" w:ascii="宋体" w:hAnsi="宋体" w:eastAsia="宋体" w:cs="宋体"/>
          <w:b/>
          <w:bCs/>
          <w:snapToGrid w:val="0"/>
          <w:color w:val="auto"/>
          <w:kern w:val="0"/>
          <w:sz w:val="24"/>
          <w:szCs w:val="24"/>
          <w:highlight w:val="none"/>
        </w:rPr>
        <w:t>第2.4条</w:t>
      </w:r>
      <w:r>
        <w:rPr>
          <w:rFonts w:hint="eastAsia" w:ascii="宋体" w:hAnsi="宋体" w:eastAsia="宋体" w:cs="宋体"/>
          <w:snapToGrid w:val="0"/>
          <w:color w:val="auto"/>
          <w:kern w:val="0"/>
          <w:sz w:val="24"/>
          <w:szCs w:val="24"/>
          <w:highlight w:val="none"/>
        </w:rPr>
        <w:t>“禁止投标条款”规定。</w:t>
      </w:r>
    </w:p>
    <w:p w14:paraId="558F825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（2）投标人名称是否与营业执照、资质证书一致。</w:t>
      </w:r>
    </w:p>
    <w:p w14:paraId="5DB473EF">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（3）投标人的资质是否符合招标文件规定；其营业执照、资质证书是否合法、有效、准确。</w:t>
      </w:r>
    </w:p>
    <w:p w14:paraId="6FFE8554">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color w:val="auto"/>
          <w:sz w:val="24"/>
          <w:szCs w:val="24"/>
          <w:highlight w:val="none"/>
          <w:lang w:eastAsia="zh-CN"/>
        </w:rPr>
        <w:t>设计负责人简历表</w:t>
      </w:r>
      <w:r>
        <w:rPr>
          <w:rFonts w:hint="eastAsia" w:ascii="宋体" w:hAnsi="宋体" w:eastAsia="宋体" w:cs="宋体"/>
          <w:snapToGrid w:val="0"/>
          <w:color w:val="auto"/>
          <w:kern w:val="0"/>
          <w:sz w:val="24"/>
          <w:szCs w:val="24"/>
          <w:highlight w:val="none"/>
        </w:rPr>
        <w:t>》中</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是否与《开标一览表》一致。</w:t>
      </w:r>
    </w:p>
    <w:p w14:paraId="4E5DB2E5">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的条件是否符合招标文件规定；</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的各类证书、证件、证明是否合法、有效、准确。</w:t>
      </w:r>
    </w:p>
    <w:p w14:paraId="162F1CA8">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（6）投标人为外省建筑企业的，是否按规定在“进粤企业和人员诚信信息登记平台”录入企业及其拟派人员有关信息并通过数据规范检查。</w:t>
      </w:r>
    </w:p>
    <w:p w14:paraId="5805B319">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rPr>
        <w:t>形式评审环节</w:t>
      </w:r>
    </w:p>
    <w:p w14:paraId="30DE2EF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形式评审事项包括：</w:t>
      </w:r>
    </w:p>
    <w:p w14:paraId="7685F688">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（1）各分册是否按招标文件规定加盖电子印章。</w:t>
      </w:r>
    </w:p>
    <w:p w14:paraId="33798DB3">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（2）本节第10.2.2目、第10.3.2目中规定的“所有投标人均应提供”的组成内容（包括该组成内容的所附资料）是否完整、齐全。</w:t>
      </w:r>
    </w:p>
    <w:p w14:paraId="33933700">
      <w:pPr>
        <w:wordWrap w:val="0"/>
        <w:adjustRightInd w:val="0"/>
        <w:snapToGrid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b/>
          <w:bCs/>
          <w:snapToGrid w:val="0"/>
          <w:color w:val="auto"/>
          <w:kern w:val="0"/>
          <w:sz w:val="24"/>
          <w:highlight w:val="none"/>
          <w:lang w:val="en-US" w:eastAsia="zh-CN"/>
        </w:rPr>
        <w:t>3.</w:t>
      </w:r>
      <w:r>
        <w:rPr>
          <w:rFonts w:hint="eastAsia" w:ascii="宋体" w:hAnsi="宋体" w:eastAsia="宋体" w:cs="宋体"/>
          <w:snapToGrid w:val="0"/>
          <w:color w:val="auto"/>
          <w:kern w:val="0"/>
          <w:sz w:val="24"/>
          <w:highlight w:val="none"/>
        </w:rPr>
        <w:t xml:space="preserve"> 响应性评审环节</w:t>
      </w:r>
    </w:p>
    <w:p w14:paraId="3C1847A8">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响应性评审事项包括：</w:t>
      </w:r>
    </w:p>
    <w:p w14:paraId="580DF069">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（1）投标有效期、质量标准、工期等是否响应招标文件实质性要求；是否擅自修改、遗漏《投标函》《各项承诺一览表》的实质性内容。</w:t>
      </w:r>
    </w:p>
    <w:p w14:paraId="72728BCD">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（2）投标总价是否唯一；投标总价是否超出最高投标限价。</w:t>
      </w:r>
    </w:p>
    <w:p w14:paraId="26F3E346">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rPr>
        <w:t>否决投标说明</w:t>
      </w:r>
    </w:p>
    <w:p w14:paraId="5E570D1E">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初步评审阶段各个环节否决投标的全部条件，在本章第</w:t>
      </w:r>
      <w:r>
        <w:rPr>
          <w:rFonts w:hint="eastAsia" w:ascii="宋体" w:hAnsi="宋体" w:eastAsia="宋体" w:cs="宋体"/>
          <w:snapToGrid w:val="0"/>
          <w:color w:val="auto"/>
          <w:kern w:val="0"/>
          <w:sz w:val="24"/>
          <w:highlight w:val="none"/>
          <w:lang w:val="en-US" w:eastAsia="zh-CN"/>
        </w:rPr>
        <w:t>五</w:t>
      </w:r>
      <w:r>
        <w:rPr>
          <w:rFonts w:hint="eastAsia" w:ascii="宋体" w:hAnsi="宋体" w:eastAsia="宋体" w:cs="宋体"/>
          <w:snapToGrid w:val="0"/>
          <w:color w:val="auto"/>
          <w:kern w:val="0"/>
          <w:sz w:val="24"/>
          <w:highlight w:val="none"/>
        </w:rPr>
        <w:t>节“否决投标条件”第</w:t>
      </w:r>
      <w:r>
        <w:rPr>
          <w:rFonts w:hint="eastAsia" w:ascii="宋体" w:hAnsi="宋体" w:eastAsia="宋体" w:cs="宋体"/>
          <w:b/>
          <w:bCs/>
          <w:snapToGrid w:val="0"/>
          <w:color w:val="auto"/>
          <w:kern w:val="0"/>
          <w:sz w:val="24"/>
          <w:highlight w:val="none"/>
        </w:rPr>
        <w:t>1</w:t>
      </w:r>
      <w:r>
        <w:rPr>
          <w:rFonts w:hint="eastAsia" w:ascii="宋体" w:hAnsi="宋体" w:eastAsia="宋体" w:cs="宋体"/>
          <w:snapToGrid w:val="0"/>
          <w:color w:val="auto"/>
          <w:kern w:val="0"/>
          <w:sz w:val="24"/>
          <w:highlight w:val="none"/>
        </w:rPr>
        <w:t>条至第</w:t>
      </w:r>
      <w:r>
        <w:rPr>
          <w:rFonts w:hint="eastAsia" w:ascii="宋体" w:hAnsi="宋体" w:eastAsia="宋体" w:cs="宋体"/>
          <w:b/>
          <w:bCs/>
          <w:snapToGrid w:val="0"/>
          <w:color w:val="auto"/>
          <w:kern w:val="0"/>
          <w:sz w:val="24"/>
          <w:highlight w:val="none"/>
        </w:rPr>
        <w:t>4</w:t>
      </w:r>
      <w:r>
        <w:rPr>
          <w:rFonts w:hint="eastAsia" w:ascii="宋体" w:hAnsi="宋体" w:eastAsia="宋体" w:cs="宋体"/>
          <w:snapToGrid w:val="0"/>
          <w:color w:val="auto"/>
          <w:kern w:val="0"/>
          <w:sz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7FDDBDA1">
      <w:pPr>
        <w:wordWrap w:val="0"/>
        <w:adjustRightInd w:val="0"/>
        <w:snapToGrid w:val="0"/>
        <w:spacing w:line="360" w:lineRule="auto"/>
        <w:ind w:firstLine="562"/>
        <w:outlineLvl w:val="9"/>
        <w:rPr>
          <w:rFonts w:hint="eastAsia" w:ascii="宋体" w:hAnsi="宋体" w:eastAsia="宋体" w:cs="宋体"/>
          <w:b/>
          <w:bCs/>
          <w:snapToGrid w:val="0"/>
          <w:color w:val="auto"/>
          <w:kern w:val="0"/>
          <w:sz w:val="24"/>
          <w:highlight w:val="none"/>
          <w:lang w:val="en-US" w:eastAsia="zh-CN"/>
        </w:rPr>
      </w:pPr>
      <w:bookmarkStart w:id="119" w:name="_Toc13281"/>
      <w:r>
        <w:rPr>
          <w:rFonts w:hint="eastAsia" w:ascii="宋体" w:hAnsi="宋体" w:eastAsia="宋体" w:cs="宋体"/>
          <w:b/>
          <w:bCs/>
          <w:snapToGrid w:val="0"/>
          <w:color w:val="auto"/>
          <w:kern w:val="0"/>
          <w:sz w:val="24"/>
          <w:highlight w:val="none"/>
          <w:lang w:val="en-US" w:eastAsia="zh-CN"/>
        </w:rPr>
        <w:t xml:space="preserve">5. </w:t>
      </w:r>
      <w:r>
        <w:rPr>
          <w:rFonts w:hint="eastAsia" w:ascii="宋体" w:hAnsi="宋体" w:eastAsia="宋体" w:cs="宋体"/>
          <w:b w:val="0"/>
          <w:bCs w:val="0"/>
          <w:snapToGrid w:val="0"/>
          <w:color w:val="auto"/>
          <w:kern w:val="0"/>
          <w:sz w:val="24"/>
          <w:highlight w:val="none"/>
          <w:lang w:val="en-US" w:eastAsia="zh-CN"/>
        </w:rPr>
        <w:t>详细评审</w:t>
      </w:r>
      <w:bookmarkStart w:id="120" w:name="_Hlt121629839"/>
      <w:r>
        <w:rPr>
          <w:rFonts w:hint="eastAsia" w:ascii="宋体" w:hAnsi="宋体" w:eastAsia="宋体" w:cs="宋体"/>
          <w:b w:val="0"/>
          <w:bCs w:val="0"/>
          <w:snapToGrid w:val="0"/>
          <w:color w:val="auto"/>
          <w:kern w:val="0"/>
          <w:sz w:val="24"/>
          <w:highlight w:val="none"/>
          <w:lang w:val="en-US" w:eastAsia="zh-CN"/>
        </w:rPr>
        <w:t>阶段</w:t>
      </w:r>
      <w:bookmarkEnd w:id="119"/>
    </w:p>
    <w:p w14:paraId="0AC3EDCC">
      <w:pPr>
        <w:wordWrap w:val="0"/>
        <w:adjustRightInd w:val="0"/>
        <w:snapToGrid w:val="0"/>
        <w:spacing w:line="360" w:lineRule="auto"/>
        <w:outlineLvl w:val="9"/>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    </w:t>
      </w:r>
      <w:r>
        <w:rPr>
          <w:rFonts w:hint="eastAsia" w:ascii="宋体" w:hAnsi="宋体" w:eastAsia="宋体" w:cs="宋体"/>
          <w:b/>
          <w:bCs/>
          <w:snapToGrid w:val="0"/>
          <w:color w:val="auto"/>
          <w:kern w:val="0"/>
          <w:sz w:val="24"/>
          <w:highlight w:val="none"/>
          <w:lang w:val="en-US" w:eastAsia="zh-CN"/>
        </w:rPr>
        <w:t>5.</w:t>
      </w:r>
      <w:r>
        <w:rPr>
          <w:rFonts w:hint="eastAsia" w:ascii="宋体" w:hAnsi="宋体" w:eastAsia="宋体" w:cs="宋体"/>
          <w:b/>
          <w:bCs/>
          <w:snapToGrid w:val="0"/>
          <w:color w:val="auto"/>
          <w:kern w:val="0"/>
          <w:sz w:val="24"/>
          <w:highlight w:val="none"/>
        </w:rPr>
        <w:t>1</w:t>
      </w:r>
      <w:r>
        <w:rPr>
          <w:rFonts w:hint="eastAsia" w:ascii="宋体" w:hAnsi="宋体" w:eastAsia="宋体" w:cs="宋体"/>
          <w:bCs/>
          <w:snapToGrid w:val="0"/>
          <w:color w:val="auto"/>
          <w:kern w:val="0"/>
          <w:sz w:val="24"/>
          <w:highlight w:val="none"/>
        </w:rPr>
        <w:t xml:space="preserve"> “综合评</w:t>
      </w:r>
      <w:r>
        <w:rPr>
          <w:rFonts w:hint="eastAsia" w:ascii="宋体" w:hAnsi="宋体" w:eastAsia="宋体" w:cs="宋体"/>
          <w:bCs/>
          <w:snapToGrid w:val="0"/>
          <w:color w:val="auto"/>
          <w:kern w:val="0"/>
          <w:sz w:val="24"/>
          <w:highlight w:val="none"/>
          <w:lang w:val="en-US" w:eastAsia="zh-CN"/>
        </w:rPr>
        <w:t>分</w:t>
      </w:r>
      <w:r>
        <w:rPr>
          <w:rFonts w:hint="eastAsia" w:ascii="宋体" w:hAnsi="宋体" w:eastAsia="宋体" w:cs="宋体"/>
          <w:bCs/>
          <w:snapToGrid w:val="0"/>
          <w:color w:val="auto"/>
          <w:kern w:val="0"/>
          <w:sz w:val="24"/>
          <w:highlight w:val="none"/>
        </w:rPr>
        <w:t>法”评审程序</w:t>
      </w:r>
    </w:p>
    <w:p w14:paraId="6234A69B">
      <w:pPr>
        <w:wordWrap w:val="0"/>
        <w:adjustRightInd w:val="0"/>
        <w:spacing w:line="360" w:lineRule="auto"/>
        <w:ind w:firstLine="480" w:firstLineChars="20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评审内容分为商务、技术和投标报价三大部分，综合得分满分为100分。其中，商务部分满分为</w:t>
      </w:r>
      <w:r>
        <w:rPr>
          <w:rFonts w:hint="eastAsia" w:ascii="宋体" w:hAnsi="宋体" w:eastAsia="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分，技术部分满分为</w:t>
      </w:r>
      <w:r>
        <w:rPr>
          <w:rFonts w:hint="eastAsia" w:ascii="宋体" w:hAnsi="宋体" w:eastAsia="宋体" w:cs="宋体"/>
          <w:snapToGrid w:val="0"/>
          <w:color w:val="auto"/>
          <w:kern w:val="0"/>
          <w:sz w:val="24"/>
          <w:szCs w:val="24"/>
          <w:highlight w:val="none"/>
          <w:u w:val="single"/>
          <w:lang w:val="en-US" w:eastAsia="zh-CN"/>
        </w:rPr>
        <w:t>50</w:t>
      </w:r>
      <w:r>
        <w:rPr>
          <w:rFonts w:hint="eastAsia" w:ascii="宋体" w:hAnsi="宋体" w:eastAsia="宋体" w:cs="宋体"/>
          <w:snapToGrid w:val="0"/>
          <w:color w:val="auto"/>
          <w:kern w:val="0"/>
          <w:sz w:val="24"/>
          <w:szCs w:val="24"/>
          <w:highlight w:val="none"/>
        </w:rPr>
        <w:t>分，投标报价部分满分为</w:t>
      </w:r>
      <w:r>
        <w:rPr>
          <w:rFonts w:hint="eastAsia" w:ascii="宋体" w:hAnsi="宋体" w:eastAsia="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分。</w:t>
      </w:r>
    </w:p>
    <w:p w14:paraId="77600036">
      <w:pPr>
        <w:wordWrap w:val="0"/>
        <w:adjustRightInd w:val="0"/>
        <w:snapToGrid w:val="0"/>
        <w:spacing w:line="360" w:lineRule="auto"/>
        <w:ind w:firstLine="480"/>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除特别注明外，综合得分以及商务得分、技术得分、投标报价得分的中间过程计算值和最终值，均按“四舍五入”原则精确到两位小数。</w:t>
      </w:r>
    </w:p>
    <w:p w14:paraId="343D25A0">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（1）商务得分M</w:t>
      </w:r>
      <w:r>
        <w:rPr>
          <w:rFonts w:hint="eastAsia" w:ascii="宋体" w:hAnsi="宋体" w:eastAsia="宋体" w:cs="宋体"/>
          <w:snapToGrid w:val="0"/>
          <w:color w:val="auto"/>
          <w:kern w:val="0"/>
          <w:sz w:val="24"/>
          <w:highlight w:val="none"/>
          <w:vertAlign w:val="subscript"/>
        </w:rPr>
        <w:t>1</w:t>
      </w:r>
    </w:p>
    <w:p w14:paraId="68CE0FD5">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snapToGrid w:val="0"/>
          <w:color w:val="auto"/>
          <w:kern w:val="0"/>
          <w:sz w:val="24"/>
          <w:highlight w:val="none"/>
        </w:rPr>
        <w:t>。</w:t>
      </w:r>
    </w:p>
    <w:p w14:paraId="357599CF">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（2）技术得分M</w:t>
      </w:r>
      <w:r>
        <w:rPr>
          <w:rFonts w:hint="eastAsia" w:ascii="宋体" w:hAnsi="宋体" w:eastAsia="宋体" w:cs="宋体"/>
          <w:snapToGrid w:val="0"/>
          <w:color w:val="auto"/>
          <w:kern w:val="0"/>
          <w:sz w:val="24"/>
          <w:highlight w:val="none"/>
          <w:vertAlign w:val="subscript"/>
        </w:rPr>
        <w:t>2</w:t>
      </w:r>
    </w:p>
    <w:p w14:paraId="03BA6919">
      <w:pPr>
        <w:wordWrap w:val="0"/>
        <w:adjustRightInd w:val="0"/>
        <w:snapToGrid w:val="0"/>
        <w:spacing w:line="360" w:lineRule="auto"/>
        <w:ind w:firstLine="480" w:firstLineChars="200"/>
        <w:outlineLvl w:val="9"/>
        <w:rPr>
          <w:rFonts w:hint="eastAsia" w:ascii="宋体" w:hAnsi="宋体" w:eastAsia="宋体" w:cs="宋体"/>
          <w:snapToGrid w:val="0"/>
          <w:color w:val="auto"/>
          <w:kern w:val="0"/>
          <w:sz w:val="24"/>
          <w:highlight w:val="none"/>
        </w:rPr>
      </w:pPr>
      <w:r>
        <w:rPr>
          <w:rFonts w:hint="eastAsia" w:ascii="宋体" w:hAnsi="宋体" w:eastAsia="宋体" w:cs="宋体"/>
          <w:color w:val="auto"/>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snapToGrid w:val="0"/>
          <w:color w:val="auto"/>
          <w:kern w:val="0"/>
          <w:sz w:val="24"/>
          <w:highlight w:val="none"/>
        </w:rPr>
        <w:t>。</w:t>
      </w:r>
    </w:p>
    <w:p w14:paraId="04C6B8E9">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（3）投标报价得分M</w:t>
      </w:r>
      <w:r>
        <w:rPr>
          <w:rFonts w:hint="eastAsia" w:ascii="宋体" w:hAnsi="宋体" w:eastAsia="宋体" w:cs="宋体"/>
          <w:snapToGrid w:val="0"/>
          <w:color w:val="auto"/>
          <w:kern w:val="0"/>
          <w:sz w:val="24"/>
          <w:highlight w:val="none"/>
          <w:vertAlign w:val="subscript"/>
        </w:rPr>
        <w:t>3</w:t>
      </w:r>
    </w:p>
    <w:p w14:paraId="66CBE2B0">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eastAsia="zh-CN"/>
        </w:rPr>
        <w:t>a.</w:t>
      </w:r>
      <w:r>
        <w:rPr>
          <w:rFonts w:hint="eastAsia" w:ascii="宋体" w:hAnsi="宋体" w:eastAsia="宋体" w:cs="宋体"/>
          <w:snapToGrid w:val="0"/>
          <w:color w:val="auto"/>
          <w:kern w:val="0"/>
          <w:sz w:val="24"/>
          <w:highlight w:val="none"/>
        </w:rPr>
        <w:t>评标委员会按照《综合评分表》投标报价部分指定的方法计算评标基准价D。</w:t>
      </w:r>
    </w:p>
    <w:p w14:paraId="263201BF">
      <w:pPr>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eastAsia="zh-CN"/>
        </w:rPr>
        <w:t>b.</w:t>
      </w:r>
      <w:r>
        <w:rPr>
          <w:rFonts w:hint="eastAsia" w:ascii="宋体" w:hAnsi="宋体" w:eastAsia="宋体" w:cs="宋体"/>
          <w:snapToGrid w:val="0"/>
          <w:color w:val="auto"/>
          <w:kern w:val="0"/>
          <w:sz w:val="24"/>
          <w:highlight w:val="none"/>
        </w:rPr>
        <w:t>采用内插法计算某投标人的投标报价得分M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，即当投标人的投标总价等于评标基准价时得</w:t>
      </w:r>
      <w:r>
        <w:rPr>
          <w:rFonts w:hint="eastAsia" w:ascii="宋体" w:hAnsi="宋体" w:eastAsia="宋体" w:cs="宋体"/>
          <w:snapToGrid w:val="0"/>
          <w:color w:val="auto"/>
          <w:kern w:val="0"/>
          <w:sz w:val="24"/>
          <w:highlight w:val="none"/>
          <w:lang w:val="en-US" w:eastAsia="zh-CN"/>
        </w:rPr>
        <w:t>20</w:t>
      </w:r>
      <w:r>
        <w:rPr>
          <w:rFonts w:hint="eastAsia" w:ascii="宋体" w:hAnsi="宋体" w:eastAsia="宋体" w:cs="宋体"/>
          <w:snapToGrid w:val="0"/>
          <w:color w:val="auto"/>
          <w:kern w:val="0"/>
          <w:sz w:val="24"/>
          <w:highlight w:val="none"/>
        </w:rPr>
        <w:t>分，每高于评标基准价一个百分点扣</w:t>
      </w: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分，每低于评标基准价一个百分点扣</w:t>
      </w:r>
      <w:r>
        <w:rPr>
          <w:rFonts w:hint="eastAsia" w:ascii="宋体" w:hAnsi="宋体" w:eastAsia="宋体" w:cs="宋体"/>
          <w:snapToGrid w:val="0"/>
          <w:color w:val="auto"/>
          <w:kern w:val="0"/>
          <w:sz w:val="24"/>
          <w:highlight w:val="none"/>
          <w:lang w:val="en-US" w:eastAsia="zh-CN"/>
        </w:rPr>
        <w:t>0.5</w:t>
      </w:r>
      <w:r>
        <w:rPr>
          <w:rFonts w:hint="eastAsia" w:ascii="宋体" w:hAnsi="宋体" w:eastAsia="宋体" w:cs="宋体"/>
          <w:snapToGrid w:val="0"/>
          <w:color w:val="auto"/>
          <w:kern w:val="0"/>
          <w:sz w:val="24"/>
          <w:highlight w:val="none"/>
        </w:rPr>
        <w:t>分，扣完为止。公式如下：</w:t>
      </w:r>
    </w:p>
    <w:p w14:paraId="3F1744AC">
      <w:pPr>
        <w:wordWrap w:val="0"/>
        <w:adjustRightInd w:val="0"/>
        <w:snapToGrid w:val="0"/>
        <w:spacing w:line="360" w:lineRule="auto"/>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en-US" w:eastAsia="zh-CN"/>
        </w:rPr>
        <w:t>20</w:t>
      </w:r>
      <w:r>
        <w:rPr>
          <w:rFonts w:hint="eastAsia" w:ascii="宋体" w:hAnsi="宋体" w:eastAsia="宋体" w:cs="宋体"/>
          <w:snapToGrid w:val="0"/>
          <w:color w:val="auto"/>
          <w:kern w:val="0"/>
          <w:sz w:val="24"/>
          <w:highlight w:val="none"/>
        </w:rPr>
        <w:t>－（| Di－D | ÷D）×100×E</w:t>
      </w:r>
    </w:p>
    <w:p w14:paraId="568076E6">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式中：D为评标基准价；Di为某投标人的投标总价；E为扣分因子，当Di＞D时，E＝</w:t>
      </w: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；当Di＜D时，E＝</w:t>
      </w:r>
      <w:r>
        <w:rPr>
          <w:rFonts w:hint="eastAsia" w:ascii="宋体" w:hAnsi="宋体" w:eastAsia="宋体" w:cs="宋体"/>
          <w:snapToGrid w:val="0"/>
          <w:color w:val="auto"/>
          <w:kern w:val="0"/>
          <w:sz w:val="24"/>
          <w:highlight w:val="none"/>
          <w:lang w:val="en-US" w:eastAsia="zh-CN"/>
        </w:rPr>
        <w:t>0.5</w:t>
      </w:r>
      <w:r>
        <w:rPr>
          <w:rFonts w:hint="eastAsia" w:ascii="宋体" w:hAnsi="宋体" w:eastAsia="宋体" w:cs="宋体"/>
          <w:snapToGrid w:val="0"/>
          <w:color w:val="auto"/>
          <w:kern w:val="0"/>
          <w:sz w:val="24"/>
          <w:highlight w:val="none"/>
        </w:rPr>
        <w:t>。</w:t>
      </w:r>
    </w:p>
    <w:p w14:paraId="259BAC88">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（3）综合得分M</w:t>
      </w:r>
    </w:p>
    <w:p w14:paraId="4FDE6066">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综合得分满分100分，公式如下：</w:t>
      </w:r>
    </w:p>
    <w:p w14:paraId="2A55C35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综合得分M＝ 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p>
    <w:p w14:paraId="0A2A7C0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式中：M</w:t>
      </w:r>
      <w:r>
        <w:rPr>
          <w:rFonts w:hint="eastAsia" w:ascii="宋体" w:hAnsi="宋体" w:eastAsia="宋体" w:cs="宋体"/>
          <w:color w:val="auto"/>
          <w:sz w:val="24"/>
          <w:szCs w:val="24"/>
          <w:highlight w:val="none"/>
        </w:rPr>
        <w:t>为综合得分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color w:val="auto"/>
          <w:sz w:val="24"/>
          <w:szCs w:val="24"/>
          <w:highlight w:val="none"/>
        </w:rPr>
        <w:t>为商务得分，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color w:val="auto"/>
          <w:sz w:val="24"/>
          <w:szCs w:val="24"/>
          <w:highlight w:val="none"/>
        </w:rPr>
        <w:t>为技术得分，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为投标报价得分。</w:t>
      </w:r>
    </w:p>
    <w:p w14:paraId="4089643C">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根据招标文件规定的评分细则，对招标文件中的各评审因素进行评审、比较、打分，将得分前5名不排序（按企业统一社会信用代码后4位由大到小排位）的投标人作为定标候选人推荐给招标人，并对每个定标候选人的优势、风险等评审情况进行说明。当投标人综合总得分相同时，以报价低为前；当投标人综合总得分相同且报价相同时，由评标委员会投票确定排</w:t>
      </w:r>
      <w:r>
        <w:rPr>
          <w:rFonts w:hint="eastAsia" w:ascii="宋体" w:hAnsi="宋体" w:eastAsia="宋体" w:cs="宋体"/>
          <w:b/>
          <w:bCs/>
          <w:color w:val="auto"/>
          <w:sz w:val="24"/>
          <w:szCs w:val="24"/>
          <w:highlight w:val="none"/>
          <w:lang w:eastAsia="zh-CN"/>
        </w:rPr>
        <w:t>前</w:t>
      </w:r>
      <w:r>
        <w:rPr>
          <w:rFonts w:hint="eastAsia" w:ascii="宋体" w:hAnsi="宋体" w:eastAsia="宋体" w:cs="宋体"/>
          <w:b/>
          <w:bCs/>
          <w:color w:val="auto"/>
          <w:sz w:val="24"/>
          <w:szCs w:val="24"/>
          <w:highlight w:val="none"/>
        </w:rPr>
        <w:t>。</w:t>
      </w:r>
    </w:p>
    <w:p w14:paraId="57805585">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定标候选人得分只作为评标委员会的推荐依据，不作为定标委员会对中标候选人排序的依据。</w:t>
      </w:r>
      <w:r>
        <w:rPr>
          <w:rFonts w:hint="eastAsia" w:ascii="宋体" w:hAnsi="宋体" w:eastAsia="宋体" w:cs="宋体"/>
          <w:b/>
          <w:bCs/>
          <w:color w:val="auto"/>
          <w:sz w:val="24"/>
          <w:szCs w:val="24"/>
          <w:highlight w:val="none"/>
          <w:lang w:val="en-US" w:eastAsia="zh-CN"/>
        </w:rPr>
        <w:t>当有效投标人数量不足5名但满足法定要求时，所有通过评审的有效投标人均应作为定标候选人。</w:t>
      </w:r>
    </w:p>
    <w:p w14:paraId="75919EE9">
      <w:pPr>
        <w:rPr>
          <w:rFonts w:hint="eastAsia" w:ascii="宋体" w:hAnsi="宋体" w:eastAsia="宋体" w:cs="宋体"/>
          <w:color w:val="auto"/>
          <w:lang w:val="en-US" w:eastAsia="zh-CN"/>
        </w:rPr>
      </w:pPr>
    </w:p>
    <w:p w14:paraId="64E7636F">
      <w:pPr>
        <w:rPr>
          <w:rFonts w:hint="eastAsia" w:ascii="宋体" w:hAnsi="宋体" w:eastAsia="宋体" w:cs="宋体"/>
          <w:color w:val="auto"/>
          <w:lang w:val="en-US" w:eastAsia="zh-CN"/>
        </w:rPr>
      </w:pPr>
    </w:p>
    <w:p w14:paraId="107EB842">
      <w:pPr>
        <w:rPr>
          <w:rFonts w:hint="eastAsia" w:ascii="宋体" w:hAnsi="宋体" w:eastAsia="宋体" w:cs="宋体"/>
          <w:color w:val="auto"/>
          <w:lang w:val="en-US" w:eastAsia="zh-CN"/>
        </w:rPr>
      </w:pPr>
    </w:p>
    <w:p w14:paraId="391D8F2E">
      <w:pPr>
        <w:pStyle w:val="2"/>
        <w:ind w:left="0" w:leftChars="0" w:firstLine="0" w:firstLineChars="0"/>
        <w:rPr>
          <w:rFonts w:hint="eastAsia" w:ascii="宋体" w:hAnsi="宋体" w:eastAsia="宋体" w:cs="宋体"/>
          <w:color w:val="auto"/>
          <w:lang w:val="en-US" w:eastAsia="zh-CN"/>
        </w:rPr>
      </w:pPr>
    </w:p>
    <w:p w14:paraId="7A8F155B">
      <w:pPr>
        <w:rPr>
          <w:rFonts w:hint="eastAsia" w:ascii="宋体" w:hAnsi="宋体" w:eastAsia="宋体" w:cs="宋体"/>
          <w:color w:val="auto"/>
          <w:lang w:val="en-US" w:eastAsia="zh-CN"/>
        </w:rPr>
      </w:pPr>
    </w:p>
    <w:p w14:paraId="0A2DA84E">
      <w:pPr>
        <w:pageBreakBefore w:val="0"/>
        <w:kinsoku/>
        <w:overflowPunct/>
        <w:topLinePunct w:val="0"/>
        <w:autoSpaceDE/>
        <w:autoSpaceDN/>
        <w:bidi w:val="0"/>
        <w:snapToGrid w:val="0"/>
        <w:spacing w:line="360" w:lineRule="auto"/>
        <w:jc w:val="center"/>
        <w:rPr>
          <w:rStyle w:val="28"/>
          <w:rFonts w:hint="eastAsia" w:ascii="宋体" w:hAnsi="宋体" w:eastAsia="宋体" w:cs="宋体"/>
          <w:b/>
          <w:bCs/>
          <w:color w:val="auto"/>
          <w:kern w:val="0"/>
          <w:sz w:val="30"/>
          <w:szCs w:val="30"/>
          <w:highlight w:val="none"/>
        </w:rPr>
      </w:pPr>
      <w:r>
        <w:rPr>
          <w:rStyle w:val="28"/>
          <w:rFonts w:hint="eastAsia" w:ascii="宋体" w:hAnsi="宋体" w:eastAsia="宋体" w:cs="宋体"/>
          <w:b/>
          <w:bCs/>
          <w:color w:val="auto"/>
          <w:kern w:val="0"/>
          <w:sz w:val="30"/>
          <w:szCs w:val="30"/>
          <w:highlight w:val="none"/>
        </w:rPr>
        <w:t>综合评分表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4184"/>
        <w:gridCol w:w="4340"/>
      </w:tblGrid>
      <w:tr w14:paraId="3912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3"/>
          </w:tcPr>
          <w:p w14:paraId="1788C41D">
            <w:pPr>
              <w:spacing w:line="360" w:lineRule="auto"/>
              <w:rPr>
                <w:rFonts w:hint="eastAsia" w:ascii="宋体" w:hAnsi="宋体" w:eastAsia="宋体" w:cs="宋体"/>
                <w:color w:val="auto"/>
                <w:vertAlign w:val="baseline"/>
              </w:rPr>
            </w:pPr>
            <w:r>
              <w:rPr>
                <w:rFonts w:hint="eastAsia" w:ascii="宋体" w:hAnsi="宋体" w:eastAsia="宋体" w:cs="宋体"/>
                <w:b w:val="0"/>
                <w:bCs w:val="0"/>
                <w:snapToGrid w:val="0"/>
                <w:color w:val="auto"/>
                <w:kern w:val="0"/>
                <w:sz w:val="24"/>
                <w:szCs w:val="24"/>
              </w:rPr>
              <w:t>商务部分，满分</w:t>
            </w:r>
            <w:r>
              <w:rPr>
                <w:rFonts w:hint="eastAsia" w:ascii="宋体" w:hAnsi="宋体" w:eastAsia="宋体" w:cs="宋体"/>
                <w:b w:val="0"/>
                <w:bCs w:val="0"/>
                <w:snapToGrid w:val="0"/>
                <w:color w:val="auto"/>
                <w:kern w:val="0"/>
                <w:sz w:val="24"/>
                <w:szCs w:val="24"/>
                <w:u w:val="none"/>
                <w:lang w:val="en-US" w:eastAsia="zh-CN"/>
              </w:rPr>
              <w:t>：30分。</w:t>
            </w:r>
          </w:p>
        </w:tc>
      </w:tr>
      <w:tr w14:paraId="635C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2AE3693B">
            <w:pPr>
              <w:pStyle w:val="3"/>
              <w:widowControl w:val="0"/>
              <w:tabs>
                <w:tab w:val="left" w:pos="1354"/>
                <w:tab w:val="left" w:pos="1459"/>
                <w:tab w:val="center" w:pos="3902"/>
                <w:tab w:val="right" w:pos="7805"/>
              </w:tabs>
              <w:wordWrap w:val="0"/>
              <w:adjustRightInd w:val="0"/>
              <w:snapToGrid w:val="0"/>
              <w:spacing w:after="0" w:line="360" w:lineRule="auto"/>
              <w:jc w:val="center"/>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rPr>
              <w:t>评分因素</w:t>
            </w:r>
          </w:p>
        </w:tc>
        <w:tc>
          <w:tcPr>
            <w:tcW w:w="4184" w:type="dxa"/>
            <w:shd w:val="clear" w:color="auto" w:fill="auto"/>
            <w:vAlign w:val="center"/>
          </w:tcPr>
          <w:p w14:paraId="251F2DFC">
            <w:pPr>
              <w:pStyle w:val="3"/>
              <w:widowControl w:val="0"/>
              <w:tabs>
                <w:tab w:val="left" w:pos="1354"/>
                <w:tab w:val="left" w:pos="1459"/>
                <w:tab w:val="center" w:pos="3902"/>
                <w:tab w:val="right" w:pos="7805"/>
              </w:tabs>
              <w:wordWrap w:val="0"/>
              <w:adjustRightInd w:val="0"/>
              <w:snapToGrid w:val="0"/>
              <w:spacing w:after="0" w:line="360" w:lineRule="auto"/>
              <w:jc w:val="center"/>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rPr>
              <w:t>评分标准</w:t>
            </w:r>
          </w:p>
        </w:tc>
        <w:tc>
          <w:tcPr>
            <w:tcW w:w="4340" w:type="dxa"/>
            <w:shd w:val="clear" w:color="auto" w:fill="auto"/>
            <w:vAlign w:val="center"/>
          </w:tcPr>
          <w:p w14:paraId="41411267">
            <w:pPr>
              <w:pStyle w:val="3"/>
              <w:widowControl w:val="0"/>
              <w:tabs>
                <w:tab w:val="left" w:pos="1354"/>
                <w:tab w:val="left" w:pos="1459"/>
                <w:tab w:val="center" w:pos="3902"/>
                <w:tab w:val="right" w:pos="7805"/>
              </w:tabs>
              <w:wordWrap w:val="0"/>
              <w:adjustRightInd w:val="0"/>
              <w:snapToGrid w:val="0"/>
              <w:spacing w:after="0" w:line="360" w:lineRule="auto"/>
              <w:jc w:val="center"/>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rPr>
              <w:t>备注</w:t>
            </w:r>
          </w:p>
        </w:tc>
      </w:tr>
      <w:tr w14:paraId="77F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121D42D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p w14:paraId="542191B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（12分）</w:t>
            </w:r>
          </w:p>
        </w:tc>
        <w:tc>
          <w:tcPr>
            <w:tcW w:w="4184" w:type="dxa"/>
            <w:shd w:val="clear" w:color="auto" w:fill="auto"/>
            <w:vAlign w:val="center"/>
          </w:tcPr>
          <w:p w14:paraId="7A81E477">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企业近5年来（</w:t>
            </w:r>
            <w:r>
              <w:rPr>
                <w:rFonts w:hint="eastAsia" w:ascii="宋体" w:hAnsi="宋体" w:eastAsia="宋体" w:cs="宋体"/>
                <w:caps w:val="0"/>
                <w:smallCaps w:val="0"/>
                <w:snapToGrid w:val="0"/>
                <w:color w:val="auto"/>
                <w:spacing w:val="0"/>
                <w:kern w:val="0"/>
                <w:sz w:val="24"/>
                <w:szCs w:val="24"/>
                <w:highlight w:val="none"/>
              </w:rPr>
              <w:t>20</w:t>
            </w:r>
            <w:r>
              <w:rPr>
                <w:rFonts w:hint="eastAsia" w:ascii="宋体" w:hAnsi="宋体" w:eastAsia="宋体" w:cs="宋体"/>
                <w:caps w:val="0"/>
                <w:smallCaps w:val="0"/>
                <w:snapToGrid w:val="0"/>
                <w:color w:val="auto"/>
                <w:spacing w:val="0"/>
                <w:kern w:val="0"/>
                <w:sz w:val="24"/>
                <w:szCs w:val="24"/>
                <w:highlight w:val="none"/>
                <w:lang w:val="en-US" w:eastAsia="zh-CN"/>
              </w:rPr>
              <w:t>21</w:t>
            </w:r>
            <w:r>
              <w:rPr>
                <w:rFonts w:hint="eastAsia" w:ascii="宋体" w:hAnsi="宋体" w:eastAsia="宋体" w:cs="宋体"/>
                <w:caps w:val="0"/>
                <w:smallCaps w:val="0"/>
                <w:snapToGrid w:val="0"/>
                <w:color w:val="auto"/>
                <w:spacing w:val="0"/>
                <w:kern w:val="0"/>
                <w:sz w:val="24"/>
                <w:szCs w:val="24"/>
                <w:highlight w:val="none"/>
              </w:rPr>
              <w:t>年1月1日</w:t>
            </w:r>
            <w:r>
              <w:rPr>
                <w:rFonts w:hint="eastAsia" w:ascii="宋体" w:hAnsi="宋体" w:eastAsia="宋体" w:cs="宋体"/>
                <w:caps w:val="0"/>
                <w:smallCaps w:val="0"/>
                <w:snapToGrid w:val="0"/>
                <w:color w:val="auto"/>
                <w:spacing w:val="0"/>
                <w:kern w:val="0"/>
                <w:sz w:val="24"/>
                <w:szCs w:val="24"/>
                <w:highlight w:val="none"/>
                <w:lang w:val="en-US" w:eastAsia="zh-CN"/>
              </w:rPr>
              <w:t>至今）业绩情况：</w:t>
            </w:r>
          </w:p>
          <w:p w14:paraId="4CFF004B">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lang w:eastAsia="zh-CN"/>
              </w:rPr>
              <w:t>承接过类似</w:t>
            </w:r>
            <w:r>
              <w:rPr>
                <w:rFonts w:hint="eastAsia" w:ascii="宋体" w:hAnsi="宋体" w:eastAsia="宋体" w:cs="宋体"/>
                <w:caps w:val="0"/>
                <w:smallCaps w:val="0"/>
                <w:snapToGrid w:val="0"/>
                <w:color w:val="auto"/>
                <w:spacing w:val="0"/>
                <w:kern w:val="0"/>
                <w:sz w:val="24"/>
                <w:szCs w:val="24"/>
                <w:highlight w:val="none"/>
                <w:lang w:val="en-US" w:eastAsia="zh-CN"/>
              </w:rPr>
              <w:t>工程</w:t>
            </w:r>
            <w:r>
              <w:rPr>
                <w:rFonts w:hint="eastAsia" w:ascii="宋体" w:hAnsi="宋体" w:eastAsia="宋体" w:cs="宋体"/>
                <w:caps w:val="0"/>
                <w:smallCaps w:val="0"/>
                <w:snapToGrid w:val="0"/>
                <w:color w:val="auto"/>
                <w:spacing w:val="0"/>
                <w:kern w:val="0"/>
                <w:sz w:val="24"/>
                <w:szCs w:val="24"/>
                <w:highlight w:val="none"/>
                <w:lang w:eastAsia="zh-CN"/>
              </w:rPr>
              <w:t>项目的，</w:t>
            </w:r>
            <w:r>
              <w:rPr>
                <w:rFonts w:hint="eastAsia" w:ascii="宋体" w:hAnsi="宋体" w:eastAsia="宋体" w:cs="宋体"/>
                <w:caps w:val="0"/>
                <w:smallCaps w:val="0"/>
                <w:snapToGrid w:val="0"/>
                <w:color w:val="auto"/>
                <w:spacing w:val="0"/>
                <w:kern w:val="0"/>
                <w:sz w:val="24"/>
                <w:szCs w:val="24"/>
                <w:highlight w:val="none"/>
                <w:lang w:val="zh-CN" w:eastAsia="zh-CN"/>
              </w:rPr>
              <w:t>每</w:t>
            </w:r>
            <w:r>
              <w:rPr>
                <w:rFonts w:hint="eastAsia" w:ascii="宋体" w:hAnsi="宋体" w:eastAsia="宋体" w:cs="宋体"/>
                <w:caps w:val="0"/>
                <w:smallCaps w:val="0"/>
                <w:snapToGrid w:val="0"/>
                <w:color w:val="auto"/>
                <w:spacing w:val="0"/>
                <w:kern w:val="0"/>
                <w:sz w:val="24"/>
                <w:szCs w:val="24"/>
                <w:highlight w:val="none"/>
                <w:lang w:val="en-US" w:eastAsia="zh-CN"/>
              </w:rPr>
              <w:t>个</w:t>
            </w:r>
            <w:r>
              <w:rPr>
                <w:rFonts w:hint="eastAsia" w:ascii="宋体" w:hAnsi="宋体" w:eastAsia="宋体" w:cs="宋体"/>
                <w:caps w:val="0"/>
                <w:smallCaps w:val="0"/>
                <w:snapToGrid w:val="0"/>
                <w:color w:val="auto"/>
                <w:spacing w:val="0"/>
                <w:kern w:val="0"/>
                <w:sz w:val="24"/>
                <w:szCs w:val="24"/>
                <w:highlight w:val="none"/>
                <w:lang w:val="zh-CN" w:eastAsia="zh-CN"/>
              </w:rPr>
              <w:t>得</w:t>
            </w:r>
            <w:r>
              <w:rPr>
                <w:rFonts w:hint="eastAsia" w:ascii="宋体" w:hAnsi="宋体" w:eastAsia="宋体" w:cs="宋体"/>
                <w:caps w:val="0"/>
                <w:smallCaps w:val="0"/>
                <w:snapToGrid w:val="0"/>
                <w:color w:val="auto"/>
                <w:spacing w:val="0"/>
                <w:kern w:val="0"/>
                <w:sz w:val="24"/>
                <w:szCs w:val="24"/>
                <w:highlight w:val="none"/>
                <w:lang w:val="en-US" w:eastAsia="zh-CN"/>
              </w:rPr>
              <w:t>4</w:t>
            </w:r>
            <w:r>
              <w:rPr>
                <w:rFonts w:hint="eastAsia" w:ascii="宋体" w:hAnsi="宋体" w:eastAsia="宋体" w:cs="宋体"/>
                <w:caps w:val="0"/>
                <w:smallCaps w:val="0"/>
                <w:snapToGrid w:val="0"/>
                <w:color w:val="auto"/>
                <w:spacing w:val="0"/>
                <w:kern w:val="0"/>
                <w:sz w:val="24"/>
                <w:szCs w:val="24"/>
                <w:highlight w:val="none"/>
                <w:lang w:val="zh-CN" w:eastAsia="zh-CN"/>
              </w:rPr>
              <w:t>分；</w:t>
            </w:r>
          </w:p>
          <w:p w14:paraId="5D035261">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lang w:val="zh-CN" w:eastAsia="zh-CN"/>
              </w:rPr>
            </w:pP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lang w:val="zh-CN" w:eastAsia="zh-CN"/>
              </w:rPr>
              <w:t>未承接过类似</w:t>
            </w:r>
            <w:r>
              <w:rPr>
                <w:rFonts w:hint="eastAsia" w:ascii="宋体" w:hAnsi="宋体" w:eastAsia="宋体" w:cs="宋体"/>
                <w:caps w:val="0"/>
                <w:smallCaps w:val="0"/>
                <w:snapToGrid w:val="0"/>
                <w:color w:val="auto"/>
                <w:spacing w:val="0"/>
                <w:kern w:val="0"/>
                <w:sz w:val="24"/>
                <w:szCs w:val="24"/>
                <w:highlight w:val="none"/>
                <w:lang w:val="en-US" w:eastAsia="zh-CN"/>
              </w:rPr>
              <w:t>工程</w:t>
            </w:r>
            <w:r>
              <w:rPr>
                <w:rFonts w:hint="eastAsia" w:ascii="宋体" w:hAnsi="宋体" w:eastAsia="宋体" w:cs="宋体"/>
                <w:caps w:val="0"/>
                <w:smallCaps w:val="0"/>
                <w:snapToGrid w:val="0"/>
                <w:color w:val="auto"/>
                <w:spacing w:val="0"/>
                <w:kern w:val="0"/>
                <w:sz w:val="24"/>
                <w:szCs w:val="24"/>
                <w:highlight w:val="none"/>
                <w:lang w:val="zh-CN" w:eastAsia="zh-CN"/>
              </w:rPr>
              <w:t>项目的，不予计分；</w:t>
            </w:r>
          </w:p>
          <w:p w14:paraId="4386DCEA">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3.</w:t>
            </w:r>
            <w:r>
              <w:rPr>
                <w:rFonts w:hint="eastAsia" w:ascii="宋体" w:hAnsi="宋体" w:eastAsia="宋体" w:cs="宋体"/>
                <w:caps w:val="0"/>
                <w:smallCaps w:val="0"/>
                <w:snapToGrid w:val="0"/>
                <w:color w:val="auto"/>
                <w:spacing w:val="0"/>
                <w:kern w:val="0"/>
                <w:sz w:val="24"/>
                <w:szCs w:val="24"/>
                <w:highlight w:val="none"/>
                <w:lang w:val="zh-CN" w:eastAsia="zh-CN"/>
              </w:rPr>
              <w:t>本项最高得</w:t>
            </w:r>
            <w:r>
              <w:rPr>
                <w:rFonts w:hint="eastAsia" w:ascii="宋体" w:hAnsi="宋体" w:eastAsia="宋体" w:cs="宋体"/>
                <w:caps w:val="0"/>
                <w:smallCaps w:val="0"/>
                <w:snapToGrid w:val="0"/>
                <w:color w:val="auto"/>
                <w:spacing w:val="0"/>
                <w:kern w:val="0"/>
                <w:sz w:val="24"/>
                <w:szCs w:val="24"/>
                <w:highlight w:val="none"/>
                <w:lang w:val="en-US" w:eastAsia="zh-CN"/>
              </w:rPr>
              <w:t>12</w:t>
            </w:r>
            <w:r>
              <w:rPr>
                <w:rFonts w:hint="eastAsia" w:ascii="宋体" w:hAnsi="宋体" w:eastAsia="宋体" w:cs="宋体"/>
                <w:caps w:val="0"/>
                <w:smallCaps w:val="0"/>
                <w:snapToGrid w:val="0"/>
                <w:color w:val="auto"/>
                <w:spacing w:val="0"/>
                <w:kern w:val="0"/>
                <w:sz w:val="24"/>
                <w:szCs w:val="24"/>
                <w:highlight w:val="none"/>
                <w:lang w:val="zh-CN" w:eastAsia="zh-CN"/>
              </w:rPr>
              <w:t>分。</w:t>
            </w:r>
          </w:p>
        </w:tc>
        <w:tc>
          <w:tcPr>
            <w:tcW w:w="4340" w:type="dxa"/>
            <w:shd w:val="clear" w:color="auto" w:fill="auto"/>
            <w:vAlign w:val="center"/>
          </w:tcPr>
          <w:p w14:paraId="4B4DC64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1.类似项目指：市政类工程设计项目。</w:t>
            </w:r>
          </w:p>
          <w:p w14:paraId="3D5A26E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2.需附有关业绩合同协议书彩色扫描件。</w:t>
            </w:r>
          </w:p>
          <w:p w14:paraId="250C29B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3.业绩时间以合同协议书日期为准。</w:t>
            </w:r>
          </w:p>
          <w:p w14:paraId="4237BF1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4.任一业绩有以下情形之一的，该业绩视为无效，不予计分：</w:t>
            </w:r>
          </w:p>
          <w:p w14:paraId="2EEDE4A7">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①业绩不属于类似工程的；</w:t>
            </w:r>
          </w:p>
          <w:p w14:paraId="3E57BAE3">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②业绩时间不符合要求的。</w:t>
            </w:r>
          </w:p>
        </w:tc>
      </w:tr>
      <w:tr w14:paraId="05FE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71378C2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r>
              <w:rPr>
                <w:rFonts w:hint="eastAsia" w:ascii="宋体" w:hAnsi="宋体" w:eastAsia="宋体" w:cs="宋体"/>
                <w:color w:val="auto"/>
                <w:sz w:val="24"/>
                <w:szCs w:val="24"/>
                <w:lang w:val="en-US" w:eastAsia="zh-CN"/>
              </w:rPr>
              <w:t>拟委派</w:t>
            </w:r>
            <w:r>
              <w:rPr>
                <w:rFonts w:hint="eastAsia" w:ascii="宋体" w:hAnsi="宋体" w:eastAsia="宋体" w:cs="宋体"/>
                <w:color w:val="auto"/>
                <w:sz w:val="24"/>
                <w:szCs w:val="24"/>
              </w:rPr>
              <w:t>团队</w:t>
            </w:r>
          </w:p>
          <w:p w14:paraId="3A6454AC">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分）</w:t>
            </w:r>
          </w:p>
        </w:tc>
        <w:tc>
          <w:tcPr>
            <w:tcW w:w="4184" w:type="dxa"/>
            <w:shd w:val="clear" w:color="auto" w:fill="auto"/>
            <w:vAlign w:val="center"/>
          </w:tcPr>
          <w:p w14:paraId="77E5E401">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rPr>
              <w:t>投标人拟委派其他主要人员配备情况：</w:t>
            </w:r>
          </w:p>
          <w:p w14:paraId="0E6A44BC">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rPr>
              <w:t>拟派相关专业(建筑)负责人：①具有一级注册建筑师注册证书的，得</w:t>
            </w: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rPr>
              <w:t>分；②具有建筑类相关专业高级工程师或以上职称的，得1分</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本小项最高得</w:t>
            </w: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rPr>
              <w:t>分。</w:t>
            </w:r>
          </w:p>
          <w:p w14:paraId="70F16227">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rPr>
              <w:t>拟派相关专业(结构)负责人：①具有一级注册结构工程师注册证书的，得</w:t>
            </w: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rPr>
              <w:t>分；②具有结构相关专业高级工程师或以上职称的，得</w:t>
            </w: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本小项最高得</w:t>
            </w: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rPr>
              <w:t>分。</w:t>
            </w:r>
          </w:p>
          <w:p w14:paraId="752F8BEF">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rPr>
              <w:t>3.</w:t>
            </w:r>
            <w:r>
              <w:rPr>
                <w:rFonts w:hint="eastAsia" w:ascii="宋体" w:hAnsi="宋体" w:eastAsia="宋体" w:cs="宋体"/>
                <w:caps w:val="0"/>
                <w:smallCaps w:val="0"/>
                <w:snapToGrid w:val="0"/>
                <w:color w:val="auto"/>
                <w:spacing w:val="0"/>
                <w:kern w:val="0"/>
                <w:sz w:val="24"/>
                <w:szCs w:val="24"/>
                <w:highlight w:val="none"/>
              </w:rPr>
              <w:t>拟派相关专业(电气)负责人：①具有注册电气工程师(供配电)的，得</w:t>
            </w: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rPr>
              <w:t>分；②具有电力电气类相关专业高级工程师或以上职称的，得</w:t>
            </w: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rPr>
              <w:t>分。本小项最高得</w:t>
            </w: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rPr>
              <w:t>分。</w:t>
            </w:r>
          </w:p>
          <w:p w14:paraId="1256E2BE">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rPr>
              <w:t>4.</w:t>
            </w:r>
            <w:r>
              <w:rPr>
                <w:rFonts w:hint="eastAsia" w:ascii="宋体" w:hAnsi="宋体" w:eastAsia="宋体" w:cs="宋体"/>
                <w:caps w:val="0"/>
                <w:smallCaps w:val="0"/>
                <w:snapToGrid w:val="0"/>
                <w:color w:val="auto"/>
                <w:spacing w:val="0"/>
                <w:kern w:val="0"/>
                <w:sz w:val="24"/>
                <w:szCs w:val="24"/>
                <w:highlight w:val="none"/>
              </w:rPr>
              <w:t>拟派相关专业(给水排水)负责人：①具有注册公用设备工程师(给水排水)注册证书的，得</w:t>
            </w: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rPr>
              <w:t>分；②具有给排水相关专业高级工程师或以上职称的，得</w:t>
            </w:r>
            <w:r>
              <w:rPr>
                <w:rFonts w:hint="eastAsia" w:ascii="宋体" w:hAnsi="宋体" w:eastAsia="宋体" w:cs="宋体"/>
                <w:caps w:val="0"/>
                <w:smallCaps w:val="0"/>
                <w:snapToGrid w:val="0"/>
                <w:color w:val="auto"/>
                <w:spacing w:val="0"/>
                <w:kern w:val="0"/>
                <w:sz w:val="24"/>
                <w:szCs w:val="24"/>
                <w:highlight w:val="none"/>
                <w:lang w:val="en-US" w:eastAsia="zh-CN"/>
              </w:rPr>
              <w:t>1</w:t>
            </w:r>
            <w:r>
              <w:rPr>
                <w:rFonts w:hint="eastAsia" w:ascii="宋体" w:hAnsi="宋体" w:eastAsia="宋体" w:cs="宋体"/>
                <w:caps w:val="0"/>
                <w:smallCaps w:val="0"/>
                <w:snapToGrid w:val="0"/>
                <w:color w:val="auto"/>
                <w:spacing w:val="0"/>
                <w:kern w:val="0"/>
                <w:sz w:val="24"/>
                <w:szCs w:val="24"/>
                <w:highlight w:val="none"/>
              </w:rPr>
              <w:t>分</w:t>
            </w:r>
            <w:r>
              <w:rPr>
                <w:rFonts w:hint="eastAsia" w:ascii="宋体" w:hAnsi="宋体" w:eastAsia="宋体" w:cs="宋体"/>
                <w:caps w:val="0"/>
                <w:smallCaps w:val="0"/>
                <w:snapToGrid w:val="0"/>
                <w:color w:val="auto"/>
                <w:spacing w:val="0"/>
                <w:kern w:val="0"/>
                <w:sz w:val="24"/>
                <w:szCs w:val="24"/>
                <w:highlight w:val="none"/>
                <w:lang w:eastAsia="zh-CN"/>
              </w:rPr>
              <w:t>。</w:t>
            </w:r>
            <w:r>
              <w:rPr>
                <w:rFonts w:hint="eastAsia" w:ascii="宋体" w:hAnsi="宋体" w:eastAsia="宋体" w:cs="宋体"/>
                <w:caps w:val="0"/>
                <w:smallCaps w:val="0"/>
                <w:snapToGrid w:val="0"/>
                <w:color w:val="auto"/>
                <w:spacing w:val="0"/>
                <w:kern w:val="0"/>
                <w:sz w:val="24"/>
                <w:szCs w:val="24"/>
                <w:highlight w:val="none"/>
              </w:rPr>
              <w:t>本小项最高得</w:t>
            </w: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rPr>
              <w:t>分。</w:t>
            </w:r>
          </w:p>
          <w:p w14:paraId="38FED05B">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rPr>
              <w:t>5.</w:t>
            </w:r>
            <w:r>
              <w:rPr>
                <w:rFonts w:hint="eastAsia" w:ascii="宋体" w:hAnsi="宋体" w:eastAsia="宋体" w:cs="宋体"/>
                <w:caps w:val="0"/>
                <w:smallCaps w:val="0"/>
                <w:snapToGrid w:val="0"/>
                <w:color w:val="auto"/>
                <w:spacing w:val="0"/>
                <w:kern w:val="0"/>
                <w:sz w:val="24"/>
                <w:szCs w:val="24"/>
                <w:highlight w:val="none"/>
              </w:rPr>
              <w:t>拟派相关专业(造价)负责人：①具有一级注册造价工程师证书的，得1分；②具有造价</w:t>
            </w:r>
            <w:r>
              <w:rPr>
                <w:rFonts w:hint="eastAsia" w:ascii="宋体" w:hAnsi="宋体" w:eastAsia="宋体" w:cs="宋体"/>
                <w:caps w:val="0"/>
                <w:smallCaps w:val="0"/>
                <w:snapToGrid w:val="0"/>
                <w:color w:val="auto"/>
                <w:spacing w:val="0"/>
                <w:kern w:val="0"/>
                <w:sz w:val="24"/>
                <w:szCs w:val="24"/>
                <w:highlight w:val="none"/>
                <w:lang w:val="en-US" w:eastAsia="zh-CN"/>
              </w:rPr>
              <w:t>相关</w:t>
            </w:r>
            <w:r>
              <w:rPr>
                <w:rFonts w:hint="eastAsia" w:ascii="宋体" w:hAnsi="宋体" w:eastAsia="宋体" w:cs="宋体"/>
                <w:caps w:val="0"/>
                <w:smallCaps w:val="0"/>
                <w:snapToGrid w:val="0"/>
                <w:color w:val="auto"/>
                <w:spacing w:val="0"/>
                <w:kern w:val="0"/>
                <w:sz w:val="24"/>
                <w:szCs w:val="24"/>
                <w:highlight w:val="none"/>
              </w:rPr>
              <w:t>专业高级工程师或以上职称的，得1分。本小项最高得2分。</w:t>
            </w:r>
          </w:p>
          <w:p w14:paraId="7BE93124">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6.拟派相关专业（暖通）负责人；①具有注册公用设备工程师（暖通空调）的，得1分；②具有暖通专业高级工程师或以上职称的，得1分。本小项最高得2分。</w:t>
            </w:r>
          </w:p>
          <w:p w14:paraId="7889DCFD">
            <w:pPr>
              <w:pStyle w:val="3"/>
              <w:wordWrap w:val="0"/>
              <w:adjustRightInd w:val="0"/>
              <w:snapToGrid w:val="0"/>
              <w:spacing w:after="0" w:line="360" w:lineRule="auto"/>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7.本项最高得12分。</w:t>
            </w:r>
          </w:p>
        </w:tc>
        <w:tc>
          <w:tcPr>
            <w:tcW w:w="4340" w:type="dxa"/>
            <w:shd w:val="clear" w:color="auto" w:fill="auto"/>
            <w:vAlign w:val="center"/>
          </w:tcPr>
          <w:p w14:paraId="4128A817">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1.上述各专业为简称，专业职称证、注册证中包含相应简称或释义相同，视为专业对应；</w:t>
            </w:r>
          </w:p>
          <w:p w14:paraId="62B1F055">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2.同一人具有多个专业职称的，按一个专业计分；</w:t>
            </w:r>
          </w:p>
          <w:p w14:paraId="16891723">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提供有效职称证书、注册证书扫描件及在本单位缴纳社保的证明（至少连续1个月，其中必须有2026年4月）彩色扫描件。拟派人员为退休返聘人员无法提供社保证明的，提供退休证明和劳动合同彩色扫描件，否则不得分。</w:t>
            </w:r>
          </w:p>
        </w:tc>
      </w:tr>
      <w:tr w14:paraId="0FFB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7B03BBE1">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管理体系认证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4184" w:type="dxa"/>
            <w:shd w:val="clear" w:color="auto" w:fill="auto"/>
            <w:vAlign w:val="center"/>
          </w:tcPr>
          <w:p w14:paraId="5C60CC9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1.质量管理体系认证、职业健康安全管理体系认证、环境管理体系认证，每获得1项认证得2分，本项最高得6分。</w:t>
            </w:r>
          </w:p>
          <w:p w14:paraId="2B4709D1">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2.未获得以上认证的，不予计分。</w:t>
            </w:r>
          </w:p>
        </w:tc>
        <w:tc>
          <w:tcPr>
            <w:tcW w:w="4340" w:type="dxa"/>
            <w:shd w:val="clear" w:color="auto" w:fill="auto"/>
            <w:vAlign w:val="center"/>
          </w:tcPr>
          <w:p w14:paraId="1041B8CB">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1.需附在有效期内的认证证书彩色扫描件。</w:t>
            </w:r>
          </w:p>
          <w:p w14:paraId="276D310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2.任一认证证书有以下情形之一的，该认证证书视为无效，不予计分：</w:t>
            </w:r>
          </w:p>
          <w:p w14:paraId="324E0577">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认证证书不在有效期内的。</w:t>
            </w:r>
          </w:p>
        </w:tc>
      </w:tr>
      <w:tr w14:paraId="2BBC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3"/>
          </w:tcPr>
          <w:p w14:paraId="2CD609E1">
            <w:pPr>
              <w:spacing w:line="360" w:lineRule="auto"/>
              <w:rPr>
                <w:rFonts w:hint="eastAsia" w:ascii="宋体" w:hAnsi="宋体" w:eastAsia="宋体" w:cs="宋体"/>
                <w:color w:val="auto"/>
                <w:vertAlign w:val="baseline"/>
              </w:rPr>
            </w:pPr>
            <w:r>
              <w:rPr>
                <w:rFonts w:hint="eastAsia" w:ascii="宋体" w:hAnsi="宋体" w:eastAsia="宋体" w:cs="宋体"/>
                <w:color w:val="auto"/>
                <w:sz w:val="24"/>
                <w:szCs w:val="24"/>
                <w:lang w:val="en-US" w:eastAsia="zh-CN"/>
              </w:rPr>
              <w:t>技术部分，满分：50分。</w:t>
            </w:r>
          </w:p>
        </w:tc>
      </w:tr>
      <w:tr w14:paraId="4E71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3EF5DBF2">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评分因素</w:t>
            </w:r>
          </w:p>
        </w:tc>
        <w:tc>
          <w:tcPr>
            <w:tcW w:w="8524" w:type="dxa"/>
            <w:gridSpan w:val="2"/>
            <w:shd w:val="clear" w:color="auto" w:fill="auto"/>
            <w:vAlign w:val="center"/>
          </w:tcPr>
          <w:p w14:paraId="3587367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评分标准</w:t>
            </w:r>
          </w:p>
        </w:tc>
      </w:tr>
      <w:tr w14:paraId="4E69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573EB909">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针对本项目</w:t>
            </w:r>
            <w:r>
              <w:rPr>
                <w:rFonts w:hint="eastAsia" w:ascii="宋体" w:hAnsi="宋体" w:eastAsia="宋体" w:cs="宋体"/>
                <w:color w:val="auto"/>
                <w:sz w:val="24"/>
                <w:szCs w:val="24"/>
              </w:rPr>
              <w:t>现状掌握情况的</w:t>
            </w:r>
            <w:r>
              <w:rPr>
                <w:rFonts w:hint="eastAsia" w:ascii="宋体" w:hAnsi="宋体" w:eastAsia="宋体" w:cs="宋体"/>
                <w:color w:val="auto"/>
                <w:sz w:val="24"/>
                <w:szCs w:val="24"/>
                <w:lang w:val="en-US" w:eastAsia="zh-CN"/>
              </w:rPr>
              <w:t>认识</w:t>
            </w:r>
            <w:r>
              <w:rPr>
                <w:rFonts w:hint="eastAsia" w:ascii="宋体" w:hAnsi="宋体" w:eastAsia="宋体" w:cs="宋体"/>
                <w:color w:val="auto"/>
                <w:sz w:val="24"/>
                <w:szCs w:val="24"/>
              </w:rPr>
              <w:t>程度（</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8524" w:type="dxa"/>
            <w:gridSpan w:val="2"/>
            <w:shd w:val="clear" w:color="auto" w:fill="auto"/>
            <w:vAlign w:val="center"/>
          </w:tcPr>
          <w:p w14:paraId="6DD4412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根据投标人的</w:t>
            </w:r>
            <w:r>
              <w:rPr>
                <w:rFonts w:hint="eastAsia" w:ascii="宋体" w:hAnsi="宋体" w:eastAsia="宋体" w:cs="宋体"/>
                <w:color w:val="auto"/>
                <w:sz w:val="24"/>
                <w:szCs w:val="24"/>
                <w:lang w:eastAsia="zh-CN"/>
              </w:rPr>
              <w:t>针对本项目</w:t>
            </w:r>
            <w:r>
              <w:rPr>
                <w:rFonts w:hint="eastAsia" w:ascii="宋体" w:hAnsi="宋体" w:eastAsia="宋体" w:cs="宋体"/>
                <w:color w:val="auto"/>
                <w:sz w:val="24"/>
                <w:szCs w:val="24"/>
              </w:rPr>
              <w:t>现状掌握情况的</w:t>
            </w:r>
            <w:r>
              <w:rPr>
                <w:rFonts w:hint="eastAsia" w:ascii="宋体" w:hAnsi="宋体" w:eastAsia="宋体" w:cs="宋体"/>
                <w:color w:val="auto"/>
                <w:sz w:val="24"/>
                <w:szCs w:val="24"/>
                <w:lang w:val="en-US" w:eastAsia="zh-CN"/>
              </w:rPr>
              <w:t>认识</w:t>
            </w:r>
            <w:r>
              <w:rPr>
                <w:rFonts w:hint="eastAsia" w:ascii="宋体" w:hAnsi="宋体" w:eastAsia="宋体" w:cs="宋体"/>
                <w:color w:val="auto"/>
                <w:sz w:val="24"/>
                <w:szCs w:val="24"/>
              </w:rPr>
              <w:t>程度</w:t>
            </w:r>
            <w:r>
              <w:rPr>
                <w:rFonts w:hint="eastAsia" w:ascii="宋体" w:hAnsi="宋体" w:eastAsia="宋体" w:cs="宋体"/>
                <w:color w:val="auto"/>
                <w:sz w:val="24"/>
                <w:szCs w:val="24"/>
                <w:lang w:val="en-US" w:eastAsia="zh-CN"/>
              </w:rPr>
              <w:t>进行评分：</w:t>
            </w:r>
          </w:p>
          <w:p w14:paraId="0D362D42">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【优】对本项目现状掌握情况的理解、对项目背景的分析透彻、全面的得8分；</w:t>
            </w:r>
          </w:p>
          <w:p w14:paraId="3DAD400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【良】对本项目现状掌握情况的理解程度和分析一般的得5分；</w:t>
            </w:r>
          </w:p>
          <w:p w14:paraId="42D590A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【合格】对本项目现状掌握情况的理解不准确，分析缺乏针对性的得3分；</w:t>
            </w:r>
          </w:p>
          <w:p w14:paraId="73B5CE17">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无该项描述得0分。</w:t>
            </w:r>
          </w:p>
        </w:tc>
      </w:tr>
      <w:tr w14:paraId="052F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519E16F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针</w:t>
            </w:r>
            <w:r>
              <w:rPr>
                <w:rFonts w:hint="eastAsia" w:ascii="宋体" w:hAnsi="宋体" w:eastAsia="宋体" w:cs="宋体"/>
                <w:color w:val="auto"/>
                <w:sz w:val="24"/>
                <w:szCs w:val="24"/>
              </w:rPr>
              <w:t>对本项目实施必要性的理解程度</w:t>
            </w:r>
          </w:p>
          <w:p w14:paraId="4B2104FC">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8524" w:type="dxa"/>
            <w:gridSpan w:val="2"/>
            <w:shd w:val="clear" w:color="auto" w:fill="auto"/>
            <w:vAlign w:val="center"/>
          </w:tcPr>
          <w:p w14:paraId="12C1620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根据投标人的针对本项目实施必要性的理解程度进行评分：</w:t>
            </w:r>
          </w:p>
          <w:p w14:paraId="563A892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【优】对本项目实施必要性理解准确，分析透彻、全面的得8分；</w:t>
            </w:r>
          </w:p>
          <w:p w14:paraId="1BE3AD4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【良】对本项目实施必要性的理解程度理解和分析一般的得5分；</w:t>
            </w:r>
          </w:p>
          <w:p w14:paraId="122806DB">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【合格】对本项目实施必要性的理解不准确，分析缺乏针对性的得3分；</w:t>
            </w:r>
          </w:p>
          <w:p w14:paraId="6115BA1C">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无该项描述得0分。</w:t>
            </w:r>
          </w:p>
        </w:tc>
      </w:tr>
      <w:tr w14:paraId="08B0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59032D4B">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设计方案（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c>
          <w:tcPr>
            <w:tcW w:w="8524" w:type="dxa"/>
            <w:gridSpan w:val="2"/>
            <w:shd w:val="clear" w:color="auto" w:fill="auto"/>
            <w:vAlign w:val="center"/>
          </w:tcPr>
          <w:p w14:paraId="0ED6D35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根据投标人的设计方案合理性进行评分：</w:t>
            </w:r>
          </w:p>
          <w:p w14:paraId="1F2F82E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【优】方案优秀，对本项目了解透彻，方案针对性强，内容齐全、表述准确，优于招标要求的得20分；</w:t>
            </w:r>
          </w:p>
          <w:p w14:paraId="0E063E23">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【良】方案良好，方案合理、可行，基本符合招标要求的得15分；</w:t>
            </w:r>
          </w:p>
          <w:p w14:paraId="4DC928E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【合格】方案一般，对本项目需求不了解，设计简单，方案无针对性的得10分；</w:t>
            </w:r>
          </w:p>
          <w:p w14:paraId="567E3BA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无该项描述得0分。</w:t>
            </w:r>
          </w:p>
        </w:tc>
      </w:tr>
      <w:tr w14:paraId="405E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276452E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针对本项目特点及关键性技术问题提出合理化建议</w:t>
            </w:r>
          </w:p>
          <w:p w14:paraId="490835A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8524" w:type="dxa"/>
            <w:gridSpan w:val="2"/>
            <w:shd w:val="clear" w:color="auto" w:fill="auto"/>
            <w:vAlign w:val="center"/>
          </w:tcPr>
          <w:p w14:paraId="3E18F16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根据投标人针对本项目特点及关键性技术问题提出合理化建议进行评分：</w:t>
            </w:r>
          </w:p>
          <w:p w14:paraId="27F2D885">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【优】对本项目的本项目特点及关键性技术问题的理解分析，非常全面，条理清晰；相关应对措施、建议十分得力及完整的，得8分；</w:t>
            </w:r>
          </w:p>
          <w:p w14:paraId="0F0AD353">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【良】对本项目的本项目特点及关键性技术问题的理解分析，比较全面，条理清晰；相关应对措施可行及建议完整的，得5分；</w:t>
            </w:r>
          </w:p>
          <w:p w14:paraId="03A1BF1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【合格】对本项目的本项目特点及关键性技术问题的理解分析，条理较清晰；相关应对措施、建议基本可行的，得3分；</w:t>
            </w:r>
          </w:p>
          <w:p w14:paraId="45ABAD5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无该项描述得0分。</w:t>
            </w:r>
          </w:p>
        </w:tc>
      </w:tr>
      <w:tr w14:paraId="10CC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6EABBB8B">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服务周期、进度安排合理（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8524" w:type="dxa"/>
            <w:gridSpan w:val="2"/>
            <w:shd w:val="clear" w:color="auto" w:fill="auto"/>
            <w:vAlign w:val="center"/>
          </w:tcPr>
          <w:p w14:paraId="192117F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根据投标人对服务周期、进度安排进行评分：</w:t>
            </w:r>
          </w:p>
          <w:p w14:paraId="35E2BF4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【优】质量周期完善，流程严谨，进度安排非常合理，关键线路清晰、准确，关键点的控制措施十分全面合理，得3分；</w:t>
            </w:r>
          </w:p>
          <w:p w14:paraId="676627C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【良】质量周期较完善，流程完整，进度安排较合理，关键线路清晰、准确，关键点的控制措施较全面合理，得2分；</w:t>
            </w:r>
          </w:p>
          <w:p w14:paraId="1A608FD7">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【合格】质量周期不太完善，流程不严谨，进度安排一般，关键线路基本清晰、准确，关键点的控制措施一般，得1分；</w:t>
            </w:r>
          </w:p>
          <w:p w14:paraId="3A5C775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无该项描述得0分。</w:t>
            </w:r>
          </w:p>
        </w:tc>
      </w:tr>
      <w:tr w14:paraId="4F53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6B4DAC4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服务质量保证体系及措施</w:t>
            </w:r>
          </w:p>
          <w:p w14:paraId="4690A551">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8524" w:type="dxa"/>
            <w:gridSpan w:val="2"/>
            <w:shd w:val="clear" w:color="auto" w:fill="auto"/>
            <w:vAlign w:val="center"/>
          </w:tcPr>
          <w:p w14:paraId="202B20FE">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根据投标人对服务质量保证体系及措施进行评分：</w:t>
            </w:r>
          </w:p>
          <w:p w14:paraId="32EE02AB">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【优】对服务质量保证体系及措施描述详尽、透彻的得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p>
          <w:p w14:paraId="00C758B6">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【良】对服务质量保证体系及措施描述较详尽、较透彻的得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w:t>
            </w:r>
          </w:p>
          <w:p w14:paraId="052BDE5F">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【合格】对服务质量保证体系及措施描述不够详尽、不够透彻的得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分；</w:t>
            </w:r>
          </w:p>
          <w:p w14:paraId="6C53C445">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无该项描述得0分。</w:t>
            </w:r>
          </w:p>
        </w:tc>
      </w:tr>
      <w:tr w14:paraId="2E5C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gridSpan w:val="3"/>
          </w:tcPr>
          <w:p w14:paraId="3F35E01D">
            <w:pPr>
              <w:rPr>
                <w:rFonts w:hint="eastAsia" w:ascii="宋体" w:hAnsi="宋体" w:eastAsia="宋体" w:cs="宋体"/>
                <w:color w:val="auto"/>
                <w:vertAlign w:val="baseline"/>
              </w:rPr>
            </w:pPr>
            <w:r>
              <w:rPr>
                <w:rFonts w:hint="eastAsia" w:ascii="宋体" w:hAnsi="宋体" w:eastAsia="宋体" w:cs="宋体"/>
                <w:b w:val="0"/>
                <w:bCs w:val="0"/>
                <w:snapToGrid w:val="0"/>
                <w:color w:val="auto"/>
                <w:kern w:val="0"/>
                <w:sz w:val="24"/>
                <w:szCs w:val="24"/>
              </w:rPr>
              <w:t>投标报价部分，满分：</w:t>
            </w:r>
            <w:r>
              <w:rPr>
                <w:rFonts w:hint="eastAsia" w:ascii="宋体" w:hAnsi="宋体" w:eastAsia="宋体" w:cs="宋体"/>
                <w:b w:val="0"/>
                <w:bCs w:val="0"/>
                <w:snapToGrid w:val="0"/>
                <w:color w:val="auto"/>
                <w:kern w:val="0"/>
                <w:sz w:val="24"/>
                <w:szCs w:val="24"/>
                <w:lang w:val="en-US" w:eastAsia="zh-CN"/>
              </w:rPr>
              <w:t>20</w:t>
            </w:r>
            <w:r>
              <w:rPr>
                <w:rFonts w:hint="eastAsia" w:ascii="宋体" w:hAnsi="宋体" w:eastAsia="宋体" w:cs="宋体"/>
                <w:b w:val="0"/>
                <w:bCs w:val="0"/>
                <w:snapToGrid w:val="0"/>
                <w:color w:val="auto"/>
                <w:kern w:val="0"/>
                <w:sz w:val="24"/>
                <w:szCs w:val="24"/>
              </w:rPr>
              <w:t>分。</w:t>
            </w:r>
          </w:p>
        </w:tc>
      </w:tr>
      <w:tr w14:paraId="27E3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496F144C">
            <w:pPr>
              <w:widowControl w:val="0"/>
              <w:wordWrap w:val="0"/>
              <w:adjustRightInd w:val="0"/>
              <w:snapToGrid w:val="0"/>
              <w:spacing w:line="360" w:lineRule="auto"/>
              <w:jc w:val="center"/>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rPr>
              <w:t>评分事项</w:t>
            </w:r>
          </w:p>
        </w:tc>
        <w:tc>
          <w:tcPr>
            <w:tcW w:w="8524" w:type="dxa"/>
            <w:gridSpan w:val="2"/>
            <w:shd w:val="clear" w:color="auto" w:fill="auto"/>
            <w:vAlign w:val="center"/>
          </w:tcPr>
          <w:p w14:paraId="3DD6EEE5">
            <w:pPr>
              <w:widowControl w:val="0"/>
              <w:wordWrap w:val="0"/>
              <w:adjustRightInd w:val="0"/>
              <w:snapToGrid w:val="0"/>
              <w:spacing w:line="360" w:lineRule="auto"/>
              <w:jc w:val="center"/>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rPr>
              <w:t>评分方法</w:t>
            </w:r>
          </w:p>
        </w:tc>
      </w:tr>
      <w:tr w14:paraId="3B38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345ABE4E">
            <w:pPr>
              <w:pStyle w:val="37"/>
              <w:autoSpaceDE w:val="0"/>
              <w:autoSpaceDN w:val="0"/>
              <w:adjustRightInd w:val="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napToGrid w:val="0"/>
                <w:color w:val="auto"/>
                <w:kern w:val="0"/>
                <w:sz w:val="24"/>
                <w:szCs w:val="24"/>
              </w:rPr>
              <w:t>评标基准价D</w:t>
            </w:r>
          </w:p>
        </w:tc>
        <w:tc>
          <w:tcPr>
            <w:tcW w:w="8524" w:type="dxa"/>
            <w:gridSpan w:val="2"/>
            <w:shd w:val="clear" w:color="auto" w:fill="auto"/>
            <w:vAlign w:val="center"/>
          </w:tcPr>
          <w:p w14:paraId="5FA1542E">
            <w:pPr>
              <w:wordWrap w:val="0"/>
              <w:adjustRightInd w:val="0"/>
              <w:snapToGrid w:val="0"/>
              <w:spacing w:line="360" w:lineRule="auto"/>
              <w:ind w:firstLine="240" w:firstLineChars="1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（1）确定最高投标限价下浮系数n：用1～21号球分别代表一个下浮系数，由评委代表从这21个号码中随机抽取 3 次，每次抽取1个号码，抽出的号球不参与下次抽取。所抽取的3个号码对应下浮系数的算术平均值作为最高投标限价下浮系数n。具体号码对应的下浮系数可参考下表。</w:t>
            </w:r>
          </w:p>
          <w:tbl>
            <w:tblPr>
              <w:tblStyle w:val="19"/>
              <w:tblW w:w="0" w:type="auto"/>
              <w:tblInd w:w="113" w:type="dxa"/>
              <w:tblLayout w:type="autofit"/>
              <w:tblCellMar>
                <w:top w:w="0" w:type="dxa"/>
                <w:left w:w="108" w:type="dxa"/>
                <w:bottom w:w="0" w:type="dxa"/>
                <w:right w:w="108" w:type="dxa"/>
              </w:tblCellMar>
            </w:tblPr>
            <w:tblGrid>
              <w:gridCol w:w="2274"/>
              <w:gridCol w:w="854"/>
              <w:gridCol w:w="745"/>
              <w:gridCol w:w="870"/>
              <w:gridCol w:w="885"/>
              <w:gridCol w:w="932"/>
              <w:gridCol w:w="745"/>
              <w:gridCol w:w="870"/>
            </w:tblGrid>
            <w:tr w14:paraId="2DCC8C60">
              <w:tblPrEx>
                <w:tblCellMar>
                  <w:top w:w="0" w:type="dxa"/>
                  <w:left w:w="108" w:type="dxa"/>
                  <w:bottom w:w="0" w:type="dxa"/>
                  <w:right w:w="108" w:type="dxa"/>
                </w:tblCellMar>
              </w:tblPrEx>
              <w:trPr>
                <w:trHeight w:val="387" w:hRule="exact"/>
              </w:trPr>
              <w:tc>
                <w:tcPr>
                  <w:tcW w:w="2274" w:type="dxa"/>
                  <w:tcBorders>
                    <w:top w:val="single" w:color="000000" w:sz="4" w:space="0"/>
                    <w:left w:val="single" w:color="000000" w:sz="4" w:space="0"/>
                    <w:bottom w:val="single" w:color="000000" w:sz="4" w:space="0"/>
                    <w:right w:val="single" w:color="000000" w:sz="4" w:space="0"/>
                  </w:tcBorders>
                  <w:vAlign w:val="center"/>
                </w:tcPr>
                <w:p w14:paraId="22472B4A">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号球</w:t>
                  </w:r>
                </w:p>
              </w:tc>
              <w:tc>
                <w:tcPr>
                  <w:tcW w:w="854" w:type="dxa"/>
                  <w:tcBorders>
                    <w:top w:val="single" w:color="000000" w:sz="4" w:space="0"/>
                    <w:left w:val="single" w:color="000000" w:sz="4" w:space="0"/>
                    <w:bottom w:val="single" w:color="000000" w:sz="4" w:space="0"/>
                    <w:right w:val="single" w:color="000000" w:sz="4" w:space="0"/>
                  </w:tcBorders>
                  <w:vAlign w:val="center"/>
                </w:tcPr>
                <w:p w14:paraId="3958BC15">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745" w:type="dxa"/>
                  <w:tcBorders>
                    <w:top w:val="single" w:color="000000" w:sz="4" w:space="0"/>
                    <w:left w:val="single" w:color="000000" w:sz="4" w:space="0"/>
                    <w:bottom w:val="single" w:color="000000" w:sz="4" w:space="0"/>
                    <w:right w:val="single" w:color="000000" w:sz="4" w:space="0"/>
                  </w:tcBorders>
                  <w:vAlign w:val="center"/>
                </w:tcPr>
                <w:p w14:paraId="0422BBD9">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870" w:type="dxa"/>
                  <w:tcBorders>
                    <w:top w:val="single" w:color="000000" w:sz="4" w:space="0"/>
                    <w:left w:val="single" w:color="000000" w:sz="4" w:space="0"/>
                    <w:bottom w:val="single" w:color="000000" w:sz="4" w:space="0"/>
                    <w:right w:val="single" w:color="000000" w:sz="4" w:space="0"/>
                  </w:tcBorders>
                  <w:vAlign w:val="center"/>
                </w:tcPr>
                <w:p w14:paraId="1A0E5B42">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885" w:type="dxa"/>
                  <w:tcBorders>
                    <w:top w:val="single" w:color="000000" w:sz="4" w:space="0"/>
                    <w:left w:val="single" w:color="000000" w:sz="4" w:space="0"/>
                    <w:bottom w:val="single" w:color="000000" w:sz="4" w:space="0"/>
                    <w:right w:val="single" w:color="000000" w:sz="4" w:space="0"/>
                  </w:tcBorders>
                  <w:vAlign w:val="center"/>
                </w:tcPr>
                <w:p w14:paraId="514900CD">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932" w:type="dxa"/>
                  <w:tcBorders>
                    <w:top w:val="single" w:color="000000" w:sz="4" w:space="0"/>
                    <w:left w:val="single" w:color="000000" w:sz="4" w:space="0"/>
                    <w:bottom w:val="single" w:color="000000" w:sz="4" w:space="0"/>
                    <w:right w:val="single" w:color="000000" w:sz="4" w:space="0"/>
                  </w:tcBorders>
                  <w:vAlign w:val="center"/>
                </w:tcPr>
                <w:p w14:paraId="4D5F2B69">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5F741964">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870" w:type="dxa"/>
                  <w:tcBorders>
                    <w:top w:val="single" w:color="000000" w:sz="4" w:space="0"/>
                    <w:left w:val="single" w:color="000000" w:sz="4" w:space="0"/>
                    <w:bottom w:val="single" w:color="000000" w:sz="4" w:space="0"/>
                    <w:right w:val="single" w:color="000000" w:sz="4" w:space="0"/>
                  </w:tcBorders>
                  <w:vAlign w:val="center"/>
                </w:tcPr>
                <w:p w14:paraId="4FE170FD">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r>
            <w:tr w14:paraId="1D300C37">
              <w:tblPrEx>
                <w:tblCellMar>
                  <w:top w:w="0" w:type="dxa"/>
                  <w:left w:w="108" w:type="dxa"/>
                  <w:bottom w:w="0" w:type="dxa"/>
                  <w:right w:w="108" w:type="dxa"/>
                </w:tblCellMar>
              </w:tblPrEx>
              <w:trPr>
                <w:trHeight w:val="387" w:hRule="exact"/>
              </w:trPr>
              <w:tc>
                <w:tcPr>
                  <w:tcW w:w="2274" w:type="dxa"/>
                  <w:tcBorders>
                    <w:top w:val="single" w:color="000000" w:sz="4" w:space="0"/>
                    <w:left w:val="single" w:color="000000" w:sz="4" w:space="0"/>
                    <w:bottom w:val="single" w:color="000000" w:sz="4" w:space="0"/>
                    <w:right w:val="single" w:color="000000" w:sz="4" w:space="0"/>
                  </w:tcBorders>
                  <w:vAlign w:val="center"/>
                </w:tcPr>
                <w:p w14:paraId="68514555">
                  <w:pPr>
                    <w:wordWrap w:val="0"/>
                    <w:adjustRightInd w:val="0"/>
                    <w:snapToGrid w:val="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下浮系数（%）</w:t>
                  </w:r>
                </w:p>
              </w:tc>
              <w:tc>
                <w:tcPr>
                  <w:tcW w:w="854" w:type="dxa"/>
                  <w:tcBorders>
                    <w:top w:val="single" w:color="000000" w:sz="4" w:space="0"/>
                    <w:left w:val="single" w:color="000000" w:sz="4" w:space="0"/>
                    <w:bottom w:val="single" w:color="000000" w:sz="4" w:space="0"/>
                    <w:right w:val="single" w:color="000000" w:sz="4" w:space="0"/>
                  </w:tcBorders>
                  <w:vAlign w:val="center"/>
                </w:tcPr>
                <w:p w14:paraId="32BC2574">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w:t>
                  </w:r>
                </w:p>
              </w:tc>
              <w:tc>
                <w:tcPr>
                  <w:tcW w:w="745" w:type="dxa"/>
                  <w:tcBorders>
                    <w:top w:val="single" w:color="000000" w:sz="4" w:space="0"/>
                    <w:left w:val="single" w:color="000000" w:sz="4" w:space="0"/>
                    <w:bottom w:val="single" w:color="000000" w:sz="4" w:space="0"/>
                    <w:right w:val="single" w:color="000000" w:sz="4" w:space="0"/>
                  </w:tcBorders>
                  <w:vAlign w:val="center"/>
                </w:tcPr>
                <w:p w14:paraId="4AE6B688">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w:t>
                  </w:r>
                </w:p>
              </w:tc>
              <w:tc>
                <w:tcPr>
                  <w:tcW w:w="870" w:type="dxa"/>
                  <w:tcBorders>
                    <w:top w:val="single" w:color="000000" w:sz="4" w:space="0"/>
                    <w:left w:val="single" w:color="000000" w:sz="4" w:space="0"/>
                    <w:bottom w:val="single" w:color="000000" w:sz="4" w:space="0"/>
                    <w:right w:val="single" w:color="000000" w:sz="4" w:space="0"/>
                  </w:tcBorders>
                  <w:vAlign w:val="center"/>
                </w:tcPr>
                <w:p w14:paraId="77A0FD0B">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w:t>
                  </w:r>
                </w:p>
              </w:tc>
              <w:tc>
                <w:tcPr>
                  <w:tcW w:w="885" w:type="dxa"/>
                  <w:tcBorders>
                    <w:top w:val="single" w:color="000000" w:sz="4" w:space="0"/>
                    <w:left w:val="single" w:color="000000" w:sz="4" w:space="0"/>
                    <w:bottom w:val="single" w:color="000000" w:sz="4" w:space="0"/>
                    <w:right w:val="single" w:color="000000" w:sz="4" w:space="0"/>
                  </w:tcBorders>
                  <w:vAlign w:val="center"/>
                </w:tcPr>
                <w:p w14:paraId="3A62422F">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w:t>
                  </w:r>
                </w:p>
              </w:tc>
              <w:tc>
                <w:tcPr>
                  <w:tcW w:w="932" w:type="dxa"/>
                  <w:tcBorders>
                    <w:top w:val="single" w:color="000000" w:sz="4" w:space="0"/>
                    <w:left w:val="single" w:color="000000" w:sz="4" w:space="0"/>
                    <w:bottom w:val="single" w:color="000000" w:sz="4" w:space="0"/>
                    <w:right w:val="single" w:color="000000" w:sz="4" w:space="0"/>
                  </w:tcBorders>
                  <w:vAlign w:val="center"/>
                </w:tcPr>
                <w:p w14:paraId="0DA67877">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w:t>
                  </w:r>
                </w:p>
              </w:tc>
              <w:tc>
                <w:tcPr>
                  <w:tcW w:w="745" w:type="dxa"/>
                  <w:tcBorders>
                    <w:top w:val="single" w:color="000000" w:sz="4" w:space="0"/>
                    <w:left w:val="single" w:color="000000" w:sz="4" w:space="0"/>
                    <w:bottom w:val="single" w:color="000000" w:sz="4" w:space="0"/>
                    <w:right w:val="single" w:color="000000" w:sz="4" w:space="0"/>
                  </w:tcBorders>
                  <w:vAlign w:val="center"/>
                </w:tcPr>
                <w:p w14:paraId="191369A8">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w:t>
                  </w:r>
                </w:p>
              </w:tc>
              <w:tc>
                <w:tcPr>
                  <w:tcW w:w="870" w:type="dxa"/>
                  <w:tcBorders>
                    <w:top w:val="single" w:color="000000" w:sz="4" w:space="0"/>
                    <w:left w:val="single" w:color="000000" w:sz="4" w:space="0"/>
                    <w:bottom w:val="single" w:color="000000" w:sz="4" w:space="0"/>
                    <w:right w:val="single" w:color="000000" w:sz="4" w:space="0"/>
                  </w:tcBorders>
                  <w:vAlign w:val="center"/>
                </w:tcPr>
                <w:p w14:paraId="0A610B3F">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w:t>
                  </w:r>
                </w:p>
              </w:tc>
            </w:tr>
            <w:tr w14:paraId="0EEABE1D">
              <w:tblPrEx>
                <w:tblCellMar>
                  <w:top w:w="0" w:type="dxa"/>
                  <w:left w:w="108" w:type="dxa"/>
                  <w:bottom w:w="0" w:type="dxa"/>
                  <w:right w:w="108" w:type="dxa"/>
                </w:tblCellMar>
              </w:tblPrEx>
              <w:trPr>
                <w:trHeight w:val="387" w:hRule="exact"/>
              </w:trPr>
              <w:tc>
                <w:tcPr>
                  <w:tcW w:w="2274" w:type="dxa"/>
                  <w:tcBorders>
                    <w:top w:val="single" w:color="000000" w:sz="4" w:space="0"/>
                    <w:left w:val="single" w:color="000000" w:sz="4" w:space="0"/>
                    <w:bottom w:val="single" w:color="000000" w:sz="4" w:space="0"/>
                    <w:right w:val="single" w:color="000000" w:sz="4" w:space="0"/>
                  </w:tcBorders>
                  <w:vAlign w:val="center"/>
                </w:tcPr>
                <w:p w14:paraId="6F49C05E">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号球</w:t>
                  </w:r>
                </w:p>
              </w:tc>
              <w:tc>
                <w:tcPr>
                  <w:tcW w:w="854" w:type="dxa"/>
                  <w:tcBorders>
                    <w:top w:val="single" w:color="000000" w:sz="4" w:space="0"/>
                    <w:left w:val="single" w:color="000000" w:sz="4" w:space="0"/>
                    <w:bottom w:val="single" w:color="000000" w:sz="4" w:space="0"/>
                    <w:right w:val="single" w:color="000000" w:sz="4" w:space="0"/>
                  </w:tcBorders>
                  <w:vAlign w:val="center"/>
                </w:tcPr>
                <w:p w14:paraId="2BDEC00C">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745" w:type="dxa"/>
                  <w:tcBorders>
                    <w:top w:val="single" w:color="000000" w:sz="4" w:space="0"/>
                    <w:left w:val="single" w:color="000000" w:sz="4" w:space="0"/>
                    <w:bottom w:val="single" w:color="000000" w:sz="4" w:space="0"/>
                    <w:right w:val="single" w:color="000000" w:sz="4" w:space="0"/>
                  </w:tcBorders>
                  <w:vAlign w:val="center"/>
                </w:tcPr>
                <w:p w14:paraId="164C029E">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p>
              </w:tc>
              <w:tc>
                <w:tcPr>
                  <w:tcW w:w="870" w:type="dxa"/>
                  <w:tcBorders>
                    <w:top w:val="single" w:color="000000" w:sz="4" w:space="0"/>
                    <w:left w:val="single" w:color="000000" w:sz="4" w:space="0"/>
                    <w:bottom w:val="single" w:color="000000" w:sz="4" w:space="0"/>
                    <w:right w:val="single" w:color="000000" w:sz="4" w:space="0"/>
                  </w:tcBorders>
                  <w:vAlign w:val="center"/>
                </w:tcPr>
                <w:p w14:paraId="2EC22733">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w:t>
                  </w:r>
                </w:p>
              </w:tc>
              <w:tc>
                <w:tcPr>
                  <w:tcW w:w="885" w:type="dxa"/>
                  <w:tcBorders>
                    <w:top w:val="single" w:color="000000" w:sz="4" w:space="0"/>
                    <w:left w:val="single" w:color="000000" w:sz="4" w:space="0"/>
                    <w:bottom w:val="single" w:color="000000" w:sz="4" w:space="0"/>
                    <w:right w:val="single" w:color="000000" w:sz="4" w:space="0"/>
                  </w:tcBorders>
                  <w:vAlign w:val="center"/>
                </w:tcPr>
                <w:p w14:paraId="3B9BCC0B">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w:t>
                  </w:r>
                </w:p>
              </w:tc>
              <w:tc>
                <w:tcPr>
                  <w:tcW w:w="932" w:type="dxa"/>
                  <w:tcBorders>
                    <w:top w:val="single" w:color="000000" w:sz="4" w:space="0"/>
                    <w:left w:val="single" w:color="000000" w:sz="4" w:space="0"/>
                    <w:bottom w:val="single" w:color="000000" w:sz="4" w:space="0"/>
                    <w:right w:val="single" w:color="000000" w:sz="4" w:space="0"/>
                  </w:tcBorders>
                  <w:vAlign w:val="center"/>
                </w:tcPr>
                <w:p w14:paraId="11079981">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w:t>
                  </w:r>
                </w:p>
              </w:tc>
              <w:tc>
                <w:tcPr>
                  <w:tcW w:w="745" w:type="dxa"/>
                  <w:tcBorders>
                    <w:top w:val="single" w:color="000000" w:sz="4" w:space="0"/>
                    <w:left w:val="single" w:color="000000" w:sz="4" w:space="0"/>
                    <w:bottom w:val="single" w:color="000000" w:sz="4" w:space="0"/>
                    <w:right w:val="single" w:color="000000" w:sz="4" w:space="0"/>
                  </w:tcBorders>
                  <w:vAlign w:val="center"/>
                </w:tcPr>
                <w:p w14:paraId="7CC63655">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w:t>
                  </w:r>
                </w:p>
              </w:tc>
              <w:tc>
                <w:tcPr>
                  <w:tcW w:w="870" w:type="dxa"/>
                  <w:tcBorders>
                    <w:top w:val="single" w:color="000000" w:sz="4" w:space="0"/>
                    <w:left w:val="single" w:color="000000" w:sz="4" w:space="0"/>
                    <w:bottom w:val="single" w:color="000000" w:sz="4" w:space="0"/>
                    <w:right w:val="single" w:color="000000" w:sz="4" w:space="0"/>
                  </w:tcBorders>
                  <w:vAlign w:val="center"/>
                </w:tcPr>
                <w:p w14:paraId="191BEFBD">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w:t>
                  </w:r>
                </w:p>
              </w:tc>
            </w:tr>
            <w:tr w14:paraId="49FD9A8F">
              <w:tblPrEx>
                <w:tblCellMar>
                  <w:top w:w="0" w:type="dxa"/>
                  <w:left w:w="108" w:type="dxa"/>
                  <w:bottom w:w="0" w:type="dxa"/>
                  <w:right w:w="108" w:type="dxa"/>
                </w:tblCellMar>
              </w:tblPrEx>
              <w:trPr>
                <w:trHeight w:val="387" w:hRule="exact"/>
              </w:trPr>
              <w:tc>
                <w:tcPr>
                  <w:tcW w:w="2274" w:type="dxa"/>
                  <w:tcBorders>
                    <w:top w:val="single" w:color="000000" w:sz="4" w:space="0"/>
                    <w:left w:val="single" w:color="000000" w:sz="4" w:space="0"/>
                    <w:bottom w:val="single" w:color="000000" w:sz="4" w:space="0"/>
                    <w:right w:val="single" w:color="000000" w:sz="4" w:space="0"/>
                  </w:tcBorders>
                  <w:vAlign w:val="center"/>
                </w:tcPr>
                <w:p w14:paraId="60D310AA">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下浮系数（%）</w:t>
                  </w:r>
                </w:p>
              </w:tc>
              <w:tc>
                <w:tcPr>
                  <w:tcW w:w="854" w:type="dxa"/>
                  <w:tcBorders>
                    <w:top w:val="single" w:color="000000" w:sz="4" w:space="0"/>
                    <w:left w:val="single" w:color="000000" w:sz="4" w:space="0"/>
                    <w:bottom w:val="single" w:color="000000" w:sz="4" w:space="0"/>
                    <w:right w:val="single" w:color="000000" w:sz="4" w:space="0"/>
                  </w:tcBorders>
                  <w:vAlign w:val="center"/>
                </w:tcPr>
                <w:p w14:paraId="0728B84B">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w:t>
                  </w:r>
                </w:p>
              </w:tc>
              <w:tc>
                <w:tcPr>
                  <w:tcW w:w="745" w:type="dxa"/>
                  <w:tcBorders>
                    <w:top w:val="single" w:color="000000" w:sz="4" w:space="0"/>
                    <w:left w:val="single" w:color="000000" w:sz="4" w:space="0"/>
                    <w:bottom w:val="single" w:color="000000" w:sz="4" w:space="0"/>
                    <w:right w:val="single" w:color="000000" w:sz="4" w:space="0"/>
                  </w:tcBorders>
                  <w:vAlign w:val="center"/>
                </w:tcPr>
                <w:p w14:paraId="27D11B31">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w:t>
                  </w:r>
                </w:p>
              </w:tc>
              <w:tc>
                <w:tcPr>
                  <w:tcW w:w="870" w:type="dxa"/>
                  <w:tcBorders>
                    <w:top w:val="single" w:color="000000" w:sz="4" w:space="0"/>
                    <w:left w:val="single" w:color="000000" w:sz="4" w:space="0"/>
                    <w:bottom w:val="single" w:color="000000" w:sz="4" w:space="0"/>
                    <w:right w:val="single" w:color="000000" w:sz="4" w:space="0"/>
                  </w:tcBorders>
                  <w:vAlign w:val="center"/>
                </w:tcPr>
                <w:p w14:paraId="28F36EBB">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w:t>
                  </w:r>
                </w:p>
              </w:tc>
              <w:tc>
                <w:tcPr>
                  <w:tcW w:w="885" w:type="dxa"/>
                  <w:tcBorders>
                    <w:top w:val="single" w:color="000000" w:sz="4" w:space="0"/>
                    <w:left w:val="single" w:color="000000" w:sz="4" w:space="0"/>
                    <w:bottom w:val="single" w:color="000000" w:sz="4" w:space="0"/>
                    <w:right w:val="single" w:color="000000" w:sz="4" w:space="0"/>
                  </w:tcBorders>
                  <w:vAlign w:val="center"/>
                </w:tcPr>
                <w:p w14:paraId="5F261065">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w:t>
                  </w:r>
                </w:p>
              </w:tc>
              <w:tc>
                <w:tcPr>
                  <w:tcW w:w="932" w:type="dxa"/>
                  <w:tcBorders>
                    <w:top w:val="single" w:color="000000" w:sz="4" w:space="0"/>
                    <w:left w:val="single" w:color="000000" w:sz="4" w:space="0"/>
                    <w:bottom w:val="single" w:color="000000" w:sz="4" w:space="0"/>
                    <w:right w:val="single" w:color="000000" w:sz="4" w:space="0"/>
                  </w:tcBorders>
                  <w:vAlign w:val="center"/>
                </w:tcPr>
                <w:p w14:paraId="391521AC">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p>
              </w:tc>
              <w:tc>
                <w:tcPr>
                  <w:tcW w:w="745" w:type="dxa"/>
                  <w:tcBorders>
                    <w:top w:val="single" w:color="000000" w:sz="4" w:space="0"/>
                    <w:left w:val="single" w:color="000000" w:sz="4" w:space="0"/>
                    <w:bottom w:val="single" w:color="000000" w:sz="4" w:space="0"/>
                    <w:right w:val="single" w:color="000000" w:sz="4" w:space="0"/>
                  </w:tcBorders>
                  <w:vAlign w:val="center"/>
                </w:tcPr>
                <w:p w14:paraId="2FA0301A">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w:t>
                  </w:r>
                </w:p>
              </w:tc>
              <w:tc>
                <w:tcPr>
                  <w:tcW w:w="870" w:type="dxa"/>
                  <w:tcBorders>
                    <w:top w:val="single" w:color="000000" w:sz="4" w:space="0"/>
                    <w:left w:val="single" w:color="000000" w:sz="4" w:space="0"/>
                    <w:bottom w:val="single" w:color="000000" w:sz="4" w:space="0"/>
                    <w:right w:val="single" w:color="000000" w:sz="4" w:space="0"/>
                  </w:tcBorders>
                  <w:vAlign w:val="center"/>
                </w:tcPr>
                <w:p w14:paraId="37C1F7EA">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w:t>
                  </w:r>
                </w:p>
              </w:tc>
            </w:tr>
            <w:tr w14:paraId="34FAA334">
              <w:tblPrEx>
                <w:tblCellMar>
                  <w:top w:w="0" w:type="dxa"/>
                  <w:left w:w="108" w:type="dxa"/>
                  <w:bottom w:w="0" w:type="dxa"/>
                  <w:right w:w="108" w:type="dxa"/>
                </w:tblCellMar>
              </w:tblPrEx>
              <w:trPr>
                <w:trHeight w:val="387" w:hRule="exact"/>
              </w:trPr>
              <w:tc>
                <w:tcPr>
                  <w:tcW w:w="2274" w:type="dxa"/>
                  <w:tcBorders>
                    <w:top w:val="single" w:color="000000" w:sz="4" w:space="0"/>
                    <w:left w:val="single" w:color="000000" w:sz="4" w:space="0"/>
                    <w:bottom w:val="single" w:color="000000" w:sz="4" w:space="0"/>
                    <w:right w:val="single" w:color="000000" w:sz="4" w:space="0"/>
                  </w:tcBorders>
                  <w:vAlign w:val="center"/>
                </w:tcPr>
                <w:p w14:paraId="261614AA">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号球</w:t>
                  </w:r>
                </w:p>
              </w:tc>
              <w:tc>
                <w:tcPr>
                  <w:tcW w:w="854" w:type="dxa"/>
                  <w:tcBorders>
                    <w:top w:val="single" w:color="000000" w:sz="4" w:space="0"/>
                    <w:left w:val="single" w:color="000000" w:sz="4" w:space="0"/>
                    <w:bottom w:val="single" w:color="000000" w:sz="4" w:space="0"/>
                    <w:right w:val="single" w:color="000000" w:sz="4" w:space="0"/>
                  </w:tcBorders>
                  <w:vAlign w:val="center"/>
                </w:tcPr>
                <w:p w14:paraId="258AC131">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w:t>
                  </w:r>
                </w:p>
              </w:tc>
              <w:tc>
                <w:tcPr>
                  <w:tcW w:w="745" w:type="dxa"/>
                  <w:tcBorders>
                    <w:top w:val="single" w:color="000000" w:sz="4" w:space="0"/>
                    <w:left w:val="single" w:color="000000" w:sz="4" w:space="0"/>
                    <w:bottom w:val="single" w:color="000000" w:sz="4" w:space="0"/>
                    <w:right w:val="single" w:color="000000" w:sz="4" w:space="0"/>
                  </w:tcBorders>
                  <w:vAlign w:val="center"/>
                </w:tcPr>
                <w:p w14:paraId="0942B5BF">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w:t>
                  </w:r>
                </w:p>
              </w:tc>
              <w:tc>
                <w:tcPr>
                  <w:tcW w:w="870" w:type="dxa"/>
                  <w:tcBorders>
                    <w:top w:val="single" w:color="000000" w:sz="4" w:space="0"/>
                    <w:left w:val="single" w:color="000000" w:sz="4" w:space="0"/>
                    <w:bottom w:val="single" w:color="000000" w:sz="4" w:space="0"/>
                    <w:right w:val="single" w:color="000000" w:sz="4" w:space="0"/>
                  </w:tcBorders>
                  <w:vAlign w:val="center"/>
                </w:tcPr>
                <w:p w14:paraId="4A83232A">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w:t>
                  </w:r>
                </w:p>
              </w:tc>
              <w:tc>
                <w:tcPr>
                  <w:tcW w:w="885" w:type="dxa"/>
                  <w:tcBorders>
                    <w:top w:val="single" w:color="000000" w:sz="4" w:space="0"/>
                    <w:left w:val="single" w:color="000000" w:sz="4" w:space="0"/>
                    <w:bottom w:val="single" w:color="000000" w:sz="4" w:space="0"/>
                    <w:right w:val="single" w:color="000000" w:sz="4" w:space="0"/>
                  </w:tcBorders>
                  <w:vAlign w:val="center"/>
                </w:tcPr>
                <w:p w14:paraId="2CEDC8DD">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w:t>
                  </w:r>
                </w:p>
              </w:tc>
              <w:tc>
                <w:tcPr>
                  <w:tcW w:w="932" w:type="dxa"/>
                  <w:tcBorders>
                    <w:top w:val="single" w:color="000000" w:sz="4" w:space="0"/>
                    <w:left w:val="single" w:color="000000" w:sz="4" w:space="0"/>
                    <w:bottom w:val="single" w:color="000000" w:sz="4" w:space="0"/>
                    <w:right w:val="single" w:color="000000" w:sz="4" w:space="0"/>
                  </w:tcBorders>
                  <w:vAlign w:val="center"/>
                </w:tcPr>
                <w:p w14:paraId="60A8DFFB">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w:t>
                  </w:r>
                </w:p>
              </w:tc>
              <w:tc>
                <w:tcPr>
                  <w:tcW w:w="745" w:type="dxa"/>
                  <w:tcBorders>
                    <w:top w:val="single" w:color="000000" w:sz="4" w:space="0"/>
                    <w:left w:val="single" w:color="000000" w:sz="4" w:space="0"/>
                    <w:bottom w:val="single" w:color="000000" w:sz="4" w:space="0"/>
                    <w:right w:val="single" w:color="000000" w:sz="4" w:space="0"/>
                  </w:tcBorders>
                  <w:vAlign w:val="center"/>
                </w:tcPr>
                <w:p w14:paraId="0C5CC7B0">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w:t>
                  </w:r>
                </w:p>
              </w:tc>
              <w:tc>
                <w:tcPr>
                  <w:tcW w:w="870" w:type="dxa"/>
                  <w:tcBorders>
                    <w:top w:val="single" w:color="000000" w:sz="4" w:space="0"/>
                    <w:left w:val="single" w:color="000000" w:sz="4" w:space="0"/>
                    <w:bottom w:val="single" w:color="000000" w:sz="4" w:space="0"/>
                    <w:right w:val="single" w:color="000000" w:sz="4" w:space="0"/>
                  </w:tcBorders>
                  <w:vAlign w:val="center"/>
                </w:tcPr>
                <w:p w14:paraId="4763509F">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p>
              </w:tc>
            </w:tr>
            <w:tr w14:paraId="52D9F509">
              <w:tblPrEx>
                <w:tblCellMar>
                  <w:top w:w="0" w:type="dxa"/>
                  <w:left w:w="108" w:type="dxa"/>
                  <w:bottom w:w="0" w:type="dxa"/>
                  <w:right w:w="108" w:type="dxa"/>
                </w:tblCellMar>
              </w:tblPrEx>
              <w:trPr>
                <w:trHeight w:val="396" w:hRule="exact"/>
              </w:trPr>
              <w:tc>
                <w:tcPr>
                  <w:tcW w:w="2274" w:type="dxa"/>
                  <w:tcBorders>
                    <w:top w:val="single" w:color="000000" w:sz="4" w:space="0"/>
                    <w:left w:val="single" w:color="000000" w:sz="4" w:space="0"/>
                    <w:bottom w:val="single" w:color="000000" w:sz="4" w:space="0"/>
                    <w:right w:val="single" w:color="000000" w:sz="4" w:space="0"/>
                  </w:tcBorders>
                  <w:vAlign w:val="center"/>
                </w:tcPr>
                <w:p w14:paraId="54772412">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下浮系数（%）</w:t>
                  </w:r>
                </w:p>
              </w:tc>
              <w:tc>
                <w:tcPr>
                  <w:tcW w:w="854" w:type="dxa"/>
                  <w:tcBorders>
                    <w:top w:val="single" w:color="000000" w:sz="4" w:space="0"/>
                    <w:left w:val="single" w:color="000000" w:sz="4" w:space="0"/>
                    <w:bottom w:val="single" w:color="000000" w:sz="4" w:space="0"/>
                    <w:right w:val="single" w:color="000000" w:sz="4" w:space="0"/>
                  </w:tcBorders>
                  <w:vAlign w:val="center"/>
                </w:tcPr>
                <w:p w14:paraId="0A447FBB">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w:t>
                  </w:r>
                </w:p>
              </w:tc>
              <w:tc>
                <w:tcPr>
                  <w:tcW w:w="745" w:type="dxa"/>
                  <w:tcBorders>
                    <w:top w:val="single" w:color="000000" w:sz="4" w:space="0"/>
                    <w:left w:val="single" w:color="000000" w:sz="4" w:space="0"/>
                    <w:bottom w:val="single" w:color="000000" w:sz="4" w:space="0"/>
                    <w:right w:val="single" w:color="000000" w:sz="4" w:space="0"/>
                  </w:tcBorders>
                  <w:vAlign w:val="center"/>
                </w:tcPr>
                <w:p w14:paraId="2F8AB35B">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2.5</w:t>
                  </w:r>
                </w:p>
              </w:tc>
              <w:tc>
                <w:tcPr>
                  <w:tcW w:w="870" w:type="dxa"/>
                  <w:tcBorders>
                    <w:top w:val="single" w:color="000000" w:sz="4" w:space="0"/>
                    <w:left w:val="single" w:color="000000" w:sz="4" w:space="0"/>
                    <w:bottom w:val="single" w:color="000000" w:sz="4" w:space="0"/>
                    <w:right w:val="single" w:color="000000" w:sz="4" w:space="0"/>
                  </w:tcBorders>
                  <w:vAlign w:val="center"/>
                </w:tcPr>
                <w:p w14:paraId="3C1D8C43">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2.6</w:t>
                  </w:r>
                </w:p>
              </w:tc>
              <w:tc>
                <w:tcPr>
                  <w:tcW w:w="885" w:type="dxa"/>
                  <w:tcBorders>
                    <w:top w:val="single" w:color="000000" w:sz="4" w:space="0"/>
                    <w:left w:val="single" w:color="000000" w:sz="4" w:space="0"/>
                    <w:bottom w:val="single" w:color="000000" w:sz="4" w:space="0"/>
                    <w:right w:val="single" w:color="000000" w:sz="4" w:space="0"/>
                  </w:tcBorders>
                  <w:vAlign w:val="center"/>
                </w:tcPr>
                <w:p w14:paraId="77DE90D5">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2.7</w:t>
                  </w:r>
                </w:p>
              </w:tc>
              <w:tc>
                <w:tcPr>
                  <w:tcW w:w="932" w:type="dxa"/>
                  <w:tcBorders>
                    <w:top w:val="single" w:color="000000" w:sz="4" w:space="0"/>
                    <w:left w:val="single" w:color="000000" w:sz="4" w:space="0"/>
                    <w:bottom w:val="single" w:color="000000" w:sz="4" w:space="0"/>
                    <w:right w:val="single" w:color="000000" w:sz="4" w:space="0"/>
                  </w:tcBorders>
                  <w:vAlign w:val="center"/>
                </w:tcPr>
                <w:p w14:paraId="5CE99496">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2.8</w:t>
                  </w:r>
                </w:p>
              </w:tc>
              <w:tc>
                <w:tcPr>
                  <w:tcW w:w="745" w:type="dxa"/>
                  <w:tcBorders>
                    <w:top w:val="single" w:color="000000" w:sz="4" w:space="0"/>
                    <w:left w:val="single" w:color="000000" w:sz="4" w:space="0"/>
                    <w:bottom w:val="single" w:color="000000" w:sz="4" w:space="0"/>
                    <w:right w:val="single" w:color="000000" w:sz="4" w:space="0"/>
                  </w:tcBorders>
                  <w:vAlign w:val="center"/>
                </w:tcPr>
                <w:p w14:paraId="1C1A9F2C">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2.9</w:t>
                  </w:r>
                </w:p>
              </w:tc>
              <w:tc>
                <w:tcPr>
                  <w:tcW w:w="870" w:type="dxa"/>
                  <w:tcBorders>
                    <w:top w:val="single" w:color="000000" w:sz="4" w:space="0"/>
                    <w:left w:val="single" w:color="000000" w:sz="4" w:space="0"/>
                    <w:bottom w:val="single" w:color="000000" w:sz="4" w:space="0"/>
                    <w:right w:val="single" w:color="000000" w:sz="4" w:space="0"/>
                  </w:tcBorders>
                  <w:vAlign w:val="center"/>
                </w:tcPr>
                <w:p w14:paraId="1BE4ECE6">
                  <w:pPr>
                    <w:wordWrap w:val="0"/>
                    <w:adjustRightInd w:val="0"/>
                    <w:snapToGrid w:val="0"/>
                    <w:spacing w:line="40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3.0</w:t>
                  </w:r>
                </w:p>
              </w:tc>
            </w:tr>
          </w:tbl>
          <w:p w14:paraId="43242B05">
            <w:pPr>
              <w:widowControl/>
              <w:spacing w:line="360" w:lineRule="auto"/>
              <w:ind w:firstLine="240" w:firstLineChars="1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（2）评标基准价D＝最高投标限价×（1－n）</w:t>
            </w:r>
          </w:p>
        </w:tc>
      </w:tr>
      <w:tr w14:paraId="4DCB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0F5645DE">
            <w:pPr>
              <w:pStyle w:val="38"/>
              <w:numPr>
                <w:ins w:id="0" w:author="张建梅" w:date=""/>
              </w:numPr>
              <w:wordWrap w:val="0"/>
              <w:adjustRightInd w:val="0"/>
              <w:snapToGrid w:val="0"/>
              <w:spacing w:line="360" w:lineRule="auto"/>
              <w:jc w:val="center"/>
              <w:rPr>
                <w:rFonts w:hint="eastAsia" w:ascii="宋体" w:hAnsi="宋体" w:eastAsia="宋体" w:cs="宋体"/>
                <w:b w:val="0"/>
                <w:bCs w:val="0"/>
                <w:snapToGrid w:val="0"/>
                <w:color w:val="auto"/>
                <w:kern w:val="0"/>
                <w:sz w:val="24"/>
                <w:szCs w:val="24"/>
              </w:rPr>
            </w:pPr>
            <w:r>
              <w:rPr>
                <w:rFonts w:hint="eastAsia" w:ascii="宋体" w:hAnsi="宋体" w:eastAsia="宋体" w:cs="宋体"/>
                <w:b w:val="0"/>
                <w:bCs w:val="0"/>
                <w:snapToGrid w:val="0"/>
                <w:color w:val="auto"/>
                <w:kern w:val="0"/>
                <w:sz w:val="24"/>
                <w:szCs w:val="24"/>
              </w:rPr>
              <w:t>投标报价</w:t>
            </w:r>
          </w:p>
          <w:p w14:paraId="1B8200BF">
            <w:pPr>
              <w:pStyle w:val="38"/>
              <w:numPr>
                <w:ins w:id="1" w:author="张建梅" w:date=""/>
              </w:numPr>
              <w:wordWrap w:val="0"/>
              <w:adjustRightInd w:val="0"/>
              <w:snapToGrid w:val="0"/>
              <w:spacing w:line="360" w:lineRule="auto"/>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napToGrid w:val="0"/>
                <w:color w:val="auto"/>
                <w:kern w:val="0"/>
                <w:sz w:val="24"/>
                <w:szCs w:val="24"/>
              </w:rPr>
              <w:t>得分M</w:t>
            </w:r>
            <w:r>
              <w:rPr>
                <w:rFonts w:hint="eastAsia" w:ascii="宋体" w:hAnsi="宋体" w:eastAsia="宋体" w:cs="宋体"/>
                <w:b w:val="0"/>
                <w:bCs w:val="0"/>
                <w:snapToGrid w:val="0"/>
                <w:color w:val="auto"/>
                <w:kern w:val="0"/>
                <w:sz w:val="24"/>
                <w:szCs w:val="24"/>
                <w:vertAlign w:val="subscript"/>
              </w:rPr>
              <w:t>3</w:t>
            </w:r>
          </w:p>
        </w:tc>
        <w:tc>
          <w:tcPr>
            <w:tcW w:w="8524" w:type="dxa"/>
            <w:gridSpan w:val="2"/>
            <w:shd w:val="clear" w:color="auto" w:fill="auto"/>
            <w:vAlign w:val="center"/>
          </w:tcPr>
          <w:p w14:paraId="68B1A96A">
            <w:pPr>
              <w:wordWrap w:val="0"/>
              <w:adjustRightInd w:val="0"/>
              <w:snapToGrid w:val="0"/>
              <w:spacing w:line="360" w:lineRule="auto"/>
              <w:ind w:firstLine="480" w:firstLineChars="200"/>
              <w:jc w:val="left"/>
              <w:rPr>
                <w:rFonts w:hint="eastAsia" w:ascii="宋体" w:hAnsi="宋体" w:eastAsia="宋体" w:cs="宋体"/>
                <w:b w:val="0"/>
                <w:bCs w:val="0"/>
                <w:snapToGrid w:val="0"/>
                <w:color w:val="auto"/>
                <w:kern w:val="0"/>
                <w:sz w:val="24"/>
                <w:szCs w:val="24"/>
              </w:rPr>
            </w:pPr>
            <w:r>
              <w:rPr>
                <w:rFonts w:hint="eastAsia" w:ascii="宋体" w:hAnsi="宋体" w:eastAsia="宋体" w:cs="宋体"/>
                <w:b w:val="0"/>
                <w:bCs w:val="0"/>
                <w:snapToGrid w:val="0"/>
                <w:color w:val="auto"/>
                <w:kern w:val="0"/>
                <w:sz w:val="24"/>
                <w:szCs w:val="24"/>
              </w:rPr>
              <w:t>采用内插法计算某投标人的投标报价得分M</w:t>
            </w:r>
            <w:r>
              <w:rPr>
                <w:rFonts w:hint="eastAsia" w:ascii="宋体" w:hAnsi="宋体" w:eastAsia="宋体" w:cs="宋体"/>
                <w:b w:val="0"/>
                <w:bCs w:val="0"/>
                <w:snapToGrid w:val="0"/>
                <w:color w:val="auto"/>
                <w:kern w:val="0"/>
                <w:sz w:val="24"/>
                <w:szCs w:val="24"/>
                <w:vertAlign w:val="subscript"/>
              </w:rPr>
              <w:t>3</w:t>
            </w:r>
            <w:r>
              <w:rPr>
                <w:rFonts w:hint="eastAsia" w:ascii="宋体" w:hAnsi="宋体" w:eastAsia="宋体" w:cs="宋体"/>
                <w:b w:val="0"/>
                <w:bCs w:val="0"/>
                <w:snapToGrid w:val="0"/>
                <w:color w:val="auto"/>
                <w:kern w:val="0"/>
                <w:sz w:val="24"/>
                <w:szCs w:val="24"/>
              </w:rPr>
              <w:t>，即当投标人的投标总价等于评标基准价时得</w:t>
            </w:r>
            <w:r>
              <w:rPr>
                <w:rFonts w:hint="eastAsia" w:ascii="宋体" w:hAnsi="宋体" w:eastAsia="宋体" w:cs="宋体"/>
                <w:b w:val="0"/>
                <w:bCs w:val="0"/>
                <w:snapToGrid w:val="0"/>
                <w:color w:val="auto"/>
                <w:kern w:val="0"/>
                <w:sz w:val="24"/>
                <w:szCs w:val="24"/>
                <w:lang w:val="en-US" w:eastAsia="zh-CN"/>
              </w:rPr>
              <w:t>20</w:t>
            </w:r>
            <w:r>
              <w:rPr>
                <w:rFonts w:hint="eastAsia" w:ascii="宋体" w:hAnsi="宋体" w:eastAsia="宋体" w:cs="宋体"/>
                <w:b w:val="0"/>
                <w:bCs w:val="0"/>
                <w:snapToGrid w:val="0"/>
                <w:color w:val="auto"/>
                <w:kern w:val="0"/>
                <w:sz w:val="24"/>
                <w:szCs w:val="24"/>
              </w:rPr>
              <w:t>分，每高于评标基准价一个百分点扣1分, 每低于评标基准价一个百分点扣0.5分，扣完为止。公式如下：</w:t>
            </w:r>
          </w:p>
          <w:p w14:paraId="0C950295">
            <w:pPr>
              <w:wordWrap w:val="0"/>
              <w:adjustRightInd w:val="0"/>
              <w:snapToGrid w:val="0"/>
              <w:spacing w:line="360" w:lineRule="auto"/>
              <w:ind w:firstLine="480" w:firstLineChars="200"/>
              <w:jc w:val="left"/>
              <w:rPr>
                <w:rFonts w:hint="eastAsia" w:ascii="宋体" w:hAnsi="宋体" w:eastAsia="宋体" w:cs="宋体"/>
                <w:b w:val="0"/>
                <w:bCs w:val="0"/>
                <w:snapToGrid w:val="0"/>
                <w:color w:val="auto"/>
                <w:kern w:val="0"/>
                <w:sz w:val="24"/>
                <w:szCs w:val="24"/>
              </w:rPr>
            </w:pPr>
            <w:r>
              <w:rPr>
                <w:rFonts w:hint="eastAsia" w:ascii="宋体" w:hAnsi="宋体" w:eastAsia="宋体" w:cs="宋体"/>
                <w:b w:val="0"/>
                <w:bCs w:val="0"/>
                <w:snapToGrid w:val="0"/>
                <w:color w:val="auto"/>
                <w:kern w:val="0"/>
                <w:sz w:val="24"/>
                <w:szCs w:val="24"/>
              </w:rPr>
              <w:t>M</w:t>
            </w:r>
            <w:r>
              <w:rPr>
                <w:rFonts w:hint="eastAsia" w:ascii="宋体" w:hAnsi="宋体" w:eastAsia="宋体" w:cs="宋体"/>
                <w:b w:val="0"/>
                <w:bCs w:val="0"/>
                <w:snapToGrid w:val="0"/>
                <w:color w:val="auto"/>
                <w:kern w:val="0"/>
                <w:sz w:val="24"/>
                <w:szCs w:val="24"/>
                <w:vertAlign w:val="subscript"/>
              </w:rPr>
              <w:t>3</w:t>
            </w:r>
            <w:r>
              <w:rPr>
                <w:rFonts w:hint="eastAsia" w:ascii="宋体" w:hAnsi="宋体" w:eastAsia="宋体" w:cs="宋体"/>
                <w:b w:val="0"/>
                <w:bCs w:val="0"/>
                <w:snapToGrid w:val="0"/>
                <w:color w:val="auto"/>
                <w:kern w:val="0"/>
                <w:sz w:val="24"/>
                <w:szCs w:val="24"/>
              </w:rPr>
              <w:t>＝</w:t>
            </w:r>
            <w:r>
              <w:rPr>
                <w:rFonts w:hint="eastAsia" w:ascii="宋体" w:hAnsi="宋体" w:eastAsia="宋体" w:cs="宋体"/>
                <w:b w:val="0"/>
                <w:bCs w:val="0"/>
                <w:snapToGrid w:val="0"/>
                <w:color w:val="auto"/>
                <w:kern w:val="0"/>
                <w:sz w:val="24"/>
                <w:szCs w:val="24"/>
                <w:lang w:val="en-US" w:eastAsia="zh-CN"/>
              </w:rPr>
              <w:t>20</w:t>
            </w:r>
            <w:r>
              <w:rPr>
                <w:rFonts w:hint="eastAsia" w:ascii="宋体" w:hAnsi="宋体" w:eastAsia="宋体" w:cs="宋体"/>
                <w:b w:val="0"/>
                <w:bCs w:val="0"/>
                <w:snapToGrid w:val="0"/>
                <w:color w:val="auto"/>
                <w:kern w:val="0"/>
                <w:sz w:val="24"/>
                <w:szCs w:val="24"/>
              </w:rPr>
              <w:t>－（| Di－D | ÷D）×100×E</w:t>
            </w:r>
          </w:p>
          <w:p w14:paraId="44746C71">
            <w:pPr>
              <w:wordWrap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napToGrid w:val="0"/>
                <w:color w:val="auto"/>
                <w:kern w:val="0"/>
                <w:sz w:val="24"/>
                <w:szCs w:val="24"/>
              </w:rPr>
              <w:t>式中：D为评标基准价；Di为某投标人的投标总价；E为扣分因子，当Di＞D时，E＝1；当Di＜D时，E＝0.5。</w:t>
            </w:r>
          </w:p>
        </w:tc>
      </w:tr>
      <w:tr w14:paraId="7131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shd w:val="clear" w:color="auto" w:fill="auto"/>
            <w:vAlign w:val="center"/>
          </w:tcPr>
          <w:p w14:paraId="5852979C">
            <w:pPr>
              <w:pStyle w:val="38"/>
              <w:wordWrap w:val="0"/>
              <w:adjustRightInd w:val="0"/>
              <w:snapToGrid w:val="0"/>
              <w:spacing w:line="360" w:lineRule="auto"/>
              <w:jc w:val="center"/>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eastAsia="zh-CN"/>
              </w:rPr>
              <w:t>得分合计</w:t>
            </w:r>
          </w:p>
        </w:tc>
        <w:tc>
          <w:tcPr>
            <w:tcW w:w="8524" w:type="dxa"/>
            <w:gridSpan w:val="2"/>
            <w:shd w:val="clear" w:color="auto" w:fill="auto"/>
            <w:vAlign w:val="center"/>
          </w:tcPr>
          <w:p w14:paraId="7783ED04">
            <w:pPr>
              <w:widowControl w:val="0"/>
              <w:wordWrap w:val="0"/>
              <w:adjustRightInd w:val="0"/>
              <w:snapToGrid w:val="0"/>
              <w:spacing w:line="360" w:lineRule="auto"/>
              <w:jc w:val="center"/>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eastAsia="zh-CN"/>
              </w:rPr>
              <w:t>商务部分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snapToGrid w:val="0"/>
                <w:color w:val="auto"/>
                <w:kern w:val="0"/>
                <w:sz w:val="24"/>
                <w:szCs w:val="24"/>
                <w:lang w:val="en-US" w:eastAsia="zh-CN"/>
              </w:rPr>
              <w:t>技术部分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snapToGrid w:val="0"/>
                <w:color w:val="auto"/>
                <w:kern w:val="0"/>
                <w:sz w:val="24"/>
                <w:szCs w:val="24"/>
                <w:lang w:val="en-US" w:eastAsia="zh-CN"/>
              </w:rPr>
              <w:t>投标报价</w:t>
            </w:r>
          </w:p>
        </w:tc>
      </w:tr>
    </w:tbl>
    <w:p w14:paraId="2CE09D6E">
      <w:pPr>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注：除特别注明外，综合得分以及商务得分、技术得分、投标报价得分的中间过程计算值和最终值，均按“四舍五入”原则精确到两位小数。</w:t>
      </w:r>
    </w:p>
    <w:p w14:paraId="295898DE">
      <w:pPr>
        <w:pStyle w:val="2"/>
        <w:ind w:left="0" w:leftChars="0" w:firstLine="0" w:firstLineChars="0"/>
        <w:rPr>
          <w:rFonts w:hint="eastAsia" w:ascii="宋体" w:hAnsi="宋体" w:eastAsia="宋体" w:cs="宋体"/>
          <w:snapToGrid w:val="0"/>
          <w:color w:val="auto"/>
          <w:kern w:val="0"/>
          <w:sz w:val="24"/>
          <w:highlight w:val="none"/>
        </w:rPr>
      </w:pPr>
    </w:p>
    <w:p w14:paraId="34C816DD">
      <w:pPr>
        <w:pStyle w:val="2"/>
        <w:ind w:left="0" w:leftChars="0" w:firstLine="0" w:firstLineChars="0"/>
        <w:rPr>
          <w:rFonts w:hint="eastAsia" w:ascii="宋体" w:hAnsi="宋体" w:eastAsia="宋体" w:cs="宋体"/>
          <w:snapToGrid w:val="0"/>
          <w:color w:val="auto"/>
          <w:kern w:val="0"/>
          <w:sz w:val="24"/>
          <w:highlight w:val="none"/>
        </w:rPr>
      </w:pPr>
    </w:p>
    <w:p w14:paraId="2C1C37B4">
      <w:pPr>
        <w:pStyle w:val="2"/>
        <w:ind w:left="0" w:leftChars="0" w:firstLine="0" w:firstLineChars="0"/>
        <w:rPr>
          <w:rFonts w:hint="eastAsia" w:ascii="宋体" w:hAnsi="宋体" w:eastAsia="宋体" w:cs="宋体"/>
          <w:snapToGrid w:val="0"/>
          <w:color w:val="auto"/>
          <w:kern w:val="0"/>
          <w:sz w:val="24"/>
          <w:highlight w:val="none"/>
        </w:rPr>
      </w:pPr>
    </w:p>
    <w:p w14:paraId="74E74406">
      <w:pPr>
        <w:spacing w:before="155" w:line="360" w:lineRule="auto"/>
        <w:ind w:firstLine="470" w:firstLineChars="200"/>
        <w:outlineLvl w:val="9"/>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否决投标说明</w:t>
      </w:r>
    </w:p>
    <w:p w14:paraId="73BE47A7">
      <w:pPr>
        <w:spacing w:before="150" w:line="360" w:lineRule="auto"/>
        <w:ind w:right="195" w:firstLine="460" w:firstLineChars="200"/>
        <w:outlineLvl w:val="9"/>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w:t>
      </w:r>
      <w:r>
        <w:rPr>
          <w:rFonts w:hint="eastAsia" w:ascii="宋体" w:hAnsi="宋体" w:eastAsia="宋体" w:cs="宋体"/>
          <w:color w:val="auto"/>
          <w:spacing w:val="-5"/>
          <w:sz w:val="24"/>
          <w:szCs w:val="24"/>
          <w:highlight w:val="none"/>
          <w:lang w:val="en-US" w:eastAsia="zh-CN"/>
        </w:rPr>
        <w:t>五</w:t>
      </w:r>
      <w:r>
        <w:rPr>
          <w:rFonts w:hint="eastAsia" w:ascii="宋体" w:hAnsi="宋体" w:eastAsia="宋体" w:cs="宋体"/>
          <w:color w:val="auto"/>
          <w:spacing w:val="-5"/>
          <w:sz w:val="24"/>
          <w:szCs w:val="24"/>
          <w:highlight w:val="none"/>
        </w:rPr>
        <w:t>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171E132E">
      <w:pPr>
        <w:spacing w:before="59" w:line="360" w:lineRule="auto"/>
        <w:ind w:left="10" w:right="195" w:firstLine="480"/>
        <w:jc w:val="both"/>
        <w:outlineLvl w:val="9"/>
        <w:rPr>
          <w:rFonts w:hint="eastAsia" w:ascii="宋体" w:hAnsi="宋体" w:eastAsia="宋体" w:cs="宋体"/>
          <w:b/>
          <w:snapToGrid w:val="0"/>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bookmarkStart w:id="121" w:name="bookmark137"/>
      <w:bookmarkEnd w:id="121"/>
      <w:bookmarkStart w:id="122" w:name="bookmark138"/>
      <w:bookmarkEnd w:id="122"/>
      <w:bookmarkStart w:id="123" w:name="_Toc13897"/>
      <w:bookmarkStart w:id="124" w:name="_Toc7762"/>
      <w:bookmarkStart w:id="125" w:name="_Toc2769"/>
      <w:bookmarkStart w:id="126" w:name="_Toc18711"/>
      <w:bookmarkStart w:id="127" w:name="_Toc19232"/>
      <w:bookmarkStart w:id="128" w:name="_Toc32569"/>
      <w:bookmarkStart w:id="129" w:name="_Toc10900"/>
    </w:p>
    <w:p w14:paraId="56F1DA8E">
      <w:pPr>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firstLine="480"/>
        <w:jc w:val="both"/>
        <w:textAlignment w:val="auto"/>
        <w:outlineLvl w:val="9"/>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lang w:val="en-US" w:eastAsia="zh-CN"/>
        </w:rPr>
        <w:t>7</w:t>
      </w:r>
      <w:r>
        <w:rPr>
          <w:rFonts w:hint="eastAsia" w:ascii="宋体" w:hAnsi="宋体" w:eastAsia="宋体" w:cs="宋体"/>
          <w:b/>
          <w:snapToGrid w:val="0"/>
          <w:color w:val="auto"/>
          <w:sz w:val="24"/>
          <w:szCs w:val="24"/>
          <w:highlight w:val="none"/>
          <w:lang w:eastAsia="zh-CN"/>
        </w:rPr>
        <w:t>.</w:t>
      </w:r>
      <w:bookmarkEnd w:id="123"/>
      <w:bookmarkEnd w:id="124"/>
      <w:bookmarkEnd w:id="125"/>
      <w:bookmarkEnd w:id="126"/>
      <w:bookmarkEnd w:id="127"/>
      <w:r>
        <w:rPr>
          <w:rFonts w:hint="eastAsia" w:ascii="宋体" w:hAnsi="宋体" w:eastAsia="宋体" w:cs="宋体"/>
          <w:b/>
          <w:snapToGrid w:val="0"/>
          <w:color w:val="auto"/>
          <w:sz w:val="24"/>
          <w:szCs w:val="24"/>
          <w:highlight w:val="none"/>
          <w:lang w:eastAsia="zh-CN"/>
        </w:rPr>
        <w:t>评标结果公示</w:t>
      </w:r>
      <w:bookmarkEnd w:id="128"/>
      <w:bookmarkEnd w:id="129"/>
    </w:p>
    <w:p w14:paraId="3B4F94FC">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1293F41B">
      <w:pPr>
        <w:rPr>
          <w:rFonts w:hint="eastAsia" w:ascii="宋体" w:hAnsi="宋体" w:eastAsia="宋体" w:cs="宋体"/>
          <w:color w:val="auto"/>
          <w:lang w:val="en-US" w:eastAsia="zh-CN"/>
        </w:rPr>
      </w:pPr>
    </w:p>
    <w:p w14:paraId="051EC012">
      <w:pPr>
        <w:rPr>
          <w:rFonts w:hint="eastAsia" w:ascii="宋体" w:hAnsi="宋体" w:eastAsia="宋体" w:cs="宋体"/>
          <w:color w:val="auto"/>
          <w:lang w:val="en-US" w:eastAsia="zh-CN"/>
        </w:rPr>
      </w:pPr>
    </w:p>
    <w:p w14:paraId="6ED884CC">
      <w:pPr>
        <w:rPr>
          <w:rFonts w:hint="eastAsia" w:ascii="宋体" w:hAnsi="宋体" w:eastAsia="宋体" w:cs="宋体"/>
          <w:color w:val="auto"/>
          <w:lang w:val="en-US" w:eastAsia="zh-CN"/>
        </w:rPr>
      </w:pPr>
    </w:p>
    <w:p w14:paraId="2AECD73D">
      <w:pPr>
        <w:pStyle w:val="2"/>
        <w:ind w:left="0" w:leftChars="0" w:firstLine="0" w:firstLineChars="0"/>
        <w:rPr>
          <w:rFonts w:hint="eastAsia" w:ascii="宋体" w:hAnsi="宋体" w:eastAsia="宋体" w:cs="宋体"/>
          <w:color w:val="auto"/>
          <w:lang w:val="en-US" w:eastAsia="zh-CN"/>
        </w:rPr>
      </w:pPr>
    </w:p>
    <w:p w14:paraId="11A2AAD0">
      <w:pPr>
        <w:pStyle w:val="2"/>
        <w:ind w:left="0" w:leftChars="0" w:firstLine="0" w:firstLineChars="0"/>
        <w:rPr>
          <w:rFonts w:hint="eastAsia" w:ascii="宋体" w:hAnsi="宋体" w:eastAsia="宋体" w:cs="宋体"/>
          <w:color w:val="auto"/>
          <w:lang w:val="en-US" w:eastAsia="zh-CN"/>
        </w:rPr>
      </w:pPr>
    </w:p>
    <w:p w14:paraId="7FC81D99">
      <w:pPr>
        <w:pStyle w:val="2"/>
        <w:ind w:left="0" w:leftChars="0" w:firstLine="0" w:firstLineChars="0"/>
        <w:rPr>
          <w:rFonts w:hint="eastAsia" w:ascii="宋体" w:hAnsi="宋体" w:eastAsia="宋体" w:cs="宋体"/>
          <w:color w:val="auto"/>
          <w:lang w:val="en-US" w:eastAsia="zh-CN"/>
        </w:rPr>
      </w:pPr>
    </w:p>
    <w:p w14:paraId="7644BF44">
      <w:pPr>
        <w:rPr>
          <w:rFonts w:hint="eastAsia" w:ascii="宋体" w:hAnsi="宋体" w:eastAsia="宋体" w:cs="宋体"/>
          <w:color w:val="auto"/>
          <w:lang w:val="en-US" w:eastAsia="zh-CN"/>
        </w:rPr>
      </w:pPr>
    </w:p>
    <w:p w14:paraId="000FC4E4">
      <w:pPr>
        <w:pStyle w:val="5"/>
        <w:wordWrap w:val="0"/>
        <w:autoSpaceDE/>
        <w:autoSpaceDN/>
        <w:snapToGrid w:val="0"/>
        <w:spacing w:after="260" w:line="440" w:lineRule="exact"/>
        <w:jc w:val="both"/>
        <w:rPr>
          <w:rFonts w:hint="eastAsia" w:ascii="宋体" w:hAnsi="宋体" w:eastAsia="宋体" w:cs="宋体"/>
          <w:b/>
          <w:snapToGrid w:val="0"/>
          <w:color w:val="auto"/>
          <w:sz w:val="24"/>
          <w:highlight w:val="none"/>
          <w:lang w:val="en-US" w:eastAsia="zh-CN"/>
        </w:rPr>
      </w:pPr>
      <w:bookmarkStart w:id="130" w:name="_Toc25350"/>
      <w:bookmarkStart w:id="131" w:name="_Toc24124"/>
      <w:bookmarkStart w:id="132" w:name="_Toc22509"/>
      <w:r>
        <w:rPr>
          <w:rFonts w:hint="eastAsia" w:ascii="宋体" w:hAnsi="宋体" w:eastAsia="宋体" w:cs="宋体"/>
          <w:b/>
          <w:snapToGrid w:val="0"/>
          <w:color w:val="auto"/>
          <w:sz w:val="24"/>
          <w:highlight w:val="none"/>
          <w:lang w:val="en-US" w:eastAsia="zh-CN"/>
        </w:rPr>
        <w:t>第五节   否决投标条件</w:t>
      </w:r>
      <w:bookmarkEnd w:id="130"/>
      <w:bookmarkEnd w:id="131"/>
      <w:bookmarkEnd w:id="132"/>
    </w:p>
    <w:p w14:paraId="45B2853B">
      <w:pPr>
        <w:wordWrap w:val="0"/>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sz w:val="24"/>
          <w:highlight w:val="none"/>
        </w:rPr>
        <w:t>投标人未有列入本节情形的，评标时一律不得否决其投标。</w:t>
      </w:r>
      <w:r>
        <w:rPr>
          <w:rFonts w:hint="eastAsia" w:ascii="宋体" w:hAnsi="宋体" w:eastAsia="宋体" w:cs="宋体"/>
          <w:snapToGrid w:val="0"/>
          <w:color w:val="auto"/>
          <w:kern w:val="0"/>
          <w:sz w:val="24"/>
          <w:highlight w:val="none"/>
        </w:rPr>
        <w:t>本节所称“规定”均指招标文件的规定。</w:t>
      </w:r>
    </w:p>
    <w:p w14:paraId="69B4895D">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133" w:name="_Toc4846"/>
      <w:bookmarkStart w:id="134" w:name="_Toc30448"/>
      <w:bookmarkStart w:id="135" w:name="_Toc10871"/>
      <w:r>
        <w:rPr>
          <w:rFonts w:hint="eastAsia" w:ascii="宋体" w:hAnsi="宋体" w:eastAsia="宋体" w:cs="宋体"/>
          <w:b/>
          <w:snapToGrid w:val="0"/>
          <w:color w:val="auto"/>
          <w:sz w:val="24"/>
          <w:highlight w:val="none"/>
          <w:lang w:eastAsia="zh-CN"/>
        </w:rPr>
        <w:t>1.</w:t>
      </w:r>
      <w:r>
        <w:rPr>
          <w:rFonts w:hint="eastAsia" w:ascii="宋体" w:hAnsi="宋体" w:eastAsia="宋体" w:cs="宋体"/>
          <w:b/>
          <w:snapToGrid w:val="0"/>
          <w:color w:val="auto"/>
          <w:sz w:val="24"/>
          <w:highlight w:val="none"/>
        </w:rPr>
        <w:t>资格评审环节</w:t>
      </w:r>
      <w:bookmarkEnd w:id="133"/>
      <w:bookmarkEnd w:id="134"/>
      <w:bookmarkEnd w:id="135"/>
    </w:p>
    <w:p w14:paraId="27F21F8B">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投标人有下列情形之一的，评标委员会应否决其投标。被否决的投标人，不进入形式评审环节。</w:t>
      </w:r>
    </w:p>
    <w:p w14:paraId="013C7376">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（1）有本章第三节第</w:t>
      </w:r>
      <w:r>
        <w:rPr>
          <w:rFonts w:hint="eastAsia" w:ascii="宋体" w:hAnsi="宋体" w:eastAsia="宋体" w:cs="宋体"/>
          <w:b/>
          <w:bCs/>
          <w:snapToGrid w:val="0"/>
          <w:color w:val="auto"/>
          <w:kern w:val="0"/>
          <w:sz w:val="24"/>
          <w:highlight w:val="none"/>
        </w:rPr>
        <w:t>2.4</w:t>
      </w:r>
      <w:r>
        <w:rPr>
          <w:rFonts w:hint="eastAsia" w:ascii="宋体" w:hAnsi="宋体" w:eastAsia="宋体" w:cs="宋体"/>
          <w:snapToGrid w:val="0"/>
          <w:color w:val="auto"/>
          <w:kern w:val="0"/>
          <w:sz w:val="24"/>
          <w:highlight w:val="none"/>
        </w:rPr>
        <w:t>条“禁止投标条款”规定的任何一种情形；</w:t>
      </w:r>
    </w:p>
    <w:p w14:paraId="399D58A5">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（2）投标人资质不符合</w:t>
      </w:r>
      <w:r>
        <w:rPr>
          <w:rFonts w:hint="eastAsia" w:ascii="宋体" w:hAnsi="宋体" w:eastAsia="宋体" w:cs="宋体"/>
          <w:snapToGrid w:val="0"/>
          <w:color w:val="auto"/>
          <w:kern w:val="0"/>
          <w:sz w:val="24"/>
          <w:szCs w:val="18"/>
          <w:highlight w:val="none"/>
        </w:rPr>
        <w:t>规定的；</w:t>
      </w:r>
    </w:p>
    <w:p w14:paraId="6CDF2C88">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（3）投标人名称与营业执照、资质证书上的企业名称相互不一致的；其资质证书不是由住房城乡建设主管部门颁发的；营业执照、资质证书被吊销、暂扣或不在有效期内的；</w:t>
      </w:r>
    </w:p>
    <w:p w14:paraId="2C6384F3">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注：投标人已经工商变更，但其企业资质证书的企业名称未完成变更的，不得否决其投标；投标人营业执照、资质证书之间登记的信息不一致，应当允许投标人澄清，不得直接否决其投标。</w:t>
      </w:r>
    </w:p>
    <w:p w14:paraId="2A0F8EF2">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51600DDA">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color w:val="auto"/>
          <w:sz w:val="24"/>
          <w:szCs w:val="24"/>
          <w:highlight w:val="none"/>
          <w:lang w:eastAsia="zh-CN"/>
        </w:rPr>
        <w:t>设计负责人简历表</w:t>
      </w:r>
      <w:r>
        <w:rPr>
          <w:rFonts w:hint="eastAsia" w:ascii="宋体" w:hAnsi="宋体" w:eastAsia="宋体" w:cs="宋体"/>
          <w:snapToGrid w:val="0"/>
          <w:color w:val="auto"/>
          <w:kern w:val="0"/>
          <w:sz w:val="24"/>
          <w:szCs w:val="24"/>
          <w:highlight w:val="none"/>
        </w:rPr>
        <w:t>》中</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是否与《开标一览表》一致。</w:t>
      </w:r>
    </w:p>
    <w:p w14:paraId="3F06ACDC">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（5）拟派项目负责人（设计负责人）的条件是否符合招标文件规定；拟派项目负责人（设计负责人）的各类证书、证件、证明是否合法、有效、准确。</w:t>
      </w:r>
    </w:p>
    <w:p w14:paraId="2AEC5227">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（6）投标人为外省建筑企业，但未提供“进粤企业和人员诚信信息登记平台”企业信息情况扫描件的。</w:t>
      </w:r>
    </w:p>
    <w:p w14:paraId="41340196">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136" w:name="_Toc4000"/>
      <w:bookmarkStart w:id="137" w:name="_Toc28308"/>
      <w:bookmarkStart w:id="138" w:name="_Toc9356"/>
      <w:r>
        <w:rPr>
          <w:rFonts w:hint="eastAsia" w:ascii="宋体" w:hAnsi="宋体" w:eastAsia="宋体" w:cs="宋体"/>
          <w:b/>
          <w:snapToGrid w:val="0"/>
          <w:color w:val="auto"/>
          <w:sz w:val="24"/>
          <w:highlight w:val="none"/>
          <w:lang w:eastAsia="zh-CN"/>
        </w:rPr>
        <w:t>2.</w:t>
      </w:r>
      <w:r>
        <w:rPr>
          <w:rFonts w:hint="eastAsia" w:ascii="宋体" w:hAnsi="宋体" w:eastAsia="宋体" w:cs="宋体"/>
          <w:b/>
          <w:snapToGrid w:val="0"/>
          <w:color w:val="auto"/>
          <w:sz w:val="24"/>
          <w:highlight w:val="none"/>
        </w:rPr>
        <w:t>形式评审环节</w:t>
      </w:r>
      <w:bookmarkEnd w:id="136"/>
      <w:bookmarkEnd w:id="137"/>
      <w:bookmarkEnd w:id="138"/>
    </w:p>
    <w:p w14:paraId="74561A17">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投标人有下列情形之一的，评标委员会应否决其投标。被否决的投标人，不进入响应性评审环节。</w:t>
      </w:r>
    </w:p>
    <w:p w14:paraId="55E8414D">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（1）</w:t>
      </w:r>
      <w:r>
        <w:rPr>
          <w:rFonts w:hint="eastAsia" w:ascii="宋体" w:hAnsi="宋体" w:eastAsia="宋体" w:cs="宋体"/>
          <w:color w:val="auto"/>
          <w:sz w:val="24"/>
          <w:szCs w:val="24"/>
          <w:highlight w:val="none"/>
        </w:rPr>
        <w:t>各分册未按招标文件规定加盖电子印章。</w:t>
      </w:r>
    </w:p>
    <w:p w14:paraId="247B15EA">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（2）本章第三节第</w:t>
      </w:r>
      <w:r>
        <w:rPr>
          <w:rFonts w:hint="eastAsia" w:ascii="宋体" w:hAnsi="宋体" w:eastAsia="宋体" w:cs="宋体"/>
          <w:b/>
          <w:bCs/>
          <w:snapToGrid w:val="0"/>
          <w:color w:val="auto"/>
          <w:kern w:val="0"/>
          <w:sz w:val="24"/>
          <w:szCs w:val="18"/>
          <w:highlight w:val="none"/>
        </w:rPr>
        <w:t>10.2.2</w:t>
      </w:r>
      <w:r>
        <w:rPr>
          <w:rFonts w:hint="eastAsia" w:ascii="宋体" w:hAnsi="宋体" w:eastAsia="宋体" w:cs="宋体"/>
          <w:snapToGrid w:val="0"/>
          <w:color w:val="auto"/>
          <w:kern w:val="0"/>
          <w:sz w:val="24"/>
          <w:szCs w:val="18"/>
          <w:highlight w:val="none"/>
        </w:rPr>
        <w:t>目、</w:t>
      </w:r>
      <w:r>
        <w:rPr>
          <w:rFonts w:hint="eastAsia" w:ascii="宋体" w:hAnsi="宋体" w:eastAsia="宋体" w:cs="宋体"/>
          <w:snapToGrid w:val="0"/>
          <w:color w:val="auto"/>
          <w:kern w:val="0"/>
          <w:sz w:val="24"/>
          <w:highlight w:val="none"/>
        </w:rPr>
        <w:t>第</w:t>
      </w:r>
      <w:r>
        <w:rPr>
          <w:rFonts w:hint="eastAsia" w:ascii="宋体" w:hAnsi="宋体" w:eastAsia="宋体" w:cs="宋体"/>
          <w:b/>
          <w:bCs/>
          <w:snapToGrid w:val="0"/>
          <w:color w:val="auto"/>
          <w:kern w:val="0"/>
          <w:sz w:val="24"/>
          <w:szCs w:val="18"/>
          <w:highlight w:val="none"/>
        </w:rPr>
        <w:t>10.3.2</w:t>
      </w:r>
      <w:r>
        <w:rPr>
          <w:rFonts w:hint="eastAsia" w:ascii="宋体" w:hAnsi="宋体" w:eastAsia="宋体" w:cs="宋体"/>
          <w:snapToGrid w:val="0"/>
          <w:color w:val="auto"/>
          <w:kern w:val="0"/>
          <w:sz w:val="24"/>
          <w:szCs w:val="18"/>
          <w:highlight w:val="none"/>
        </w:rPr>
        <w:t>目</w:t>
      </w:r>
      <w:r>
        <w:rPr>
          <w:rFonts w:hint="eastAsia" w:ascii="宋体" w:hAnsi="宋体" w:eastAsia="宋体" w:cs="宋体"/>
          <w:snapToGrid w:val="0"/>
          <w:color w:val="auto"/>
          <w:kern w:val="0"/>
          <w:sz w:val="24"/>
          <w:highlight w:val="none"/>
        </w:rPr>
        <w:t>中规定的“</w:t>
      </w:r>
      <w:r>
        <w:rPr>
          <w:rFonts w:hint="eastAsia" w:ascii="宋体" w:hAnsi="宋体" w:eastAsia="宋体" w:cs="宋体"/>
          <w:snapToGrid w:val="0"/>
          <w:color w:val="auto"/>
          <w:kern w:val="0"/>
          <w:sz w:val="24"/>
          <w:szCs w:val="18"/>
          <w:highlight w:val="none"/>
        </w:rPr>
        <w:t>所有投标人均应提供</w:t>
      </w:r>
      <w:r>
        <w:rPr>
          <w:rFonts w:hint="eastAsia" w:ascii="宋体" w:hAnsi="宋体" w:eastAsia="宋体" w:cs="宋体"/>
          <w:snapToGrid w:val="0"/>
          <w:color w:val="auto"/>
          <w:kern w:val="0"/>
          <w:sz w:val="24"/>
          <w:highlight w:val="none"/>
        </w:rPr>
        <w:t>”的组成内容（包括该组成内容的所附资料）中，任何一项有缺漏的；</w:t>
      </w:r>
    </w:p>
    <w:p w14:paraId="2F907D0E">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w:t>
      </w:r>
      <w:r>
        <w:rPr>
          <w:rStyle w:val="28"/>
          <w:rFonts w:hint="eastAsia" w:ascii="宋体" w:hAnsi="宋体" w:eastAsia="宋体" w:cs="宋体"/>
          <w:color w:val="auto"/>
          <w:kern w:val="0"/>
          <w:highlight w:val="none"/>
        </w:rPr>
        <w:t>关键字迹模糊、无法辨认，且该种过错将导致评标委员会无法判断投标文件是否响应招标文件实质性要求的；出现手工涂改、行间插字或删除，但未加盖单位电子印章或未按招标文件要求在相应位置加盖个人电子印章或在线下完成签字或盖章后扫描上传的；</w:t>
      </w:r>
    </w:p>
    <w:p w14:paraId="4726DE21">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（4）投标文件未按规定签字、盖章的。</w:t>
      </w:r>
    </w:p>
    <w:p w14:paraId="2121AFD4">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rPr>
      </w:pPr>
      <w:bookmarkStart w:id="139" w:name="_Toc22236"/>
      <w:bookmarkStart w:id="140" w:name="_Toc8637"/>
      <w:bookmarkStart w:id="141" w:name="_Toc5279"/>
      <w:r>
        <w:rPr>
          <w:rFonts w:hint="eastAsia" w:ascii="宋体" w:hAnsi="宋体" w:eastAsia="宋体" w:cs="宋体"/>
          <w:b/>
          <w:snapToGrid w:val="0"/>
          <w:color w:val="auto"/>
          <w:sz w:val="24"/>
          <w:highlight w:val="none"/>
          <w:lang w:eastAsia="zh-CN"/>
        </w:rPr>
        <w:t>3.</w:t>
      </w:r>
      <w:r>
        <w:rPr>
          <w:rFonts w:hint="eastAsia" w:ascii="宋体" w:hAnsi="宋体" w:eastAsia="宋体" w:cs="宋体"/>
          <w:b/>
          <w:snapToGrid w:val="0"/>
          <w:color w:val="auto"/>
          <w:sz w:val="24"/>
          <w:highlight w:val="none"/>
        </w:rPr>
        <w:t>响应性评审环节</w:t>
      </w:r>
      <w:bookmarkEnd w:id="139"/>
      <w:bookmarkEnd w:id="140"/>
      <w:bookmarkEnd w:id="141"/>
    </w:p>
    <w:p w14:paraId="428808FE">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投标人有下列情形之一的，评标委员会应否决其投标。被否决的投标人，不进入详细评审阶段。</w:t>
      </w:r>
    </w:p>
    <w:p w14:paraId="192262FD">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（1）承诺的投标有效期短于规定的；质量标准低于规定的；工期超出规定的；擅自修改、遗漏《投标函》《各项承诺一览表</w:t>
      </w:r>
      <w:r>
        <w:rPr>
          <w:rFonts w:hint="eastAsia" w:ascii="宋体" w:hAnsi="宋体" w:eastAsia="宋体" w:cs="宋体"/>
          <w:snapToGrid w:val="0"/>
          <w:color w:val="auto"/>
          <w:kern w:val="0"/>
          <w:sz w:val="24"/>
          <w:highlight w:val="none"/>
          <w:lang w:eastAsia="zh-CN"/>
        </w:rPr>
        <w:t>》等</w:t>
      </w:r>
      <w:r>
        <w:rPr>
          <w:rFonts w:hint="eastAsia" w:ascii="宋体" w:hAnsi="宋体" w:eastAsia="宋体" w:cs="宋体"/>
          <w:snapToGrid w:val="0"/>
          <w:color w:val="auto"/>
          <w:kern w:val="0"/>
          <w:sz w:val="24"/>
          <w:highlight w:val="none"/>
        </w:rPr>
        <w:t>实质性内容的；</w:t>
      </w:r>
    </w:p>
    <w:p w14:paraId="7500B1C4">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（2）投标总价是否唯一；投标总价是否超出最高投标限价</w:t>
      </w:r>
      <w:r>
        <w:rPr>
          <w:rFonts w:hint="eastAsia" w:ascii="宋体" w:hAnsi="宋体" w:eastAsia="宋体" w:cs="宋体"/>
          <w:snapToGrid w:val="0"/>
          <w:color w:val="auto"/>
          <w:kern w:val="0"/>
          <w:sz w:val="24"/>
          <w:szCs w:val="22"/>
          <w:highlight w:val="none"/>
        </w:rPr>
        <w:t>。</w:t>
      </w:r>
    </w:p>
    <w:p w14:paraId="17A85369">
      <w:pPr>
        <w:wordWrap w:val="0"/>
        <w:autoSpaceDE/>
        <w:autoSpaceDN/>
        <w:snapToGrid w:val="0"/>
        <w:spacing w:line="360" w:lineRule="auto"/>
        <w:ind w:firstLine="480"/>
        <w:jc w:val="both"/>
        <w:outlineLvl w:val="2"/>
        <w:rPr>
          <w:rFonts w:hint="eastAsia" w:ascii="宋体" w:hAnsi="宋体" w:eastAsia="宋体" w:cs="宋体"/>
          <w:b/>
          <w:snapToGrid w:val="0"/>
          <w:color w:val="auto"/>
          <w:sz w:val="24"/>
          <w:highlight w:val="none"/>
        </w:rPr>
      </w:pPr>
      <w:bookmarkStart w:id="142" w:name="_Toc13399"/>
      <w:bookmarkStart w:id="143" w:name="_Toc18382"/>
      <w:r>
        <w:rPr>
          <w:rFonts w:hint="eastAsia" w:ascii="宋体" w:hAnsi="宋体" w:eastAsia="宋体" w:cs="宋体"/>
          <w:b/>
          <w:snapToGrid w:val="0"/>
          <w:color w:val="auto"/>
          <w:sz w:val="24"/>
          <w:highlight w:val="none"/>
          <w:lang w:eastAsia="zh-CN"/>
        </w:rPr>
        <w:t>4.</w:t>
      </w:r>
      <w:r>
        <w:rPr>
          <w:rFonts w:hint="eastAsia" w:ascii="宋体" w:hAnsi="宋体" w:eastAsia="宋体" w:cs="宋体"/>
          <w:b/>
          <w:snapToGrid w:val="0"/>
          <w:color w:val="auto"/>
          <w:sz w:val="24"/>
          <w:highlight w:val="none"/>
        </w:rPr>
        <w:t>其他</w:t>
      </w:r>
      <w:bookmarkEnd w:id="142"/>
      <w:bookmarkEnd w:id="143"/>
    </w:p>
    <w:p w14:paraId="3C058ABD">
      <w:pPr>
        <w:wordWrap w:val="0"/>
        <w:adjustRightInd w:val="0"/>
        <w:snapToGrid w:val="0"/>
        <w:spacing w:line="360" w:lineRule="auto"/>
        <w:ind w:firstLine="480"/>
        <w:outlineLvl w:val="9"/>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highlight w:val="none"/>
        </w:rPr>
        <w:t>在任何评标环节（或阶段），投标人有下列情形之一的，评标委员会应否决其投标。</w:t>
      </w:r>
      <w:r>
        <w:rPr>
          <w:rFonts w:hint="eastAsia" w:ascii="宋体" w:hAnsi="宋体" w:eastAsia="宋体" w:cs="宋体"/>
          <w:snapToGrid w:val="0"/>
          <w:color w:val="auto"/>
          <w:kern w:val="0"/>
          <w:sz w:val="24"/>
          <w:szCs w:val="22"/>
          <w:highlight w:val="none"/>
        </w:rPr>
        <w:t>被否决的投标人，不进入下一环节（或阶段）。</w:t>
      </w:r>
    </w:p>
    <w:p w14:paraId="07E0635C">
      <w:pPr>
        <w:wordWrap w:val="0"/>
        <w:adjustRightInd w:val="0"/>
        <w:snapToGrid w:val="0"/>
        <w:spacing w:line="360" w:lineRule="auto"/>
        <w:ind w:firstLine="480"/>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（1）不按评标委员会要求澄清、说明或补正的；</w:t>
      </w:r>
    </w:p>
    <w:p w14:paraId="213D99EC">
      <w:pPr>
        <w:wordWrap w:val="0"/>
        <w:adjustRightInd w:val="0"/>
        <w:snapToGrid w:val="0"/>
        <w:spacing w:line="360" w:lineRule="auto"/>
        <w:ind w:firstLine="480"/>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（2）有下列情形之一，被评标委员会认定属于串通投标的：</w:t>
      </w:r>
    </w:p>
    <w:p w14:paraId="2C7A0B51">
      <w:pPr>
        <w:wordWrap w:val="0"/>
        <w:adjustRightInd w:val="0"/>
        <w:snapToGrid w:val="0"/>
        <w:spacing w:line="360" w:lineRule="auto"/>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①不同投标人的投标文件两处以上（含两处）错、漏一致；</w:t>
      </w:r>
    </w:p>
    <w:p w14:paraId="71A4F78E">
      <w:pPr>
        <w:wordWrap w:val="0"/>
        <w:adjustRightInd w:val="0"/>
        <w:snapToGrid w:val="0"/>
        <w:spacing w:line="360" w:lineRule="auto"/>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②不同投标人的投标总价相近且各分项报价、综合单价分析表内容混乱不能相互对应、乱调乱压或乱抬的，而在询标时没有合理的解释或者不能提供计算依据和报价依据；</w:t>
      </w:r>
    </w:p>
    <w:p w14:paraId="72228535">
      <w:pPr>
        <w:wordWrap w:val="0"/>
        <w:adjustRightInd w:val="0"/>
        <w:snapToGrid w:val="0"/>
        <w:spacing w:line="360" w:lineRule="auto"/>
        <w:ind w:firstLine="480"/>
        <w:outlineLvl w:val="9"/>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③不同投标人的投标各项报价存在异常一致或者呈规律性变化；</w:t>
      </w:r>
    </w:p>
    <w:p w14:paraId="010D652E">
      <w:pPr>
        <w:wordWrap w:val="0"/>
        <w:adjustRightInd w:val="0"/>
        <w:snapToGrid w:val="0"/>
        <w:spacing w:line="360" w:lineRule="auto"/>
        <w:ind w:firstLine="480"/>
        <w:outlineLvl w:val="9"/>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④不同投标人的投标文件由同一单位或者同一个人编制；</w:t>
      </w:r>
    </w:p>
    <w:p w14:paraId="3B572AF5">
      <w:pPr>
        <w:wordWrap w:val="0"/>
        <w:adjustRightInd w:val="0"/>
        <w:snapToGrid w:val="0"/>
        <w:spacing w:line="360" w:lineRule="auto"/>
        <w:ind w:firstLine="480"/>
        <w:outlineLvl w:val="9"/>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⑤不同投标人的投标文件中投标资料（包括电子资料）相互混装或项目班子成员出现同一人；</w:t>
      </w:r>
    </w:p>
    <w:p w14:paraId="693A6F4D">
      <w:pPr>
        <w:wordWrap w:val="0"/>
        <w:adjustRightInd w:val="0"/>
        <w:snapToGrid w:val="0"/>
        <w:spacing w:line="360" w:lineRule="auto"/>
        <w:ind w:firstLine="480"/>
        <w:outlineLvl w:val="9"/>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⑥不同投标人的投标文件由同一电脑编制或上传；</w:t>
      </w:r>
    </w:p>
    <w:p w14:paraId="0025631B">
      <w:pPr>
        <w:wordWrap w:val="0"/>
        <w:adjustRightInd w:val="0"/>
        <w:snapToGrid w:val="0"/>
        <w:spacing w:line="360" w:lineRule="auto"/>
        <w:ind w:firstLine="480"/>
        <w:outlineLvl w:val="9"/>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⑦不同投标人的投标保证由同一企业或同一账户资金缴纳；</w:t>
      </w:r>
    </w:p>
    <w:p w14:paraId="5B2FE11C">
      <w:pPr>
        <w:wordWrap w:val="0"/>
        <w:adjustRightInd w:val="0"/>
        <w:snapToGrid w:val="0"/>
        <w:spacing w:line="360" w:lineRule="auto"/>
        <w:ind w:firstLine="480"/>
        <w:outlineLvl w:val="9"/>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szCs w:val="22"/>
          <w:highlight w:val="none"/>
        </w:rPr>
        <w:t>⑧不同投标人委托同一个人或注册在同一家企业的注册人员或同一家企业为其投标提供投标咨询、商务报价、技术咨询（招标项目本身要求采用专有技术的除外）等服务。</w:t>
      </w:r>
      <w:bookmarkEnd w:id="120"/>
      <w:bookmarkStart w:id="144" w:name="_Hlt69669771"/>
      <w:bookmarkEnd w:id="144"/>
      <w:bookmarkStart w:id="145" w:name="_Hlt87952408"/>
      <w:bookmarkEnd w:id="145"/>
      <w:bookmarkStart w:id="146" w:name="_Hlt70150994"/>
      <w:bookmarkEnd w:id="146"/>
      <w:bookmarkStart w:id="147" w:name="_Hlt112206772"/>
      <w:bookmarkEnd w:id="147"/>
      <w:bookmarkStart w:id="148" w:name="_Hlt69698722"/>
      <w:bookmarkStart w:id="149" w:name="_Hlt69698769"/>
      <w:bookmarkStart w:id="150" w:name="_Hlt69698741"/>
      <w:bookmarkStart w:id="151" w:name="_Toc31841"/>
    </w:p>
    <w:p w14:paraId="11EBA984">
      <w:pPr>
        <w:wordWrap w:val="0"/>
        <w:adjustRightInd w:val="0"/>
        <w:snapToGrid w:val="0"/>
        <w:spacing w:line="360" w:lineRule="auto"/>
        <w:ind w:firstLine="480"/>
        <w:outlineLvl w:val="9"/>
        <w:rPr>
          <w:rFonts w:hint="eastAsia" w:ascii="宋体" w:hAnsi="宋体" w:eastAsia="宋体" w:cs="宋体"/>
          <w:snapToGrid w:val="0"/>
          <w:color w:val="auto"/>
          <w:kern w:val="0"/>
          <w:sz w:val="24"/>
          <w:szCs w:val="22"/>
          <w:highlight w:val="none"/>
          <w:lang w:val="en-US" w:eastAsia="zh-CN"/>
        </w:rPr>
      </w:pPr>
      <w:r>
        <w:rPr>
          <w:rFonts w:hint="eastAsia" w:ascii="宋体" w:hAnsi="宋体" w:eastAsia="宋体" w:cs="宋体"/>
          <w:snapToGrid w:val="0"/>
          <w:color w:val="auto"/>
          <w:kern w:val="0"/>
          <w:sz w:val="24"/>
          <w:szCs w:val="22"/>
          <w:highlight w:val="none"/>
          <w:lang w:val="en-US" w:eastAsia="zh-CN"/>
        </w:rPr>
        <w:t>⑨监督部门于韶关市公共交易一体化平台发现系统提示风险预警，如提示投标单位上传投标文件使用的电脑IP地址一致等。</w:t>
      </w:r>
    </w:p>
    <w:p w14:paraId="5B944D12">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8"/>
          <w:szCs w:val="28"/>
          <w:highlight w:val="none"/>
          <w:lang w:val="en-US" w:eastAsia="zh-CN"/>
        </w:rPr>
      </w:pPr>
    </w:p>
    <w:p w14:paraId="75DE12B0">
      <w:pPr>
        <w:pStyle w:val="2"/>
        <w:ind w:left="0" w:leftChars="0" w:firstLine="0" w:firstLineChars="0"/>
        <w:rPr>
          <w:rFonts w:hint="eastAsia" w:ascii="宋体" w:hAnsi="宋体" w:eastAsia="宋体" w:cs="宋体"/>
          <w:b/>
          <w:color w:val="auto"/>
          <w:sz w:val="28"/>
          <w:szCs w:val="28"/>
          <w:highlight w:val="none"/>
          <w:lang w:val="en-US" w:eastAsia="zh-CN"/>
        </w:rPr>
      </w:pPr>
    </w:p>
    <w:p w14:paraId="053FE0E8">
      <w:pPr>
        <w:pStyle w:val="2"/>
        <w:ind w:left="0" w:leftChars="0" w:firstLine="0" w:firstLineChars="0"/>
        <w:rPr>
          <w:rFonts w:hint="eastAsia" w:ascii="宋体" w:hAnsi="宋体" w:eastAsia="宋体" w:cs="宋体"/>
          <w:b/>
          <w:color w:val="auto"/>
          <w:sz w:val="28"/>
          <w:szCs w:val="28"/>
          <w:highlight w:val="none"/>
          <w:lang w:val="en-US" w:eastAsia="zh-CN"/>
        </w:rPr>
      </w:pPr>
    </w:p>
    <w:p w14:paraId="12935D71">
      <w:pPr>
        <w:pStyle w:val="5"/>
        <w:wordWrap w:val="0"/>
        <w:autoSpaceDE/>
        <w:autoSpaceDN/>
        <w:snapToGrid w:val="0"/>
        <w:spacing w:before="260" w:after="260" w:line="440" w:lineRule="exact"/>
        <w:jc w:val="both"/>
        <w:rPr>
          <w:rFonts w:hint="eastAsia" w:ascii="宋体" w:hAnsi="宋体" w:eastAsia="宋体" w:cs="宋体"/>
          <w:b/>
          <w:snapToGrid w:val="0"/>
          <w:color w:val="auto"/>
          <w:sz w:val="24"/>
          <w:highlight w:val="none"/>
        </w:rPr>
      </w:pPr>
      <w:bookmarkStart w:id="152" w:name="_Toc3432"/>
      <w:bookmarkStart w:id="153" w:name="_Toc22243"/>
      <w:r>
        <w:rPr>
          <w:rFonts w:hint="eastAsia" w:ascii="宋体" w:hAnsi="宋体" w:eastAsia="宋体" w:cs="宋体"/>
          <w:b/>
          <w:snapToGrid w:val="0"/>
          <w:color w:val="auto"/>
          <w:sz w:val="24"/>
          <w:highlight w:val="none"/>
        </w:rPr>
        <w:t>第</w:t>
      </w:r>
      <w:r>
        <w:rPr>
          <w:rFonts w:hint="eastAsia" w:ascii="宋体" w:hAnsi="宋体" w:eastAsia="宋体" w:cs="宋体"/>
          <w:b/>
          <w:snapToGrid w:val="0"/>
          <w:color w:val="auto"/>
          <w:sz w:val="24"/>
          <w:highlight w:val="none"/>
          <w:lang w:val="en-US" w:eastAsia="zh-CN"/>
        </w:rPr>
        <w:t>六</w:t>
      </w:r>
      <w:r>
        <w:rPr>
          <w:rFonts w:hint="eastAsia" w:ascii="宋体" w:hAnsi="宋体" w:eastAsia="宋体" w:cs="宋体"/>
          <w:b/>
          <w:snapToGrid w:val="0"/>
          <w:color w:val="auto"/>
          <w:sz w:val="24"/>
          <w:highlight w:val="none"/>
        </w:rPr>
        <w:t xml:space="preserve">节 </w:t>
      </w:r>
      <w:r>
        <w:rPr>
          <w:rFonts w:hint="eastAsia" w:ascii="宋体" w:hAnsi="宋体" w:eastAsia="宋体" w:cs="宋体"/>
          <w:b/>
          <w:snapToGrid w:val="0"/>
          <w:color w:val="auto"/>
          <w:sz w:val="24"/>
          <w:highlight w:val="none"/>
          <w:lang w:val="en-US" w:eastAsia="zh-CN"/>
        </w:rPr>
        <w:t xml:space="preserve">  </w:t>
      </w:r>
      <w:r>
        <w:rPr>
          <w:rFonts w:hint="eastAsia" w:ascii="宋体" w:hAnsi="宋体" w:eastAsia="宋体" w:cs="宋体"/>
          <w:b/>
          <w:snapToGrid w:val="0"/>
          <w:color w:val="auto"/>
          <w:sz w:val="24"/>
          <w:highlight w:val="none"/>
        </w:rPr>
        <w:t>定标规定及细则（本项目采用票决数量法定标）</w:t>
      </w:r>
      <w:bookmarkEnd w:id="152"/>
      <w:bookmarkEnd w:id="153"/>
    </w:p>
    <w:p w14:paraId="112D419B">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54" w:name="_Toc28183"/>
      <w:r>
        <w:rPr>
          <w:rFonts w:hint="eastAsia" w:ascii="宋体" w:hAnsi="宋体" w:eastAsia="宋体" w:cs="宋体"/>
          <w:b/>
          <w:snapToGrid w:val="0"/>
          <w:color w:val="auto"/>
          <w:sz w:val="24"/>
          <w:highlight w:val="none"/>
          <w:lang w:val="en-US" w:eastAsia="zh-CN"/>
        </w:rPr>
        <w:t>1.确定定标时间</w:t>
      </w:r>
      <w:bookmarkEnd w:id="154"/>
    </w:p>
    <w:p w14:paraId="414C9926">
      <w:pPr>
        <w:keepNext w:val="0"/>
        <w:keepLines w:val="0"/>
        <w:pageBreakBefore w:val="0"/>
        <w:wordWrap/>
        <w:overflowPunct/>
        <w:topLinePunct w:val="0"/>
        <w:bidi w:val="0"/>
        <w:spacing w:line="360" w:lineRule="auto"/>
        <w:ind w:firstLine="480" w:firstLineChars="200"/>
        <w:rPr>
          <w:rStyle w:val="28"/>
          <w:rFonts w:hint="eastAsia" w:ascii="宋体" w:hAnsi="宋体" w:eastAsia="宋体" w:cs="宋体"/>
          <w:color w:val="auto"/>
          <w:kern w:val="0"/>
          <w:sz w:val="24"/>
          <w:szCs w:val="24"/>
          <w:highlight w:val="none"/>
        </w:rPr>
      </w:pPr>
      <w:r>
        <w:rPr>
          <w:rStyle w:val="28"/>
          <w:rFonts w:hint="eastAsia" w:ascii="宋体" w:hAnsi="宋体" w:eastAsia="宋体" w:cs="宋体"/>
          <w:color w:val="auto"/>
          <w:kern w:val="0"/>
          <w:sz w:val="24"/>
          <w:szCs w:val="24"/>
          <w:highlight w:val="none"/>
        </w:rPr>
        <w:t>招标人</w:t>
      </w:r>
      <w:r>
        <w:rPr>
          <w:rStyle w:val="28"/>
          <w:rFonts w:hint="eastAsia" w:ascii="宋体" w:hAnsi="宋体" w:eastAsia="宋体" w:cs="宋体"/>
          <w:color w:val="auto"/>
          <w:kern w:val="0"/>
          <w:sz w:val="24"/>
          <w:szCs w:val="24"/>
          <w:highlight w:val="none"/>
          <w:lang w:eastAsia="zh-CN"/>
        </w:rPr>
        <w:t>应</w:t>
      </w:r>
      <w:r>
        <w:rPr>
          <w:rStyle w:val="28"/>
          <w:rFonts w:hint="eastAsia" w:ascii="宋体" w:hAnsi="宋体" w:eastAsia="宋体" w:cs="宋体"/>
          <w:color w:val="auto"/>
          <w:kern w:val="0"/>
          <w:sz w:val="24"/>
          <w:szCs w:val="24"/>
          <w:highlight w:val="none"/>
        </w:rPr>
        <w:t>自</w:t>
      </w:r>
      <w:r>
        <w:rPr>
          <w:rStyle w:val="28"/>
          <w:rFonts w:hint="eastAsia" w:ascii="宋体" w:hAnsi="宋体" w:eastAsia="宋体" w:cs="宋体"/>
          <w:color w:val="auto"/>
          <w:kern w:val="0"/>
          <w:sz w:val="24"/>
          <w:szCs w:val="24"/>
          <w:highlight w:val="none"/>
          <w:lang w:val="en-US" w:eastAsia="zh-CN"/>
        </w:rPr>
        <w:t>定标候选人</w:t>
      </w:r>
      <w:r>
        <w:rPr>
          <w:rStyle w:val="28"/>
          <w:rFonts w:hint="eastAsia" w:ascii="宋体" w:hAnsi="宋体" w:eastAsia="宋体" w:cs="宋体"/>
          <w:color w:val="auto"/>
          <w:kern w:val="0"/>
          <w:sz w:val="24"/>
          <w:szCs w:val="24"/>
          <w:highlight w:val="none"/>
        </w:rPr>
        <w:t>公示期满后</w:t>
      </w:r>
      <w:r>
        <w:rPr>
          <w:rStyle w:val="28"/>
          <w:rFonts w:hint="eastAsia" w:ascii="宋体" w:hAnsi="宋体" w:eastAsia="宋体" w:cs="宋体"/>
          <w:color w:val="auto"/>
          <w:kern w:val="0"/>
          <w:sz w:val="24"/>
          <w:szCs w:val="24"/>
          <w:highlight w:val="none"/>
          <w:lang w:val="en-US" w:eastAsia="zh-CN"/>
        </w:rPr>
        <w:t>5</w:t>
      </w:r>
      <w:r>
        <w:rPr>
          <w:rStyle w:val="28"/>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8"/>
          <w:rFonts w:hint="eastAsia" w:ascii="宋体" w:hAnsi="宋体" w:eastAsia="宋体" w:cs="宋体"/>
          <w:color w:val="auto"/>
          <w:kern w:val="0"/>
          <w:sz w:val="24"/>
          <w:szCs w:val="24"/>
          <w:highlight w:val="none"/>
          <w:lang w:eastAsia="zh-CN"/>
        </w:rPr>
        <w:t>应</w:t>
      </w:r>
      <w:r>
        <w:rPr>
          <w:rStyle w:val="28"/>
          <w:rFonts w:hint="eastAsia" w:ascii="宋体" w:hAnsi="宋体" w:eastAsia="宋体" w:cs="宋体"/>
          <w:color w:val="auto"/>
          <w:kern w:val="0"/>
          <w:sz w:val="24"/>
          <w:szCs w:val="24"/>
          <w:highlight w:val="none"/>
        </w:rPr>
        <w:t>通过公共资源交易平台公布延期原因和定标时间。</w:t>
      </w:r>
    </w:p>
    <w:p w14:paraId="5FD57087">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eastAsia="zh-CN"/>
        </w:rPr>
      </w:pPr>
      <w:bookmarkStart w:id="155" w:name="_Toc2759"/>
      <w:r>
        <w:rPr>
          <w:rFonts w:hint="eastAsia" w:ascii="宋体" w:hAnsi="宋体" w:eastAsia="宋体" w:cs="宋体"/>
          <w:b/>
          <w:snapToGrid w:val="0"/>
          <w:color w:val="auto"/>
          <w:sz w:val="24"/>
          <w:highlight w:val="none"/>
          <w:lang w:val="en-US" w:eastAsia="zh-CN"/>
        </w:rPr>
        <w:t>2</w:t>
      </w:r>
      <w:r>
        <w:rPr>
          <w:rFonts w:hint="eastAsia" w:ascii="宋体" w:hAnsi="宋体" w:eastAsia="宋体" w:cs="宋体"/>
          <w:b/>
          <w:snapToGrid w:val="0"/>
          <w:color w:val="auto"/>
          <w:sz w:val="24"/>
          <w:highlight w:val="none"/>
          <w:lang w:eastAsia="zh-CN"/>
        </w:rPr>
        <w:t>.定标委员会</w:t>
      </w:r>
      <w:bookmarkEnd w:id="155"/>
    </w:p>
    <w:p w14:paraId="572ABA13">
      <w:pPr>
        <w:keepNext w:val="0"/>
        <w:keepLines w:val="0"/>
        <w:pageBreakBefore w:val="0"/>
        <w:wordWrap/>
        <w:overflowPunct/>
        <w:topLinePunct w:val="0"/>
        <w:bidi w:val="0"/>
        <w:spacing w:line="360" w:lineRule="auto"/>
        <w:ind w:firstLine="482" w:firstLineChars="200"/>
        <w:rPr>
          <w:rStyle w:val="28"/>
          <w:rFonts w:hint="eastAsia" w:ascii="宋体" w:hAnsi="宋体" w:eastAsia="宋体" w:cs="宋体"/>
          <w:color w:val="auto"/>
          <w:kern w:val="0"/>
          <w:sz w:val="24"/>
          <w:szCs w:val="24"/>
          <w:highlight w:val="none"/>
          <w:lang w:val="en-US" w:eastAsia="zh-CN"/>
        </w:rPr>
      </w:pPr>
      <w:r>
        <w:rPr>
          <w:rStyle w:val="28"/>
          <w:rFonts w:hint="eastAsia" w:ascii="宋体" w:hAnsi="宋体" w:eastAsia="宋体" w:cs="宋体"/>
          <w:b/>
          <w:bCs/>
          <w:color w:val="auto"/>
          <w:kern w:val="0"/>
          <w:sz w:val="24"/>
          <w:szCs w:val="24"/>
          <w:highlight w:val="none"/>
          <w:lang w:val="en-US" w:eastAsia="zh-CN"/>
        </w:rPr>
        <w:t>2.1</w:t>
      </w:r>
      <w:r>
        <w:rPr>
          <w:rStyle w:val="28"/>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6F7D54A9">
      <w:pPr>
        <w:keepNext w:val="0"/>
        <w:keepLines w:val="0"/>
        <w:pageBreakBefore w:val="0"/>
        <w:wordWrap/>
        <w:overflowPunct/>
        <w:topLinePunct w:val="0"/>
        <w:bidi w:val="0"/>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定标委员会应当根据招标文件规定的定标方法和细则，对定标候选人进行系统的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782E9465">
      <w:pPr>
        <w:keepNext w:val="0"/>
        <w:keepLines w:val="0"/>
        <w:pageBreakBefore w:val="0"/>
        <w:wordWrap/>
        <w:overflowPunct/>
        <w:topLinePunct w:val="0"/>
        <w:bidi w:val="0"/>
        <w:spacing w:line="360" w:lineRule="auto"/>
        <w:ind w:firstLine="482" w:firstLineChars="200"/>
        <w:rPr>
          <w:rFonts w:hint="eastAsia" w:ascii="宋体" w:hAnsi="宋体" w:eastAsia="宋体" w:cs="宋体"/>
          <w:color w:val="auto"/>
          <w:sz w:val="24"/>
          <w:szCs w:val="24"/>
          <w:highlight w:val="none"/>
          <w:lang w:val="en-US" w:eastAsia="zh-CN"/>
        </w:rPr>
      </w:pPr>
      <w:r>
        <w:rPr>
          <w:rStyle w:val="28"/>
          <w:rFonts w:hint="eastAsia" w:ascii="宋体" w:hAnsi="宋体" w:eastAsia="宋体" w:cs="宋体"/>
          <w:b/>
          <w:bCs/>
          <w:color w:val="auto"/>
          <w:kern w:val="0"/>
          <w:sz w:val="24"/>
          <w:szCs w:val="24"/>
          <w:highlight w:val="none"/>
          <w:lang w:val="en-US" w:eastAsia="zh-CN"/>
        </w:rPr>
        <w:t>2</w:t>
      </w:r>
      <w:r>
        <w:rPr>
          <w:rStyle w:val="28"/>
          <w:rFonts w:hint="eastAsia" w:ascii="宋体" w:hAnsi="宋体" w:eastAsia="宋体" w:cs="宋体"/>
          <w:b/>
          <w:bCs/>
          <w:color w:val="auto"/>
          <w:kern w:val="0"/>
          <w:sz w:val="24"/>
          <w:szCs w:val="24"/>
          <w:highlight w:val="none"/>
        </w:rPr>
        <w:t>.</w:t>
      </w:r>
      <w:r>
        <w:rPr>
          <w:rStyle w:val="28"/>
          <w:rFonts w:hint="eastAsia" w:ascii="宋体" w:hAnsi="宋体" w:eastAsia="宋体" w:cs="宋体"/>
          <w:b/>
          <w:bCs/>
          <w:color w:val="auto"/>
          <w:kern w:val="0"/>
          <w:sz w:val="24"/>
          <w:szCs w:val="24"/>
          <w:highlight w:val="none"/>
          <w:lang w:val="en-US" w:eastAsia="zh-CN"/>
        </w:rPr>
        <w:t>3</w:t>
      </w:r>
      <w:r>
        <w:rPr>
          <w:rStyle w:val="28"/>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43CFB9ED">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56" w:name="_Toc16106"/>
      <w:r>
        <w:rPr>
          <w:rFonts w:hint="eastAsia" w:ascii="宋体" w:hAnsi="宋体" w:eastAsia="宋体" w:cs="宋体"/>
          <w:b/>
          <w:snapToGrid w:val="0"/>
          <w:color w:val="auto"/>
          <w:sz w:val="24"/>
          <w:highlight w:val="none"/>
          <w:lang w:val="en-US" w:eastAsia="zh-CN"/>
        </w:rPr>
        <w:t>3.组建招标监督小组</w:t>
      </w:r>
      <w:bookmarkEnd w:id="156"/>
    </w:p>
    <w:p w14:paraId="2E742647">
      <w:pPr>
        <w:keepNext w:val="0"/>
        <w:keepLines w:val="0"/>
        <w:pageBreakBefore w:val="0"/>
        <w:wordWrap/>
        <w:overflowPunct/>
        <w:topLinePunct w:val="0"/>
        <w:bidi w:val="0"/>
        <w:spacing w:line="360" w:lineRule="auto"/>
        <w:ind w:firstLine="480" w:firstLineChars="200"/>
        <w:rPr>
          <w:rStyle w:val="28"/>
          <w:rFonts w:hint="eastAsia" w:ascii="宋体" w:hAnsi="宋体" w:eastAsia="宋体" w:cs="宋体"/>
          <w:color w:val="auto"/>
          <w:kern w:val="0"/>
          <w:sz w:val="24"/>
          <w:szCs w:val="24"/>
          <w:highlight w:val="none"/>
          <w:lang w:val="en-US" w:eastAsia="zh-CN"/>
        </w:rPr>
      </w:pPr>
      <w:r>
        <w:rPr>
          <w:rStyle w:val="28"/>
          <w:rFonts w:hint="eastAsia" w:ascii="宋体" w:hAnsi="宋体" w:eastAsia="宋体" w:cs="宋体"/>
          <w:color w:val="auto"/>
          <w:kern w:val="0"/>
          <w:sz w:val="24"/>
          <w:szCs w:val="24"/>
          <w:highlight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793D9468">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57" w:name="_Toc28824"/>
      <w:r>
        <w:rPr>
          <w:rFonts w:hint="eastAsia" w:ascii="宋体" w:hAnsi="宋体" w:eastAsia="宋体" w:cs="宋体"/>
          <w:b/>
          <w:snapToGrid w:val="0"/>
          <w:color w:val="auto"/>
          <w:sz w:val="24"/>
          <w:highlight w:val="none"/>
          <w:lang w:val="en-US" w:eastAsia="zh-CN"/>
        </w:rPr>
        <w:t>4.定标办法</w:t>
      </w:r>
      <w:bookmarkEnd w:id="157"/>
    </w:p>
    <w:p w14:paraId="4CEF594D">
      <w:pPr>
        <w:keepNext w:val="0"/>
        <w:keepLines w:val="0"/>
        <w:pageBreakBefore w:val="0"/>
        <w:wordWrap/>
        <w:overflowPunct/>
        <w:topLinePunct w:val="0"/>
        <w:bidi w:val="0"/>
        <w:spacing w:line="360" w:lineRule="auto"/>
        <w:ind w:firstLine="480" w:firstLineChars="200"/>
        <w:rPr>
          <w:rStyle w:val="28"/>
          <w:rFonts w:hint="eastAsia" w:ascii="宋体" w:hAnsi="宋体" w:eastAsia="宋体" w:cs="宋体"/>
          <w:color w:val="auto"/>
          <w:kern w:val="0"/>
          <w:sz w:val="24"/>
          <w:szCs w:val="24"/>
          <w:highlight w:val="none"/>
          <w:lang w:val="en-US" w:eastAsia="zh-CN"/>
        </w:rPr>
      </w:pPr>
      <w:r>
        <w:rPr>
          <w:rStyle w:val="28"/>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32A87719">
      <w:pPr>
        <w:keepNext w:val="0"/>
        <w:keepLines w:val="0"/>
        <w:pageBreakBefore w:val="0"/>
        <w:wordWrap/>
        <w:overflowPunct/>
        <w:topLinePunct w:val="0"/>
        <w:bidi w:val="0"/>
        <w:spacing w:line="360" w:lineRule="auto"/>
        <w:ind w:firstLine="482" w:firstLineChars="200"/>
        <w:rPr>
          <w:rFonts w:hint="eastAsia" w:ascii="宋体" w:hAnsi="宋体" w:eastAsia="宋体" w:cs="宋体"/>
          <w:color w:val="auto"/>
          <w:sz w:val="24"/>
          <w:szCs w:val="24"/>
          <w:highlight w:val="none"/>
        </w:rPr>
      </w:pPr>
      <w:bookmarkStart w:id="158" w:name="OLE_LINK3"/>
      <w:r>
        <w:rPr>
          <w:rFonts w:hint="eastAsia" w:ascii="宋体" w:hAnsi="宋体" w:eastAsia="宋体" w:cs="宋体"/>
          <w:b/>
          <w:bCs/>
          <w:color w:val="auto"/>
          <w:sz w:val="24"/>
          <w:szCs w:val="24"/>
          <w:highlight w:val="none"/>
          <w:lang w:val="en-US" w:eastAsia="zh-CN"/>
        </w:rPr>
        <w:t>本项目</w:t>
      </w:r>
      <w:bookmarkEnd w:id="158"/>
      <w:r>
        <w:rPr>
          <w:rFonts w:hint="eastAsia" w:ascii="宋体" w:hAnsi="宋体" w:eastAsia="宋体" w:cs="宋体"/>
          <w:b/>
          <w:bCs/>
          <w:color w:val="auto"/>
          <w:sz w:val="24"/>
          <w:szCs w:val="24"/>
          <w:highlight w:val="none"/>
          <w:lang w:val="en-US" w:eastAsia="zh-CN"/>
        </w:rPr>
        <w:t>采用票决数量法定标。</w:t>
      </w:r>
    </w:p>
    <w:p w14:paraId="3C3BE4A5">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59" w:name="_Toc27454"/>
      <w:r>
        <w:rPr>
          <w:rFonts w:hint="eastAsia" w:ascii="宋体" w:hAnsi="宋体" w:eastAsia="宋体" w:cs="宋体"/>
          <w:b/>
          <w:snapToGrid w:val="0"/>
          <w:color w:val="auto"/>
          <w:sz w:val="24"/>
          <w:highlight w:val="none"/>
          <w:lang w:val="en-US" w:eastAsia="zh-CN"/>
        </w:rPr>
        <w:t>5.定标细则</w:t>
      </w:r>
      <w:bookmarkEnd w:id="159"/>
    </w:p>
    <w:p w14:paraId="55EA19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78ADF8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717A38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74F205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7F097B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0DBC35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79A76B69">
      <w:pPr>
        <w:pStyle w:val="1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10230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03C03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628A1D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BDAF0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57C2E59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5DCEEA97">
      <w:pPr>
        <w:pStyle w:val="1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45FA83B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0BFD7D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53CD4D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7DE751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0B9931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相对标准：拟派团队专业配备齐全、人员业绩突出、综合实力强的定标候选人优于团队实力一般的定标候选人。</w:t>
      </w:r>
    </w:p>
    <w:p w14:paraId="3B0DA7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288BBA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382ABE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（3）设计方案（包括技术方案的先进性、安全性、节能环保措施、进度控制的科学性等。）</w:t>
      </w:r>
    </w:p>
    <w:p w14:paraId="611382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相对标准：方案设计好的定标候选人优于方案设计一般的定标候选人。</w:t>
      </w:r>
    </w:p>
    <w:p w14:paraId="6A56347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（4）履约及后续服务（包括履约保障承诺、过程响应机制、后期服务与维护方案等。）</w:t>
      </w:r>
    </w:p>
    <w:p w14:paraId="445FC8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相对标准：服务能力好的定标候选人优于服务能力一般的定标候选人。</w:t>
      </w:r>
    </w:p>
    <w:p w14:paraId="04847D0C">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60" w:name="_Toc7792"/>
      <w:r>
        <w:rPr>
          <w:rFonts w:hint="eastAsia" w:ascii="宋体" w:hAnsi="宋体" w:eastAsia="宋体" w:cs="宋体"/>
          <w:b/>
          <w:snapToGrid w:val="0"/>
          <w:color w:val="auto"/>
          <w:sz w:val="24"/>
          <w:highlight w:val="none"/>
          <w:lang w:val="en-US" w:eastAsia="zh-CN"/>
        </w:rPr>
        <w:t>6.定标结果公示</w:t>
      </w:r>
      <w:bookmarkEnd w:id="160"/>
    </w:p>
    <w:p w14:paraId="65362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8"/>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8"/>
          <w:rFonts w:hint="eastAsia" w:ascii="宋体" w:hAnsi="宋体" w:eastAsia="宋体" w:cs="宋体"/>
          <w:b w:val="0"/>
          <w:bCs w:val="0"/>
          <w:color w:val="auto"/>
          <w:kern w:val="0"/>
          <w:sz w:val="24"/>
          <w:szCs w:val="24"/>
          <w:highlight w:val="none"/>
          <w:lang w:val="en-US" w:eastAsia="zh-CN"/>
        </w:rPr>
        <w:t>后</w:t>
      </w:r>
      <w:r>
        <w:rPr>
          <w:rStyle w:val="28"/>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76590105">
      <w:pPr>
        <w:rPr>
          <w:rFonts w:hint="eastAsia" w:ascii="宋体" w:hAnsi="宋体" w:eastAsia="宋体" w:cs="宋体"/>
          <w:color w:val="auto"/>
        </w:rPr>
      </w:pPr>
    </w:p>
    <w:p w14:paraId="13AC7DF9">
      <w:pPr>
        <w:rPr>
          <w:rFonts w:hint="eastAsia" w:ascii="宋体" w:hAnsi="宋体" w:eastAsia="宋体" w:cs="宋体"/>
          <w:color w:val="auto"/>
        </w:rPr>
      </w:pPr>
    </w:p>
    <w:p w14:paraId="44EFA073">
      <w:pPr>
        <w:rPr>
          <w:rFonts w:hint="eastAsia" w:ascii="宋体" w:hAnsi="宋体" w:eastAsia="宋体" w:cs="宋体"/>
          <w:color w:val="auto"/>
        </w:rPr>
      </w:pPr>
    </w:p>
    <w:p w14:paraId="54C6AF11">
      <w:pPr>
        <w:rPr>
          <w:rFonts w:hint="eastAsia" w:ascii="宋体" w:hAnsi="宋体" w:eastAsia="宋体" w:cs="宋体"/>
          <w:color w:val="auto"/>
        </w:rPr>
      </w:pPr>
    </w:p>
    <w:p w14:paraId="1B5CDC23">
      <w:pPr>
        <w:pStyle w:val="5"/>
        <w:wordWrap w:val="0"/>
        <w:autoSpaceDE/>
        <w:autoSpaceDN/>
        <w:snapToGrid w:val="0"/>
        <w:spacing w:before="260" w:after="260" w:line="240" w:lineRule="auto"/>
        <w:jc w:val="both"/>
        <w:rPr>
          <w:rFonts w:hint="eastAsia" w:ascii="宋体" w:hAnsi="宋体" w:eastAsia="宋体" w:cs="宋体"/>
          <w:b/>
          <w:snapToGrid w:val="0"/>
          <w:color w:val="auto"/>
          <w:sz w:val="24"/>
          <w:highlight w:val="none"/>
          <w:lang w:val="en-US" w:eastAsia="zh-CN"/>
        </w:rPr>
      </w:pPr>
      <w:bookmarkStart w:id="161" w:name="_Toc25823"/>
      <w:r>
        <w:rPr>
          <w:rFonts w:hint="eastAsia" w:ascii="宋体" w:hAnsi="宋体" w:eastAsia="宋体" w:cs="宋体"/>
          <w:b/>
          <w:snapToGrid w:val="0"/>
          <w:color w:val="auto"/>
          <w:sz w:val="24"/>
          <w:highlight w:val="none"/>
        </w:rPr>
        <w:t>第</w:t>
      </w:r>
      <w:r>
        <w:rPr>
          <w:rFonts w:hint="eastAsia" w:ascii="宋体" w:hAnsi="宋体" w:eastAsia="宋体" w:cs="宋体"/>
          <w:b/>
          <w:snapToGrid w:val="0"/>
          <w:color w:val="auto"/>
          <w:sz w:val="24"/>
          <w:highlight w:val="none"/>
          <w:lang w:val="en-US" w:eastAsia="zh-CN"/>
        </w:rPr>
        <w:t>七</w:t>
      </w:r>
      <w:r>
        <w:rPr>
          <w:rFonts w:hint="eastAsia" w:ascii="宋体" w:hAnsi="宋体" w:eastAsia="宋体" w:cs="宋体"/>
          <w:b/>
          <w:snapToGrid w:val="0"/>
          <w:color w:val="auto"/>
          <w:sz w:val="24"/>
          <w:highlight w:val="none"/>
        </w:rPr>
        <w:t xml:space="preserve">节 </w:t>
      </w:r>
      <w:r>
        <w:rPr>
          <w:rFonts w:hint="eastAsia" w:ascii="宋体" w:hAnsi="宋体" w:eastAsia="宋体" w:cs="宋体"/>
          <w:b/>
          <w:snapToGrid w:val="0"/>
          <w:color w:val="auto"/>
          <w:sz w:val="24"/>
          <w:highlight w:val="none"/>
          <w:lang w:val="en-US" w:eastAsia="zh-CN"/>
        </w:rPr>
        <w:t xml:space="preserve">  </w:t>
      </w:r>
      <w:r>
        <w:rPr>
          <w:rFonts w:hint="eastAsia" w:ascii="宋体" w:hAnsi="宋体" w:eastAsia="宋体" w:cs="宋体"/>
          <w:b/>
          <w:snapToGrid w:val="0"/>
          <w:color w:val="auto"/>
          <w:sz w:val="24"/>
          <w:highlight w:val="none"/>
        </w:rPr>
        <w:t>中标确认</w:t>
      </w:r>
      <w:bookmarkEnd w:id="161"/>
    </w:p>
    <w:p w14:paraId="5170E6B6">
      <w:pPr>
        <w:pStyle w:val="6"/>
        <w:wordWrap w:val="0"/>
        <w:autoSpaceDE/>
        <w:autoSpaceDN/>
        <w:snapToGrid w:val="0"/>
        <w:spacing w:line="240" w:lineRule="auto"/>
        <w:ind w:firstLine="480"/>
        <w:jc w:val="both"/>
        <w:rPr>
          <w:rFonts w:hint="eastAsia" w:ascii="宋体" w:hAnsi="宋体" w:eastAsia="宋体" w:cs="宋体"/>
          <w:b/>
          <w:snapToGrid w:val="0"/>
          <w:color w:val="auto"/>
          <w:sz w:val="24"/>
          <w:highlight w:val="none"/>
          <w:lang w:val="en-US" w:eastAsia="zh-CN"/>
        </w:rPr>
      </w:pPr>
      <w:bookmarkStart w:id="162" w:name="_Toc21810"/>
      <w:r>
        <w:rPr>
          <w:rFonts w:hint="eastAsia" w:ascii="宋体" w:hAnsi="宋体" w:eastAsia="宋体" w:cs="宋体"/>
          <w:b/>
          <w:snapToGrid w:val="0"/>
          <w:color w:val="auto"/>
          <w:sz w:val="24"/>
          <w:highlight w:val="none"/>
          <w:lang w:val="en-US" w:eastAsia="zh-CN"/>
        </w:rPr>
        <w:t>1.中标人确定</w:t>
      </w:r>
      <w:bookmarkEnd w:id="162"/>
    </w:p>
    <w:p w14:paraId="3D4CE0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38AA3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至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5F808A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招标人应当自中标通知书发出之日起15日内，通过广东省招标投标监管网和公共资源交易平台发布中标结果公示。招标人应当自确定中标人之日起15日内，在线向有关招标管理部门提交招标投标情况的书面报告。</w:t>
      </w:r>
    </w:p>
    <w:p w14:paraId="792C7F4E">
      <w:pPr>
        <w:pStyle w:val="6"/>
        <w:wordWrap w:val="0"/>
        <w:autoSpaceDE/>
        <w:autoSpaceDN/>
        <w:snapToGrid w:val="0"/>
        <w:spacing w:line="240" w:lineRule="auto"/>
        <w:ind w:firstLine="480"/>
        <w:jc w:val="both"/>
        <w:rPr>
          <w:rFonts w:hint="eastAsia" w:ascii="宋体" w:hAnsi="宋体" w:eastAsia="宋体" w:cs="宋体"/>
          <w:b/>
          <w:snapToGrid w:val="0"/>
          <w:color w:val="auto"/>
          <w:sz w:val="24"/>
          <w:highlight w:val="none"/>
          <w:lang w:val="en-US" w:eastAsia="zh-CN"/>
        </w:rPr>
      </w:pPr>
      <w:bookmarkStart w:id="163" w:name="_Toc20039"/>
      <w:r>
        <w:rPr>
          <w:rFonts w:hint="eastAsia" w:ascii="宋体" w:hAnsi="宋体" w:eastAsia="宋体" w:cs="宋体"/>
          <w:b/>
          <w:snapToGrid w:val="0"/>
          <w:color w:val="auto"/>
          <w:sz w:val="24"/>
          <w:highlight w:val="none"/>
          <w:lang w:val="en-US" w:eastAsia="zh-CN"/>
        </w:rPr>
        <w:t>2.异议和投诉</w:t>
      </w:r>
      <w:bookmarkEnd w:id="163"/>
    </w:p>
    <w:p w14:paraId="100EE4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733500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4794F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6D37E781">
      <w:pPr>
        <w:pStyle w:val="6"/>
        <w:wordWrap w:val="0"/>
        <w:autoSpaceDE/>
        <w:autoSpaceDN/>
        <w:snapToGrid w:val="0"/>
        <w:spacing w:line="240" w:lineRule="auto"/>
        <w:ind w:firstLine="480"/>
        <w:jc w:val="both"/>
        <w:rPr>
          <w:rFonts w:hint="eastAsia" w:ascii="宋体" w:hAnsi="宋体" w:eastAsia="宋体" w:cs="宋体"/>
          <w:b/>
          <w:snapToGrid w:val="0"/>
          <w:color w:val="auto"/>
          <w:sz w:val="24"/>
          <w:highlight w:val="none"/>
          <w:lang w:val="en-US" w:eastAsia="zh-CN"/>
        </w:rPr>
      </w:pPr>
      <w:bookmarkStart w:id="164" w:name="_Toc1549"/>
      <w:r>
        <w:rPr>
          <w:rFonts w:hint="eastAsia" w:ascii="宋体" w:hAnsi="宋体" w:eastAsia="宋体" w:cs="宋体"/>
          <w:b/>
          <w:snapToGrid w:val="0"/>
          <w:color w:val="auto"/>
          <w:sz w:val="24"/>
          <w:highlight w:val="none"/>
          <w:lang w:val="en-US" w:eastAsia="zh-CN"/>
        </w:rPr>
        <w:t>3.废除授标</w:t>
      </w:r>
      <w:bookmarkEnd w:id="164"/>
    </w:p>
    <w:p w14:paraId="79F1F8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72D7DB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345657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107A3D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（3）不是从本投标企业基本账户提交投标保证金或以虚假方式提交投标保证金保函（保单）的；</w:t>
      </w:r>
    </w:p>
    <w:p w14:paraId="386074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4932650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（5）因中标人过错而未能按照规定与招标人签订合同或中标人因不可抗力提出不能履行合同的；</w:t>
      </w:r>
    </w:p>
    <w:p w14:paraId="3794F5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0ADD64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（7）中标人被有关部门查实存在影响中标结果的违法行为，不符合中标条件的；</w:t>
      </w:r>
    </w:p>
    <w:p w14:paraId="706483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（8）中标人在参加本项目投标时有本企业投标承诺书所列被依法限制或暂停承揽业务或停业的处罚的；</w:t>
      </w:r>
    </w:p>
    <w:p w14:paraId="198EDC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（9）招标文件明确规定可以废除授标的其他情形。</w:t>
      </w:r>
    </w:p>
    <w:p w14:paraId="57B9DD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785848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1ECB07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52C34A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2CAAC4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3D25D3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（4）无正当理由不与中标人签订合同的；</w:t>
      </w:r>
    </w:p>
    <w:p w14:paraId="453588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8"/>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3DF70210">
      <w:pPr>
        <w:keepNext w:val="0"/>
        <w:keepLines w:val="0"/>
        <w:widowControl/>
        <w:suppressLineNumbers w:val="0"/>
        <w:jc w:val="left"/>
        <w:rPr>
          <w:rFonts w:hint="eastAsia" w:ascii="宋体" w:hAnsi="宋体" w:eastAsia="宋体" w:cs="宋体"/>
          <w:color w:val="auto"/>
          <w:highlight w:val="none"/>
        </w:rPr>
      </w:pPr>
    </w:p>
    <w:p w14:paraId="51B3BD0F">
      <w:pPr>
        <w:keepNext w:val="0"/>
        <w:keepLines w:val="0"/>
        <w:widowControl/>
        <w:suppressLineNumbers w:val="0"/>
        <w:jc w:val="left"/>
        <w:rPr>
          <w:rFonts w:hint="eastAsia" w:ascii="宋体" w:hAnsi="宋体" w:eastAsia="宋体" w:cs="宋体"/>
          <w:color w:val="auto"/>
          <w:highlight w:val="none"/>
        </w:rPr>
      </w:pPr>
    </w:p>
    <w:p w14:paraId="653057DE">
      <w:pPr>
        <w:pStyle w:val="4"/>
        <w:wordWrap w:val="0"/>
        <w:autoSpaceDE/>
        <w:autoSpaceDN/>
        <w:snapToGrid w:val="0"/>
        <w:spacing w:line="440" w:lineRule="exact"/>
        <w:jc w:val="center"/>
        <w:rPr>
          <w:rFonts w:hint="eastAsia" w:ascii="宋体" w:hAnsi="宋体" w:eastAsia="宋体" w:cs="宋体"/>
          <w:b/>
          <w:snapToGrid w:val="0"/>
          <w:color w:val="auto"/>
          <w:sz w:val="24"/>
          <w:highlight w:val="none"/>
        </w:rPr>
      </w:pPr>
      <w:bookmarkStart w:id="165" w:name="_Toc12830"/>
      <w:r>
        <w:rPr>
          <w:rFonts w:hint="eastAsia" w:ascii="宋体" w:hAnsi="宋体" w:eastAsia="宋体" w:cs="宋体"/>
          <w:b/>
          <w:snapToGrid w:val="0"/>
          <w:color w:val="auto"/>
          <w:sz w:val="24"/>
          <w:highlight w:val="none"/>
        </w:rPr>
        <w:t>第</w:t>
      </w:r>
      <w:bookmarkStart w:id="166" w:name="_Hlt69669171"/>
      <w:bookmarkEnd w:id="166"/>
      <w:r>
        <w:rPr>
          <w:rFonts w:hint="eastAsia" w:ascii="宋体" w:hAnsi="宋体" w:eastAsia="宋体" w:cs="宋体"/>
          <w:b/>
          <w:snapToGrid w:val="0"/>
          <w:color w:val="auto"/>
          <w:sz w:val="24"/>
          <w:highlight w:val="none"/>
        </w:rPr>
        <w:t>二章</w:t>
      </w:r>
      <w:bookmarkStart w:id="167" w:name="_Hlt87793839"/>
      <w:bookmarkEnd w:id="167"/>
      <w:r>
        <w:rPr>
          <w:rFonts w:hint="eastAsia" w:ascii="宋体" w:hAnsi="宋体" w:eastAsia="宋体" w:cs="宋体"/>
          <w:b/>
          <w:snapToGrid w:val="0"/>
          <w:color w:val="auto"/>
          <w:sz w:val="24"/>
          <w:highlight w:val="none"/>
        </w:rPr>
        <w:t xml:space="preserve"> </w:t>
      </w:r>
      <w:r>
        <w:rPr>
          <w:rFonts w:hint="eastAsia" w:ascii="宋体" w:hAnsi="宋体" w:eastAsia="宋体" w:cs="宋体"/>
          <w:b/>
          <w:snapToGrid w:val="0"/>
          <w:color w:val="auto"/>
          <w:sz w:val="24"/>
          <w:highlight w:val="none"/>
          <w:lang w:val="en-US" w:eastAsia="zh-CN"/>
        </w:rPr>
        <w:t xml:space="preserve">  </w:t>
      </w:r>
      <w:r>
        <w:rPr>
          <w:rFonts w:hint="eastAsia" w:ascii="宋体" w:hAnsi="宋体" w:eastAsia="宋体" w:cs="宋体"/>
          <w:b/>
          <w:snapToGrid w:val="0"/>
          <w:color w:val="auto"/>
          <w:sz w:val="24"/>
          <w:highlight w:val="none"/>
        </w:rPr>
        <w:t>中标人须知</w:t>
      </w:r>
      <w:bookmarkEnd w:id="148"/>
      <w:bookmarkEnd w:id="149"/>
      <w:bookmarkEnd w:id="150"/>
      <w:bookmarkEnd w:id="151"/>
      <w:bookmarkEnd w:id="165"/>
    </w:p>
    <w:p w14:paraId="2635D85F">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68" w:name="_Toc15985"/>
      <w:bookmarkStart w:id="169" w:name="_Toc4241"/>
      <w:bookmarkStart w:id="170" w:name="_Toc19195"/>
      <w:bookmarkStart w:id="171" w:name="_Hlt69698765"/>
      <w:bookmarkStart w:id="172" w:name="_Hlt69698713"/>
      <w:bookmarkStart w:id="173" w:name="_Hlt69698776"/>
      <w:r>
        <w:rPr>
          <w:rFonts w:hint="eastAsia" w:ascii="宋体" w:hAnsi="宋体" w:eastAsia="宋体" w:cs="宋体"/>
          <w:b/>
          <w:snapToGrid w:val="0"/>
          <w:color w:val="auto"/>
          <w:sz w:val="24"/>
          <w:highlight w:val="none"/>
          <w:lang w:val="en-US" w:eastAsia="zh-CN"/>
        </w:rPr>
        <w:t>1.中标通知书</w:t>
      </w:r>
      <w:bookmarkEnd w:id="168"/>
      <w:bookmarkEnd w:id="169"/>
      <w:bookmarkEnd w:id="170"/>
    </w:p>
    <w:p w14:paraId="12358AA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F9457E3">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74" w:name="_Toc2004"/>
      <w:bookmarkStart w:id="175" w:name="_Toc6166"/>
      <w:bookmarkStart w:id="176" w:name="_Toc26515"/>
      <w:r>
        <w:rPr>
          <w:rFonts w:hint="eastAsia" w:ascii="宋体" w:hAnsi="宋体" w:eastAsia="宋体" w:cs="宋体"/>
          <w:b/>
          <w:snapToGrid w:val="0"/>
          <w:color w:val="auto"/>
          <w:sz w:val="24"/>
          <w:highlight w:val="none"/>
          <w:lang w:val="en-US" w:eastAsia="zh-CN"/>
        </w:rPr>
        <w:t>2.中标结果公示</w:t>
      </w:r>
      <w:bookmarkEnd w:id="174"/>
      <w:bookmarkEnd w:id="175"/>
      <w:bookmarkEnd w:id="176"/>
    </w:p>
    <w:p w14:paraId="7D1BEEE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中标通知书发出后15日内，招标人应将中标结果在广东省招标投标监管网（http://zbtb.gd.gov.cn）及全国公共资源交易平台（广东省·韶关市）（https://ygp.gdzwfw.gov.cn/ggzy-portal/#/440200/index）进行公示。</w:t>
      </w:r>
    </w:p>
    <w:p w14:paraId="24558A4C">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77" w:name="_Toc22917"/>
      <w:bookmarkStart w:id="178" w:name="_Toc16587"/>
      <w:bookmarkStart w:id="179" w:name="_Toc13313"/>
      <w:r>
        <w:rPr>
          <w:rFonts w:hint="eastAsia" w:ascii="宋体" w:hAnsi="宋体" w:eastAsia="宋体" w:cs="宋体"/>
          <w:b/>
          <w:snapToGrid w:val="0"/>
          <w:color w:val="auto"/>
          <w:sz w:val="24"/>
          <w:highlight w:val="none"/>
          <w:lang w:val="en-US" w:eastAsia="zh-CN"/>
        </w:rPr>
        <w:t>3.履约保证</w:t>
      </w:r>
      <w:bookmarkEnd w:id="177"/>
      <w:bookmarkEnd w:id="178"/>
      <w:bookmarkEnd w:id="179"/>
    </w:p>
    <w:p w14:paraId="7552A68E">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3.1中标人须在领取中标通知书之日起</w:t>
      </w:r>
      <w:r>
        <w:rPr>
          <w:rFonts w:hint="eastAsia" w:ascii="宋体" w:hAnsi="宋体" w:eastAsia="宋体" w:cs="宋体"/>
          <w:snapToGrid w:val="0"/>
          <w:color w:val="auto"/>
          <w:kern w:val="0"/>
          <w:sz w:val="24"/>
          <w:szCs w:val="24"/>
          <w:highlight w:val="none"/>
          <w:u w:val="single"/>
        </w:rPr>
        <w:t>10</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5%</w:t>
      </w:r>
      <w:r>
        <w:rPr>
          <w:rFonts w:hint="eastAsia" w:ascii="宋体" w:hAnsi="宋体" w:eastAsia="宋体" w:cs="宋体"/>
          <w:snapToGrid w:val="0"/>
          <w:color w:val="auto"/>
          <w:kern w:val="0"/>
          <w:sz w:val="24"/>
          <w:szCs w:val="24"/>
          <w:highlight w:val="none"/>
        </w:rPr>
        <w:t>的履约保证。</w:t>
      </w:r>
    </w:p>
    <w:p w14:paraId="0D1575D0">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w:t>
      </w:r>
      <w:r>
        <w:rPr>
          <w:rFonts w:hint="eastAsia" w:ascii="宋体" w:hAnsi="宋体" w:eastAsia="宋体" w:cs="宋体"/>
          <w:snapToGrid w:val="0"/>
          <w:color w:val="auto"/>
          <w:kern w:val="0"/>
          <w:sz w:val="24"/>
          <w:highlight w:val="none"/>
        </w:rPr>
        <w:t>履约保证的形式包括履约保证金、履约保证担保、履约保证保险三种，由中标人自主选择。中标通知书发出时，招标人发起收缴履约保证金并填写保证金金额、缴交时限和项目工期；由中标人在建设工程交易系统中自主选择一种进行缴交。项目竣工后，由招标人发起退保。</w:t>
      </w:r>
    </w:p>
    <w:p w14:paraId="0EA48609">
      <w:pPr>
        <w:keepNext w:val="0"/>
        <w:keepLines w:val="0"/>
        <w:pageBreakBefore w:val="0"/>
        <w:widowControl w:val="0"/>
        <w:kinsoku/>
        <w:overflowPunct/>
        <w:topLinePunct w:val="0"/>
        <w:autoSpaceDE/>
        <w:autoSpaceDN/>
        <w:bidi w:val="0"/>
        <w:adjustRightInd w:val="0"/>
        <w:snapToGrid w:val="0"/>
        <w:spacing w:line="360" w:lineRule="auto"/>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44EC853A">
      <w:pPr>
        <w:keepNext w:val="0"/>
        <w:keepLines w:val="0"/>
        <w:pageBreakBefore w:val="0"/>
        <w:widowControl w:val="0"/>
        <w:kinsoku/>
        <w:overflowPunct/>
        <w:topLinePunct w:val="0"/>
        <w:autoSpaceDE/>
        <w:autoSpaceDN/>
        <w:bidi w:val="0"/>
        <w:adjustRightInd w:val="0"/>
        <w:snapToGrid w:val="0"/>
        <w:spacing w:line="360" w:lineRule="auto"/>
        <w:ind w:firstLine="56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41BE736D">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snapToGrid w:val="0"/>
          <w:color w:val="auto"/>
          <w:kern w:val="0"/>
          <w:sz w:val="24"/>
          <w:szCs w:val="24"/>
          <w:highlight w:val="none"/>
        </w:rPr>
        <w:t>3.5项目通过竣工验收之日后起28天内，招标人将履约保证退还给承包人。</w:t>
      </w:r>
    </w:p>
    <w:p w14:paraId="1CA7A0CF">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80" w:name="_Toc30194"/>
      <w:bookmarkStart w:id="181" w:name="_Toc26247"/>
      <w:bookmarkStart w:id="182" w:name="_Toc3559"/>
      <w:r>
        <w:rPr>
          <w:rFonts w:hint="eastAsia" w:ascii="宋体" w:hAnsi="宋体" w:eastAsia="宋体" w:cs="宋体"/>
          <w:b/>
          <w:snapToGrid w:val="0"/>
          <w:color w:val="auto"/>
          <w:sz w:val="24"/>
          <w:highlight w:val="none"/>
          <w:lang w:val="en-US" w:eastAsia="zh-CN"/>
        </w:rPr>
        <w:t>4.合同订立</w:t>
      </w:r>
      <w:bookmarkEnd w:id="180"/>
      <w:bookmarkEnd w:id="181"/>
      <w:bookmarkEnd w:id="182"/>
    </w:p>
    <w:p w14:paraId="48D19E32">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4.1招标人应当自中标通知书发出之日起</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日内，按照招标文件、中标人的投标文件与中标人订立书面合同。</w:t>
      </w:r>
    </w:p>
    <w:p w14:paraId="37C65AC2">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4.2本招标项目合同计价方式为：</w:t>
      </w:r>
      <w:r>
        <w:rPr>
          <w:rFonts w:hint="eastAsia" w:ascii="宋体" w:hAnsi="宋体" w:eastAsia="宋体" w:cs="宋体"/>
          <w:color w:val="auto"/>
          <w:sz w:val="24"/>
          <w:szCs w:val="24"/>
          <w:highlight w:val="none"/>
          <w:u w:val="single"/>
        </w:rPr>
        <w:t>总价合同</w:t>
      </w:r>
      <w:r>
        <w:rPr>
          <w:rFonts w:hint="eastAsia" w:ascii="宋体" w:hAnsi="宋体" w:eastAsia="宋体" w:cs="宋体"/>
          <w:color w:val="auto"/>
          <w:sz w:val="24"/>
          <w:szCs w:val="24"/>
          <w:highlight w:val="none"/>
        </w:rPr>
        <w:t>。</w:t>
      </w:r>
    </w:p>
    <w:p w14:paraId="1FFD0E9C">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4.3合同的标的、质量、履行期限条款和合同的价款、单价、比例条款等主要条款，应当与招标文件、中标人的投标文件的内容一致。中标人在签订合同时不得向招标人提出附加条件。</w:t>
      </w:r>
    </w:p>
    <w:p w14:paraId="2614A152">
      <w:pPr>
        <w:keepNext w:val="0"/>
        <w:keepLines w:val="0"/>
        <w:pageBreakBefore w:val="0"/>
        <w:widowControl w:val="0"/>
        <w:kinsoku/>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121E3607">
      <w:pPr>
        <w:keepNext w:val="0"/>
        <w:keepLines w:val="0"/>
        <w:pageBreakBefore w:val="0"/>
        <w:widowControl w:val="0"/>
        <w:kinsoku/>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4.5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2E027418">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83" w:name="_Toc28130"/>
      <w:bookmarkStart w:id="184" w:name="_Toc8949"/>
      <w:bookmarkStart w:id="185" w:name="_Toc6152"/>
      <w:r>
        <w:rPr>
          <w:rFonts w:hint="eastAsia" w:ascii="宋体" w:hAnsi="宋体" w:eastAsia="宋体" w:cs="宋体"/>
          <w:b/>
          <w:snapToGrid w:val="0"/>
          <w:color w:val="auto"/>
          <w:sz w:val="24"/>
          <w:highlight w:val="none"/>
          <w:lang w:val="en-US" w:eastAsia="zh-CN"/>
        </w:rPr>
        <w:t>5.放弃中标的处理</w:t>
      </w:r>
      <w:bookmarkEnd w:id="183"/>
      <w:bookmarkEnd w:id="184"/>
      <w:bookmarkEnd w:id="185"/>
    </w:p>
    <w:p w14:paraId="06F676B3">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0AF9861C">
      <w:pPr>
        <w:keepNext w:val="0"/>
        <w:keepLines w:val="0"/>
        <w:pageBreakBefore w:val="0"/>
        <w:widowControl w:val="0"/>
        <w:kinsoku/>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t>5.2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762E0A61">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86" w:name="_Toc5762"/>
      <w:bookmarkStart w:id="187" w:name="_Toc2071"/>
      <w:bookmarkStart w:id="188" w:name="_Toc24411"/>
      <w:bookmarkStart w:id="189" w:name="_Toc24834"/>
      <w:r>
        <w:rPr>
          <w:rFonts w:hint="eastAsia" w:ascii="宋体" w:hAnsi="宋体" w:eastAsia="宋体" w:cs="宋体"/>
          <w:b/>
          <w:snapToGrid w:val="0"/>
          <w:color w:val="auto"/>
          <w:sz w:val="24"/>
          <w:highlight w:val="none"/>
          <w:lang w:val="en-US" w:eastAsia="zh-CN"/>
        </w:rPr>
        <w:t>6</w:t>
      </w:r>
      <w:bookmarkEnd w:id="186"/>
      <w:r>
        <w:rPr>
          <w:rFonts w:hint="eastAsia" w:ascii="宋体" w:hAnsi="宋体" w:eastAsia="宋体" w:cs="宋体"/>
          <w:b/>
          <w:snapToGrid w:val="0"/>
          <w:color w:val="auto"/>
          <w:sz w:val="24"/>
          <w:highlight w:val="none"/>
          <w:lang w:val="en-US" w:eastAsia="zh-CN"/>
        </w:rPr>
        <w:t>.诚信登记</w:t>
      </w:r>
      <w:bookmarkEnd w:id="187"/>
      <w:bookmarkEnd w:id="188"/>
      <w:bookmarkEnd w:id="189"/>
    </w:p>
    <w:p w14:paraId="614C8D80">
      <w:pPr>
        <w:keepNext w:val="0"/>
        <w:keepLines w:val="0"/>
        <w:pageBreakBefore w:val="0"/>
        <w:widowControl w:val="0"/>
        <w:kinsoku/>
        <w:wordWrap w:val="0"/>
        <w:overflowPunct/>
        <w:topLinePunct w:val="0"/>
        <w:autoSpaceDE/>
        <w:autoSpaceDN/>
        <w:bidi w:val="0"/>
        <w:snapToGrid w:val="0"/>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0060429F">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90" w:name="_Toc9253"/>
      <w:bookmarkStart w:id="191" w:name="_Toc28448"/>
      <w:bookmarkStart w:id="192" w:name="_Toc19463"/>
      <w:r>
        <w:rPr>
          <w:rFonts w:hint="eastAsia" w:ascii="宋体" w:hAnsi="宋体" w:eastAsia="宋体" w:cs="宋体"/>
          <w:b/>
          <w:snapToGrid w:val="0"/>
          <w:color w:val="auto"/>
          <w:sz w:val="24"/>
          <w:highlight w:val="none"/>
          <w:lang w:val="en-US" w:eastAsia="zh-CN"/>
        </w:rPr>
        <w:t>7.项目管理机构</w:t>
      </w:r>
      <w:bookmarkEnd w:id="190"/>
      <w:bookmarkEnd w:id="191"/>
      <w:bookmarkEnd w:id="192"/>
    </w:p>
    <w:p w14:paraId="4376D96B">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7.1</w:t>
      </w:r>
      <w:r>
        <w:rPr>
          <w:rFonts w:hint="eastAsia" w:ascii="宋体" w:hAnsi="宋体" w:eastAsia="宋体" w:cs="宋体"/>
          <w:bCs/>
          <w:color w:val="auto"/>
          <w:sz w:val="24"/>
          <w:szCs w:val="24"/>
          <w:highlight w:val="none"/>
        </w:rPr>
        <w:t>项目管理班子成员不得擅自变更。其中，投标文件确定的设计负责人除发生下列情形之一外，不得更换：</w:t>
      </w:r>
    </w:p>
    <w:p w14:paraId="2249BDCD">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（一）因重病或重伤（持有县、区以上医院证明）两个月以上不能履行职责的；</w:t>
      </w:r>
    </w:p>
    <w:p w14:paraId="094652F7">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（二）调离原工作单位的；</w:t>
      </w:r>
    </w:p>
    <w:p w14:paraId="4372681B">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（三）无能力履行合同的责任和义务，造成严重后果，建设单位要求更换的；</w:t>
      </w:r>
    </w:p>
    <w:p w14:paraId="2A40D948">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（四）因违法被责令停止执业的；</w:t>
      </w:r>
    </w:p>
    <w:p w14:paraId="37D887C5">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（五）因犯罪被羁押或判刑的；</w:t>
      </w:r>
    </w:p>
    <w:p w14:paraId="66A610ED">
      <w:pPr>
        <w:keepNext w:val="0"/>
        <w:keepLines w:val="0"/>
        <w:pageBreakBefore w:val="0"/>
        <w:widowControl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（六）死亡。</w:t>
      </w:r>
    </w:p>
    <w:p w14:paraId="70094A1A">
      <w:pPr>
        <w:keepNext w:val="0"/>
        <w:keepLines w:val="0"/>
        <w:pageBreakBefore w:val="0"/>
        <w:widowControl w:val="0"/>
        <w:kinsoku/>
        <w:overflowPunct/>
        <w:topLinePunct w:val="0"/>
        <w:autoSpaceDE/>
        <w:autoSpaceDN/>
        <w:bidi w:val="0"/>
        <w:adjustRightInd w:val="0"/>
        <w:snapToGrid w:val="0"/>
        <w:spacing w:line="360" w:lineRule="auto"/>
        <w:ind w:firstLine="560"/>
        <w:textAlignment w:val="auto"/>
        <w:rPr>
          <w:rFonts w:hint="eastAsia" w:ascii="宋体" w:hAnsi="宋体" w:eastAsia="宋体" w:cs="宋体"/>
          <w:snapToGrid w:val="0"/>
          <w:color w:val="auto"/>
          <w:kern w:val="0"/>
          <w:szCs w:val="24"/>
          <w:highlight w:val="none"/>
        </w:rPr>
      </w:pPr>
      <w:r>
        <w:rPr>
          <w:rFonts w:hint="eastAsia" w:ascii="宋体" w:hAnsi="宋体" w:eastAsia="宋体" w:cs="宋体"/>
          <w:bCs/>
          <w:color w:val="auto"/>
          <w:sz w:val="24"/>
          <w:szCs w:val="24"/>
          <w:highlight w:val="none"/>
        </w:rPr>
        <w:t>发生上述情形需要更换的，承包人</w:t>
      </w:r>
      <w:r>
        <w:rPr>
          <w:rFonts w:hint="eastAsia" w:ascii="宋体" w:hAnsi="宋体" w:eastAsia="宋体" w:cs="宋体"/>
          <w:bCs/>
          <w:color w:val="auto"/>
          <w:sz w:val="24"/>
          <w:szCs w:val="24"/>
          <w:highlight w:val="none"/>
          <w:lang w:eastAsia="zh-CN"/>
        </w:rPr>
        <w:t>应</w:t>
      </w:r>
      <w:r>
        <w:rPr>
          <w:rFonts w:hint="eastAsia" w:ascii="宋体" w:hAnsi="宋体" w:eastAsia="宋体" w:cs="宋体"/>
          <w:bCs/>
          <w:color w:val="auto"/>
          <w:sz w:val="24"/>
          <w:szCs w:val="24"/>
          <w:highlight w:val="none"/>
        </w:rPr>
        <w:t>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6E492DBA">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93" w:name="_Toc32190"/>
      <w:bookmarkStart w:id="194" w:name="_Toc27704"/>
      <w:bookmarkStart w:id="195" w:name="_Toc31645"/>
      <w:bookmarkStart w:id="196" w:name="_Toc12700"/>
      <w:r>
        <w:rPr>
          <w:rFonts w:hint="eastAsia" w:ascii="宋体" w:hAnsi="宋体" w:eastAsia="宋体" w:cs="宋体"/>
          <w:b/>
          <w:snapToGrid w:val="0"/>
          <w:color w:val="auto"/>
          <w:sz w:val="24"/>
          <w:highlight w:val="none"/>
          <w:lang w:val="en-US" w:eastAsia="zh-CN"/>
        </w:rPr>
        <w:t>8.监督实施</w:t>
      </w:r>
      <w:bookmarkEnd w:id="193"/>
      <w:bookmarkEnd w:id="194"/>
      <w:bookmarkEnd w:id="195"/>
      <w:bookmarkEnd w:id="196"/>
    </w:p>
    <w:p w14:paraId="7FF59D8B">
      <w:pPr>
        <w:pStyle w:val="29"/>
        <w:keepNext w:val="0"/>
        <w:keepLines w:val="0"/>
        <w:pageBreakBefore w:val="0"/>
        <w:widowControl w:val="0"/>
        <w:kinsoku/>
        <w:overflowPunct/>
        <w:topLinePunct w:val="0"/>
        <w:autoSpaceDE/>
        <w:autoSpaceDN/>
        <w:bidi w:val="0"/>
        <w:spacing w:line="360" w:lineRule="auto"/>
        <w:ind w:firstLine="480" w:firstLineChars="200"/>
        <w:jc w:val="both"/>
        <w:textAlignment w:val="auto"/>
        <w:rPr>
          <w:rFonts w:hint="eastAsia" w:ascii="宋体" w:hAnsi="宋体" w:eastAsia="宋体" w:cs="宋体"/>
          <w:bCs/>
          <w:snapToGrid w:val="0"/>
          <w:color w:val="auto"/>
          <w:kern w:val="0"/>
          <w:highlight w:val="none"/>
        </w:rPr>
      </w:pPr>
      <w:r>
        <w:rPr>
          <w:rFonts w:hint="eastAsia" w:ascii="宋体" w:hAnsi="宋体" w:eastAsia="宋体" w:cs="宋体"/>
          <w:b w:val="0"/>
          <w:bCs/>
          <w:color w:val="auto"/>
          <w:sz w:val="24"/>
          <w:highlight w:val="none"/>
        </w:rPr>
        <w:t>承包人须服从发包人对工程质量、进度、成本的</w:t>
      </w:r>
      <w:r>
        <w:rPr>
          <w:rFonts w:hint="eastAsia" w:ascii="宋体" w:hAnsi="宋体" w:eastAsia="宋体" w:cs="宋体"/>
          <w:b w:val="0"/>
          <w:bCs/>
          <w:color w:val="auto"/>
          <w:sz w:val="24"/>
          <w:highlight w:val="none"/>
          <w:lang w:eastAsia="zh-CN"/>
        </w:rPr>
        <w:t>全方位</w:t>
      </w:r>
      <w:r>
        <w:rPr>
          <w:rFonts w:hint="eastAsia" w:ascii="宋体" w:hAnsi="宋体" w:eastAsia="宋体" w:cs="宋体"/>
          <w:b w:val="0"/>
          <w:bCs/>
          <w:color w:val="auto"/>
          <w:sz w:val="24"/>
          <w:highlight w:val="none"/>
        </w:rPr>
        <w:t>监督，项目资料应及时报送招标人审查备案。</w:t>
      </w:r>
    </w:p>
    <w:p w14:paraId="17C17C27">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197" w:name="_Toc9414"/>
      <w:bookmarkStart w:id="198" w:name="_Toc14975"/>
      <w:bookmarkStart w:id="199" w:name="_Toc20572"/>
      <w:bookmarkStart w:id="200" w:name="_Toc14276"/>
      <w:r>
        <w:rPr>
          <w:rFonts w:hint="eastAsia" w:ascii="宋体" w:hAnsi="宋体" w:eastAsia="宋体" w:cs="宋体"/>
          <w:b/>
          <w:snapToGrid w:val="0"/>
          <w:color w:val="auto"/>
          <w:sz w:val="24"/>
          <w:highlight w:val="none"/>
          <w:lang w:val="en-US" w:eastAsia="zh-CN"/>
        </w:rPr>
        <w:t>9.其他事项</w:t>
      </w:r>
      <w:bookmarkEnd w:id="197"/>
      <w:bookmarkEnd w:id="198"/>
      <w:bookmarkEnd w:id="199"/>
      <w:bookmarkEnd w:id="200"/>
    </w:p>
    <w:p w14:paraId="6ED434F5">
      <w:pPr>
        <w:adjustRightInd w:val="0"/>
        <w:snapToGrid w:val="0"/>
        <w:spacing w:line="360" w:lineRule="auto"/>
        <w:ind w:firstLine="480"/>
        <w:rPr>
          <w:rFonts w:hint="eastAsia" w:ascii="宋体" w:hAnsi="宋体" w:eastAsia="宋体" w:cs="宋体"/>
          <w:b w:val="0"/>
          <w:bCs/>
          <w:snapToGrid/>
          <w:color w:val="auto"/>
          <w:kern w:val="2"/>
          <w:sz w:val="24"/>
          <w:szCs w:val="24"/>
          <w:highlight w:val="none"/>
        </w:rPr>
      </w:pPr>
      <w:r>
        <w:rPr>
          <w:rFonts w:hint="eastAsia" w:ascii="宋体" w:hAnsi="宋体" w:eastAsia="宋体" w:cs="宋体"/>
          <w:b w:val="0"/>
          <w:bCs/>
          <w:snapToGrid/>
          <w:color w:val="auto"/>
          <w:kern w:val="2"/>
          <w:sz w:val="24"/>
          <w:szCs w:val="24"/>
          <w:highlight w:val="none"/>
        </w:rPr>
        <w:t>9.1中标人须在收到中标通知书之</w:t>
      </w:r>
      <w:r>
        <w:rPr>
          <w:rFonts w:hint="eastAsia" w:ascii="宋体" w:hAnsi="宋体" w:eastAsia="宋体" w:cs="宋体"/>
          <w:b w:val="0"/>
          <w:bCs/>
          <w:snapToGrid/>
          <w:color w:val="auto"/>
          <w:kern w:val="2"/>
          <w:sz w:val="24"/>
          <w:szCs w:val="24"/>
          <w:highlight w:val="none"/>
          <w:lang w:eastAsia="zh-CN"/>
        </w:rPr>
        <w:t>日起</w:t>
      </w:r>
      <w:r>
        <w:rPr>
          <w:rFonts w:hint="eastAsia" w:ascii="宋体" w:hAnsi="宋体" w:eastAsia="宋体" w:cs="宋体"/>
          <w:b w:val="0"/>
          <w:bCs/>
          <w:snapToGrid/>
          <w:color w:val="auto"/>
          <w:kern w:val="2"/>
          <w:sz w:val="24"/>
          <w:szCs w:val="24"/>
          <w:highlight w:val="none"/>
        </w:rPr>
        <w:t>两天内向招标人提交各阶段详细的工期计划承诺书。</w:t>
      </w:r>
    </w:p>
    <w:p w14:paraId="2FF91738">
      <w:pPr>
        <w:adjustRightInd w:val="0"/>
        <w:snapToGrid w:val="0"/>
        <w:spacing w:line="360" w:lineRule="auto"/>
        <w:ind w:firstLine="480"/>
        <w:rPr>
          <w:rFonts w:hint="eastAsia" w:ascii="宋体" w:hAnsi="宋体" w:eastAsia="宋体" w:cs="宋体"/>
          <w:b w:val="0"/>
          <w:bCs/>
          <w:snapToGrid/>
          <w:color w:val="auto"/>
          <w:kern w:val="2"/>
          <w:sz w:val="24"/>
          <w:szCs w:val="24"/>
          <w:highlight w:val="none"/>
        </w:rPr>
      </w:pPr>
      <w:r>
        <w:rPr>
          <w:rFonts w:hint="eastAsia" w:ascii="宋体" w:hAnsi="宋体" w:eastAsia="宋体" w:cs="宋体"/>
          <w:b w:val="0"/>
          <w:bCs/>
          <w:snapToGrid/>
          <w:color w:val="auto"/>
          <w:kern w:val="2"/>
          <w:sz w:val="24"/>
          <w:szCs w:val="24"/>
          <w:highlight w:val="none"/>
        </w:rPr>
        <w:t>9.2本项目各个阶段的设计成果必须经招标人及有关审批部门同意后方可进行下</w:t>
      </w:r>
      <w:r>
        <w:rPr>
          <w:rFonts w:hint="eastAsia" w:ascii="宋体" w:hAnsi="宋体" w:eastAsia="宋体" w:cs="宋体"/>
          <w:b w:val="0"/>
          <w:bCs/>
          <w:snapToGrid/>
          <w:color w:val="auto"/>
          <w:kern w:val="2"/>
          <w:sz w:val="24"/>
          <w:szCs w:val="24"/>
          <w:highlight w:val="none"/>
          <w:lang w:eastAsia="zh-CN"/>
        </w:rPr>
        <w:t>一道</w:t>
      </w:r>
      <w:r>
        <w:rPr>
          <w:rFonts w:hint="eastAsia" w:ascii="宋体" w:hAnsi="宋体" w:eastAsia="宋体" w:cs="宋体"/>
          <w:b w:val="0"/>
          <w:bCs/>
          <w:snapToGrid/>
          <w:color w:val="auto"/>
          <w:kern w:val="2"/>
          <w:sz w:val="24"/>
          <w:szCs w:val="24"/>
          <w:highlight w:val="none"/>
        </w:rPr>
        <w:t>工序的设计工作，设计工程中，中标人需对接市自然资源局、市交通局、市公安局及市政各职能部门了解相关设施的设计要求（如道路、给水、管网等），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应予以顺延，招标人不再支付由此而增加的设计费。</w:t>
      </w:r>
    </w:p>
    <w:p w14:paraId="3EBF03D6">
      <w:pPr>
        <w:adjustRightInd w:val="0"/>
        <w:snapToGrid w:val="0"/>
        <w:spacing w:line="360" w:lineRule="auto"/>
        <w:ind w:firstLine="480"/>
        <w:rPr>
          <w:rFonts w:hint="eastAsia" w:ascii="宋体" w:hAnsi="宋体" w:eastAsia="宋体" w:cs="宋体"/>
          <w:b w:val="0"/>
          <w:bCs/>
          <w:snapToGrid/>
          <w:color w:val="auto"/>
          <w:kern w:val="2"/>
          <w:sz w:val="24"/>
          <w:szCs w:val="24"/>
          <w:highlight w:val="none"/>
        </w:rPr>
      </w:pPr>
      <w:r>
        <w:rPr>
          <w:rFonts w:hint="eastAsia" w:ascii="宋体" w:hAnsi="宋体" w:eastAsia="宋体" w:cs="宋体"/>
          <w:b w:val="0"/>
          <w:bCs/>
          <w:snapToGrid/>
          <w:color w:val="auto"/>
          <w:kern w:val="2"/>
          <w:sz w:val="24"/>
          <w:szCs w:val="24"/>
          <w:highlight w:val="none"/>
        </w:rPr>
        <w:t>9.</w:t>
      </w:r>
      <w:r>
        <w:rPr>
          <w:rFonts w:hint="eastAsia" w:ascii="宋体" w:hAnsi="宋体" w:eastAsia="宋体" w:cs="宋体"/>
          <w:b w:val="0"/>
          <w:bCs/>
          <w:snapToGrid/>
          <w:color w:val="auto"/>
          <w:kern w:val="2"/>
          <w:sz w:val="24"/>
          <w:szCs w:val="24"/>
          <w:highlight w:val="none"/>
          <w:lang w:val="en-US" w:eastAsia="zh-CN"/>
        </w:rPr>
        <w:t>3</w:t>
      </w:r>
      <w:r>
        <w:rPr>
          <w:rFonts w:hint="eastAsia" w:ascii="宋体" w:hAnsi="宋体" w:eastAsia="宋体" w:cs="宋体"/>
          <w:b w:val="0"/>
          <w:bCs/>
          <w:snapToGrid/>
          <w:color w:val="auto"/>
          <w:kern w:val="2"/>
          <w:sz w:val="24"/>
          <w:szCs w:val="24"/>
          <w:highlight w:val="none"/>
        </w:rPr>
        <w:t>每一步设计工作必须经招标人及有关部门审核批准后方可进行下一步设计。中标人提交的施工图阶段的设计成果必须经招标人确认后，再送有资质的审图</w:t>
      </w:r>
      <w:r>
        <w:rPr>
          <w:rFonts w:hint="eastAsia" w:ascii="宋体" w:hAnsi="宋体" w:eastAsia="宋体" w:cs="宋体"/>
          <w:b w:val="0"/>
          <w:bCs/>
          <w:snapToGrid/>
          <w:color w:val="auto"/>
          <w:kern w:val="2"/>
          <w:sz w:val="24"/>
          <w:szCs w:val="24"/>
          <w:highlight w:val="none"/>
          <w:lang w:eastAsia="zh-CN"/>
        </w:rPr>
        <w:t>单位</w:t>
      </w:r>
      <w:r>
        <w:rPr>
          <w:rFonts w:hint="eastAsia" w:ascii="宋体" w:hAnsi="宋体" w:eastAsia="宋体" w:cs="宋体"/>
          <w:b w:val="0"/>
          <w:bCs/>
          <w:snapToGrid/>
          <w:color w:val="auto"/>
          <w:kern w:val="2"/>
          <w:sz w:val="24"/>
          <w:szCs w:val="24"/>
          <w:highlight w:val="none"/>
        </w:rPr>
        <w:t>进行审查，若由于招标人和审图单位在审查过程中提出的设计修改或变更，中标人必须无条件进行修改或优化设计，设计工期应予以顺延，招标人不再支付由此而增加的设计费用。</w:t>
      </w:r>
    </w:p>
    <w:p w14:paraId="5AB435EC">
      <w:pPr>
        <w:adjustRightInd w:val="0"/>
        <w:snapToGrid w:val="0"/>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 w:val="0"/>
          <w:bCs/>
          <w:snapToGrid/>
          <w:color w:val="auto"/>
          <w:kern w:val="2"/>
          <w:sz w:val="24"/>
          <w:szCs w:val="24"/>
          <w:highlight w:val="none"/>
        </w:rPr>
        <w:t>9.</w:t>
      </w:r>
      <w:r>
        <w:rPr>
          <w:rFonts w:hint="eastAsia" w:ascii="宋体" w:hAnsi="宋体" w:eastAsia="宋体" w:cs="宋体"/>
          <w:b w:val="0"/>
          <w:bCs/>
          <w:snapToGrid/>
          <w:color w:val="auto"/>
          <w:kern w:val="2"/>
          <w:sz w:val="24"/>
          <w:szCs w:val="24"/>
          <w:highlight w:val="none"/>
          <w:lang w:val="en-US" w:eastAsia="zh-CN"/>
        </w:rPr>
        <w:t>4</w:t>
      </w:r>
      <w:r>
        <w:rPr>
          <w:rFonts w:hint="eastAsia" w:ascii="宋体" w:hAnsi="宋体" w:eastAsia="宋体" w:cs="宋体"/>
          <w:b w:val="0"/>
          <w:bCs/>
          <w:snapToGrid/>
          <w:color w:val="auto"/>
          <w:kern w:val="2"/>
          <w:sz w:val="24"/>
          <w:szCs w:val="24"/>
          <w:highlight w:val="none"/>
        </w:rPr>
        <w:t>设计人必须严格按有关设计规范设计图纸，设计人须秉承合理、经济、环保、适用等原则进行施工图设计。</w:t>
      </w:r>
    </w:p>
    <w:p w14:paraId="2D2FEE7B">
      <w:pPr>
        <w:spacing w:line="360" w:lineRule="auto"/>
        <w:ind w:firstLine="48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lang w:val="en-US" w:eastAsia="zh-CN"/>
        </w:rPr>
        <w:t>9</w:t>
      </w:r>
      <w:r>
        <w:rPr>
          <w:rFonts w:hint="eastAsia" w:ascii="宋体" w:hAnsi="宋体" w:eastAsia="宋体" w:cs="宋体"/>
          <w:bCs/>
          <w:snapToGrid/>
          <w:color w:val="auto"/>
          <w:kern w:val="2"/>
          <w:sz w:val="24"/>
          <w:szCs w:val="24"/>
          <w:highlight w:val="none"/>
        </w:rPr>
        <w:t>.</w:t>
      </w:r>
      <w:r>
        <w:rPr>
          <w:rFonts w:hint="eastAsia" w:ascii="宋体" w:hAnsi="宋体" w:eastAsia="宋体" w:cs="宋体"/>
          <w:bCs/>
          <w:snapToGrid/>
          <w:color w:val="auto"/>
          <w:kern w:val="2"/>
          <w:sz w:val="24"/>
          <w:szCs w:val="24"/>
          <w:highlight w:val="none"/>
          <w:lang w:val="en-US" w:eastAsia="zh-CN"/>
        </w:rPr>
        <w:t>5</w:t>
      </w:r>
      <w:r>
        <w:rPr>
          <w:rFonts w:hint="eastAsia" w:ascii="宋体" w:hAnsi="宋体" w:eastAsia="宋体" w:cs="宋体"/>
          <w:bCs/>
          <w:snapToGrid/>
          <w:color w:val="auto"/>
          <w:kern w:val="2"/>
          <w:sz w:val="24"/>
          <w:szCs w:val="24"/>
          <w:highlight w:val="none"/>
        </w:rPr>
        <w:t xml:space="preserve"> 中标人应按招标人要求及有关方面的尺寸和材质要求制作鸟瞰图及效果图。否则，招标人另行委托相关单位完成该项工作，费用由中标人承担。</w:t>
      </w:r>
    </w:p>
    <w:p w14:paraId="48B41340">
      <w:pPr>
        <w:spacing w:line="360" w:lineRule="auto"/>
        <w:ind w:firstLine="480"/>
        <w:rPr>
          <w:rFonts w:hint="eastAsia" w:ascii="宋体" w:hAnsi="宋体" w:eastAsia="宋体" w:cs="宋体"/>
          <w:bCs/>
          <w:snapToGrid/>
          <w:color w:val="auto"/>
          <w:kern w:val="2"/>
          <w:sz w:val="24"/>
          <w:szCs w:val="24"/>
          <w:highlight w:val="none"/>
          <w:lang w:val="en-US" w:eastAsia="zh-CN"/>
        </w:rPr>
      </w:pPr>
      <w:r>
        <w:rPr>
          <w:rFonts w:hint="eastAsia" w:ascii="宋体" w:hAnsi="宋体" w:eastAsia="宋体" w:cs="宋体"/>
          <w:bCs/>
          <w:snapToGrid/>
          <w:color w:val="auto"/>
          <w:kern w:val="2"/>
          <w:sz w:val="24"/>
          <w:szCs w:val="24"/>
          <w:highlight w:val="none"/>
          <w:lang w:val="en-US" w:eastAsia="zh-CN"/>
        </w:rPr>
        <w:t>9</w:t>
      </w:r>
      <w:r>
        <w:rPr>
          <w:rFonts w:hint="eastAsia" w:ascii="宋体" w:hAnsi="宋体" w:eastAsia="宋体" w:cs="宋体"/>
          <w:bCs/>
          <w:snapToGrid/>
          <w:color w:val="auto"/>
          <w:kern w:val="2"/>
          <w:sz w:val="24"/>
          <w:szCs w:val="24"/>
          <w:highlight w:val="none"/>
        </w:rPr>
        <w:t>.</w:t>
      </w:r>
      <w:r>
        <w:rPr>
          <w:rFonts w:hint="eastAsia" w:ascii="宋体" w:hAnsi="宋体" w:eastAsia="宋体" w:cs="宋体"/>
          <w:bCs/>
          <w:snapToGrid/>
          <w:color w:val="auto"/>
          <w:kern w:val="2"/>
          <w:sz w:val="24"/>
          <w:szCs w:val="24"/>
          <w:highlight w:val="none"/>
          <w:lang w:val="en-US" w:eastAsia="zh-CN"/>
        </w:rPr>
        <w:t>6</w:t>
      </w:r>
      <w:r>
        <w:rPr>
          <w:rFonts w:hint="eastAsia" w:ascii="宋体" w:hAnsi="宋体" w:eastAsia="宋体" w:cs="宋体"/>
          <w:bCs/>
          <w:snapToGrid/>
          <w:color w:val="auto"/>
          <w:kern w:val="2"/>
          <w:sz w:val="24"/>
          <w:szCs w:val="24"/>
          <w:highlight w:val="none"/>
        </w:rPr>
        <w:t>工程变更的程序和管理按韶府办发函〔2021〕32号执行，凡不符合韶府办发函〔2021〕32号要求的变更均为无效变更。</w:t>
      </w:r>
    </w:p>
    <w:p w14:paraId="411B5FAD">
      <w:pPr>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val="0"/>
          <w:snapToGrid/>
          <w:color w:val="auto"/>
          <w:kern w:val="2"/>
          <w:sz w:val="24"/>
          <w:szCs w:val="24"/>
          <w:highlight w:val="none"/>
          <w:lang w:val="en-US" w:eastAsia="zh-CN"/>
        </w:rPr>
        <w:t>9.7</w:t>
      </w:r>
      <w:r>
        <w:rPr>
          <w:rFonts w:hint="eastAsia" w:ascii="宋体" w:hAnsi="宋体" w:eastAsia="宋体" w:cs="宋体"/>
          <w:b/>
          <w:bCs/>
          <w:snapToGrid w:val="0"/>
          <w:color w:val="auto"/>
          <w:kern w:val="0"/>
          <w:sz w:val="24"/>
          <w:szCs w:val="24"/>
          <w:highlight w:val="none"/>
        </w:rPr>
        <w:t>设计人义务及违约责任</w:t>
      </w:r>
    </w:p>
    <w:p w14:paraId="74401D3B">
      <w:pPr>
        <w:adjustRightInd w:val="0"/>
        <w:snapToGrid w:val="0"/>
        <w:spacing w:line="440" w:lineRule="exact"/>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val="0"/>
          <w:snapToGrid/>
          <w:color w:val="auto"/>
          <w:kern w:val="2"/>
          <w:sz w:val="24"/>
          <w:szCs w:val="24"/>
          <w:highlight w:val="none"/>
          <w:lang w:val="en-US" w:eastAsia="zh-CN"/>
        </w:rPr>
        <w:t>9.7.1</w:t>
      </w:r>
      <w:r>
        <w:rPr>
          <w:rFonts w:hint="eastAsia" w:ascii="宋体" w:hAnsi="宋体" w:eastAsia="宋体" w:cs="宋体"/>
          <w:b/>
          <w:bCs/>
          <w:snapToGrid w:val="0"/>
          <w:color w:val="auto"/>
          <w:kern w:val="0"/>
          <w:sz w:val="24"/>
          <w:szCs w:val="24"/>
          <w:highlight w:val="none"/>
        </w:rPr>
        <w:t>设计人义务</w:t>
      </w:r>
    </w:p>
    <w:p w14:paraId="045265A5">
      <w:pPr>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trike w:val="0"/>
          <w:snapToGrid w:val="0"/>
          <w:color w:val="auto"/>
          <w:kern w:val="0"/>
          <w:sz w:val="24"/>
          <w:szCs w:val="24"/>
          <w:highlight w:val="none"/>
          <w:lang w:val="en-US" w:eastAsia="zh-CN"/>
        </w:rPr>
        <w:t>9.7.1.1</w:t>
      </w:r>
      <w:r>
        <w:rPr>
          <w:rFonts w:hint="eastAsia" w:ascii="宋体" w:hAnsi="宋体" w:eastAsia="宋体" w:cs="宋体"/>
          <w:snapToGrid w:val="0"/>
          <w:color w:val="auto"/>
          <w:kern w:val="0"/>
          <w:sz w:val="24"/>
          <w:szCs w:val="24"/>
          <w:highlight w:val="none"/>
        </w:rPr>
        <w:t>合同生效后，设计人要求终止或解除合同视为设计人违约，扣除</w:t>
      </w:r>
      <w:r>
        <w:rPr>
          <w:rFonts w:hint="eastAsia" w:ascii="宋体" w:hAnsi="宋体" w:eastAsia="宋体" w:cs="宋体"/>
          <w:snapToGrid w:val="0"/>
          <w:color w:val="auto"/>
          <w:kern w:val="0"/>
          <w:sz w:val="24"/>
          <w:szCs w:val="24"/>
          <w:highlight w:val="none"/>
          <w:lang w:eastAsia="zh-CN"/>
        </w:rPr>
        <w:t>全部</w:t>
      </w:r>
      <w:r>
        <w:rPr>
          <w:rFonts w:hint="eastAsia" w:ascii="宋体" w:hAnsi="宋体" w:eastAsia="宋体" w:cs="宋体"/>
          <w:snapToGrid w:val="0"/>
          <w:color w:val="auto"/>
          <w:kern w:val="0"/>
          <w:sz w:val="24"/>
          <w:szCs w:val="24"/>
          <w:highlight w:val="none"/>
        </w:rPr>
        <w:t>履约保证金。</w:t>
      </w:r>
    </w:p>
    <w:p w14:paraId="74B8F313">
      <w:pPr>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9.7.1.2</w:t>
      </w:r>
      <w:r>
        <w:rPr>
          <w:rFonts w:hint="eastAsia" w:ascii="宋体" w:hAnsi="宋体" w:eastAsia="宋体" w:cs="宋体"/>
          <w:snapToGrid w:val="0"/>
          <w:color w:val="auto"/>
          <w:kern w:val="0"/>
          <w:sz w:val="24"/>
          <w:szCs w:val="24"/>
          <w:highlight w:val="none"/>
        </w:rPr>
        <w:t>设计人负责按照合同规定承包范围、内容和方式，在规定时间内提交满足规定质量要求的设计成果，并完成约定的服务内容。设计人交付设计文件后，按规定参加有关的设计审查，并根据审查结论负责不超出原定范围的内容做必要调</w:t>
      </w:r>
      <w:r>
        <w:rPr>
          <w:rFonts w:hint="eastAsia" w:ascii="宋体" w:hAnsi="宋体" w:eastAsia="宋体" w:cs="宋体"/>
          <w:snapToGrid w:val="0"/>
          <w:color w:val="auto"/>
          <w:kern w:val="0"/>
          <w:sz w:val="24"/>
          <w:szCs w:val="24"/>
          <w:highlight w:val="none"/>
          <w:lang w:eastAsia="zh-CN"/>
        </w:rPr>
        <w:t>整和</w:t>
      </w:r>
      <w:r>
        <w:rPr>
          <w:rFonts w:hint="eastAsia" w:ascii="宋体" w:hAnsi="宋体" w:eastAsia="宋体" w:cs="宋体"/>
          <w:snapToGrid w:val="0"/>
          <w:color w:val="auto"/>
          <w:kern w:val="0"/>
          <w:sz w:val="24"/>
          <w:szCs w:val="24"/>
          <w:highlight w:val="none"/>
        </w:rPr>
        <w:t>补充。设计人按合同规定时限交付设计文件，负责向发包人及施工单位进行设计交底、处理有关设计问题和参加竣工验收。</w:t>
      </w:r>
    </w:p>
    <w:p w14:paraId="651B476E">
      <w:pPr>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9.7.1.3设计人应对发包人提供的文件、资料进行认真研究，对本项目的特点和不确定因素进行认真考虑，并提出合理建议和评价，对影响设计稳定的重大问题要进行多方案比较选择。</w:t>
      </w:r>
    </w:p>
    <w:p w14:paraId="212CD0A0">
      <w:pPr>
        <w:adjustRightInd w:val="0"/>
        <w:snapToGrid w:val="0"/>
        <w:spacing w:line="44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9.7.1.4设计应尽可能减少施工难度，为施工创造方便合理的施工条件；应尽量减少施工对城市交通、市民生活以及水利、通航的干扰，并尽可能减少对施工期的影响。</w:t>
      </w:r>
    </w:p>
    <w:p w14:paraId="0D0CCD72">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5未经发包人书面同意，设计人不得对已批准的设计和勘探点布置方案作重大修改、增减或删除。</w:t>
      </w:r>
    </w:p>
    <w:p w14:paraId="0472FEC3">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6设计人提交的全部设计文件应考虑地质因素、正常施工中可能出现的各种因素，对设计文件出现的遗漏或错误负责修改或补充。</w:t>
      </w:r>
    </w:p>
    <w:p w14:paraId="01A17A3F">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7设计人承诺在交付项目的部分或全部设计文件后，如有更好的新工艺、新技术、新材料、新设备等适用于本项目，应及时向发包人推荐并提供科学的评估和来源证明。</w:t>
      </w:r>
    </w:p>
    <w:p w14:paraId="186036D9">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8设计人项目负责人（即投标文件所拟派的项目负责人）负责参与本项目设计全过程（包括初步设计评审、初步设计修编、施工图设计审查、施工图设计修编、预算跟踪服务、图纸会审、技术交底等设计工作）。</w:t>
      </w:r>
    </w:p>
    <w:p w14:paraId="07E93971">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9设计人编制的初步设计及概算需按设计要求和概算定额等相关文件的规定编制,必须保证其准确并符合合同约定的要求，设计人编制的初步设计概算应确保完整和相对准确。</w:t>
      </w:r>
    </w:p>
    <w:p w14:paraId="2AE437CE">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10涉及设计方案专家论证会（含初步设计评审等）的相关费用由设计人承担。</w:t>
      </w:r>
    </w:p>
    <w:p w14:paraId="10F53229">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11设计人要按照投资估算控制初步设计，按照批准的初步设计总概算控制施工图设计，即限额设计。设计人要无条件对设计文件出现的遗漏或错误负责修改或补充，直到满足要求。</w:t>
      </w:r>
    </w:p>
    <w:p w14:paraId="40B6CE4D">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12若涉及设计变更需专家论证，设计人须无条件配合发包人完成设计方案比选及相关变更手续，直到满足要求，发包人不再支付由此而增加的设计费用。</w:t>
      </w:r>
    </w:p>
    <w:p w14:paraId="295CE83F">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13施工图必须达到现行有关规范要求，并经发包人确认的有资质的审图机构审查合格。若由于发包人或审图机构在审查过程中提出的设计修改或变更，设计人须进行修改或优化设计，发包人不再支付由此而增加的设计费用。</w:t>
      </w:r>
    </w:p>
    <w:p w14:paraId="37EA830F">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14本工程各个阶段的设计成果必须经发包人及有关审批部门同意后方可进行下一道工序的设计工作，若发包人或有关审批部门在审批过程中提出的设计修改或变更，设计人须进行修改或变更，发包人不再支付由此而增加的设计费用。</w:t>
      </w:r>
    </w:p>
    <w:p w14:paraId="75F0F611">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15确保项目顺利实施的报批、施工等所需的设计文件，包括：初步设计（需经专家评审）、概算编制、施工图设计、调整并优化设计和在工程施工期间指导和解决施工难题、完成发包人提出的与项目的其他要求及后续的设计服务工作。</w:t>
      </w:r>
    </w:p>
    <w:p w14:paraId="36BD9B85">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16施工图设计完成并经有关单位审查后，进入施工阶段，承诺委派参与并熟悉本项目设计人员每个月至少驻现场10天，在施工特殊节点或现场需要（例如验收钢筋、基础、主体验收等），配合现场的设计调整、设计变更工作、对施工过程中的工艺、工序予以确认及提出意见，发包人不另外支付配合施工费用。</w:t>
      </w:r>
    </w:p>
    <w:p w14:paraId="4EC4596C">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9.7.1.</w:t>
      </w:r>
      <w:r>
        <w:rPr>
          <w:rFonts w:hint="eastAsia" w:ascii="宋体" w:hAnsi="宋体" w:eastAsia="宋体" w:cs="宋体"/>
          <w:strike w:val="0"/>
          <w:snapToGrid w:val="0"/>
          <w:color w:val="auto"/>
          <w:kern w:val="0"/>
          <w:sz w:val="24"/>
          <w:szCs w:val="24"/>
          <w:highlight w:val="none"/>
          <w:lang w:val="en-US" w:eastAsia="zh-CN"/>
        </w:rPr>
        <w:t>17设计单位配合施工、监理及业主单位的工作内容如下：</w:t>
      </w:r>
    </w:p>
    <w:p w14:paraId="02A4F2E6">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施工图设计（技术）交底；</w:t>
      </w:r>
    </w:p>
    <w:p w14:paraId="45F485C8">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变更设计和所有补充设计；</w:t>
      </w:r>
    </w:p>
    <w:p w14:paraId="2BBFF5C8">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会签设计变更审批表；</w:t>
      </w:r>
    </w:p>
    <w:p w14:paraId="55BD0F63">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参加处理施工中发生的工程质量和安全事故；</w:t>
      </w:r>
    </w:p>
    <w:p w14:paraId="46369E55">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参加隐蔽工程及工程竣工验收；</w:t>
      </w:r>
    </w:p>
    <w:p w14:paraId="07EACFE7">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解决与设计有关的施工问题；</w:t>
      </w:r>
    </w:p>
    <w:p w14:paraId="364D4C87">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配合质量检测；</w:t>
      </w:r>
    </w:p>
    <w:p w14:paraId="5F012C9F">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参加审查施工单位的施工组织设计和专项施工方案；</w:t>
      </w:r>
    </w:p>
    <w:p w14:paraId="02EEE7C2">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参加本项目建设有关会议。</w:t>
      </w:r>
    </w:p>
    <w:p w14:paraId="1121504D">
      <w:pPr>
        <w:adjustRightInd w:val="0"/>
        <w:snapToGrid w:val="0"/>
        <w:spacing w:line="440" w:lineRule="exact"/>
        <w:ind w:firstLine="480" w:firstLineChars="200"/>
        <w:rPr>
          <w:rFonts w:hint="eastAsia" w:ascii="宋体" w:hAnsi="宋体" w:eastAsia="宋体" w:cs="宋体"/>
          <w:strike w:val="0"/>
          <w:snapToGrid w:val="0"/>
          <w:color w:val="auto"/>
          <w:kern w:val="0"/>
          <w:sz w:val="24"/>
          <w:szCs w:val="24"/>
          <w:highlight w:val="none"/>
          <w:lang w:val="en-US" w:eastAsia="zh-CN"/>
        </w:rPr>
      </w:pPr>
      <w:r>
        <w:rPr>
          <w:rFonts w:hint="eastAsia" w:ascii="宋体" w:hAnsi="宋体" w:eastAsia="宋体" w:cs="宋体"/>
          <w:strike w:val="0"/>
          <w:snapToGrid w:val="0"/>
          <w:color w:val="auto"/>
          <w:kern w:val="0"/>
          <w:sz w:val="24"/>
          <w:szCs w:val="24"/>
          <w:highlight w:val="none"/>
          <w:lang w:val="en-US" w:eastAsia="zh-CN"/>
        </w:rPr>
        <w:t>在施工、监理招标期间配合建设及相关单位解释及完善施工图相关内容。</w:t>
      </w:r>
    </w:p>
    <w:p w14:paraId="03879B55">
      <w:pPr>
        <w:adjustRightInd w:val="0"/>
        <w:snapToGrid w:val="0"/>
        <w:spacing w:line="360" w:lineRule="auto"/>
        <w:ind w:firstLine="482" w:firstLineChars="200"/>
        <w:rPr>
          <w:rFonts w:hint="eastAsia" w:ascii="宋体" w:hAnsi="宋体" w:eastAsia="宋体" w:cs="宋体"/>
          <w:b/>
          <w:bCs w:val="0"/>
          <w:snapToGrid/>
          <w:color w:val="auto"/>
          <w:kern w:val="2"/>
          <w:sz w:val="24"/>
          <w:szCs w:val="24"/>
          <w:highlight w:val="none"/>
        </w:rPr>
      </w:pPr>
      <w:r>
        <w:rPr>
          <w:rFonts w:hint="eastAsia" w:ascii="宋体" w:hAnsi="宋体" w:eastAsia="宋体" w:cs="宋体"/>
          <w:b/>
          <w:bCs w:val="0"/>
          <w:snapToGrid/>
          <w:color w:val="auto"/>
          <w:kern w:val="2"/>
          <w:sz w:val="24"/>
          <w:szCs w:val="24"/>
          <w:highlight w:val="none"/>
          <w:lang w:val="en-US" w:eastAsia="zh-CN"/>
        </w:rPr>
        <w:t>9.7.2</w:t>
      </w:r>
      <w:r>
        <w:rPr>
          <w:rFonts w:hint="eastAsia" w:ascii="宋体" w:hAnsi="宋体" w:eastAsia="宋体" w:cs="宋体"/>
          <w:b/>
          <w:bCs w:val="0"/>
          <w:snapToGrid w:val="0"/>
          <w:color w:val="auto"/>
          <w:kern w:val="0"/>
          <w:sz w:val="24"/>
          <w:szCs w:val="24"/>
          <w:highlight w:val="none"/>
          <w:lang w:eastAsia="zh-CN"/>
        </w:rPr>
        <w:t>设计</w:t>
      </w:r>
      <w:r>
        <w:rPr>
          <w:rFonts w:hint="eastAsia" w:ascii="宋体" w:hAnsi="宋体" w:eastAsia="宋体" w:cs="宋体"/>
          <w:b/>
          <w:bCs w:val="0"/>
          <w:snapToGrid w:val="0"/>
          <w:color w:val="auto"/>
          <w:kern w:val="0"/>
          <w:sz w:val="24"/>
          <w:szCs w:val="24"/>
          <w:highlight w:val="none"/>
        </w:rPr>
        <w:t>人违约的处理</w:t>
      </w:r>
    </w:p>
    <w:p w14:paraId="15E1EBCF">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.2.1．设计人发生合同约定的违约情况时，无论发包人是否解除合同，发包人均有权按“</w:t>
      </w:r>
      <w:r>
        <w:rPr>
          <w:rFonts w:hint="eastAsia" w:ascii="宋体" w:hAnsi="宋体" w:eastAsia="宋体" w:cs="宋体"/>
          <w:b/>
          <w:bCs/>
          <w:snapToGrid w:val="0"/>
          <w:color w:val="auto"/>
          <w:kern w:val="0"/>
          <w:sz w:val="24"/>
          <w:szCs w:val="24"/>
          <w:highlight w:val="none"/>
        </w:rPr>
        <w:t>附件</w:t>
      </w:r>
      <w:r>
        <w:rPr>
          <w:rFonts w:hint="eastAsia" w:ascii="宋体" w:hAnsi="宋体" w:eastAsia="宋体" w:cs="宋体"/>
          <w:b/>
          <w:bCs/>
          <w:snapToGrid w:val="0"/>
          <w:color w:val="auto"/>
          <w:kern w:val="0"/>
          <w:sz w:val="24"/>
          <w:szCs w:val="24"/>
          <w:highlight w:val="none"/>
          <w:lang w:val="en-US" w:eastAsia="zh-CN"/>
        </w:rPr>
        <w:t>1</w:t>
      </w:r>
      <w:r>
        <w:rPr>
          <w:rFonts w:hint="eastAsia" w:ascii="宋体" w:hAnsi="宋体" w:eastAsia="宋体" w:cs="宋体"/>
          <w:b/>
          <w:bCs/>
          <w:snapToGrid w:val="0"/>
          <w:color w:val="auto"/>
          <w:kern w:val="0"/>
          <w:sz w:val="24"/>
          <w:szCs w:val="24"/>
          <w:highlight w:val="none"/>
        </w:rPr>
        <w:t xml:space="preserve"> 设计人违约行为及违约金一览表</w:t>
      </w:r>
      <w:r>
        <w:rPr>
          <w:rFonts w:hint="eastAsia" w:ascii="宋体" w:hAnsi="宋体" w:eastAsia="宋体" w:cs="宋体"/>
          <w:snapToGrid w:val="0"/>
          <w:color w:val="auto"/>
          <w:kern w:val="0"/>
          <w:sz w:val="24"/>
          <w:szCs w:val="24"/>
          <w:highlight w:val="none"/>
        </w:rPr>
        <w:t>”的规定向设计人计以违约金，并由发包人将其违约行为记录在合同履约评价记录中，作为合同履约综合评价的依据。同时，发包人将设计人的违约行为上报建设行政主管部门。</w:t>
      </w:r>
    </w:p>
    <w:p w14:paraId="0496605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.2.2．除非合同另有规定，发包人向设计人开出的任何</w:t>
      </w:r>
      <w:r>
        <w:rPr>
          <w:rFonts w:hint="eastAsia" w:ascii="宋体" w:hAnsi="宋体" w:eastAsia="宋体" w:cs="宋体"/>
          <w:snapToGrid w:val="0"/>
          <w:color w:val="auto"/>
          <w:kern w:val="0"/>
          <w:sz w:val="24"/>
          <w:szCs w:val="24"/>
          <w:highlight w:val="none"/>
          <w:lang w:val="en-US" w:eastAsia="zh-CN"/>
        </w:rPr>
        <w:t>违约</w:t>
      </w:r>
      <w:r>
        <w:rPr>
          <w:rFonts w:hint="eastAsia" w:ascii="宋体" w:hAnsi="宋体" w:eastAsia="宋体" w:cs="宋体"/>
          <w:snapToGrid w:val="0"/>
          <w:color w:val="auto"/>
          <w:kern w:val="0"/>
          <w:sz w:val="24"/>
          <w:szCs w:val="24"/>
          <w:highlight w:val="none"/>
          <w:lang w:eastAsia="zh-CN"/>
        </w:rPr>
        <w:t>通知书</w:t>
      </w:r>
      <w:r>
        <w:rPr>
          <w:rFonts w:hint="eastAsia" w:ascii="宋体" w:hAnsi="宋体" w:eastAsia="宋体" w:cs="宋体"/>
          <w:snapToGrid w:val="0"/>
          <w:color w:val="auto"/>
          <w:kern w:val="0"/>
          <w:sz w:val="24"/>
          <w:szCs w:val="24"/>
          <w:highlight w:val="none"/>
        </w:rPr>
        <w:t>将导致中标人最终的应得结算价款相应地减少。设计人必须完全接受上述条款。</w:t>
      </w:r>
    </w:p>
    <w:p w14:paraId="1DF27E32">
      <w:pPr>
        <w:pStyle w:val="37"/>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．发包人按合同规定向设计人开出的任何违约金的扣除时间，可以在发包人认为合适的任何一个期中支付月份中扣除。发包人扣除违约金时间的延迟或滞后并不代表对设计人当时各种行为的认可或默认。</w:t>
      </w:r>
    </w:p>
    <w:p w14:paraId="468F730F">
      <w:pPr>
        <w:pStyle w:val="37"/>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9.7.2.4</w:t>
      </w:r>
      <w:r>
        <w:rPr>
          <w:rFonts w:hint="eastAsia" w:ascii="宋体" w:hAnsi="宋体" w:eastAsia="宋体" w:cs="宋体"/>
          <w:snapToGrid w:val="0"/>
          <w:color w:val="auto"/>
          <w:kern w:val="0"/>
          <w:sz w:val="24"/>
          <w:szCs w:val="24"/>
          <w:highlight w:val="none"/>
        </w:rPr>
        <w:t>设计人的违约金由发包人掌握使用。</w:t>
      </w:r>
    </w:p>
    <w:p w14:paraId="3FCBA619">
      <w:pPr>
        <w:pStyle w:val="2"/>
        <w:ind w:left="0" w:leftChars="0" w:firstLine="0" w:firstLineChars="0"/>
        <w:rPr>
          <w:rFonts w:hint="eastAsia" w:ascii="宋体" w:hAnsi="宋体" w:eastAsia="宋体" w:cs="宋体"/>
          <w:color w:val="auto"/>
          <w:highlight w:val="none"/>
        </w:rPr>
      </w:pPr>
    </w:p>
    <w:p w14:paraId="5D023A49">
      <w:pPr>
        <w:spacing w:line="480" w:lineRule="auto"/>
        <w:jc w:val="left"/>
        <w:rPr>
          <w:rFonts w:hint="eastAsia" w:ascii="宋体" w:hAnsi="宋体" w:eastAsia="宋体" w:cs="宋体"/>
          <w:b/>
          <w:color w:val="auto"/>
          <w:sz w:val="32"/>
          <w:szCs w:val="32"/>
          <w:highlight w:val="none"/>
        </w:rPr>
      </w:pPr>
      <w:bookmarkStart w:id="201" w:name="_Toc28264"/>
      <w:bookmarkStart w:id="202" w:name="_Toc466640610"/>
      <w:r>
        <w:rPr>
          <w:rFonts w:hint="eastAsia" w:ascii="宋体" w:hAnsi="宋体" w:eastAsia="宋体" w:cs="宋体"/>
          <w:b/>
          <w:color w:val="auto"/>
          <w:sz w:val="28"/>
          <w:szCs w:val="28"/>
          <w:highlight w:val="none"/>
          <w:lang w:val="en-US" w:eastAsia="zh-CN"/>
        </w:rPr>
        <w:t>附件1</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设计人违约行为及违约金一览表</w:t>
      </w:r>
    </w:p>
    <w:tbl>
      <w:tblPr>
        <w:tblStyle w:val="20"/>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4783"/>
        <w:gridCol w:w="3033"/>
        <w:gridCol w:w="1367"/>
      </w:tblGrid>
      <w:tr w14:paraId="2E44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7EAF83DD">
            <w:pPr>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序号</w:t>
            </w:r>
          </w:p>
        </w:tc>
        <w:tc>
          <w:tcPr>
            <w:tcW w:w="4783" w:type="dxa"/>
            <w:shd w:val="clear" w:color="auto" w:fill="auto"/>
            <w:vAlign w:val="center"/>
          </w:tcPr>
          <w:p w14:paraId="496D2BCA">
            <w:pPr>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违约行为</w:t>
            </w:r>
          </w:p>
        </w:tc>
        <w:tc>
          <w:tcPr>
            <w:tcW w:w="3033" w:type="dxa"/>
            <w:shd w:val="clear" w:color="auto" w:fill="auto"/>
            <w:vAlign w:val="center"/>
          </w:tcPr>
          <w:p w14:paraId="633554F3">
            <w:pPr>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违约金标准</w:t>
            </w:r>
          </w:p>
        </w:tc>
        <w:tc>
          <w:tcPr>
            <w:tcW w:w="1367" w:type="dxa"/>
            <w:shd w:val="clear" w:color="auto" w:fill="auto"/>
            <w:vAlign w:val="center"/>
          </w:tcPr>
          <w:p w14:paraId="340DE956">
            <w:pPr>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备注</w:t>
            </w:r>
          </w:p>
        </w:tc>
      </w:tr>
      <w:tr w14:paraId="2018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3804394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4783" w:type="dxa"/>
            <w:shd w:val="clear" w:color="auto" w:fill="auto"/>
            <w:vAlign w:val="center"/>
          </w:tcPr>
          <w:p w14:paraId="56503653">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设计人应按国家规定和合同约定的技术规范、标准进行设计，按项目规定的内容、时间及份数向发包人一次性交付完整设计文件。因中标人原因，没有按期完成各项设计任务和造成重复设计工作延误的。</w:t>
            </w:r>
          </w:p>
        </w:tc>
        <w:tc>
          <w:tcPr>
            <w:tcW w:w="3033" w:type="dxa"/>
            <w:shd w:val="clear" w:color="auto" w:fill="auto"/>
            <w:vAlign w:val="center"/>
          </w:tcPr>
          <w:p w14:paraId="32A71A95">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在逾期第壹天起每天按合同价款的1‰计算违约金。</w:t>
            </w:r>
          </w:p>
        </w:tc>
        <w:tc>
          <w:tcPr>
            <w:tcW w:w="1367" w:type="dxa"/>
            <w:shd w:val="clear" w:color="auto" w:fill="auto"/>
            <w:vAlign w:val="center"/>
          </w:tcPr>
          <w:p w14:paraId="3089F057">
            <w:pPr>
              <w:spacing w:line="360" w:lineRule="auto"/>
              <w:jc w:val="center"/>
              <w:rPr>
                <w:rFonts w:hint="eastAsia" w:ascii="宋体" w:hAnsi="宋体" w:eastAsia="宋体" w:cs="宋体"/>
                <w:color w:val="auto"/>
                <w:kern w:val="2"/>
                <w:sz w:val="24"/>
                <w:szCs w:val="24"/>
                <w:highlight w:val="none"/>
                <w:lang w:val="en-US" w:eastAsia="zh-CN" w:bidi="ar-SA"/>
              </w:rPr>
            </w:pPr>
          </w:p>
        </w:tc>
      </w:tr>
      <w:tr w14:paraId="4361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3C6072DC">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4783" w:type="dxa"/>
            <w:shd w:val="clear" w:color="auto" w:fill="auto"/>
            <w:vAlign w:val="center"/>
          </w:tcPr>
          <w:p w14:paraId="56A484C8">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由于设计人设计工作错误造成工程设计质量事故。</w:t>
            </w:r>
          </w:p>
        </w:tc>
        <w:tc>
          <w:tcPr>
            <w:tcW w:w="3033" w:type="dxa"/>
            <w:shd w:val="clear" w:color="auto" w:fill="auto"/>
            <w:vAlign w:val="center"/>
          </w:tcPr>
          <w:p w14:paraId="2C552AD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扣除合同价款的50%，且根据责任情况，仍需负责赔偿工程损失费，不免追究其法律责任</w:t>
            </w:r>
            <w:r>
              <w:rPr>
                <w:rFonts w:hint="eastAsia" w:ascii="宋体" w:hAnsi="宋体" w:eastAsia="宋体" w:cs="宋体"/>
                <w:snapToGrid w:val="0"/>
                <w:color w:val="auto"/>
                <w:kern w:val="0"/>
                <w:sz w:val="24"/>
                <w:szCs w:val="24"/>
                <w:highlight w:val="none"/>
                <w:lang w:eastAsia="zh-CN"/>
              </w:rPr>
              <w:t>。</w:t>
            </w:r>
          </w:p>
        </w:tc>
        <w:tc>
          <w:tcPr>
            <w:tcW w:w="1367" w:type="dxa"/>
            <w:shd w:val="clear" w:color="auto" w:fill="auto"/>
            <w:vAlign w:val="center"/>
          </w:tcPr>
          <w:p w14:paraId="3EA7562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负责采取补救措施</w:t>
            </w:r>
          </w:p>
        </w:tc>
      </w:tr>
      <w:tr w14:paraId="5D3F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5F0DD1EA">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4783" w:type="dxa"/>
            <w:shd w:val="clear" w:color="auto" w:fill="auto"/>
            <w:vAlign w:val="center"/>
          </w:tcPr>
          <w:p w14:paraId="5E3F72AE">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bidi="ar"/>
              </w:rPr>
              <w:t>施工期间除发包人要求或特殊地质原因外，因设计质量</w:t>
            </w:r>
            <w:r>
              <w:rPr>
                <w:rFonts w:hint="eastAsia" w:ascii="宋体" w:hAnsi="宋体" w:eastAsia="宋体" w:cs="宋体"/>
                <w:snapToGrid w:val="0"/>
                <w:color w:val="auto"/>
                <w:kern w:val="0"/>
                <w:sz w:val="24"/>
                <w:szCs w:val="24"/>
                <w:highlight w:val="none"/>
                <w:lang w:eastAsia="zh-CN" w:bidi="ar"/>
              </w:rPr>
              <w:t>（</w:t>
            </w:r>
            <w:r>
              <w:rPr>
                <w:rFonts w:hint="eastAsia" w:ascii="宋体" w:hAnsi="宋体" w:eastAsia="宋体" w:cs="宋体"/>
                <w:snapToGrid w:val="0"/>
                <w:color w:val="auto"/>
                <w:kern w:val="0"/>
                <w:sz w:val="24"/>
                <w:szCs w:val="24"/>
                <w:highlight w:val="none"/>
                <w:lang w:bidi="ar"/>
              </w:rPr>
              <w:t>含设计缺漏项等</w:t>
            </w:r>
            <w:r>
              <w:rPr>
                <w:rFonts w:hint="eastAsia" w:ascii="宋体" w:hAnsi="宋体" w:eastAsia="宋体" w:cs="宋体"/>
                <w:snapToGrid w:val="0"/>
                <w:color w:val="auto"/>
                <w:kern w:val="0"/>
                <w:sz w:val="24"/>
                <w:szCs w:val="24"/>
                <w:highlight w:val="none"/>
                <w:lang w:eastAsia="zh-CN" w:bidi="ar"/>
              </w:rPr>
              <w:t>）</w:t>
            </w:r>
            <w:r>
              <w:rPr>
                <w:rFonts w:hint="eastAsia" w:ascii="宋体" w:hAnsi="宋体" w:eastAsia="宋体" w:cs="宋体"/>
                <w:snapToGrid w:val="0"/>
                <w:color w:val="auto"/>
                <w:kern w:val="0"/>
                <w:sz w:val="24"/>
                <w:szCs w:val="24"/>
                <w:highlight w:val="none"/>
                <w:lang w:bidi="ar"/>
              </w:rPr>
              <w:t>和深度不够的原因引起的工程返工或需要设计变更引起工程造价增加的。</w:t>
            </w:r>
          </w:p>
        </w:tc>
        <w:tc>
          <w:tcPr>
            <w:tcW w:w="3033" w:type="dxa"/>
            <w:shd w:val="clear" w:color="auto" w:fill="auto"/>
            <w:vAlign w:val="center"/>
          </w:tcPr>
          <w:p w14:paraId="716F42AD">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变更导致增加造价的，按增加建安费的</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%作为设计违约金</w:t>
            </w:r>
            <w:r>
              <w:rPr>
                <w:rFonts w:hint="eastAsia" w:ascii="宋体" w:hAnsi="宋体" w:eastAsia="宋体" w:cs="宋体"/>
                <w:snapToGrid w:val="0"/>
                <w:color w:val="auto"/>
                <w:kern w:val="0"/>
                <w:sz w:val="24"/>
                <w:szCs w:val="24"/>
                <w:highlight w:val="none"/>
                <w:lang w:bidi="ar"/>
              </w:rPr>
              <w:t>，扣完为止。</w:t>
            </w:r>
          </w:p>
        </w:tc>
        <w:tc>
          <w:tcPr>
            <w:tcW w:w="1367" w:type="dxa"/>
            <w:shd w:val="clear" w:color="auto" w:fill="auto"/>
            <w:vAlign w:val="center"/>
          </w:tcPr>
          <w:p w14:paraId="560EB30E">
            <w:pPr>
              <w:spacing w:line="360" w:lineRule="auto"/>
              <w:jc w:val="center"/>
              <w:rPr>
                <w:rFonts w:hint="eastAsia" w:ascii="宋体" w:hAnsi="宋体" w:eastAsia="宋体" w:cs="宋体"/>
                <w:color w:val="auto"/>
                <w:kern w:val="2"/>
                <w:sz w:val="24"/>
                <w:szCs w:val="24"/>
                <w:highlight w:val="none"/>
                <w:lang w:val="en-US" w:eastAsia="zh-CN" w:bidi="ar-SA"/>
              </w:rPr>
            </w:pPr>
          </w:p>
        </w:tc>
      </w:tr>
      <w:tr w14:paraId="3428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2A14F790">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4783" w:type="dxa"/>
            <w:shd w:val="clear" w:color="auto" w:fill="auto"/>
            <w:vAlign w:val="center"/>
          </w:tcPr>
          <w:p w14:paraId="30C35A3B">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设计人不按合同约定及发包人要求出具软基处理、结构物设计比选方案。</w:t>
            </w:r>
          </w:p>
        </w:tc>
        <w:tc>
          <w:tcPr>
            <w:tcW w:w="3033" w:type="dxa"/>
            <w:shd w:val="clear" w:color="auto" w:fill="auto"/>
            <w:vAlign w:val="center"/>
          </w:tcPr>
          <w:p w14:paraId="68482EFF">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每次扣除设计合同价款中设计费的2%，扣完为止。</w:t>
            </w:r>
          </w:p>
        </w:tc>
        <w:tc>
          <w:tcPr>
            <w:tcW w:w="1367" w:type="dxa"/>
            <w:shd w:val="clear" w:color="auto" w:fill="auto"/>
            <w:vAlign w:val="center"/>
          </w:tcPr>
          <w:p w14:paraId="0F9402B5">
            <w:pPr>
              <w:spacing w:line="360" w:lineRule="auto"/>
              <w:jc w:val="center"/>
              <w:rPr>
                <w:rFonts w:hint="eastAsia" w:ascii="宋体" w:hAnsi="宋体" w:eastAsia="宋体" w:cs="宋体"/>
                <w:color w:val="auto"/>
                <w:kern w:val="2"/>
                <w:sz w:val="24"/>
                <w:szCs w:val="24"/>
                <w:highlight w:val="none"/>
                <w:lang w:val="en-US" w:eastAsia="zh-CN" w:bidi="ar-SA"/>
              </w:rPr>
            </w:pPr>
          </w:p>
        </w:tc>
      </w:tr>
      <w:tr w14:paraId="1CAA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143B7D9F">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4783" w:type="dxa"/>
            <w:shd w:val="clear" w:color="auto" w:fill="auto"/>
            <w:vAlign w:val="center"/>
          </w:tcPr>
          <w:p w14:paraId="67303759">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因设计人自身原因造成工程结算超施工招标中标价的。</w:t>
            </w:r>
          </w:p>
        </w:tc>
        <w:tc>
          <w:tcPr>
            <w:tcW w:w="3033" w:type="dxa"/>
            <w:shd w:val="clear" w:color="auto" w:fill="auto"/>
            <w:vAlign w:val="center"/>
          </w:tcPr>
          <w:p w14:paraId="03E02E74">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扣除应付设计合同价款中的余款</w:t>
            </w:r>
            <w:r>
              <w:rPr>
                <w:rFonts w:hint="eastAsia" w:ascii="宋体" w:hAnsi="宋体" w:eastAsia="宋体" w:cs="宋体"/>
                <w:snapToGrid w:val="0"/>
                <w:color w:val="auto"/>
                <w:kern w:val="0"/>
                <w:sz w:val="24"/>
                <w:szCs w:val="24"/>
                <w:highlight w:val="none"/>
                <w:lang w:eastAsia="zh-CN"/>
              </w:rPr>
              <w:t>。</w:t>
            </w:r>
          </w:p>
        </w:tc>
        <w:tc>
          <w:tcPr>
            <w:tcW w:w="1367" w:type="dxa"/>
            <w:shd w:val="clear" w:color="auto" w:fill="auto"/>
            <w:vAlign w:val="center"/>
          </w:tcPr>
          <w:p w14:paraId="754C41A1">
            <w:pPr>
              <w:spacing w:line="360" w:lineRule="auto"/>
              <w:jc w:val="center"/>
              <w:rPr>
                <w:rFonts w:hint="eastAsia" w:ascii="宋体" w:hAnsi="宋体" w:eastAsia="宋体" w:cs="宋体"/>
                <w:color w:val="auto"/>
                <w:kern w:val="2"/>
                <w:sz w:val="24"/>
                <w:szCs w:val="24"/>
                <w:highlight w:val="none"/>
                <w:lang w:val="en-US" w:eastAsia="zh-CN" w:bidi="ar-SA"/>
              </w:rPr>
            </w:pPr>
          </w:p>
        </w:tc>
      </w:tr>
      <w:tr w14:paraId="5467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60A45BF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4783" w:type="dxa"/>
            <w:shd w:val="clear" w:color="auto" w:fill="auto"/>
            <w:vAlign w:val="center"/>
          </w:tcPr>
          <w:p w14:paraId="4218AE27">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设计人未能在发包人通知的时间内（提前一天通知，紧急情况随时通知）参加设计交底、处理有关设计问题、参加必要部位隐蔽验收和竣工验收等工作。</w:t>
            </w:r>
          </w:p>
        </w:tc>
        <w:tc>
          <w:tcPr>
            <w:tcW w:w="3033" w:type="dxa"/>
            <w:shd w:val="clear" w:color="auto" w:fill="auto"/>
            <w:vAlign w:val="center"/>
          </w:tcPr>
          <w:p w14:paraId="3CFCF2B5">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每人</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lang w:bidi="ar"/>
              </w:rPr>
              <w:t>次扣减1000元。</w:t>
            </w:r>
          </w:p>
        </w:tc>
        <w:tc>
          <w:tcPr>
            <w:tcW w:w="1367" w:type="dxa"/>
            <w:shd w:val="clear" w:color="auto" w:fill="auto"/>
            <w:vAlign w:val="center"/>
          </w:tcPr>
          <w:p w14:paraId="1779BA8B">
            <w:pPr>
              <w:spacing w:line="360" w:lineRule="auto"/>
              <w:jc w:val="center"/>
              <w:rPr>
                <w:rFonts w:hint="eastAsia" w:ascii="宋体" w:hAnsi="宋体" w:eastAsia="宋体" w:cs="宋体"/>
                <w:color w:val="auto"/>
                <w:kern w:val="2"/>
                <w:sz w:val="24"/>
                <w:szCs w:val="24"/>
                <w:highlight w:val="none"/>
                <w:lang w:val="en-US" w:eastAsia="zh-CN" w:bidi="ar-SA"/>
              </w:rPr>
            </w:pPr>
          </w:p>
        </w:tc>
      </w:tr>
      <w:tr w14:paraId="2C42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290C348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4783" w:type="dxa"/>
            <w:shd w:val="clear" w:color="auto" w:fill="auto"/>
            <w:vAlign w:val="center"/>
          </w:tcPr>
          <w:p w14:paraId="542494C9">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设计人应委派1名参与并熟悉本项目设计、有现场处理经验的设计代表常驻项目现场。设计人应为派驻现场的设计工作人员提供工作、生活及交通等方面的便利条件及准备必要的劳动保护装备。在正常施工阶段，每月应保证最少</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天在现场。另外，如遇招标人要求或紧急情况下，设计代表须在三小时内到达施工现场配合施工服务。</w:t>
            </w:r>
          </w:p>
        </w:tc>
        <w:tc>
          <w:tcPr>
            <w:tcW w:w="3033" w:type="dxa"/>
            <w:shd w:val="clear" w:color="auto" w:fill="auto"/>
            <w:vAlign w:val="center"/>
          </w:tcPr>
          <w:p w14:paraId="0483CE4D">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未经发包人书面许可，缺少1天（次）扣1000元。</w:t>
            </w:r>
          </w:p>
        </w:tc>
        <w:tc>
          <w:tcPr>
            <w:tcW w:w="1367" w:type="dxa"/>
            <w:shd w:val="clear" w:color="auto" w:fill="auto"/>
            <w:vAlign w:val="center"/>
          </w:tcPr>
          <w:p w14:paraId="7291FDA6">
            <w:pPr>
              <w:spacing w:line="360" w:lineRule="auto"/>
              <w:jc w:val="center"/>
              <w:rPr>
                <w:rFonts w:hint="eastAsia" w:ascii="宋体" w:hAnsi="宋体" w:eastAsia="宋体" w:cs="宋体"/>
                <w:snapToGrid w:val="0"/>
                <w:color w:val="auto"/>
                <w:kern w:val="0"/>
                <w:sz w:val="24"/>
                <w:szCs w:val="24"/>
                <w:highlight w:val="yellow"/>
                <w:lang w:val="en-US" w:eastAsia="zh-CN" w:bidi="ar-SA"/>
              </w:rPr>
            </w:pPr>
          </w:p>
        </w:tc>
      </w:tr>
      <w:tr w14:paraId="75D1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59EC0CB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w:t>
            </w:r>
          </w:p>
        </w:tc>
        <w:tc>
          <w:tcPr>
            <w:tcW w:w="4783" w:type="dxa"/>
            <w:shd w:val="clear" w:color="auto" w:fill="auto"/>
            <w:vAlign w:val="center"/>
          </w:tcPr>
          <w:p w14:paraId="687518B4">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设计单位委派项目工作人员与投标文件中承诺的人员不一致的。</w:t>
            </w:r>
          </w:p>
        </w:tc>
        <w:tc>
          <w:tcPr>
            <w:tcW w:w="3033" w:type="dxa"/>
            <w:shd w:val="clear" w:color="auto" w:fill="auto"/>
            <w:vAlign w:val="center"/>
          </w:tcPr>
          <w:p w14:paraId="5E7A9C51">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每发现一名，扣</w:t>
            </w:r>
            <w:r>
              <w:rPr>
                <w:rFonts w:hint="eastAsia" w:ascii="宋体" w:hAnsi="宋体" w:eastAsia="宋体" w:cs="宋体"/>
                <w:color w:val="auto"/>
                <w:sz w:val="24"/>
                <w:szCs w:val="24"/>
                <w:highlight w:val="none"/>
                <w:lang w:val="en-US" w:eastAsia="zh-CN" w:bidi="ar"/>
              </w:rPr>
              <w:t>1000</w:t>
            </w:r>
            <w:r>
              <w:rPr>
                <w:rFonts w:hint="eastAsia" w:ascii="宋体" w:hAnsi="宋体" w:eastAsia="宋体" w:cs="宋体"/>
                <w:color w:val="auto"/>
                <w:sz w:val="24"/>
                <w:szCs w:val="24"/>
                <w:highlight w:val="none"/>
                <w:lang w:bidi="ar"/>
              </w:rPr>
              <w:t>元，并要求立马整改。</w:t>
            </w:r>
          </w:p>
        </w:tc>
        <w:tc>
          <w:tcPr>
            <w:tcW w:w="1367" w:type="dxa"/>
            <w:shd w:val="clear" w:color="auto" w:fill="auto"/>
            <w:vAlign w:val="center"/>
          </w:tcPr>
          <w:p w14:paraId="7D1A7785">
            <w:pPr>
              <w:spacing w:line="360" w:lineRule="auto"/>
              <w:jc w:val="center"/>
              <w:rPr>
                <w:rFonts w:hint="eastAsia" w:ascii="宋体" w:hAnsi="宋体" w:eastAsia="宋体" w:cs="宋体"/>
                <w:snapToGrid w:val="0"/>
                <w:color w:val="auto"/>
                <w:kern w:val="0"/>
                <w:sz w:val="24"/>
                <w:szCs w:val="24"/>
                <w:highlight w:val="yellow"/>
                <w:lang w:val="en-US" w:eastAsia="zh-CN" w:bidi="ar-SA"/>
              </w:rPr>
            </w:pPr>
          </w:p>
        </w:tc>
      </w:tr>
      <w:tr w14:paraId="03B1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245817A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4783" w:type="dxa"/>
            <w:shd w:val="clear" w:color="auto" w:fill="auto"/>
            <w:vAlign w:val="center"/>
          </w:tcPr>
          <w:p w14:paraId="71C48DCC">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设计单位未按时提供或回复涉及设计方面的相关方案或意见（如图纸会审的相关意见、工程洽商记录、设计变更等）。</w:t>
            </w:r>
          </w:p>
        </w:tc>
        <w:tc>
          <w:tcPr>
            <w:tcW w:w="3033" w:type="dxa"/>
            <w:shd w:val="clear" w:color="auto" w:fill="auto"/>
            <w:vAlign w:val="center"/>
          </w:tcPr>
          <w:p w14:paraId="058C5522">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每次扣1000元（以发包人发出的违约通知为准）。</w:t>
            </w:r>
          </w:p>
        </w:tc>
        <w:tc>
          <w:tcPr>
            <w:tcW w:w="1367" w:type="dxa"/>
            <w:shd w:val="clear" w:color="auto" w:fill="auto"/>
            <w:vAlign w:val="center"/>
          </w:tcPr>
          <w:p w14:paraId="7277EDB9">
            <w:pPr>
              <w:spacing w:line="360" w:lineRule="auto"/>
              <w:jc w:val="center"/>
              <w:rPr>
                <w:rFonts w:hint="eastAsia" w:ascii="宋体" w:hAnsi="宋体" w:eastAsia="宋体" w:cs="宋体"/>
                <w:snapToGrid w:val="0"/>
                <w:color w:val="auto"/>
                <w:kern w:val="0"/>
                <w:sz w:val="24"/>
                <w:szCs w:val="24"/>
                <w:highlight w:val="none"/>
                <w:lang w:val="en-US" w:eastAsia="zh-CN" w:bidi="ar-SA"/>
              </w:rPr>
            </w:pPr>
          </w:p>
        </w:tc>
      </w:tr>
      <w:tr w14:paraId="57AC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6A717F52">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4783" w:type="dxa"/>
            <w:shd w:val="clear" w:color="auto" w:fill="auto"/>
            <w:vAlign w:val="center"/>
          </w:tcPr>
          <w:p w14:paraId="1E2F551E">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设计单位设计成果文件出现前后矛盾、管道碰撞等缺陷的。</w:t>
            </w:r>
          </w:p>
        </w:tc>
        <w:tc>
          <w:tcPr>
            <w:tcW w:w="3033" w:type="dxa"/>
            <w:shd w:val="clear" w:color="auto" w:fill="auto"/>
            <w:vAlign w:val="center"/>
          </w:tcPr>
          <w:p w14:paraId="5F73F024">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按对工期、进度和造价造成的影响程度，处2000元～10000元/处违约罚款。</w:t>
            </w:r>
          </w:p>
        </w:tc>
        <w:tc>
          <w:tcPr>
            <w:tcW w:w="1367" w:type="dxa"/>
            <w:shd w:val="clear" w:color="auto" w:fill="auto"/>
            <w:vAlign w:val="center"/>
          </w:tcPr>
          <w:p w14:paraId="676DDD3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负责采取补救措施和善后</w:t>
            </w:r>
          </w:p>
        </w:tc>
      </w:tr>
      <w:tr w14:paraId="1B2B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67E228C9">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4783" w:type="dxa"/>
            <w:shd w:val="clear" w:color="auto" w:fill="auto"/>
            <w:vAlign w:val="center"/>
          </w:tcPr>
          <w:p w14:paraId="1D546CA6">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因设计单位责任引起工程变更造成投资规模增加</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-10%（不含10%）</w:t>
            </w:r>
            <w:r>
              <w:rPr>
                <w:rFonts w:hint="eastAsia" w:ascii="宋体" w:hAnsi="宋体" w:eastAsia="宋体" w:cs="宋体"/>
                <w:snapToGrid w:val="0"/>
                <w:color w:val="auto"/>
                <w:kern w:val="0"/>
                <w:sz w:val="24"/>
                <w:szCs w:val="24"/>
                <w:highlight w:val="none"/>
                <w:lang w:eastAsia="zh-CN"/>
              </w:rPr>
              <w:t>。</w:t>
            </w:r>
          </w:p>
        </w:tc>
        <w:tc>
          <w:tcPr>
            <w:tcW w:w="3033" w:type="dxa"/>
            <w:shd w:val="clear" w:color="auto" w:fill="auto"/>
            <w:vAlign w:val="center"/>
          </w:tcPr>
          <w:p w14:paraId="14E6D866">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根据变更引起的责任方，扣除相应服务费用合同价的</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p>
        </w:tc>
        <w:tc>
          <w:tcPr>
            <w:tcW w:w="1367" w:type="dxa"/>
            <w:shd w:val="clear" w:color="auto" w:fill="auto"/>
            <w:vAlign w:val="center"/>
          </w:tcPr>
          <w:p w14:paraId="36CC0227">
            <w:pPr>
              <w:spacing w:line="360" w:lineRule="auto"/>
              <w:jc w:val="center"/>
              <w:rPr>
                <w:rFonts w:hint="eastAsia" w:ascii="宋体" w:hAnsi="宋体" w:eastAsia="宋体" w:cs="宋体"/>
                <w:color w:val="auto"/>
                <w:kern w:val="2"/>
                <w:sz w:val="24"/>
                <w:szCs w:val="24"/>
                <w:highlight w:val="none"/>
                <w:lang w:val="en-US" w:eastAsia="zh-CN" w:bidi="ar-SA"/>
              </w:rPr>
            </w:pPr>
          </w:p>
        </w:tc>
      </w:tr>
      <w:tr w14:paraId="08CE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41BC4196">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4783" w:type="dxa"/>
            <w:shd w:val="clear" w:color="auto" w:fill="auto"/>
            <w:vAlign w:val="center"/>
          </w:tcPr>
          <w:p w14:paraId="49C2DDBD">
            <w:pPr>
              <w:spacing w:line="360" w:lineRule="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bidi="ar"/>
              </w:rPr>
              <w:t>因设计单位责任引起工程变更造成投资规模增加10%</w:t>
            </w:r>
            <w:r>
              <w:rPr>
                <w:rFonts w:hint="eastAsia" w:ascii="宋体" w:hAnsi="宋体" w:eastAsia="宋体" w:cs="宋体"/>
                <w:color w:val="auto"/>
                <w:sz w:val="24"/>
                <w:szCs w:val="24"/>
                <w:highlight w:val="none"/>
                <w:lang w:val="en-US" w:eastAsia="zh-CN" w:bidi="ar"/>
              </w:rPr>
              <w:t>-15%</w:t>
            </w:r>
            <w:r>
              <w:rPr>
                <w:rFonts w:hint="eastAsia" w:ascii="宋体" w:hAnsi="宋体" w:eastAsia="宋体" w:cs="宋体"/>
                <w:snapToGrid w:val="0"/>
                <w:color w:val="auto"/>
                <w:kern w:val="0"/>
                <w:sz w:val="24"/>
                <w:szCs w:val="24"/>
                <w:highlight w:val="none"/>
                <w:lang w:val="en-US" w:eastAsia="zh-CN"/>
              </w:rPr>
              <w:t>（不含15%）</w:t>
            </w:r>
            <w:r>
              <w:rPr>
                <w:rFonts w:hint="eastAsia" w:ascii="宋体" w:hAnsi="宋体" w:eastAsia="宋体" w:cs="宋体"/>
                <w:color w:val="auto"/>
                <w:sz w:val="24"/>
                <w:szCs w:val="24"/>
                <w:highlight w:val="none"/>
                <w:lang w:eastAsia="zh-CN" w:bidi="ar"/>
              </w:rPr>
              <w:t>。</w:t>
            </w:r>
          </w:p>
        </w:tc>
        <w:tc>
          <w:tcPr>
            <w:tcW w:w="3033" w:type="dxa"/>
            <w:shd w:val="clear" w:color="auto" w:fill="auto"/>
            <w:vAlign w:val="center"/>
          </w:tcPr>
          <w:p w14:paraId="30812699">
            <w:pPr>
              <w:spacing w:line="360" w:lineRule="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bidi="ar"/>
              </w:rPr>
              <w:t>根据变更引起的责任方，扣除相应服务费用合同价的</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eastAsia="zh-CN" w:bidi="ar"/>
              </w:rPr>
              <w:t>%。</w:t>
            </w:r>
          </w:p>
        </w:tc>
        <w:tc>
          <w:tcPr>
            <w:tcW w:w="1367" w:type="dxa"/>
            <w:shd w:val="clear" w:color="auto" w:fill="auto"/>
            <w:vAlign w:val="center"/>
          </w:tcPr>
          <w:p w14:paraId="195D1194">
            <w:pPr>
              <w:spacing w:line="360" w:lineRule="auto"/>
              <w:jc w:val="center"/>
              <w:rPr>
                <w:rFonts w:hint="eastAsia" w:ascii="宋体" w:hAnsi="宋体" w:eastAsia="宋体" w:cs="宋体"/>
                <w:color w:val="auto"/>
                <w:kern w:val="2"/>
                <w:sz w:val="24"/>
                <w:szCs w:val="24"/>
                <w:highlight w:val="none"/>
                <w:lang w:val="en-US" w:eastAsia="zh-CN" w:bidi="ar-SA"/>
              </w:rPr>
            </w:pPr>
          </w:p>
        </w:tc>
      </w:tr>
      <w:tr w14:paraId="4CCB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11460E9D">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4783" w:type="dxa"/>
            <w:shd w:val="clear" w:color="auto" w:fill="auto"/>
            <w:vAlign w:val="center"/>
          </w:tcPr>
          <w:p w14:paraId="7F4D16DD">
            <w:pPr>
              <w:spacing w:line="360" w:lineRule="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bidi="ar"/>
              </w:rPr>
              <w:t>因设计单位责任引起工程变更造成投资规模增加</w:t>
            </w:r>
            <w:r>
              <w:rPr>
                <w:rFonts w:hint="eastAsia" w:ascii="宋体" w:hAnsi="宋体" w:eastAsia="宋体" w:cs="宋体"/>
                <w:color w:val="auto"/>
                <w:sz w:val="24"/>
                <w:szCs w:val="24"/>
                <w:highlight w:val="none"/>
                <w:lang w:val="en-US" w:eastAsia="zh-CN" w:bidi="ar"/>
              </w:rPr>
              <w:t>15</w:t>
            </w:r>
            <w:r>
              <w:rPr>
                <w:rFonts w:hint="eastAsia" w:ascii="宋体" w:hAnsi="宋体" w:eastAsia="宋体" w:cs="宋体"/>
                <w:color w:val="auto"/>
                <w:sz w:val="24"/>
                <w:szCs w:val="24"/>
                <w:highlight w:val="none"/>
                <w:lang w:bidi="ar"/>
              </w:rPr>
              <w:t>%以上</w:t>
            </w:r>
            <w:r>
              <w:rPr>
                <w:rFonts w:hint="eastAsia" w:ascii="宋体" w:hAnsi="宋体" w:eastAsia="宋体" w:cs="宋体"/>
                <w:color w:val="auto"/>
                <w:sz w:val="24"/>
                <w:szCs w:val="24"/>
                <w:highlight w:val="none"/>
                <w:lang w:eastAsia="zh-CN" w:bidi="ar"/>
              </w:rPr>
              <w:t>。</w:t>
            </w:r>
          </w:p>
        </w:tc>
        <w:tc>
          <w:tcPr>
            <w:tcW w:w="3033" w:type="dxa"/>
            <w:shd w:val="clear" w:color="auto" w:fill="auto"/>
            <w:vAlign w:val="center"/>
          </w:tcPr>
          <w:p w14:paraId="352A55BF">
            <w:pPr>
              <w:spacing w:line="360" w:lineRule="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bidi="ar"/>
              </w:rPr>
              <w:t>根据变更引起的责任方，扣除相应服务费用合同价的</w:t>
            </w:r>
            <w:r>
              <w:rPr>
                <w:rFonts w:hint="eastAsia" w:ascii="宋体" w:hAnsi="宋体" w:eastAsia="宋体" w:cs="宋体"/>
                <w:color w:val="auto"/>
                <w:sz w:val="24"/>
                <w:szCs w:val="24"/>
                <w:highlight w:val="none"/>
                <w:lang w:val="en-US" w:eastAsia="zh-CN" w:bidi="ar"/>
              </w:rPr>
              <w:t>15</w:t>
            </w:r>
            <w:r>
              <w:rPr>
                <w:rFonts w:hint="eastAsia" w:ascii="宋体" w:hAnsi="宋体" w:eastAsia="宋体" w:cs="宋体"/>
                <w:color w:val="auto"/>
                <w:sz w:val="24"/>
                <w:szCs w:val="24"/>
                <w:highlight w:val="none"/>
                <w:lang w:eastAsia="zh-CN" w:bidi="ar"/>
              </w:rPr>
              <w:t>%。</w:t>
            </w:r>
          </w:p>
        </w:tc>
        <w:tc>
          <w:tcPr>
            <w:tcW w:w="1367" w:type="dxa"/>
            <w:shd w:val="clear" w:color="auto" w:fill="auto"/>
            <w:vAlign w:val="center"/>
          </w:tcPr>
          <w:p w14:paraId="2846AB0A">
            <w:pPr>
              <w:spacing w:line="360" w:lineRule="auto"/>
              <w:jc w:val="center"/>
              <w:rPr>
                <w:rFonts w:hint="eastAsia" w:ascii="宋体" w:hAnsi="宋体" w:eastAsia="宋体" w:cs="宋体"/>
                <w:color w:val="auto"/>
                <w:kern w:val="2"/>
                <w:sz w:val="24"/>
                <w:szCs w:val="24"/>
                <w:highlight w:val="none"/>
                <w:lang w:val="en-US" w:eastAsia="zh-CN" w:bidi="ar-SA"/>
              </w:rPr>
            </w:pPr>
          </w:p>
        </w:tc>
      </w:tr>
      <w:tr w14:paraId="1658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4C581BB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4783" w:type="dxa"/>
            <w:shd w:val="clear" w:color="auto" w:fill="auto"/>
            <w:vAlign w:val="center"/>
          </w:tcPr>
          <w:p w14:paraId="15EA2D2A">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设计图纸不符合相关规范要求，导致无法按期竣工验收。</w:t>
            </w:r>
          </w:p>
        </w:tc>
        <w:tc>
          <w:tcPr>
            <w:tcW w:w="3033" w:type="dxa"/>
            <w:shd w:val="clear" w:color="auto" w:fill="auto"/>
            <w:vAlign w:val="center"/>
          </w:tcPr>
          <w:p w14:paraId="45DF082D">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合同价的</w:t>
            </w:r>
            <w:r>
              <w:rPr>
                <w:rFonts w:hint="eastAsia" w:ascii="宋体" w:hAnsi="宋体" w:eastAsia="宋体" w:cs="宋体"/>
                <w:snapToGrid w:val="0"/>
                <w:color w:val="auto"/>
                <w:kern w:val="0"/>
                <w:sz w:val="24"/>
                <w:szCs w:val="24"/>
                <w:highlight w:val="none"/>
                <w:lang w:val="en-US" w:eastAsia="zh-CN"/>
              </w:rPr>
              <w:t>3%。</w:t>
            </w:r>
          </w:p>
        </w:tc>
        <w:tc>
          <w:tcPr>
            <w:tcW w:w="1367" w:type="dxa"/>
            <w:shd w:val="clear" w:color="auto" w:fill="auto"/>
            <w:vAlign w:val="center"/>
          </w:tcPr>
          <w:p w14:paraId="4FEC2FB6">
            <w:pPr>
              <w:spacing w:line="360" w:lineRule="auto"/>
              <w:jc w:val="center"/>
              <w:rPr>
                <w:rFonts w:hint="eastAsia" w:ascii="宋体" w:hAnsi="宋体" w:eastAsia="宋体" w:cs="宋体"/>
                <w:color w:val="auto"/>
                <w:kern w:val="2"/>
                <w:sz w:val="24"/>
                <w:szCs w:val="24"/>
                <w:highlight w:val="none"/>
                <w:lang w:val="en-US" w:eastAsia="zh-CN" w:bidi="ar-SA"/>
              </w:rPr>
            </w:pPr>
          </w:p>
        </w:tc>
      </w:tr>
      <w:tr w14:paraId="23DB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shd w:val="clear" w:color="auto" w:fill="auto"/>
            <w:vAlign w:val="center"/>
          </w:tcPr>
          <w:p w14:paraId="44CA454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4783" w:type="dxa"/>
            <w:shd w:val="clear" w:color="auto" w:fill="auto"/>
            <w:vAlign w:val="center"/>
          </w:tcPr>
          <w:p w14:paraId="5CD50C9D">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承包人实际服务响应时间超出投标承诺服务响应时间的。</w:t>
            </w:r>
          </w:p>
        </w:tc>
        <w:tc>
          <w:tcPr>
            <w:tcW w:w="3033" w:type="dxa"/>
            <w:shd w:val="clear" w:color="auto" w:fill="auto"/>
            <w:vAlign w:val="center"/>
          </w:tcPr>
          <w:p w14:paraId="1459DC83">
            <w:pPr>
              <w:spacing w:line="360" w:lineRule="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lang w:bidi="ar"/>
              </w:rPr>
              <w:t>每次扣除设计合同价款中设计费的0.5‰，扣完为止。</w:t>
            </w:r>
          </w:p>
        </w:tc>
        <w:tc>
          <w:tcPr>
            <w:tcW w:w="1367" w:type="dxa"/>
            <w:shd w:val="clear" w:color="auto" w:fill="auto"/>
            <w:vAlign w:val="center"/>
          </w:tcPr>
          <w:p w14:paraId="16D114F7">
            <w:pPr>
              <w:spacing w:line="360" w:lineRule="auto"/>
              <w:jc w:val="center"/>
              <w:rPr>
                <w:rFonts w:hint="eastAsia" w:ascii="宋体" w:hAnsi="宋体" w:eastAsia="宋体" w:cs="宋体"/>
                <w:color w:val="auto"/>
                <w:kern w:val="2"/>
                <w:sz w:val="24"/>
                <w:szCs w:val="24"/>
                <w:highlight w:val="none"/>
                <w:lang w:val="en-US" w:eastAsia="zh-CN" w:bidi="ar-SA"/>
              </w:rPr>
            </w:pPr>
          </w:p>
        </w:tc>
      </w:tr>
      <w:bookmarkEnd w:id="201"/>
      <w:bookmarkEnd w:id="202"/>
    </w:tbl>
    <w:p w14:paraId="3D09304E">
      <w:pPr>
        <w:pStyle w:val="4"/>
        <w:wordWrap w:val="0"/>
        <w:autoSpaceDE/>
        <w:autoSpaceDN/>
        <w:snapToGrid w:val="0"/>
        <w:spacing w:line="440" w:lineRule="exact"/>
        <w:jc w:val="center"/>
        <w:rPr>
          <w:rFonts w:hint="eastAsia" w:ascii="宋体" w:hAnsi="宋体" w:eastAsia="宋体" w:cs="宋体"/>
          <w:b/>
          <w:snapToGrid w:val="0"/>
          <w:color w:val="auto"/>
          <w:sz w:val="24"/>
          <w:highlight w:val="none"/>
        </w:rPr>
      </w:pPr>
      <w:bookmarkStart w:id="203" w:name="_Toc16439"/>
      <w:r>
        <w:rPr>
          <w:rFonts w:hint="eastAsia" w:ascii="宋体" w:hAnsi="宋体" w:eastAsia="宋体" w:cs="宋体"/>
          <w:b/>
          <w:snapToGrid w:val="0"/>
          <w:color w:val="auto"/>
          <w:sz w:val="24"/>
          <w:highlight w:val="none"/>
        </w:rPr>
        <w:t>第三章</w:t>
      </w:r>
      <w:bookmarkStart w:id="204" w:name="_Hlt87793831"/>
      <w:bookmarkEnd w:id="204"/>
      <w:r>
        <w:rPr>
          <w:rFonts w:hint="eastAsia" w:ascii="宋体" w:hAnsi="宋体" w:eastAsia="宋体" w:cs="宋体"/>
          <w:b/>
          <w:snapToGrid w:val="0"/>
          <w:color w:val="auto"/>
          <w:sz w:val="24"/>
          <w:highlight w:val="none"/>
        </w:rPr>
        <w:t xml:space="preserve"> </w:t>
      </w:r>
      <w:r>
        <w:rPr>
          <w:rFonts w:hint="eastAsia" w:ascii="宋体" w:hAnsi="宋体" w:eastAsia="宋体" w:cs="宋体"/>
          <w:b/>
          <w:snapToGrid w:val="0"/>
          <w:color w:val="auto"/>
          <w:sz w:val="24"/>
          <w:highlight w:val="none"/>
          <w:lang w:val="en-US" w:eastAsia="zh-CN"/>
        </w:rPr>
        <w:t xml:space="preserve">  </w:t>
      </w:r>
      <w:r>
        <w:rPr>
          <w:rFonts w:hint="eastAsia" w:ascii="宋体" w:hAnsi="宋体" w:eastAsia="宋体" w:cs="宋体"/>
          <w:b/>
          <w:snapToGrid w:val="0"/>
          <w:color w:val="auto"/>
          <w:sz w:val="24"/>
          <w:highlight w:val="none"/>
        </w:rPr>
        <w:t>拟签订合同的主要条款</w:t>
      </w:r>
      <w:bookmarkEnd w:id="171"/>
      <w:bookmarkEnd w:id="172"/>
      <w:bookmarkEnd w:id="203"/>
      <w:bookmarkStart w:id="205" w:name="_Toc322793288"/>
      <w:bookmarkStart w:id="206" w:name="_Toc326916629"/>
    </w:p>
    <w:bookmarkEnd w:id="173"/>
    <w:bookmarkEnd w:id="205"/>
    <w:bookmarkEnd w:id="206"/>
    <w:p w14:paraId="06E258EB">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207" w:name="_Toc26546"/>
      <w:bookmarkStart w:id="208" w:name="_Toc24616749"/>
      <w:bookmarkStart w:id="209" w:name="_Toc353462211"/>
      <w:bookmarkStart w:id="210" w:name="_Toc353462320"/>
      <w:bookmarkStart w:id="211" w:name="_Toc18268"/>
      <w:bookmarkStart w:id="212" w:name="_Toc143765509"/>
      <w:bookmarkStart w:id="213" w:name="_Toc143766475"/>
      <w:bookmarkStart w:id="214" w:name="_Toc371968727"/>
      <w:bookmarkStart w:id="215" w:name="_Toc29029"/>
      <w:bookmarkStart w:id="216" w:name="_Hlt69698796"/>
      <w:r>
        <w:rPr>
          <w:rFonts w:hint="eastAsia" w:ascii="宋体" w:hAnsi="宋体" w:eastAsia="宋体" w:cs="宋体"/>
          <w:b/>
          <w:snapToGrid w:val="0"/>
          <w:color w:val="auto"/>
          <w:sz w:val="24"/>
          <w:highlight w:val="none"/>
          <w:lang w:val="en-US" w:eastAsia="zh-CN"/>
        </w:rPr>
        <w:t>1.工程设计承包方式</w:t>
      </w:r>
      <w:bookmarkEnd w:id="207"/>
    </w:p>
    <w:p w14:paraId="302EDE9A">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中标人以中标价按合同约定和招标文件内容要求，法律法规及国家强制性标准要求，提供完整的各子项的初步设计，施工图设计文件和建设期的服务内容，不允许转包和违法分包，如确需分包须与招标人协商并得到招标人和监理单位同意并报工程主管部门备案。</w:t>
      </w:r>
    </w:p>
    <w:p w14:paraId="6214557E">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217" w:name="_2、工程结算原则"/>
      <w:bookmarkEnd w:id="217"/>
      <w:bookmarkStart w:id="218" w:name="_Toc322793289"/>
      <w:bookmarkStart w:id="219" w:name="_Toc326916630"/>
      <w:bookmarkStart w:id="220" w:name="_Toc28380"/>
      <w:bookmarkStart w:id="221" w:name="_Toc30059"/>
      <w:bookmarkStart w:id="222" w:name="_Toc9707"/>
      <w:bookmarkStart w:id="223" w:name="_Toc8670"/>
      <w:bookmarkStart w:id="224" w:name="_Toc14668"/>
      <w:bookmarkStart w:id="225" w:name="_Toc16774"/>
      <w:bookmarkStart w:id="226" w:name="_Hlt87948447"/>
      <w:bookmarkStart w:id="227" w:name="_Hlt87948449"/>
      <w:r>
        <w:rPr>
          <w:rFonts w:hint="eastAsia" w:ascii="宋体" w:hAnsi="宋体" w:eastAsia="宋体" w:cs="宋体"/>
          <w:b/>
          <w:snapToGrid w:val="0"/>
          <w:color w:val="auto"/>
          <w:sz w:val="24"/>
          <w:highlight w:val="none"/>
          <w:lang w:val="en-US" w:eastAsia="zh-CN"/>
        </w:rPr>
        <w:t>2.</w:t>
      </w:r>
      <w:bookmarkEnd w:id="218"/>
      <w:bookmarkEnd w:id="219"/>
      <w:r>
        <w:rPr>
          <w:rFonts w:hint="eastAsia" w:ascii="宋体" w:hAnsi="宋体" w:eastAsia="宋体" w:cs="宋体"/>
          <w:b/>
          <w:snapToGrid w:val="0"/>
          <w:color w:val="auto"/>
          <w:sz w:val="24"/>
          <w:highlight w:val="none"/>
          <w:lang w:val="en-US" w:eastAsia="zh-CN"/>
        </w:rPr>
        <w:t>合同价款支付办法</w:t>
      </w:r>
      <w:bookmarkEnd w:id="220"/>
      <w:bookmarkEnd w:id="221"/>
      <w:bookmarkEnd w:id="222"/>
      <w:bookmarkEnd w:id="223"/>
      <w:bookmarkEnd w:id="224"/>
      <w:bookmarkEnd w:id="225"/>
    </w:p>
    <w:bookmarkEnd w:id="226"/>
    <w:bookmarkEnd w:id="227"/>
    <w:p w14:paraId="4AFD3C26">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rPr>
      </w:pPr>
      <w:bookmarkStart w:id="228" w:name="_Hlt88974053"/>
      <w:bookmarkEnd w:id="228"/>
      <w:r>
        <w:rPr>
          <w:rFonts w:hint="eastAsia" w:ascii="宋体" w:hAnsi="宋体" w:eastAsia="宋体" w:cs="宋体"/>
          <w:snapToGrid w:val="0"/>
          <w:color w:val="auto"/>
          <w:sz w:val="24"/>
          <w:szCs w:val="24"/>
          <w:highlight w:val="none"/>
        </w:rPr>
        <w:t>2.1 本合同工程按中标人的投标报价，中标价即为合同价。</w:t>
      </w:r>
    </w:p>
    <w:p w14:paraId="534FC263">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2.2 设计费支付方式</w:t>
      </w:r>
    </w:p>
    <w:p w14:paraId="3B37E6D2">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(1)签订合同后，支付设计合同价款的20%作为预付款；</w:t>
      </w:r>
    </w:p>
    <w:p w14:paraId="6D60E3CA">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(2)完成初步设计和概算并经审查合格后，支付至设计合同价款的50%；</w:t>
      </w:r>
    </w:p>
    <w:p w14:paraId="1280C3A8">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(3)完成施工图设计并经审查合格后，支付至设计合同价款的70%；</w:t>
      </w:r>
    </w:p>
    <w:p w14:paraId="2A26B9C5">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(4)完成施工图技术交底，项目正式开工后，支付至设计费结算价的85%。设计费结算价以财审通过后的建安费为基数统一核算；</w:t>
      </w:r>
    </w:p>
    <w:p w14:paraId="70128F87">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(5)竣工验收后，支付至合同价款的100%。</w:t>
      </w:r>
    </w:p>
    <w:p w14:paraId="7F9B117E">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2.2.2在每次支付合同价款时，由中标人缴纳相应阶段的违约金（若有）。</w:t>
      </w:r>
    </w:p>
    <w:p w14:paraId="381E5C5B">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color w:val="auto"/>
          <w:sz w:val="24"/>
          <w:szCs w:val="32"/>
          <w:highlight w:val="none"/>
          <w:lang w:eastAsia="zh-CN"/>
        </w:rPr>
      </w:pPr>
      <w:r>
        <w:rPr>
          <w:rFonts w:hint="eastAsia" w:ascii="宋体" w:hAnsi="宋体" w:eastAsia="宋体" w:cs="宋体"/>
          <w:snapToGrid w:val="0"/>
          <w:color w:val="auto"/>
          <w:sz w:val="24"/>
          <w:szCs w:val="24"/>
          <w:highlight w:val="none"/>
        </w:rPr>
        <w:t>2.2.3承包人提供的</w:t>
      </w:r>
      <w:r>
        <w:rPr>
          <w:rFonts w:hint="eastAsia" w:ascii="宋体" w:hAnsi="宋体" w:eastAsia="宋体" w:cs="宋体"/>
          <w:snapToGrid w:val="0"/>
          <w:color w:val="auto"/>
          <w:sz w:val="24"/>
          <w:szCs w:val="24"/>
          <w:highlight w:val="none"/>
          <w:lang w:val="en-US" w:eastAsia="zh-CN"/>
        </w:rPr>
        <w:t>设计费</w:t>
      </w:r>
      <w:r>
        <w:rPr>
          <w:rFonts w:hint="eastAsia" w:ascii="宋体" w:hAnsi="宋体" w:eastAsia="宋体" w:cs="宋体"/>
          <w:snapToGrid w:val="0"/>
          <w:color w:val="auto"/>
          <w:sz w:val="24"/>
          <w:szCs w:val="24"/>
          <w:highlight w:val="none"/>
        </w:rPr>
        <w:t>发票必须按照发包人要求提供相应增值税普通发票给发包人，发包人收到符合要求的发票后方可支付</w:t>
      </w:r>
      <w:r>
        <w:rPr>
          <w:rFonts w:hint="eastAsia" w:ascii="宋体" w:hAnsi="宋体" w:eastAsia="宋体" w:cs="宋体"/>
          <w:snapToGrid w:val="0"/>
          <w:color w:val="auto"/>
          <w:sz w:val="24"/>
          <w:szCs w:val="24"/>
          <w:highlight w:val="none"/>
          <w:lang w:val="en-US" w:eastAsia="zh-CN"/>
        </w:rPr>
        <w:t>设计费</w:t>
      </w:r>
      <w:r>
        <w:rPr>
          <w:rFonts w:hint="eastAsia" w:ascii="宋体" w:hAnsi="宋体" w:eastAsia="宋体" w:cs="宋体"/>
          <w:snapToGrid w:val="0"/>
          <w:color w:val="auto"/>
          <w:sz w:val="24"/>
          <w:szCs w:val="24"/>
          <w:highlight w:val="none"/>
        </w:rPr>
        <w:t>。</w:t>
      </w:r>
    </w:p>
    <w:p w14:paraId="48FC76E4">
      <w:pPr>
        <w:pStyle w:val="6"/>
        <w:wordWrap w:val="0"/>
        <w:autoSpaceDE/>
        <w:autoSpaceDN/>
        <w:snapToGrid w:val="0"/>
        <w:spacing w:line="360" w:lineRule="auto"/>
        <w:ind w:firstLine="480"/>
        <w:jc w:val="both"/>
        <w:rPr>
          <w:rFonts w:hint="eastAsia" w:ascii="宋体" w:hAnsi="宋体" w:eastAsia="宋体" w:cs="宋体"/>
          <w:b/>
          <w:snapToGrid w:val="0"/>
          <w:color w:val="auto"/>
          <w:sz w:val="24"/>
          <w:highlight w:val="none"/>
          <w:lang w:val="en-US" w:eastAsia="zh-CN"/>
        </w:rPr>
      </w:pPr>
      <w:bookmarkStart w:id="229" w:name="_Toc18506"/>
      <w:bookmarkStart w:id="230" w:name="_Toc12954"/>
      <w:bookmarkStart w:id="231" w:name="_Toc25328"/>
      <w:r>
        <w:rPr>
          <w:rFonts w:hint="eastAsia" w:ascii="宋体" w:hAnsi="宋体" w:eastAsia="宋体" w:cs="宋体"/>
          <w:b/>
          <w:snapToGrid w:val="0"/>
          <w:color w:val="auto"/>
          <w:sz w:val="24"/>
          <w:highlight w:val="none"/>
          <w:lang w:val="en-US" w:eastAsia="zh-CN"/>
        </w:rPr>
        <w:t>3.</w:t>
      </w:r>
      <w:bookmarkStart w:id="232" w:name="_Hlt66593437"/>
      <w:bookmarkEnd w:id="232"/>
      <w:bookmarkStart w:id="233" w:name="_Hlt88976467"/>
      <w:bookmarkEnd w:id="233"/>
      <w:bookmarkStart w:id="234" w:name="_Hlt66608388"/>
      <w:bookmarkEnd w:id="234"/>
      <w:bookmarkStart w:id="235" w:name="_Hlt69114106"/>
      <w:bookmarkEnd w:id="235"/>
      <w:bookmarkStart w:id="236" w:name="_Hlt69700007"/>
      <w:bookmarkEnd w:id="236"/>
      <w:bookmarkStart w:id="237" w:name="_Hlt66591689"/>
      <w:bookmarkEnd w:id="237"/>
      <w:bookmarkStart w:id="238" w:name="_Hlt70150985"/>
      <w:bookmarkEnd w:id="238"/>
      <w:bookmarkStart w:id="239" w:name="_Hlt69669774"/>
      <w:bookmarkEnd w:id="239"/>
      <w:r>
        <w:rPr>
          <w:rFonts w:hint="eastAsia" w:ascii="宋体" w:hAnsi="宋体" w:eastAsia="宋体" w:cs="宋体"/>
          <w:b/>
          <w:snapToGrid w:val="0"/>
          <w:color w:val="auto"/>
          <w:sz w:val="24"/>
          <w:highlight w:val="none"/>
          <w:lang w:val="en-US" w:eastAsia="zh-CN"/>
        </w:rPr>
        <w:t>结算原则</w:t>
      </w:r>
      <w:bookmarkEnd w:id="229"/>
      <w:bookmarkEnd w:id="230"/>
      <w:bookmarkEnd w:id="231"/>
    </w:p>
    <w:p w14:paraId="16FD01FF">
      <w:pPr>
        <w:pageBreakBefore w:val="0"/>
        <w:widowControl w:val="0"/>
        <w:kinsoku/>
        <w:wordWrap w:val="0"/>
        <w:overflowPunct/>
        <w:topLinePunct w:val="0"/>
        <w:autoSpaceDE/>
        <w:autoSpaceDN/>
        <w:bidi w:val="0"/>
        <w:snapToGrid w:val="0"/>
        <w:spacing w:line="360" w:lineRule="auto"/>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3.1工程设计费结算时以财政投资评审中心审核后的建安工程费(预算)为基准计算，结算价按以下方式结算:</w:t>
      </w:r>
    </w:p>
    <w:p w14:paraId="376A7AB0">
      <w:pPr>
        <w:pageBreakBefore w:val="0"/>
        <w:widowControl w:val="0"/>
        <w:kinsoku/>
        <w:wordWrap w:val="0"/>
        <w:overflowPunct/>
        <w:topLinePunct w:val="0"/>
        <w:autoSpaceDE/>
        <w:autoSpaceDN/>
        <w:bidi w:val="0"/>
        <w:snapToGrid w:val="0"/>
        <w:spacing w:line="360" w:lineRule="auto"/>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3.1.1工程设计费=工程设计费基准价</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(1-投标下浮率)。</w:t>
      </w:r>
    </w:p>
    <w:p w14:paraId="3518199E">
      <w:pPr>
        <w:pageBreakBefore w:val="0"/>
        <w:widowControl w:val="0"/>
        <w:kinsoku/>
        <w:wordWrap w:val="0"/>
        <w:overflowPunct/>
        <w:topLinePunct w:val="0"/>
        <w:autoSpaceDE/>
        <w:autoSpaceDN/>
        <w:bidi w:val="0"/>
        <w:snapToGrid w:val="0"/>
        <w:spacing w:line="360" w:lineRule="auto"/>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3.1.2工程设计费基准价=工程设计费基价(参国家计委、建设部《工程勘察设计收费管理规定》的通知-计价格[2002]10号文采用直线内插法计取)</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专业调整系数(取1.0)</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工程复杂调整系数(取1.0)</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附加调整系数(取1.0)。</w:t>
      </w:r>
    </w:p>
    <w:p w14:paraId="112BB2C5">
      <w:pPr>
        <w:pageBreakBefore w:val="0"/>
        <w:widowControl w:val="0"/>
        <w:kinsoku/>
        <w:wordWrap w:val="0"/>
        <w:overflowPunct/>
        <w:topLinePunct w:val="0"/>
        <w:autoSpaceDE/>
        <w:autoSpaceDN/>
        <w:bidi w:val="0"/>
        <w:snapToGrid w:val="0"/>
        <w:spacing w:line="360" w:lineRule="auto"/>
        <w:ind w:firstLine="480"/>
        <w:textAlignment w:val="auto"/>
        <w:rPr>
          <w:rFonts w:hint="eastAsia" w:ascii="宋体" w:hAnsi="宋体" w:eastAsia="宋体" w:cs="宋体"/>
          <w:bCs/>
          <w:snapToGrid w:val="0"/>
          <w:color w:val="auto"/>
          <w:sz w:val="24"/>
          <w:highlight w:val="none"/>
          <w:lang w:eastAsia="zh-CN"/>
        </w:rPr>
      </w:pPr>
      <w:r>
        <w:rPr>
          <w:rFonts w:hint="eastAsia" w:ascii="宋体" w:hAnsi="宋体" w:eastAsia="宋体" w:cs="宋体"/>
          <w:snapToGrid w:val="0"/>
          <w:color w:val="auto"/>
          <w:sz w:val="24"/>
          <w:szCs w:val="24"/>
          <w:highlight w:val="none"/>
          <w:lang w:val="en-US" w:eastAsia="zh-CN"/>
        </w:rPr>
        <w:t>最终结算价不得超过中标价，当最终结算价超过中标价时按中标价结算。设计费的投标下浮率，四舍五入保留两位小数。本项目的建安工程费暂定价为人民币12148.62万元。</w:t>
      </w:r>
    </w:p>
    <w:p w14:paraId="44C5ED2C">
      <w:pPr>
        <w:pageBreakBefore w:val="0"/>
        <w:widowControl w:val="0"/>
        <w:kinsoku/>
        <w:wordWrap w:val="0"/>
        <w:overflowPunct/>
        <w:topLinePunct w:val="0"/>
        <w:autoSpaceDE/>
        <w:autoSpaceDN/>
        <w:bidi w:val="0"/>
        <w:snapToGrid w:val="0"/>
        <w:spacing w:beforeLines="0" w:afterLines="0" w:line="360" w:lineRule="auto"/>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3.2</w:t>
      </w:r>
      <w:r>
        <w:rPr>
          <w:rFonts w:hint="eastAsia" w:ascii="宋体" w:hAnsi="宋体" w:eastAsia="宋体" w:cs="宋体"/>
          <w:snapToGrid w:val="0"/>
          <w:color w:val="auto"/>
          <w:sz w:val="24"/>
          <w:szCs w:val="24"/>
          <w:highlight w:val="none"/>
        </w:rPr>
        <w:t>除工程出现规划重大调整或者重大设计变更，否则不予调整。若工程出现规划重大调整或者重大设计变更，增加设计费由双方另行协商确定。</w:t>
      </w:r>
    </w:p>
    <w:p w14:paraId="41645A31">
      <w:pPr>
        <w:pageBreakBefore w:val="0"/>
        <w:widowControl w:val="0"/>
        <w:kinsoku/>
        <w:wordWrap w:val="0"/>
        <w:overflowPunct/>
        <w:topLinePunct w:val="0"/>
        <w:autoSpaceDE/>
        <w:autoSpaceDN/>
        <w:bidi w:val="0"/>
        <w:snapToGrid w:val="0"/>
        <w:spacing w:line="360" w:lineRule="auto"/>
        <w:ind w:firstLine="480"/>
        <w:textAlignment w:val="auto"/>
        <w:rPr>
          <w:rFonts w:hint="eastAsia" w:ascii="宋体" w:hAnsi="宋体" w:eastAsia="宋体" w:cs="宋体"/>
          <w:bCs/>
          <w:snapToGrid w:val="0"/>
          <w:color w:val="auto"/>
          <w:sz w:val="24"/>
          <w:highlight w:val="none"/>
          <w:lang w:eastAsia="zh-CN"/>
        </w:rPr>
      </w:pPr>
      <w:r>
        <w:rPr>
          <w:rFonts w:hint="eastAsia" w:ascii="宋体" w:hAnsi="宋体" w:eastAsia="宋体" w:cs="宋体"/>
          <w:bCs/>
          <w:snapToGrid w:val="0"/>
          <w:color w:val="auto"/>
          <w:sz w:val="24"/>
          <w:highlight w:val="none"/>
          <w:lang w:val="en-US" w:eastAsia="zh-CN"/>
        </w:rPr>
        <w:t>3.</w:t>
      </w:r>
      <w:r>
        <w:rPr>
          <w:rFonts w:hint="eastAsia" w:ascii="宋体" w:hAnsi="宋体" w:eastAsia="宋体" w:cs="宋体"/>
          <w:bCs/>
          <w:snapToGrid w:val="0"/>
          <w:color w:val="auto"/>
          <w:sz w:val="24"/>
          <w:highlight w:val="none"/>
        </w:rPr>
        <w:t>3最终以合同签订为准（由招标人自行补充）</w:t>
      </w:r>
      <w:r>
        <w:rPr>
          <w:rFonts w:hint="eastAsia" w:ascii="宋体" w:hAnsi="宋体" w:eastAsia="宋体" w:cs="宋体"/>
          <w:bCs/>
          <w:snapToGrid w:val="0"/>
          <w:color w:val="auto"/>
          <w:sz w:val="24"/>
          <w:highlight w:val="none"/>
          <w:lang w:eastAsia="zh-CN"/>
        </w:rPr>
        <w:t>。</w:t>
      </w:r>
    </w:p>
    <w:bookmarkEnd w:id="208"/>
    <w:bookmarkEnd w:id="209"/>
    <w:bookmarkEnd w:id="210"/>
    <w:bookmarkEnd w:id="211"/>
    <w:bookmarkEnd w:id="212"/>
    <w:bookmarkEnd w:id="213"/>
    <w:bookmarkEnd w:id="214"/>
    <w:p w14:paraId="5BBB0315">
      <w:pPr>
        <w:rPr>
          <w:rFonts w:hint="eastAsia"/>
          <w:lang w:val="en-US" w:eastAsia="zh-CN"/>
        </w:rPr>
      </w:pPr>
      <w:bookmarkStart w:id="240" w:name="_Toc21238"/>
    </w:p>
    <w:p w14:paraId="24A05FFE">
      <w:pPr>
        <w:snapToGrid w:val="0"/>
        <w:spacing w:line="360" w:lineRule="auto"/>
        <w:ind w:firstLine="482" w:firstLineChars="200"/>
        <w:jc w:val="center"/>
        <w:outlineLvl w:val="0"/>
        <w:rPr>
          <w:rFonts w:hint="eastAsia" w:ascii="宋体" w:hAnsi="宋体" w:eastAsia="宋体" w:cs="宋体"/>
          <w:b/>
          <w:snapToGrid w:val="0"/>
          <w:color w:val="auto"/>
          <w:sz w:val="24"/>
          <w:highlight w:val="none"/>
        </w:rPr>
      </w:pPr>
      <w:r>
        <w:rPr>
          <w:rFonts w:hint="eastAsia" w:ascii="宋体" w:hAnsi="宋体" w:eastAsia="宋体" w:cs="宋体"/>
          <w:b/>
          <w:snapToGrid w:val="0"/>
          <w:color w:val="auto"/>
          <w:sz w:val="24"/>
          <w:highlight w:val="none"/>
          <w:lang w:val="en-US" w:eastAsia="zh-CN"/>
        </w:rPr>
        <w:t>第四章</w:t>
      </w:r>
      <w:bookmarkStart w:id="241" w:name="_Hlt87793853"/>
      <w:bookmarkEnd w:id="241"/>
      <w:r>
        <w:rPr>
          <w:rFonts w:hint="eastAsia" w:ascii="宋体" w:hAnsi="宋体" w:eastAsia="宋体" w:cs="宋体"/>
          <w:b/>
          <w:snapToGrid w:val="0"/>
          <w:color w:val="auto"/>
          <w:sz w:val="24"/>
          <w:highlight w:val="none"/>
          <w:lang w:val="en-US" w:eastAsia="zh-CN"/>
        </w:rPr>
        <w:t xml:space="preserve">   技术要求</w:t>
      </w:r>
      <w:bookmarkEnd w:id="215"/>
      <w:bookmarkEnd w:id="216"/>
      <w:bookmarkEnd w:id="240"/>
      <w:bookmarkStart w:id="242" w:name="_Hlt69265216"/>
      <w:bookmarkEnd w:id="242"/>
      <w:bookmarkStart w:id="243" w:name="_Hlt75685840"/>
      <w:bookmarkEnd w:id="243"/>
      <w:bookmarkStart w:id="244" w:name="_Hlt87793346"/>
      <w:bookmarkEnd w:id="244"/>
      <w:bookmarkStart w:id="245" w:name="_Hlt69116854"/>
      <w:bookmarkEnd w:id="245"/>
      <w:bookmarkStart w:id="246" w:name="_Hlt69359335"/>
      <w:bookmarkEnd w:id="246"/>
      <w:bookmarkStart w:id="247" w:name="_Hlt80411122"/>
      <w:bookmarkEnd w:id="247"/>
      <w:bookmarkStart w:id="248" w:name="_Hlt66104926"/>
      <w:bookmarkEnd w:id="248"/>
      <w:bookmarkStart w:id="249" w:name="_Hlt69357851"/>
      <w:bookmarkEnd w:id="249"/>
      <w:bookmarkStart w:id="250" w:name="_Hlt87793370"/>
      <w:bookmarkEnd w:id="250"/>
      <w:bookmarkStart w:id="251" w:name="_Hlt69358207"/>
      <w:bookmarkEnd w:id="251"/>
      <w:bookmarkStart w:id="252" w:name="_Hlt68774758"/>
      <w:bookmarkEnd w:id="252"/>
    </w:p>
    <w:p w14:paraId="50343E9B">
      <w:pPr>
        <w:pStyle w:val="6"/>
        <w:wordWrap w:val="0"/>
        <w:autoSpaceDE/>
        <w:autoSpaceDN/>
        <w:snapToGrid w:val="0"/>
        <w:spacing w:line="240" w:lineRule="auto"/>
        <w:ind w:firstLine="480"/>
        <w:jc w:val="both"/>
        <w:rPr>
          <w:rFonts w:hint="eastAsia" w:ascii="宋体" w:hAnsi="宋体" w:eastAsia="宋体" w:cs="宋体"/>
          <w:b/>
          <w:snapToGrid w:val="0"/>
          <w:color w:val="auto"/>
          <w:sz w:val="24"/>
          <w:highlight w:val="none"/>
          <w:lang w:val="en-US" w:eastAsia="zh-CN"/>
        </w:rPr>
      </w:pPr>
      <w:bookmarkStart w:id="253" w:name="_Hlt69116863"/>
      <w:bookmarkEnd w:id="253"/>
      <w:bookmarkStart w:id="254" w:name="_Hlt69358336"/>
      <w:bookmarkEnd w:id="254"/>
      <w:bookmarkStart w:id="255" w:name="_Hlt69635247"/>
      <w:bookmarkEnd w:id="255"/>
      <w:bookmarkStart w:id="256" w:name="_Hlt69670335"/>
      <w:bookmarkEnd w:id="256"/>
      <w:bookmarkStart w:id="257" w:name="_Hlt69265207"/>
      <w:bookmarkEnd w:id="257"/>
      <w:bookmarkStart w:id="258" w:name="_Hlt66848640"/>
      <w:bookmarkEnd w:id="258"/>
      <w:bookmarkStart w:id="259" w:name="_Hlt69338190"/>
      <w:bookmarkEnd w:id="259"/>
      <w:bookmarkStart w:id="260" w:name="_Toc27055"/>
      <w:bookmarkStart w:id="261" w:name="_Toc27527"/>
      <w:bookmarkStart w:id="262" w:name="_Toc7059"/>
      <w:bookmarkStart w:id="263" w:name="_Toc9294"/>
      <w:bookmarkStart w:id="264" w:name="_Toc22720"/>
      <w:bookmarkStart w:id="265" w:name="_Toc18841"/>
      <w:bookmarkStart w:id="266" w:name="_Toc15165"/>
      <w:bookmarkStart w:id="267" w:name="_Toc4029"/>
      <w:bookmarkStart w:id="268" w:name="_Toc15661"/>
      <w:bookmarkStart w:id="269" w:name="_Toc9026"/>
      <w:bookmarkStart w:id="270" w:name="_Toc466640612"/>
      <w:bookmarkStart w:id="271" w:name="_Hlt69698785"/>
      <w:bookmarkStart w:id="272" w:name="_Toc8133"/>
      <w:r>
        <w:rPr>
          <w:rFonts w:hint="eastAsia" w:ascii="宋体" w:hAnsi="宋体" w:eastAsia="宋体" w:cs="宋体"/>
          <w:b/>
          <w:snapToGrid w:val="0"/>
          <w:color w:val="auto"/>
          <w:sz w:val="24"/>
          <w:highlight w:val="none"/>
          <w:lang w:val="en-US" w:eastAsia="zh-CN"/>
        </w:rPr>
        <w:t>1.工程的技术要求</w:t>
      </w:r>
      <w:bookmarkEnd w:id="260"/>
      <w:bookmarkEnd w:id="261"/>
      <w:bookmarkEnd w:id="262"/>
      <w:bookmarkEnd w:id="263"/>
      <w:bookmarkEnd w:id="264"/>
      <w:bookmarkEnd w:id="265"/>
      <w:bookmarkEnd w:id="266"/>
      <w:bookmarkEnd w:id="267"/>
      <w:bookmarkEnd w:id="268"/>
      <w:bookmarkEnd w:id="269"/>
    </w:p>
    <w:p w14:paraId="03302942">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bookmarkStart w:id="273" w:name="_Toc16151"/>
      <w:r>
        <w:rPr>
          <w:rFonts w:hint="eastAsia" w:ascii="宋体" w:hAnsi="宋体" w:eastAsia="宋体" w:cs="宋体"/>
          <w:bCs/>
          <w:snapToGrid w:val="0"/>
          <w:color w:val="auto"/>
          <w:kern w:val="0"/>
          <w:sz w:val="24"/>
          <w:szCs w:val="24"/>
          <w:highlight w:val="none"/>
        </w:rPr>
        <w:t>一、工程设计标准规范</w:t>
      </w:r>
      <w:bookmarkEnd w:id="273"/>
    </w:p>
    <w:p w14:paraId="25D0B797">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(1)《中华人民共和国城乡规划法》</w:t>
      </w:r>
      <w:r>
        <w:rPr>
          <w:rFonts w:hint="eastAsia" w:ascii="宋体" w:hAnsi="宋体" w:eastAsia="宋体" w:cs="宋体"/>
          <w:bCs/>
          <w:snapToGrid w:val="0"/>
          <w:color w:val="auto"/>
          <w:kern w:val="0"/>
          <w:sz w:val="24"/>
          <w:szCs w:val="24"/>
          <w:highlight w:val="none"/>
        </w:rPr>
        <w:t>；</w:t>
      </w:r>
    </w:p>
    <w:p w14:paraId="1F395D05">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(2)《城市更新行动指引》；</w:t>
      </w:r>
    </w:p>
    <w:p w14:paraId="379DBF8B">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(3)《公园设计规范》（GB 51192-2016）；</w:t>
      </w:r>
    </w:p>
    <w:p w14:paraId="75FFFDEC">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(4)《城市道路工程设计规范》（CJJ 37-2012）； </w:t>
      </w:r>
    </w:p>
    <w:p w14:paraId="0756835C">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(5)《城市绿道设计规范》（CJJ/T 294-2019）； </w:t>
      </w:r>
    </w:p>
    <w:p w14:paraId="1475B53E">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(6)《无障碍设计规范》（GB 50763-2012）； </w:t>
      </w:r>
    </w:p>
    <w:p w14:paraId="09874E7D">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(7)《建筑给水排水设计标准》（GB50015-2019）； </w:t>
      </w:r>
    </w:p>
    <w:p w14:paraId="0766D90B">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(8)《城市道路照明设计标准》（CJJ45-2015）； </w:t>
      </w:r>
    </w:p>
    <w:p w14:paraId="46E57858">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(9)《海绵城市建设技术指南》（住建部）； </w:t>
      </w:r>
    </w:p>
    <w:p w14:paraId="11161C51">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(10)《城市容貌标准》（GB50449-2008）； </w:t>
      </w:r>
    </w:p>
    <w:p w14:paraId="2C49B6EF">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(11)《建筑设计防火规范》（GB50016-2014，2018 版）； </w:t>
      </w:r>
    </w:p>
    <w:p w14:paraId="7E4626CD">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(12)《供配电系统设计规范》（GB50052-2019）； </w:t>
      </w:r>
    </w:p>
    <w:p w14:paraId="438DB159">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(13)《城市绿化工程施工及验收规范》（CJJ/T 82-2012）； </w:t>
      </w:r>
    </w:p>
    <w:p w14:paraId="0EEC5125">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(14)《城市公园绿地分类标准》（CJJ/T 85-2017）； </w:t>
      </w:r>
    </w:p>
    <w:p w14:paraId="174BE8BC">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(15)《绿道规划设计导则》（住建部）。</w:t>
      </w:r>
    </w:p>
    <w:p w14:paraId="48C609E8">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(16)《广东省城市更新管理办法》； </w:t>
      </w:r>
    </w:p>
    <w:p w14:paraId="148784B6">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(17)《中共广东省委关于深入推进绿美广东生态建设的决定》； </w:t>
      </w:r>
    </w:p>
    <w:p w14:paraId="00179078">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(18)《广东省“十四五”新型城镇化实施方案》； </w:t>
      </w:r>
    </w:p>
    <w:p w14:paraId="586FB0B5">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(19)广东省城市绿道建设、市政设施、生态修复相关技术标准； </w:t>
      </w:r>
    </w:p>
    <w:p w14:paraId="10A31AB2">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(20)《广东省绿道网建设规划（2021—2035 年）》； </w:t>
      </w:r>
    </w:p>
    <w:p w14:paraId="19BBE0BF">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(21)《广东省公园建设与管理条例》； </w:t>
      </w:r>
    </w:p>
    <w:p w14:paraId="7FAAFFC8">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(22)《广东省海绵城市建设实施意见》；</w:t>
      </w:r>
    </w:p>
    <w:p w14:paraId="20937B7D">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(23)《韶关市国土空间总体规划（2021—2035 年）》；</w:t>
      </w:r>
    </w:p>
    <w:p w14:paraId="3F6747E1">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(24)《韶关市城市更新专项规划》； </w:t>
      </w:r>
    </w:p>
    <w:p w14:paraId="4F37EFCB">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(25)韶关市小岛片区控制性详细规划、城市风貌提升规划、慢行系统 规划； </w:t>
      </w:r>
    </w:p>
    <w:p w14:paraId="5260F629">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(26)《韶关市绿道网建设规划》； </w:t>
      </w:r>
    </w:p>
    <w:p w14:paraId="5C477E35">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(27)《韶关市公园体系建设规划》； </w:t>
      </w:r>
    </w:p>
    <w:p w14:paraId="256A4B23">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(28)韶关市关于绿美韶关建设、城市滨水空间提升的相关文件； </w:t>
      </w:r>
    </w:p>
    <w:p w14:paraId="0268E067">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(29)韶关市文旅融合发展相关规划。</w:t>
      </w:r>
    </w:p>
    <w:p w14:paraId="599724EB">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(30)现场实测数据、水文地质资料、既有设施评估报告； </w:t>
      </w:r>
    </w:p>
    <w:p w14:paraId="08C31975">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(31)项目现场踏勘报告及居民需求调研结果； </w:t>
      </w:r>
    </w:p>
    <w:p w14:paraId="4B09A0E3">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(32)绿道、公园相关设施的设计规范及产品标准。</w:t>
      </w:r>
    </w:p>
    <w:p w14:paraId="165456B6">
      <w:pPr>
        <w:wordWrap w:val="0"/>
        <w:adjustRightInd w:val="0"/>
        <w:snapToGrid w:val="0"/>
        <w:spacing w:line="24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(33)</w:t>
      </w:r>
      <w:r>
        <w:rPr>
          <w:rFonts w:hint="eastAsia" w:ascii="宋体" w:hAnsi="宋体" w:eastAsia="宋体" w:cs="宋体"/>
          <w:bCs/>
          <w:snapToGrid w:val="0"/>
          <w:color w:val="auto"/>
          <w:kern w:val="0"/>
          <w:sz w:val="24"/>
          <w:szCs w:val="24"/>
          <w:highlight w:val="none"/>
        </w:rPr>
        <w:t>其他现行国家、广东省关于建筑工程的技术及验收规范、定额、规程、标准。</w:t>
      </w:r>
    </w:p>
    <w:p w14:paraId="450EF036">
      <w:pPr>
        <w:pStyle w:val="6"/>
        <w:wordWrap w:val="0"/>
        <w:autoSpaceDE/>
        <w:autoSpaceDN/>
        <w:snapToGrid w:val="0"/>
        <w:spacing w:line="240" w:lineRule="auto"/>
        <w:ind w:firstLine="480"/>
        <w:jc w:val="both"/>
        <w:rPr>
          <w:rFonts w:hint="eastAsia" w:ascii="宋体" w:hAnsi="宋体" w:eastAsia="宋体" w:cs="宋体"/>
          <w:b/>
          <w:snapToGrid w:val="0"/>
          <w:color w:val="auto"/>
          <w:sz w:val="24"/>
          <w:highlight w:val="none"/>
          <w:lang w:val="en-US" w:eastAsia="zh-CN"/>
        </w:rPr>
      </w:pPr>
      <w:bookmarkStart w:id="274" w:name="_Toc23293"/>
      <w:bookmarkStart w:id="275" w:name="_Toc5215"/>
      <w:bookmarkStart w:id="276" w:name="_Toc14768"/>
      <w:r>
        <w:rPr>
          <w:rFonts w:hint="eastAsia" w:ascii="宋体" w:hAnsi="宋体" w:eastAsia="宋体" w:cs="宋体"/>
          <w:b/>
          <w:snapToGrid w:val="0"/>
          <w:color w:val="auto"/>
          <w:sz w:val="24"/>
          <w:highlight w:val="none"/>
          <w:lang w:val="en-US" w:eastAsia="zh-CN"/>
        </w:rPr>
        <w:t>2.备查要求</w:t>
      </w:r>
      <w:bookmarkEnd w:id="274"/>
      <w:bookmarkEnd w:id="275"/>
      <w:bookmarkEnd w:id="276"/>
    </w:p>
    <w:p w14:paraId="2F8909F0">
      <w:pPr>
        <w:wordWrap w:val="0"/>
        <w:adjustRightInd w:val="0"/>
        <w:snapToGrid w:val="0"/>
        <w:spacing w:line="24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以上所列规范和标准仅供参考，中标人必须准备至少一套现行的国家和广东省的有关技术规范及现行标准，招标人和监理单位可随时检查中标人的规范和标准，并监督中标人按规范和标准要求执行。</w:t>
      </w:r>
    </w:p>
    <w:p w14:paraId="31C12307">
      <w:pPr>
        <w:rPr>
          <w:rFonts w:hint="eastAsia" w:ascii="宋体" w:hAnsi="宋体" w:eastAsia="宋体" w:cs="宋体"/>
          <w:color w:val="auto"/>
          <w:sz w:val="24"/>
          <w:szCs w:val="28"/>
          <w:highlight w:val="none"/>
        </w:rPr>
      </w:pPr>
    </w:p>
    <w:bookmarkEnd w:id="270"/>
    <w:p w14:paraId="2EECBD99">
      <w:pPr>
        <w:snapToGrid w:val="0"/>
        <w:spacing w:line="360" w:lineRule="auto"/>
        <w:jc w:val="both"/>
        <w:outlineLvl w:val="9"/>
        <w:rPr>
          <w:rFonts w:hint="eastAsia" w:ascii="宋体" w:hAnsi="宋体" w:eastAsia="宋体" w:cs="宋体"/>
          <w:b/>
          <w:snapToGrid w:val="0"/>
          <w:color w:val="auto"/>
          <w:sz w:val="24"/>
          <w:highlight w:val="none"/>
          <w:lang w:val="en-US" w:eastAsia="zh-CN"/>
        </w:rPr>
      </w:pPr>
      <w:bookmarkStart w:id="277" w:name="_Toc17645"/>
    </w:p>
    <w:p w14:paraId="15C6F3BD">
      <w:pPr>
        <w:rPr>
          <w:rFonts w:hint="eastAsia" w:ascii="宋体" w:hAnsi="宋体" w:eastAsia="宋体" w:cs="宋体"/>
          <w:color w:val="auto"/>
          <w:lang w:val="en-US" w:eastAsia="zh-CN"/>
        </w:rPr>
      </w:pPr>
    </w:p>
    <w:p w14:paraId="2EA02BB1">
      <w:pPr>
        <w:snapToGrid w:val="0"/>
        <w:spacing w:line="360" w:lineRule="auto"/>
        <w:ind w:firstLine="482" w:firstLineChars="200"/>
        <w:jc w:val="center"/>
        <w:outlineLvl w:val="0"/>
        <w:rPr>
          <w:rFonts w:hint="eastAsia" w:ascii="宋体" w:hAnsi="宋体" w:eastAsia="宋体" w:cs="宋体"/>
          <w:b/>
          <w:snapToGrid w:val="0"/>
          <w:color w:val="auto"/>
          <w:sz w:val="24"/>
          <w:highlight w:val="none"/>
          <w:lang w:val="en-US" w:eastAsia="zh-CN"/>
        </w:rPr>
      </w:pPr>
      <w:bookmarkStart w:id="278" w:name="_Toc26400"/>
      <w:r>
        <w:rPr>
          <w:rFonts w:hint="eastAsia" w:ascii="宋体" w:hAnsi="宋体" w:eastAsia="宋体" w:cs="宋体"/>
          <w:b/>
          <w:snapToGrid w:val="0"/>
          <w:color w:val="auto"/>
          <w:sz w:val="24"/>
          <w:highlight w:val="none"/>
          <w:lang w:val="en-US" w:eastAsia="zh-CN"/>
        </w:rPr>
        <w:t xml:space="preserve">第五章 </w:t>
      </w:r>
      <w:bookmarkStart w:id="279" w:name="_Hlt75747044"/>
      <w:bookmarkEnd w:id="279"/>
      <w:r>
        <w:rPr>
          <w:rFonts w:hint="eastAsia" w:ascii="宋体" w:hAnsi="宋体" w:eastAsia="宋体" w:cs="宋体"/>
          <w:b/>
          <w:snapToGrid w:val="0"/>
          <w:color w:val="auto"/>
          <w:sz w:val="24"/>
          <w:highlight w:val="none"/>
          <w:lang w:val="en-US" w:eastAsia="zh-CN"/>
        </w:rPr>
        <w:t xml:space="preserve">  投标文件格式</w:t>
      </w:r>
      <w:bookmarkEnd w:id="271"/>
      <w:bookmarkEnd w:id="272"/>
      <w:bookmarkEnd w:id="277"/>
      <w:bookmarkEnd w:id="278"/>
      <w:bookmarkStart w:id="280" w:name="_附件二：工期承诺书"/>
      <w:bookmarkEnd w:id="280"/>
      <w:bookmarkStart w:id="281" w:name="_附件二：近三年度主要施工项目（竣工及在建）一览表"/>
      <w:bookmarkEnd w:id="281"/>
      <w:bookmarkStart w:id="282" w:name="_附件五：综合评审合理低价法"/>
      <w:bookmarkEnd w:id="282"/>
      <w:bookmarkStart w:id="283" w:name="_附件一：对招标文件条款自愿接受承诺书"/>
      <w:bookmarkEnd w:id="283"/>
      <w:bookmarkStart w:id="284" w:name="_附件一：投标函"/>
      <w:bookmarkEnd w:id="284"/>
      <w:bookmarkStart w:id="285" w:name="_附件四：工期承诺书"/>
      <w:bookmarkEnd w:id="285"/>
      <w:bookmarkStart w:id="286" w:name="_Toc200338097"/>
      <w:bookmarkStart w:id="287" w:name="_Toc137621693"/>
      <w:bookmarkStart w:id="288" w:name="_Toc66849200"/>
      <w:bookmarkStart w:id="289" w:name="_Hlt66847557"/>
    </w:p>
    <w:p w14:paraId="24D4D2BA">
      <w:pPr>
        <w:pStyle w:val="6"/>
        <w:wordWrap w:val="0"/>
        <w:autoSpaceDE/>
        <w:autoSpaceDN/>
        <w:snapToGrid w:val="0"/>
        <w:spacing w:line="440" w:lineRule="exact"/>
        <w:ind w:firstLine="480"/>
        <w:jc w:val="both"/>
        <w:rPr>
          <w:rFonts w:hint="eastAsia" w:ascii="宋体" w:hAnsi="宋体" w:eastAsia="宋体" w:cs="宋体"/>
          <w:b/>
          <w:snapToGrid w:val="0"/>
          <w:color w:val="auto"/>
          <w:sz w:val="24"/>
          <w:highlight w:val="none"/>
          <w:lang w:val="en-US" w:eastAsia="zh-CN"/>
        </w:rPr>
      </w:pPr>
      <w:bookmarkStart w:id="290" w:name="_Toc11807"/>
      <w:bookmarkStart w:id="291" w:name="_Toc31229"/>
      <w:bookmarkStart w:id="292" w:name="_Toc24115"/>
      <w:bookmarkStart w:id="293" w:name="_Toc14482"/>
      <w:r>
        <w:rPr>
          <w:rFonts w:hint="eastAsia" w:ascii="宋体" w:hAnsi="宋体" w:eastAsia="宋体" w:cs="宋体"/>
          <w:b/>
          <w:snapToGrid w:val="0"/>
          <w:color w:val="auto"/>
          <w:sz w:val="24"/>
          <w:highlight w:val="none"/>
          <w:lang w:val="en-US" w:eastAsia="zh-CN"/>
        </w:rPr>
        <w:t>格式一   封面</w:t>
      </w:r>
      <w:bookmarkEnd w:id="290"/>
      <w:bookmarkEnd w:id="291"/>
      <w:bookmarkEnd w:id="292"/>
      <w:bookmarkEnd w:id="293"/>
    </w:p>
    <w:p w14:paraId="640CC8CC">
      <w:pPr>
        <w:rPr>
          <w:rFonts w:hint="eastAsia" w:ascii="宋体" w:hAnsi="宋体" w:eastAsia="宋体" w:cs="宋体"/>
          <w:color w:val="auto"/>
        </w:rPr>
      </w:pPr>
    </w:p>
    <w:p w14:paraId="4FF0ED85">
      <w:pPr>
        <w:rPr>
          <w:rFonts w:hint="eastAsia" w:ascii="宋体" w:hAnsi="宋体" w:eastAsia="宋体" w:cs="宋体"/>
          <w:color w:val="auto"/>
        </w:rPr>
      </w:pPr>
    </w:p>
    <w:p w14:paraId="03FC8193">
      <w:pPr>
        <w:rPr>
          <w:rFonts w:hint="eastAsia" w:ascii="宋体" w:hAnsi="宋体" w:eastAsia="宋体" w:cs="宋体"/>
          <w:color w:val="auto"/>
        </w:rPr>
      </w:pPr>
    </w:p>
    <w:p w14:paraId="499C506B">
      <w:pPr>
        <w:rPr>
          <w:rFonts w:hint="eastAsia" w:ascii="宋体" w:hAnsi="宋体" w:eastAsia="宋体" w:cs="宋体"/>
          <w:color w:val="auto"/>
        </w:rPr>
      </w:pPr>
    </w:p>
    <w:p w14:paraId="7BF84830">
      <w:pPr>
        <w:wordWrap w:val="0"/>
        <w:adjustRightInd w:val="0"/>
        <w:snapToGrid w:val="0"/>
        <w:jc w:val="center"/>
        <w:rPr>
          <w:rFonts w:hint="eastAsia" w:ascii="宋体" w:hAnsi="宋体" w:eastAsia="宋体" w:cs="宋体"/>
          <w:b/>
          <w:snapToGrid w:val="0"/>
          <w:color w:val="auto"/>
          <w:kern w:val="0"/>
          <w:sz w:val="48"/>
          <w:szCs w:val="48"/>
          <w:highlight w:val="none"/>
        </w:rPr>
      </w:pPr>
      <w:r>
        <w:rPr>
          <w:rFonts w:hint="eastAsia" w:ascii="宋体" w:hAnsi="宋体" w:eastAsia="宋体" w:cs="宋体"/>
          <w:bCs/>
          <w:snapToGrid w:val="0"/>
          <w:color w:val="auto"/>
          <w:kern w:val="0"/>
          <w:sz w:val="48"/>
          <w:szCs w:val="48"/>
          <w:highlight w:val="none"/>
          <w:u w:val="single"/>
        </w:rPr>
        <w:t xml:space="preserve">             </w:t>
      </w:r>
      <w:r>
        <w:rPr>
          <w:rFonts w:hint="eastAsia" w:ascii="宋体" w:hAnsi="宋体" w:eastAsia="宋体" w:cs="宋体"/>
          <w:b/>
          <w:snapToGrid w:val="0"/>
          <w:color w:val="auto"/>
          <w:kern w:val="0"/>
          <w:sz w:val="48"/>
          <w:szCs w:val="48"/>
          <w:highlight w:val="none"/>
        </w:rPr>
        <w:t>（项目名称）招标</w:t>
      </w:r>
    </w:p>
    <w:p w14:paraId="0328C504">
      <w:pPr>
        <w:rPr>
          <w:rFonts w:hint="eastAsia" w:ascii="宋体" w:hAnsi="宋体" w:eastAsia="宋体" w:cs="宋体"/>
          <w:color w:val="auto"/>
        </w:rPr>
      </w:pPr>
    </w:p>
    <w:p w14:paraId="17889CBB">
      <w:pPr>
        <w:wordWrap w:val="0"/>
        <w:adjustRightInd w:val="0"/>
        <w:snapToGrid w:val="0"/>
        <w:jc w:val="center"/>
        <w:rPr>
          <w:rFonts w:hint="eastAsia" w:ascii="宋体" w:hAnsi="宋体" w:eastAsia="宋体" w:cs="宋体"/>
          <w:b/>
          <w:snapToGrid w:val="0"/>
          <w:color w:val="auto"/>
          <w:kern w:val="0"/>
          <w:sz w:val="72"/>
          <w:highlight w:val="none"/>
        </w:rPr>
      </w:pPr>
      <w:r>
        <w:rPr>
          <w:rFonts w:hint="eastAsia" w:ascii="宋体" w:hAnsi="宋体" w:eastAsia="宋体" w:cs="宋体"/>
          <w:b/>
          <w:snapToGrid w:val="0"/>
          <w:color w:val="auto"/>
          <w:kern w:val="0"/>
          <w:sz w:val="72"/>
          <w:highlight w:val="none"/>
        </w:rPr>
        <w:t>投  标  文  件</w:t>
      </w:r>
    </w:p>
    <w:p w14:paraId="07938E91">
      <w:pPr>
        <w:rPr>
          <w:rFonts w:hint="eastAsia" w:ascii="宋体" w:hAnsi="宋体" w:eastAsia="宋体" w:cs="宋体"/>
          <w:color w:val="auto"/>
        </w:rPr>
      </w:pPr>
    </w:p>
    <w:p w14:paraId="639CEC58">
      <w:pPr>
        <w:wordWrap w:val="0"/>
        <w:adjustRightInd w:val="0"/>
        <w:snapToGrid w:val="0"/>
        <w:jc w:val="center"/>
        <w:rPr>
          <w:rFonts w:hint="eastAsia" w:ascii="宋体" w:hAnsi="宋体" w:eastAsia="宋体" w:cs="宋体"/>
          <w:b/>
          <w:snapToGrid w:val="0"/>
          <w:color w:val="auto"/>
          <w:kern w:val="0"/>
          <w:sz w:val="48"/>
          <w:szCs w:val="48"/>
          <w:highlight w:val="none"/>
        </w:rPr>
      </w:pPr>
      <w:r>
        <w:rPr>
          <w:rFonts w:hint="eastAsia" w:ascii="宋体" w:hAnsi="宋体" w:eastAsia="宋体" w:cs="宋体"/>
          <w:b/>
          <w:snapToGrid w:val="0"/>
          <w:color w:val="auto"/>
          <w:kern w:val="0"/>
          <w:sz w:val="48"/>
          <w:szCs w:val="48"/>
          <w:highlight w:val="none"/>
        </w:rPr>
        <w:t>（</w:t>
      </w:r>
      <w:r>
        <w:rPr>
          <w:rFonts w:hint="eastAsia" w:ascii="宋体" w:hAnsi="宋体" w:eastAsia="宋体" w:cs="宋体"/>
          <w:b/>
          <w:snapToGrid w:val="0"/>
          <w:color w:val="auto"/>
          <w:kern w:val="0"/>
          <w:sz w:val="48"/>
          <w:szCs w:val="48"/>
          <w:highlight w:val="none"/>
          <w:lang w:eastAsia="zh-CN"/>
        </w:rPr>
        <w:t>商务经济标书</w:t>
      </w:r>
      <w:r>
        <w:rPr>
          <w:rFonts w:hint="eastAsia" w:ascii="宋体" w:hAnsi="宋体" w:eastAsia="宋体" w:cs="宋体"/>
          <w:b/>
          <w:snapToGrid w:val="0"/>
          <w:color w:val="auto"/>
          <w:kern w:val="0"/>
          <w:sz w:val="48"/>
          <w:szCs w:val="48"/>
          <w:highlight w:val="none"/>
        </w:rPr>
        <w:t>／技术</w:t>
      </w:r>
      <w:r>
        <w:rPr>
          <w:rFonts w:hint="eastAsia" w:ascii="宋体" w:hAnsi="宋体" w:eastAsia="宋体" w:cs="宋体"/>
          <w:b/>
          <w:snapToGrid w:val="0"/>
          <w:color w:val="auto"/>
          <w:kern w:val="0"/>
          <w:sz w:val="48"/>
          <w:szCs w:val="48"/>
          <w:highlight w:val="none"/>
          <w:lang w:eastAsia="zh-CN"/>
        </w:rPr>
        <w:t>标书</w:t>
      </w:r>
      <w:r>
        <w:rPr>
          <w:rFonts w:hint="eastAsia" w:ascii="宋体" w:hAnsi="宋体" w:eastAsia="宋体" w:cs="宋体"/>
          <w:b/>
          <w:snapToGrid w:val="0"/>
          <w:color w:val="auto"/>
          <w:kern w:val="0"/>
          <w:sz w:val="48"/>
          <w:szCs w:val="48"/>
          <w:highlight w:val="none"/>
          <w:lang w:val="en-US" w:eastAsia="zh-CN"/>
        </w:rPr>
        <w:t>/定标文件</w:t>
      </w:r>
      <w:r>
        <w:rPr>
          <w:rFonts w:hint="eastAsia" w:ascii="宋体" w:hAnsi="宋体" w:eastAsia="宋体" w:cs="宋体"/>
          <w:b/>
          <w:snapToGrid w:val="0"/>
          <w:color w:val="auto"/>
          <w:kern w:val="0"/>
          <w:sz w:val="48"/>
          <w:szCs w:val="48"/>
          <w:highlight w:val="none"/>
        </w:rPr>
        <w:t>）</w:t>
      </w:r>
    </w:p>
    <w:p w14:paraId="59F83B6A">
      <w:pPr>
        <w:rPr>
          <w:rFonts w:hint="eastAsia" w:ascii="宋体" w:hAnsi="宋体" w:eastAsia="宋体" w:cs="宋体"/>
          <w:color w:val="auto"/>
        </w:rPr>
      </w:pPr>
    </w:p>
    <w:p w14:paraId="69FE5716">
      <w:pPr>
        <w:rPr>
          <w:rFonts w:hint="eastAsia" w:ascii="宋体" w:hAnsi="宋体" w:eastAsia="宋体" w:cs="宋体"/>
          <w:color w:val="auto"/>
        </w:rPr>
      </w:pPr>
    </w:p>
    <w:p w14:paraId="3C7EB8C7">
      <w:pPr>
        <w:rPr>
          <w:rFonts w:hint="eastAsia" w:ascii="宋体" w:hAnsi="宋体" w:eastAsia="宋体" w:cs="宋体"/>
          <w:color w:val="auto"/>
        </w:rPr>
      </w:pPr>
    </w:p>
    <w:p w14:paraId="610BEB5E">
      <w:pPr>
        <w:rPr>
          <w:rFonts w:hint="eastAsia" w:ascii="宋体" w:hAnsi="宋体" w:eastAsia="宋体" w:cs="宋体"/>
          <w:color w:val="auto"/>
        </w:rPr>
      </w:pPr>
    </w:p>
    <w:p w14:paraId="41687E52">
      <w:pPr>
        <w:rPr>
          <w:rFonts w:hint="eastAsia" w:ascii="宋体" w:hAnsi="宋体" w:eastAsia="宋体" w:cs="宋体"/>
          <w:color w:val="auto"/>
        </w:rPr>
      </w:pPr>
    </w:p>
    <w:p w14:paraId="709054E4">
      <w:pPr>
        <w:wordWrap w:val="0"/>
        <w:adjustRightInd w:val="0"/>
        <w:snapToGrid w:val="0"/>
        <w:jc w:val="center"/>
        <w:rPr>
          <w:rFonts w:hint="eastAsia" w:ascii="宋体" w:hAnsi="宋体" w:eastAsia="宋体" w:cs="宋体"/>
          <w:color w:val="auto"/>
          <w:kern w:val="0"/>
          <w:sz w:val="20"/>
          <w:highlight w:val="none"/>
        </w:rPr>
      </w:pPr>
      <w:r>
        <w:rPr>
          <w:rFonts w:hint="eastAsia" w:ascii="宋体" w:hAnsi="宋体" w:eastAsia="宋体" w:cs="宋体"/>
          <w:bCs/>
          <w:snapToGrid w:val="0"/>
          <w:color w:val="auto"/>
          <w:kern w:val="0"/>
          <w:sz w:val="32"/>
          <w:highlight w:val="none"/>
        </w:rPr>
        <w:t>投标人：</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（盖单位章）</w:t>
      </w:r>
    </w:p>
    <w:p w14:paraId="392CC3F0">
      <w:pPr>
        <w:spacing w:line="360" w:lineRule="auto"/>
        <w:rPr>
          <w:rFonts w:hint="eastAsia" w:ascii="宋体" w:hAnsi="宋体" w:eastAsia="宋体" w:cs="宋体"/>
          <w:color w:val="auto"/>
          <w:sz w:val="24"/>
          <w:highlight w:val="none"/>
        </w:rPr>
      </w:pPr>
    </w:p>
    <w:p w14:paraId="2B52D85A">
      <w:pPr>
        <w:wordWrap w:val="0"/>
        <w:adjustRightInd w:val="0"/>
        <w:snapToGrid w:val="0"/>
        <w:jc w:val="center"/>
        <w:rPr>
          <w:rFonts w:hint="eastAsia" w:ascii="宋体" w:hAnsi="宋体" w:eastAsia="宋体" w:cs="宋体"/>
          <w:color w:val="auto"/>
          <w:kern w:val="0"/>
          <w:sz w:val="20"/>
          <w:highlight w:val="none"/>
        </w:rPr>
      </w:pPr>
      <w:r>
        <w:rPr>
          <w:rFonts w:hint="eastAsia" w:ascii="宋体" w:hAnsi="宋体" w:eastAsia="宋体" w:cs="宋体"/>
          <w:bCs/>
          <w:snapToGrid w:val="0"/>
          <w:color w:val="auto"/>
          <w:kern w:val="0"/>
          <w:sz w:val="32"/>
          <w:highlight w:val="none"/>
        </w:rPr>
        <w:t>法定代表人或其委托代理人：</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（签字或盖章）</w:t>
      </w:r>
    </w:p>
    <w:p w14:paraId="18FB5CDB">
      <w:pPr>
        <w:spacing w:line="360" w:lineRule="auto"/>
        <w:rPr>
          <w:rFonts w:hint="eastAsia" w:ascii="宋体" w:hAnsi="宋体" w:eastAsia="宋体" w:cs="宋体"/>
          <w:color w:val="auto"/>
          <w:sz w:val="24"/>
          <w:highlight w:val="none"/>
        </w:rPr>
      </w:pPr>
    </w:p>
    <w:p w14:paraId="38D8EF79">
      <w:pPr>
        <w:wordWrap w:val="0"/>
        <w:adjustRightInd w:val="0"/>
        <w:snapToGrid w:val="0"/>
        <w:jc w:val="center"/>
        <w:rPr>
          <w:rFonts w:hint="eastAsia" w:ascii="宋体" w:hAnsi="宋体" w:eastAsia="宋体" w:cs="宋体"/>
          <w:bCs/>
          <w:snapToGrid w:val="0"/>
          <w:color w:val="auto"/>
          <w:kern w:val="0"/>
          <w:sz w:val="32"/>
          <w:highlight w:val="none"/>
        </w:rPr>
      </w:pP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年</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月</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日</w:t>
      </w:r>
    </w:p>
    <w:p w14:paraId="1F8A818E">
      <w:pPr>
        <w:outlineLvl w:val="9"/>
        <w:rPr>
          <w:rFonts w:hint="eastAsia" w:ascii="宋体" w:hAnsi="宋体" w:eastAsia="宋体" w:cs="宋体"/>
          <w:bCs/>
          <w:snapToGrid w:val="0"/>
          <w:color w:val="auto"/>
          <w:kern w:val="0"/>
          <w:sz w:val="32"/>
          <w:highlight w:val="none"/>
        </w:rPr>
      </w:pPr>
    </w:p>
    <w:p w14:paraId="51A7347D">
      <w:pPr>
        <w:outlineLvl w:val="9"/>
        <w:rPr>
          <w:rFonts w:hint="eastAsia" w:ascii="宋体" w:hAnsi="宋体" w:eastAsia="宋体" w:cs="宋体"/>
          <w:bCs/>
          <w:snapToGrid w:val="0"/>
          <w:color w:val="auto"/>
          <w:kern w:val="0"/>
          <w:sz w:val="32"/>
          <w:highlight w:val="none"/>
        </w:rPr>
      </w:pPr>
    </w:p>
    <w:p w14:paraId="49E15E7A">
      <w:pPr>
        <w:outlineLvl w:val="9"/>
        <w:rPr>
          <w:rFonts w:hint="eastAsia" w:ascii="宋体" w:hAnsi="宋体" w:eastAsia="宋体" w:cs="宋体"/>
          <w:bCs/>
          <w:snapToGrid w:val="0"/>
          <w:color w:val="auto"/>
          <w:kern w:val="0"/>
          <w:sz w:val="32"/>
          <w:highlight w:val="none"/>
        </w:rPr>
      </w:pPr>
    </w:p>
    <w:p w14:paraId="60ABA649">
      <w:pPr>
        <w:outlineLvl w:val="9"/>
        <w:rPr>
          <w:rFonts w:hint="eastAsia" w:ascii="宋体" w:hAnsi="宋体" w:eastAsia="宋体" w:cs="宋体"/>
          <w:bCs/>
          <w:snapToGrid w:val="0"/>
          <w:color w:val="auto"/>
          <w:kern w:val="0"/>
          <w:sz w:val="32"/>
          <w:highlight w:val="none"/>
        </w:rPr>
      </w:pPr>
    </w:p>
    <w:p w14:paraId="09F13A31">
      <w:pPr>
        <w:outlineLvl w:val="9"/>
        <w:rPr>
          <w:rFonts w:hint="eastAsia" w:ascii="宋体" w:hAnsi="宋体" w:eastAsia="宋体" w:cs="宋体"/>
          <w:bCs/>
          <w:snapToGrid w:val="0"/>
          <w:color w:val="auto"/>
          <w:kern w:val="0"/>
          <w:sz w:val="32"/>
          <w:highlight w:val="none"/>
        </w:rPr>
      </w:pPr>
    </w:p>
    <w:p w14:paraId="4AA3C6A2">
      <w:pPr>
        <w:pStyle w:val="6"/>
        <w:wordWrap w:val="0"/>
        <w:autoSpaceDE/>
        <w:autoSpaceDN/>
        <w:snapToGrid w:val="0"/>
        <w:spacing w:line="440" w:lineRule="exact"/>
        <w:ind w:firstLine="480"/>
        <w:jc w:val="both"/>
        <w:rPr>
          <w:rFonts w:hint="eastAsia" w:ascii="宋体" w:hAnsi="宋体" w:eastAsia="宋体" w:cs="宋体"/>
          <w:b w:val="0"/>
          <w:snapToGrid w:val="0"/>
          <w:color w:val="auto"/>
          <w:sz w:val="24"/>
          <w:highlight w:val="none"/>
        </w:rPr>
      </w:pPr>
      <w:bookmarkStart w:id="294" w:name="_Toc14541"/>
      <w:bookmarkStart w:id="295" w:name="_Toc19707"/>
      <w:bookmarkStart w:id="296" w:name="_Toc13452"/>
      <w:bookmarkStart w:id="297" w:name="_Toc29482"/>
      <w:bookmarkStart w:id="298" w:name="_Toc104711098"/>
      <w:bookmarkStart w:id="299" w:name="_Toc106418843"/>
      <w:r>
        <w:rPr>
          <w:rFonts w:hint="eastAsia" w:ascii="宋体" w:hAnsi="宋体" w:eastAsia="宋体" w:cs="宋体"/>
          <w:b/>
          <w:snapToGrid w:val="0"/>
          <w:color w:val="auto"/>
          <w:sz w:val="24"/>
          <w:highlight w:val="none"/>
          <w:lang w:val="en-US" w:eastAsia="zh-CN"/>
        </w:rPr>
        <w:t>格式</w:t>
      </w:r>
      <w:bookmarkStart w:id="300" w:name="_Hlt97526007"/>
      <w:bookmarkEnd w:id="300"/>
      <w:r>
        <w:rPr>
          <w:rFonts w:hint="eastAsia" w:ascii="宋体" w:hAnsi="宋体" w:eastAsia="宋体" w:cs="宋体"/>
          <w:b/>
          <w:snapToGrid w:val="0"/>
          <w:color w:val="auto"/>
          <w:sz w:val="24"/>
          <w:highlight w:val="none"/>
          <w:lang w:val="en-US" w:eastAsia="zh-CN"/>
        </w:rPr>
        <w:t>二   投标函</w:t>
      </w:r>
      <w:bookmarkEnd w:id="294"/>
      <w:bookmarkEnd w:id="295"/>
      <w:bookmarkEnd w:id="296"/>
      <w:bookmarkEnd w:id="297"/>
    </w:p>
    <w:p w14:paraId="7FEB7423">
      <w:pPr>
        <w:wordWrap w:val="0"/>
        <w:adjustRightInd w:val="0"/>
        <w:snapToGrid w:val="0"/>
        <w:spacing w:before="260" w:after="260" w:line="440" w:lineRule="exact"/>
        <w:jc w:val="center"/>
        <w:rPr>
          <w:rFonts w:hint="eastAsia" w:ascii="宋体" w:hAnsi="宋体" w:eastAsia="宋体" w:cs="宋体"/>
          <w:color w:val="auto"/>
          <w:sz w:val="24"/>
          <w:highlight w:val="none"/>
        </w:rPr>
      </w:pPr>
      <w:r>
        <w:rPr>
          <w:rFonts w:hint="eastAsia" w:ascii="宋体" w:hAnsi="宋体" w:eastAsia="宋体" w:cs="宋体"/>
          <w:b/>
          <w:snapToGrid w:val="0"/>
          <w:color w:val="auto"/>
          <w:kern w:val="0"/>
          <w:sz w:val="30"/>
          <w:highlight w:val="none"/>
        </w:rPr>
        <w:t>投  标  函</w:t>
      </w:r>
      <w:bookmarkEnd w:id="298"/>
      <w:bookmarkEnd w:id="299"/>
    </w:p>
    <w:p w14:paraId="3B725D2A">
      <w:pPr>
        <w:wordWrap w:val="0"/>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（招标人名称）</w:t>
      </w:r>
    </w:p>
    <w:p w14:paraId="43211F57">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1. </w:t>
      </w:r>
      <w:r>
        <w:rPr>
          <w:rFonts w:hint="eastAsia" w:ascii="宋体" w:hAnsi="宋体" w:eastAsia="宋体" w:cs="宋体"/>
          <w:snapToGrid w:val="0"/>
          <w:color w:val="auto"/>
          <w:kern w:val="0"/>
          <w:sz w:val="24"/>
          <w:szCs w:val="22"/>
          <w:highlight w:val="none"/>
        </w:rPr>
        <w:t>我方</w:t>
      </w:r>
      <w:r>
        <w:rPr>
          <w:rFonts w:hint="eastAsia" w:ascii="宋体" w:hAnsi="宋体" w:eastAsia="宋体" w:cs="宋体"/>
          <w:snapToGrid w:val="0"/>
          <w:color w:val="auto"/>
          <w:kern w:val="0"/>
          <w:sz w:val="24"/>
          <w:highlight w:val="none"/>
        </w:rPr>
        <w:t>考察现场并充分研究</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（项目名称）（以下简称“本项目”）招标文件</w:t>
      </w:r>
      <w:r>
        <w:rPr>
          <w:rFonts w:hint="eastAsia" w:ascii="宋体" w:hAnsi="宋体" w:eastAsia="宋体" w:cs="宋体"/>
          <w:snapToGrid w:val="0"/>
          <w:color w:val="auto"/>
          <w:kern w:val="0"/>
          <w:sz w:val="24"/>
          <w:szCs w:val="22"/>
          <w:highlight w:val="none"/>
        </w:rPr>
        <w:t>所有内容后</w:t>
      </w:r>
      <w:r>
        <w:rPr>
          <w:rFonts w:hint="eastAsia" w:ascii="宋体" w:hAnsi="宋体" w:eastAsia="宋体" w:cs="宋体"/>
          <w:snapToGrid w:val="0"/>
          <w:color w:val="auto"/>
          <w:kern w:val="0"/>
          <w:sz w:val="24"/>
          <w:highlight w:val="none"/>
        </w:rPr>
        <w:t>，结合自身资质、能力和特点，愿意接受招标文件的全部内容和条件，</w:t>
      </w:r>
      <w:r>
        <w:rPr>
          <w:rFonts w:hint="eastAsia" w:ascii="宋体" w:hAnsi="宋体" w:eastAsia="宋体" w:cs="宋体"/>
          <w:color w:val="auto"/>
          <w:sz w:val="24"/>
          <w:szCs w:val="32"/>
          <w:highlight w:val="none"/>
        </w:rPr>
        <w:t>愿以投标报价为（大写）：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（小写）：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作为酬金，竞投承包上述工程</w:t>
      </w:r>
      <w:r>
        <w:rPr>
          <w:rFonts w:hint="eastAsia" w:ascii="宋体" w:hAnsi="宋体" w:eastAsia="宋体" w:cs="宋体"/>
          <w:snapToGrid w:val="0"/>
          <w:color w:val="auto"/>
          <w:kern w:val="0"/>
          <w:sz w:val="24"/>
          <w:highlight w:val="none"/>
        </w:rPr>
        <w:t>。</w:t>
      </w:r>
    </w:p>
    <w:p w14:paraId="6DC11EAB">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2. </w:t>
      </w:r>
      <w:r>
        <w:rPr>
          <w:rFonts w:hint="eastAsia" w:ascii="宋体" w:hAnsi="宋体" w:eastAsia="宋体" w:cs="宋体"/>
          <w:color w:val="auto"/>
          <w:sz w:val="24"/>
          <w:szCs w:val="32"/>
          <w:highlight w:val="none"/>
        </w:rPr>
        <w:t>如我方中标，我方保证按合同条款、规范和附件要求，实施并完成上述工程设计。我方保证按照合同约定的开工日期开始本工程的设计，</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个日历天内完成合同约定的内容，并确保</w:t>
      </w:r>
      <w:r>
        <w:rPr>
          <w:rFonts w:hint="eastAsia" w:ascii="宋体" w:hAnsi="宋体" w:eastAsia="宋体" w:cs="宋体"/>
          <w:color w:val="auto"/>
          <w:sz w:val="24"/>
          <w:szCs w:val="32"/>
          <w:highlight w:val="none"/>
          <w:lang w:eastAsia="zh-CN"/>
        </w:rPr>
        <w:t>设计</w:t>
      </w:r>
      <w:r>
        <w:rPr>
          <w:rFonts w:hint="eastAsia" w:ascii="宋体" w:hAnsi="宋体" w:eastAsia="宋体" w:cs="宋体"/>
          <w:color w:val="auto"/>
          <w:sz w:val="24"/>
          <w:szCs w:val="32"/>
          <w:highlight w:val="none"/>
        </w:rPr>
        <w:t>成果文件</w:t>
      </w:r>
      <w:r>
        <w:rPr>
          <w:rFonts w:hint="eastAsia" w:ascii="宋体" w:hAnsi="宋体" w:eastAsia="宋体" w:cs="宋体"/>
          <w:snapToGrid w:val="0"/>
          <w:color w:val="auto"/>
          <w:kern w:val="0"/>
          <w:sz w:val="24"/>
          <w:highlight w:val="none"/>
        </w:rPr>
        <w:t>符合住建部颁布的现行有关规范要求、必须通过有关部门的审查及经有资质的审图机构审查合格</w:t>
      </w:r>
      <w:r>
        <w:rPr>
          <w:rFonts w:hint="eastAsia" w:ascii="宋体" w:hAnsi="宋体" w:eastAsia="宋体" w:cs="宋体"/>
          <w:color w:val="auto"/>
          <w:sz w:val="24"/>
          <w:szCs w:val="32"/>
          <w:highlight w:val="none"/>
        </w:rPr>
        <w:t>标准并修补其任何缺陷。</w:t>
      </w:r>
    </w:p>
    <w:p w14:paraId="5922F49A">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 本投标函在你方接收我方递交的投标文件之日起、到招标文件规定的投标有效期期满前对我方具有约束力。我方随时准备接受你方发出的中标通知书。</w:t>
      </w:r>
    </w:p>
    <w:p w14:paraId="15AA303C">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4.</w:t>
      </w:r>
      <w:r>
        <w:rPr>
          <w:rFonts w:hint="eastAsia" w:ascii="宋体" w:hAnsi="宋体" w:eastAsia="宋体" w:cs="宋体"/>
          <w:snapToGrid w:val="0"/>
          <w:color w:val="auto"/>
          <w:kern w:val="0"/>
          <w:sz w:val="24"/>
          <w:highlight w:val="none"/>
        </w:rPr>
        <w:t>我方在此声明，我方不存在本项目招标文件第一章第三节第</w:t>
      </w:r>
      <w:r>
        <w:rPr>
          <w:rFonts w:hint="eastAsia" w:ascii="宋体" w:hAnsi="宋体" w:eastAsia="宋体" w:cs="宋体"/>
          <w:b/>
          <w:bCs/>
          <w:snapToGrid w:val="0"/>
          <w:color w:val="auto"/>
          <w:kern w:val="0"/>
          <w:sz w:val="24"/>
          <w:highlight w:val="none"/>
        </w:rPr>
        <w:t>2.4</w:t>
      </w:r>
      <w:r>
        <w:rPr>
          <w:rFonts w:hint="eastAsia" w:ascii="宋体" w:hAnsi="宋体" w:eastAsia="宋体" w:cs="宋体"/>
          <w:snapToGrid w:val="0"/>
          <w:color w:val="auto"/>
          <w:kern w:val="0"/>
          <w:sz w:val="24"/>
          <w:highlight w:val="none"/>
        </w:rPr>
        <w:t>条“禁止投标条款”所列出的任何一种情形，并愿意承担因我方就此弄虚作假所引起的一切法律后果。</w:t>
      </w:r>
    </w:p>
    <w:p w14:paraId="37CA4538">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5.</w:t>
      </w:r>
      <w:r>
        <w:rPr>
          <w:rFonts w:hint="eastAsia" w:ascii="宋体" w:hAnsi="宋体" w:eastAsia="宋体" w:cs="宋体"/>
          <w:snapToGrid w:val="0"/>
          <w:color w:val="auto"/>
          <w:kern w:val="0"/>
          <w:sz w:val="24"/>
          <w:highlight w:val="none"/>
        </w:rPr>
        <w:t>我方在此承诺，所递交投标文件的全部内容均为真实、有效、准确的，并愿意承担因我方就此弄虚作假所引起的一切法律后果，同时理解和同意有可能被要求提供更多的资料。</w:t>
      </w:r>
    </w:p>
    <w:p w14:paraId="45AC0BAB">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bookmarkStart w:id="301" w:name="_Hlt68771070"/>
      <w:bookmarkEnd w:id="301"/>
      <w:r>
        <w:rPr>
          <w:rFonts w:hint="eastAsia" w:ascii="宋体" w:hAnsi="宋体" w:eastAsia="宋体" w:cs="宋体"/>
          <w:snapToGrid w:val="0"/>
          <w:color w:val="auto"/>
          <w:kern w:val="0"/>
          <w:sz w:val="24"/>
          <w:highlight w:val="none"/>
        </w:rPr>
        <w:t>6. 我方理解你方不一定要接纳收到的最低投标</w:t>
      </w:r>
      <w:r>
        <w:rPr>
          <w:rFonts w:hint="eastAsia" w:ascii="宋体" w:hAnsi="宋体" w:eastAsia="宋体" w:cs="宋体"/>
          <w:snapToGrid w:val="0"/>
          <w:color w:val="auto"/>
          <w:kern w:val="0"/>
          <w:sz w:val="24"/>
          <w:highlight w:val="none"/>
          <w:lang w:val="en-US" w:eastAsia="zh-CN"/>
        </w:rPr>
        <w:t>报价</w:t>
      </w:r>
      <w:r>
        <w:rPr>
          <w:rFonts w:hint="eastAsia" w:ascii="宋体" w:hAnsi="宋体" w:eastAsia="宋体" w:cs="宋体"/>
          <w:snapToGrid w:val="0"/>
          <w:color w:val="auto"/>
          <w:kern w:val="0"/>
          <w:sz w:val="24"/>
          <w:highlight w:val="none"/>
        </w:rPr>
        <w:t>的投标人中标，也不要求你方解释我方是否中标的原因。</w:t>
      </w:r>
    </w:p>
    <w:p w14:paraId="67FD4B96">
      <w:pPr>
        <w:spacing w:line="360" w:lineRule="auto"/>
        <w:rPr>
          <w:rFonts w:hint="eastAsia" w:ascii="宋体" w:hAnsi="宋体" w:eastAsia="宋体" w:cs="宋体"/>
          <w:color w:val="auto"/>
          <w:sz w:val="24"/>
          <w:highlight w:val="none"/>
        </w:rPr>
      </w:pPr>
    </w:p>
    <w:p w14:paraId="132857F9">
      <w:pPr>
        <w:spacing w:line="360" w:lineRule="auto"/>
        <w:rPr>
          <w:rFonts w:hint="eastAsia" w:ascii="宋体" w:hAnsi="宋体" w:eastAsia="宋体" w:cs="宋体"/>
          <w:color w:val="auto"/>
          <w:sz w:val="24"/>
          <w:highlight w:val="none"/>
        </w:rPr>
      </w:pPr>
    </w:p>
    <w:p w14:paraId="2F4D23BF">
      <w:pPr>
        <w:wordWrap w:val="0"/>
        <w:adjustRightInd w:val="0"/>
        <w:snapToGrid w:val="0"/>
        <w:spacing w:line="440" w:lineRule="exact"/>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投标人：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（盖单位章）</w:t>
      </w:r>
    </w:p>
    <w:p w14:paraId="32FDD237">
      <w:pPr>
        <w:spacing w:line="360" w:lineRule="auto"/>
        <w:rPr>
          <w:rFonts w:hint="eastAsia" w:ascii="宋体" w:hAnsi="宋体" w:eastAsia="宋体" w:cs="宋体"/>
          <w:color w:val="auto"/>
          <w:sz w:val="24"/>
          <w:highlight w:val="none"/>
        </w:rPr>
      </w:pPr>
    </w:p>
    <w:p w14:paraId="0E26B30F">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法定代表人或其委托代理人：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（签字或盖章）</w:t>
      </w:r>
    </w:p>
    <w:p w14:paraId="1AF1D89B">
      <w:pPr>
        <w:spacing w:line="360" w:lineRule="auto"/>
        <w:rPr>
          <w:rFonts w:hint="eastAsia" w:ascii="宋体" w:hAnsi="宋体" w:eastAsia="宋体" w:cs="宋体"/>
          <w:color w:val="auto"/>
          <w:sz w:val="24"/>
          <w:highlight w:val="none"/>
        </w:rPr>
      </w:pPr>
    </w:p>
    <w:p w14:paraId="691BF28D">
      <w:pPr>
        <w:wordWrap w:val="0"/>
        <w:adjustRightInd w:val="0"/>
        <w:snapToGrid w:val="0"/>
        <w:spacing w:line="440" w:lineRule="exact"/>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bookmarkStart w:id="302" w:name="_Toc2467"/>
      <w:bookmarkStart w:id="303" w:name="_Toc12997"/>
      <w:bookmarkStart w:id="304" w:name="_Toc32554"/>
      <w:bookmarkStart w:id="305" w:name="_Toc14846"/>
    </w:p>
    <w:p w14:paraId="5D37FA7C">
      <w:pPr>
        <w:wordWrap w:val="0"/>
        <w:adjustRightInd w:val="0"/>
        <w:snapToGrid w:val="0"/>
        <w:spacing w:line="440" w:lineRule="exact"/>
        <w:jc w:val="left"/>
        <w:rPr>
          <w:rFonts w:hint="eastAsia" w:ascii="宋体" w:hAnsi="宋体" w:eastAsia="宋体" w:cs="宋体"/>
          <w:snapToGrid w:val="0"/>
          <w:color w:val="auto"/>
          <w:kern w:val="0"/>
          <w:sz w:val="24"/>
          <w:highlight w:val="none"/>
        </w:rPr>
      </w:pPr>
    </w:p>
    <w:p w14:paraId="35A76D38">
      <w:pPr>
        <w:wordWrap w:val="0"/>
        <w:adjustRightInd w:val="0"/>
        <w:snapToGrid w:val="0"/>
        <w:spacing w:line="440" w:lineRule="exact"/>
        <w:jc w:val="left"/>
        <w:rPr>
          <w:rFonts w:hint="eastAsia" w:ascii="宋体" w:hAnsi="宋体" w:eastAsia="宋体" w:cs="宋体"/>
          <w:snapToGrid w:val="0"/>
          <w:color w:val="auto"/>
          <w:kern w:val="0"/>
          <w:sz w:val="24"/>
          <w:highlight w:val="none"/>
        </w:rPr>
      </w:pPr>
    </w:p>
    <w:p w14:paraId="01056424">
      <w:pPr>
        <w:wordWrap w:val="0"/>
        <w:adjustRightInd w:val="0"/>
        <w:snapToGrid w:val="0"/>
        <w:spacing w:line="440" w:lineRule="exact"/>
        <w:jc w:val="left"/>
        <w:rPr>
          <w:rFonts w:hint="eastAsia" w:ascii="宋体" w:hAnsi="宋体" w:eastAsia="宋体" w:cs="宋体"/>
          <w:snapToGrid w:val="0"/>
          <w:color w:val="auto"/>
          <w:kern w:val="0"/>
          <w:sz w:val="24"/>
          <w:highlight w:val="none"/>
        </w:rPr>
      </w:pPr>
    </w:p>
    <w:p w14:paraId="0BA8DDD3">
      <w:pPr>
        <w:wordWrap w:val="0"/>
        <w:adjustRightInd w:val="0"/>
        <w:snapToGrid w:val="0"/>
        <w:spacing w:line="440" w:lineRule="exact"/>
        <w:jc w:val="left"/>
        <w:rPr>
          <w:rFonts w:hint="eastAsia" w:ascii="宋体" w:hAnsi="宋体" w:eastAsia="宋体" w:cs="宋体"/>
          <w:snapToGrid w:val="0"/>
          <w:color w:val="auto"/>
          <w:kern w:val="0"/>
          <w:sz w:val="24"/>
          <w:highlight w:val="none"/>
        </w:rPr>
      </w:pPr>
    </w:p>
    <w:p w14:paraId="504729C0">
      <w:pPr>
        <w:wordWrap w:val="0"/>
        <w:adjustRightInd w:val="0"/>
        <w:snapToGrid w:val="0"/>
        <w:spacing w:line="440" w:lineRule="exact"/>
        <w:jc w:val="left"/>
        <w:rPr>
          <w:rFonts w:hint="eastAsia" w:ascii="宋体" w:hAnsi="宋体" w:eastAsia="宋体" w:cs="宋体"/>
          <w:snapToGrid w:val="0"/>
          <w:color w:val="auto"/>
          <w:kern w:val="0"/>
          <w:sz w:val="24"/>
          <w:highlight w:val="none"/>
        </w:rPr>
      </w:pPr>
    </w:p>
    <w:p w14:paraId="235658EF">
      <w:pPr>
        <w:pStyle w:val="6"/>
        <w:wordWrap w:val="0"/>
        <w:autoSpaceDE/>
        <w:autoSpaceDN/>
        <w:snapToGrid w:val="0"/>
        <w:spacing w:line="440" w:lineRule="exact"/>
        <w:ind w:firstLine="480"/>
        <w:jc w:val="both"/>
        <w:rPr>
          <w:rFonts w:hint="eastAsia" w:ascii="宋体" w:hAnsi="宋体" w:eastAsia="宋体" w:cs="宋体"/>
          <w:b/>
          <w:snapToGrid w:val="0"/>
          <w:color w:val="auto"/>
          <w:sz w:val="24"/>
          <w:highlight w:val="none"/>
          <w:lang w:val="en-US" w:eastAsia="zh-CN"/>
        </w:rPr>
      </w:pPr>
      <w:bookmarkStart w:id="306" w:name="_Toc29358"/>
      <w:bookmarkStart w:id="307" w:name="_Toc16908"/>
      <w:r>
        <w:rPr>
          <w:rFonts w:hint="eastAsia" w:ascii="宋体" w:hAnsi="宋体" w:eastAsia="宋体" w:cs="宋体"/>
          <w:b/>
          <w:snapToGrid w:val="0"/>
          <w:color w:val="auto"/>
          <w:sz w:val="24"/>
          <w:highlight w:val="none"/>
          <w:lang w:val="en-US" w:eastAsia="zh-CN"/>
        </w:rPr>
        <w:t>格式三   工程项目报价表</w:t>
      </w:r>
      <w:bookmarkEnd w:id="302"/>
      <w:bookmarkEnd w:id="303"/>
      <w:bookmarkEnd w:id="304"/>
      <w:bookmarkEnd w:id="306"/>
      <w:bookmarkEnd w:id="307"/>
    </w:p>
    <w:p w14:paraId="06D75791">
      <w:pPr>
        <w:wordWrap w:val="0"/>
        <w:adjustRightInd w:val="0"/>
        <w:snapToGrid w:val="0"/>
        <w:spacing w:before="260" w:after="260" w:line="440" w:lineRule="exact"/>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工程项目报价表</w:t>
      </w:r>
      <w:bookmarkEnd w:id="305"/>
      <w:bookmarkStart w:id="308" w:name="_附件十一：单位工程费汇总表"/>
      <w:bookmarkEnd w:id="308"/>
    </w:p>
    <w:tbl>
      <w:tblPr>
        <w:tblStyle w:val="19"/>
        <w:tblW w:w="9726"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
      <w:tblGrid>
        <w:gridCol w:w="699"/>
        <w:gridCol w:w="2027"/>
        <w:gridCol w:w="2417"/>
        <w:gridCol w:w="2650"/>
        <w:gridCol w:w="1933"/>
      </w:tblGrid>
      <w:tr w14:paraId="77C718A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988" w:hRule="atLeast"/>
        </w:trPr>
        <w:tc>
          <w:tcPr>
            <w:tcW w:w="699" w:type="dxa"/>
            <w:tcBorders>
              <w:top w:val="single" w:color="000000" w:sz="2" w:space="0"/>
              <w:left w:val="single" w:color="000000" w:sz="2" w:space="0"/>
              <w:bottom w:val="single" w:color="000000" w:sz="2" w:space="0"/>
              <w:right w:val="single" w:color="000000" w:sz="2" w:space="0"/>
            </w:tcBorders>
            <w:noWrap w:val="0"/>
            <w:vAlign w:val="center"/>
          </w:tcPr>
          <w:p w14:paraId="13E2203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27" w:type="dxa"/>
            <w:tcBorders>
              <w:top w:val="single" w:color="000000" w:sz="2" w:space="0"/>
              <w:left w:val="single" w:color="000000" w:sz="2" w:space="0"/>
              <w:bottom w:val="single" w:color="000000" w:sz="2" w:space="0"/>
              <w:right w:val="single" w:color="000000" w:sz="2" w:space="0"/>
            </w:tcBorders>
            <w:noWrap w:val="0"/>
            <w:vAlign w:val="center"/>
          </w:tcPr>
          <w:p w14:paraId="0977721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费用</w:t>
            </w:r>
            <w:r>
              <w:rPr>
                <w:rFonts w:hint="eastAsia" w:ascii="宋体" w:hAnsi="宋体" w:eastAsia="宋体" w:cs="宋体"/>
                <w:color w:val="auto"/>
                <w:sz w:val="24"/>
                <w:highlight w:val="none"/>
              </w:rPr>
              <w:t>名称</w:t>
            </w:r>
          </w:p>
        </w:tc>
        <w:tc>
          <w:tcPr>
            <w:tcW w:w="2417" w:type="dxa"/>
            <w:tcBorders>
              <w:top w:val="single" w:color="000000" w:sz="2" w:space="0"/>
              <w:left w:val="single" w:color="000000" w:sz="2" w:space="0"/>
              <w:bottom w:val="single" w:color="000000" w:sz="2" w:space="0"/>
              <w:right w:val="single" w:color="000000" w:sz="2" w:space="0"/>
            </w:tcBorders>
            <w:noWrap w:val="0"/>
            <w:vAlign w:val="center"/>
          </w:tcPr>
          <w:p w14:paraId="2EE7C73C">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投标下浮率（</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p>
        </w:tc>
        <w:tc>
          <w:tcPr>
            <w:tcW w:w="2650" w:type="dxa"/>
            <w:tcBorders>
              <w:top w:val="single" w:color="000000" w:sz="2" w:space="0"/>
              <w:left w:val="single" w:color="000000" w:sz="2" w:space="0"/>
              <w:bottom w:val="single" w:color="000000" w:sz="2" w:space="0"/>
              <w:right w:val="single" w:color="000000" w:sz="2" w:space="0"/>
            </w:tcBorders>
            <w:noWrap w:val="0"/>
            <w:vAlign w:val="center"/>
          </w:tcPr>
          <w:p w14:paraId="2CDA2361">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投标报价</w:t>
            </w:r>
            <w:r>
              <w:rPr>
                <w:rFonts w:hint="eastAsia" w:ascii="宋体" w:hAnsi="宋体" w:eastAsia="宋体" w:cs="宋体"/>
                <w:color w:val="auto"/>
                <w:sz w:val="24"/>
                <w:highlight w:val="none"/>
                <w:lang w:eastAsia="zh-CN"/>
              </w:rPr>
              <w:t>（元）</w:t>
            </w:r>
          </w:p>
        </w:tc>
        <w:tc>
          <w:tcPr>
            <w:tcW w:w="1933" w:type="dxa"/>
            <w:tcBorders>
              <w:top w:val="single" w:color="000000" w:sz="2" w:space="0"/>
              <w:left w:val="single" w:color="000000" w:sz="2" w:space="0"/>
              <w:bottom w:val="single" w:color="000000" w:sz="2" w:space="0"/>
              <w:right w:val="single" w:color="000000" w:sz="2" w:space="0"/>
            </w:tcBorders>
            <w:noWrap w:val="0"/>
            <w:vAlign w:val="center"/>
          </w:tcPr>
          <w:p w14:paraId="3FB2407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7C666DD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988" w:hRule="atLeast"/>
        </w:trPr>
        <w:tc>
          <w:tcPr>
            <w:tcW w:w="699" w:type="dxa"/>
            <w:tcBorders>
              <w:top w:val="single" w:color="000000" w:sz="2" w:space="0"/>
              <w:left w:val="single" w:color="000000" w:sz="2" w:space="0"/>
              <w:bottom w:val="single" w:color="000000" w:sz="2" w:space="0"/>
              <w:right w:val="single" w:color="000000" w:sz="2" w:space="0"/>
            </w:tcBorders>
            <w:noWrap w:val="0"/>
            <w:vAlign w:val="center"/>
          </w:tcPr>
          <w:p w14:paraId="1D11903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27" w:type="dxa"/>
            <w:tcBorders>
              <w:top w:val="single" w:color="000000" w:sz="2" w:space="0"/>
              <w:left w:val="single" w:color="000000" w:sz="2" w:space="0"/>
              <w:bottom w:val="single" w:color="000000" w:sz="2" w:space="0"/>
              <w:right w:val="single" w:color="000000" w:sz="2" w:space="0"/>
            </w:tcBorders>
            <w:noWrap w:val="0"/>
            <w:vAlign w:val="center"/>
          </w:tcPr>
          <w:p w14:paraId="0445138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设计费</w:t>
            </w:r>
          </w:p>
        </w:tc>
        <w:tc>
          <w:tcPr>
            <w:tcW w:w="2417" w:type="dxa"/>
            <w:tcBorders>
              <w:top w:val="single" w:color="000000" w:sz="2" w:space="0"/>
              <w:left w:val="single" w:color="000000" w:sz="2" w:space="0"/>
              <w:bottom w:val="single" w:color="000000" w:sz="2" w:space="0"/>
              <w:right w:val="single" w:color="auto" w:sz="4" w:space="0"/>
            </w:tcBorders>
            <w:noWrap w:val="0"/>
            <w:vAlign w:val="center"/>
          </w:tcPr>
          <w:p w14:paraId="303B0C6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元</w:t>
            </w:r>
          </w:p>
        </w:tc>
        <w:tc>
          <w:tcPr>
            <w:tcW w:w="2650" w:type="dxa"/>
            <w:tcBorders>
              <w:top w:val="single" w:color="000000" w:sz="2" w:space="0"/>
              <w:left w:val="single" w:color="000000" w:sz="2" w:space="0"/>
              <w:bottom w:val="single" w:color="000000" w:sz="2" w:space="0"/>
              <w:right w:val="single" w:color="000000" w:sz="2" w:space="0"/>
            </w:tcBorders>
            <w:noWrap w:val="0"/>
            <w:vAlign w:val="center"/>
          </w:tcPr>
          <w:p w14:paraId="42EDC6D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元</w:t>
            </w:r>
          </w:p>
        </w:tc>
        <w:tc>
          <w:tcPr>
            <w:tcW w:w="1933" w:type="dxa"/>
            <w:tcBorders>
              <w:top w:val="single" w:color="000000" w:sz="2" w:space="0"/>
              <w:left w:val="single" w:color="000000" w:sz="2" w:space="0"/>
              <w:bottom w:val="single" w:color="000000" w:sz="2" w:space="0"/>
              <w:right w:val="single" w:color="000000" w:sz="2" w:space="0"/>
            </w:tcBorders>
            <w:noWrap w:val="0"/>
            <w:vAlign w:val="center"/>
          </w:tcPr>
          <w:p w14:paraId="7B5125B9">
            <w:pPr>
              <w:jc w:val="center"/>
              <w:rPr>
                <w:rFonts w:hint="eastAsia" w:ascii="宋体" w:hAnsi="宋体" w:eastAsia="宋体" w:cs="宋体"/>
                <w:color w:val="auto"/>
                <w:sz w:val="24"/>
                <w:highlight w:val="none"/>
              </w:rPr>
            </w:pPr>
          </w:p>
        </w:tc>
      </w:tr>
      <w:tr w14:paraId="239F2B4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1279" w:hRule="atLeast"/>
        </w:trPr>
        <w:tc>
          <w:tcPr>
            <w:tcW w:w="5143" w:type="dxa"/>
            <w:gridSpan w:val="3"/>
            <w:tcBorders>
              <w:top w:val="single" w:color="000000" w:sz="2" w:space="0"/>
              <w:left w:val="single" w:color="000000" w:sz="2" w:space="0"/>
              <w:bottom w:val="single" w:color="000000" w:sz="2" w:space="0"/>
              <w:right w:val="single" w:color="auto" w:sz="4" w:space="0"/>
            </w:tcBorders>
            <w:noWrap w:val="0"/>
            <w:vAlign w:val="center"/>
          </w:tcPr>
          <w:p w14:paraId="677DC96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投标报价合计（元）</w:t>
            </w:r>
          </w:p>
        </w:tc>
        <w:tc>
          <w:tcPr>
            <w:tcW w:w="2650" w:type="dxa"/>
            <w:tcBorders>
              <w:top w:val="single" w:color="000000" w:sz="2" w:space="0"/>
              <w:left w:val="single" w:color="000000" w:sz="2" w:space="0"/>
              <w:bottom w:val="single" w:color="000000" w:sz="2" w:space="0"/>
              <w:right w:val="single" w:color="000000" w:sz="2" w:space="0"/>
            </w:tcBorders>
            <w:noWrap w:val="0"/>
            <w:vAlign w:val="center"/>
          </w:tcPr>
          <w:p w14:paraId="7115C706">
            <w:pPr>
              <w:jc w:val="center"/>
              <w:rPr>
                <w:rFonts w:hint="eastAsia" w:ascii="宋体" w:hAnsi="宋体" w:eastAsia="宋体" w:cs="宋体"/>
                <w:color w:val="auto"/>
                <w:sz w:val="24"/>
                <w:highlight w:val="none"/>
              </w:rPr>
            </w:pPr>
          </w:p>
        </w:tc>
        <w:tc>
          <w:tcPr>
            <w:tcW w:w="1933" w:type="dxa"/>
            <w:tcBorders>
              <w:top w:val="single" w:color="000000" w:sz="2" w:space="0"/>
              <w:left w:val="single" w:color="000000" w:sz="2" w:space="0"/>
              <w:bottom w:val="single" w:color="000000" w:sz="2" w:space="0"/>
              <w:right w:val="single" w:color="000000" w:sz="2" w:space="0"/>
            </w:tcBorders>
            <w:noWrap w:val="0"/>
            <w:vAlign w:val="center"/>
          </w:tcPr>
          <w:p w14:paraId="723E761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14:paraId="6474644F">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w:t>
      </w:r>
    </w:p>
    <w:p w14:paraId="2D7ACE9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1.</w:t>
      </w:r>
      <w:r>
        <w:rPr>
          <w:rFonts w:hint="eastAsia" w:ascii="宋体" w:hAnsi="宋体" w:eastAsia="宋体" w:cs="宋体"/>
          <w:snapToGrid w:val="0"/>
          <w:color w:val="auto"/>
          <w:kern w:val="0"/>
          <w:sz w:val="24"/>
          <w:highlight w:val="none"/>
        </w:rPr>
        <w:t>投标报价超过最高投标限价为无效报价。</w:t>
      </w:r>
    </w:p>
    <w:p w14:paraId="58D133CE">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2.</w:t>
      </w:r>
      <w:r>
        <w:rPr>
          <w:rFonts w:hint="eastAsia" w:ascii="宋体" w:hAnsi="宋体" w:eastAsia="宋体" w:cs="宋体"/>
          <w:snapToGrid w:val="0"/>
          <w:color w:val="auto"/>
          <w:kern w:val="0"/>
          <w:sz w:val="24"/>
          <w:highlight w:val="none"/>
        </w:rPr>
        <w:t>投标下浮率及投标报价均按“四舍五入”原则精确到两位小数。</w:t>
      </w:r>
    </w:p>
    <w:p w14:paraId="48C088F2">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eastAsia="zh-CN"/>
        </w:rPr>
        <w:t>3.</w:t>
      </w:r>
      <w:r>
        <w:rPr>
          <w:rFonts w:hint="eastAsia" w:ascii="宋体" w:hAnsi="宋体" w:eastAsia="宋体" w:cs="宋体"/>
          <w:snapToGrid w:val="0"/>
          <w:color w:val="auto"/>
          <w:kern w:val="0"/>
          <w:sz w:val="24"/>
          <w:highlight w:val="none"/>
        </w:rPr>
        <w:t>以上投标报价均为含税报价（增值税）。</w:t>
      </w:r>
    </w:p>
    <w:p w14:paraId="06582CC4">
      <w:pPr>
        <w:wordWrap w:val="0"/>
        <w:adjustRightInd w:val="0"/>
        <w:snapToGrid w:val="0"/>
        <w:spacing w:line="360" w:lineRule="auto"/>
        <w:rPr>
          <w:rFonts w:hint="eastAsia" w:ascii="宋体" w:hAnsi="宋体" w:eastAsia="宋体" w:cs="宋体"/>
          <w:snapToGrid w:val="0"/>
          <w:color w:val="auto"/>
          <w:kern w:val="0"/>
          <w:sz w:val="24"/>
          <w:highlight w:val="none"/>
        </w:rPr>
      </w:pPr>
    </w:p>
    <w:p w14:paraId="235DF9AD">
      <w:pPr>
        <w:wordWrap/>
        <w:adjustRightInd w:val="0"/>
        <w:snapToGrid w:val="0"/>
        <w:spacing w:line="360" w:lineRule="auto"/>
        <w:jc w:val="both"/>
        <w:rPr>
          <w:rFonts w:hint="eastAsia" w:ascii="宋体" w:hAnsi="宋体" w:eastAsia="宋体" w:cs="宋体"/>
          <w:snapToGrid w:val="0"/>
          <w:color w:val="auto"/>
          <w:kern w:val="0"/>
          <w:sz w:val="24"/>
          <w:szCs w:val="24"/>
          <w:highlight w:val="none"/>
        </w:rPr>
      </w:pPr>
    </w:p>
    <w:p w14:paraId="75AD6693">
      <w:pPr>
        <w:wordWrap w:val="0"/>
        <w:adjustRightInd w:val="0"/>
        <w:snapToGrid w:val="0"/>
        <w:spacing w:line="360" w:lineRule="auto"/>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3DB5B25E">
      <w:pPr>
        <w:wordWrap w:val="0"/>
        <w:adjustRightInd w:val="0"/>
        <w:snapToGrid w:val="0"/>
        <w:spacing w:line="360" w:lineRule="auto"/>
        <w:jc w:val="both"/>
        <w:rPr>
          <w:rFonts w:hint="eastAsia" w:ascii="宋体" w:hAnsi="宋体" w:eastAsia="宋体" w:cs="宋体"/>
          <w:snapToGrid w:val="0"/>
          <w:color w:val="auto"/>
          <w:kern w:val="0"/>
          <w:sz w:val="24"/>
          <w:szCs w:val="24"/>
          <w:highlight w:val="none"/>
        </w:rPr>
      </w:pPr>
    </w:p>
    <w:p w14:paraId="2A70C055">
      <w:pPr>
        <w:wordWrap w:val="0"/>
        <w:adjustRightInd w:val="0"/>
        <w:snapToGrid w:val="0"/>
        <w:spacing w:line="360"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500CF826">
      <w:pPr>
        <w:wordWrap w:val="0"/>
        <w:adjustRightInd w:val="0"/>
        <w:snapToGrid w:val="0"/>
        <w:spacing w:line="360" w:lineRule="auto"/>
        <w:jc w:val="both"/>
        <w:rPr>
          <w:rFonts w:hint="eastAsia" w:ascii="宋体" w:hAnsi="宋体" w:eastAsia="宋体" w:cs="宋体"/>
          <w:snapToGrid w:val="0"/>
          <w:color w:val="auto"/>
          <w:kern w:val="0"/>
          <w:sz w:val="24"/>
          <w:szCs w:val="24"/>
          <w:highlight w:val="none"/>
        </w:rPr>
      </w:pPr>
    </w:p>
    <w:p w14:paraId="6BF8D22A">
      <w:pPr>
        <w:wordWrap w:val="0"/>
        <w:adjustRightInd w:val="0"/>
        <w:snapToGrid w:val="0"/>
        <w:spacing w:line="360" w:lineRule="auto"/>
        <w:ind w:firstLine="4320" w:firstLineChars="18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49E36D8E">
      <w:pPr>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p>
    <w:p w14:paraId="03F23808">
      <w:pPr>
        <w:rPr>
          <w:rFonts w:hint="eastAsia" w:ascii="宋体" w:hAnsi="宋体" w:eastAsia="宋体" w:cs="宋体"/>
          <w:color w:val="auto"/>
        </w:rPr>
      </w:pPr>
    </w:p>
    <w:p w14:paraId="0963BDEF">
      <w:pPr>
        <w:rPr>
          <w:rFonts w:hint="eastAsia" w:ascii="宋体" w:hAnsi="宋体" w:eastAsia="宋体" w:cs="宋体"/>
          <w:color w:val="auto"/>
        </w:rPr>
      </w:pPr>
    </w:p>
    <w:p w14:paraId="458C3A73">
      <w:pPr>
        <w:rPr>
          <w:rFonts w:hint="eastAsia" w:ascii="宋体" w:hAnsi="宋体" w:eastAsia="宋体" w:cs="宋体"/>
          <w:color w:val="auto"/>
        </w:rPr>
      </w:pPr>
    </w:p>
    <w:p w14:paraId="5AC51A9B">
      <w:pPr>
        <w:rPr>
          <w:rFonts w:hint="eastAsia" w:ascii="宋体" w:hAnsi="宋体" w:eastAsia="宋体" w:cs="宋体"/>
          <w:color w:val="auto"/>
        </w:rPr>
      </w:pPr>
    </w:p>
    <w:p w14:paraId="6B28E64F">
      <w:pPr>
        <w:rPr>
          <w:rFonts w:hint="eastAsia" w:ascii="宋体" w:hAnsi="宋体" w:eastAsia="宋体" w:cs="宋体"/>
          <w:color w:val="auto"/>
        </w:rPr>
      </w:pPr>
    </w:p>
    <w:p w14:paraId="44E4B42E">
      <w:pPr>
        <w:rPr>
          <w:rFonts w:hint="eastAsia" w:ascii="宋体" w:hAnsi="宋体" w:eastAsia="宋体" w:cs="宋体"/>
          <w:color w:val="auto"/>
        </w:rPr>
      </w:pPr>
    </w:p>
    <w:p w14:paraId="19D78B47">
      <w:pPr>
        <w:rPr>
          <w:rFonts w:hint="eastAsia" w:ascii="宋体" w:hAnsi="宋体" w:eastAsia="宋体" w:cs="宋体"/>
          <w:color w:val="auto"/>
        </w:rPr>
      </w:pPr>
    </w:p>
    <w:p w14:paraId="2D92BFBF">
      <w:pPr>
        <w:pStyle w:val="6"/>
        <w:wordWrap w:val="0"/>
        <w:autoSpaceDE/>
        <w:autoSpaceDN/>
        <w:snapToGrid w:val="0"/>
        <w:spacing w:line="440" w:lineRule="exact"/>
        <w:ind w:firstLine="480"/>
        <w:jc w:val="both"/>
        <w:rPr>
          <w:rFonts w:hint="eastAsia" w:ascii="宋体" w:hAnsi="宋体" w:eastAsia="宋体" w:cs="宋体"/>
          <w:b/>
          <w:snapToGrid w:val="0"/>
          <w:color w:val="auto"/>
          <w:sz w:val="24"/>
          <w:highlight w:val="none"/>
          <w:lang w:val="en-US" w:eastAsia="zh-CN"/>
        </w:rPr>
      </w:pPr>
      <w:bookmarkStart w:id="309" w:name="_Toc28971"/>
      <w:bookmarkStart w:id="310" w:name="_Toc13640"/>
      <w:bookmarkStart w:id="311" w:name="_Toc24620"/>
      <w:bookmarkStart w:id="312" w:name="_Toc30483"/>
      <w:r>
        <w:rPr>
          <w:rFonts w:hint="eastAsia" w:ascii="宋体" w:hAnsi="宋体" w:eastAsia="宋体" w:cs="宋体"/>
          <w:b/>
          <w:snapToGrid w:val="0"/>
          <w:color w:val="auto"/>
          <w:sz w:val="24"/>
          <w:highlight w:val="none"/>
          <w:lang w:val="en-US" w:eastAsia="zh-CN"/>
        </w:rPr>
        <w:t>格式四   各项承诺一览表</w:t>
      </w:r>
      <w:bookmarkEnd w:id="309"/>
      <w:bookmarkEnd w:id="310"/>
      <w:bookmarkEnd w:id="311"/>
      <w:bookmarkEnd w:id="312"/>
    </w:p>
    <w:p w14:paraId="7562691C">
      <w:pPr>
        <w:wordWrap w:val="0"/>
        <w:adjustRightInd w:val="0"/>
        <w:snapToGrid w:val="0"/>
        <w:spacing w:before="260" w:after="260" w:line="440" w:lineRule="exact"/>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各项承诺一览表</w:t>
      </w:r>
    </w:p>
    <w:tbl>
      <w:tblPr>
        <w:tblStyle w:val="19"/>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371"/>
        <w:gridCol w:w="3643"/>
        <w:gridCol w:w="3653"/>
      </w:tblGrid>
      <w:tr w14:paraId="4346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80" w:type="dxa"/>
            <w:noWrap w:val="0"/>
            <w:vAlign w:val="top"/>
          </w:tcPr>
          <w:p w14:paraId="2B686C21">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71" w:type="dxa"/>
            <w:noWrap w:val="0"/>
            <w:vAlign w:val="top"/>
          </w:tcPr>
          <w:p w14:paraId="5C57CB60">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承诺标题</w:t>
            </w:r>
          </w:p>
        </w:tc>
        <w:tc>
          <w:tcPr>
            <w:tcW w:w="3643" w:type="dxa"/>
            <w:noWrap w:val="0"/>
            <w:vAlign w:val="top"/>
          </w:tcPr>
          <w:p w14:paraId="10F3862B">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承诺内容</w:t>
            </w:r>
          </w:p>
        </w:tc>
        <w:tc>
          <w:tcPr>
            <w:tcW w:w="3653" w:type="dxa"/>
            <w:tcBorders>
              <w:bottom w:val="single" w:color="auto" w:sz="4" w:space="0"/>
            </w:tcBorders>
            <w:noWrap w:val="0"/>
            <w:vAlign w:val="top"/>
          </w:tcPr>
          <w:p w14:paraId="61A6B749">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违约承诺</w:t>
            </w:r>
          </w:p>
        </w:tc>
      </w:tr>
      <w:tr w14:paraId="2D39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780" w:type="dxa"/>
            <w:noWrap w:val="0"/>
            <w:vAlign w:val="center"/>
          </w:tcPr>
          <w:p w14:paraId="7640092B">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1" w:type="dxa"/>
            <w:noWrap w:val="0"/>
            <w:vAlign w:val="center"/>
          </w:tcPr>
          <w:p w14:paraId="75F3DD49">
            <w:pPr>
              <w:pStyle w:val="10"/>
              <w:adjustRightInd w:val="0"/>
              <w:snapToGrid w:val="0"/>
              <w:spacing w:line="41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w:t>
            </w:r>
          </w:p>
        </w:tc>
        <w:tc>
          <w:tcPr>
            <w:tcW w:w="3643" w:type="dxa"/>
            <w:noWrap w:val="0"/>
            <w:vAlign w:val="center"/>
          </w:tcPr>
          <w:p w14:paraId="0A6E9B47">
            <w:pPr>
              <w:pStyle w:val="10"/>
              <w:adjustRightInd w:val="0"/>
              <w:snapToGrid w:val="0"/>
              <w:spacing w:line="41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我方保证接受招标文件的所有条款，响应招标文件的所有要求。</w:t>
            </w:r>
          </w:p>
        </w:tc>
        <w:tc>
          <w:tcPr>
            <w:tcW w:w="3653" w:type="dxa"/>
            <w:tcBorders>
              <w:tr2bl w:val="single" w:color="auto" w:sz="4" w:space="0"/>
            </w:tcBorders>
            <w:noWrap w:val="0"/>
            <w:vAlign w:val="center"/>
          </w:tcPr>
          <w:p w14:paraId="0628FD39">
            <w:pPr>
              <w:pStyle w:val="10"/>
              <w:adjustRightInd w:val="0"/>
              <w:snapToGrid w:val="0"/>
              <w:spacing w:line="410" w:lineRule="exact"/>
              <w:ind w:firstLine="480"/>
              <w:rPr>
                <w:rFonts w:hint="eastAsia" w:ascii="宋体" w:hAnsi="宋体" w:eastAsia="宋体" w:cs="宋体"/>
                <w:color w:val="auto"/>
                <w:sz w:val="24"/>
                <w:szCs w:val="24"/>
                <w:highlight w:val="none"/>
              </w:rPr>
            </w:pPr>
          </w:p>
        </w:tc>
      </w:tr>
      <w:tr w14:paraId="611A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780" w:type="dxa"/>
            <w:noWrap w:val="0"/>
            <w:vAlign w:val="center"/>
          </w:tcPr>
          <w:p w14:paraId="6569D093">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1" w:type="dxa"/>
            <w:noWrap w:val="0"/>
            <w:vAlign w:val="center"/>
          </w:tcPr>
          <w:p w14:paraId="21A86FB7">
            <w:pPr>
              <w:pStyle w:val="10"/>
              <w:adjustRightInd w:val="0"/>
              <w:snapToGrid w:val="0"/>
              <w:spacing w:line="41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工期、进度承诺</w:t>
            </w:r>
          </w:p>
        </w:tc>
        <w:tc>
          <w:tcPr>
            <w:tcW w:w="3643" w:type="dxa"/>
            <w:noWrap w:val="0"/>
            <w:vAlign w:val="center"/>
          </w:tcPr>
          <w:p w14:paraId="5688990C">
            <w:pPr>
              <w:pStyle w:val="10"/>
              <w:adjustRightInd w:val="0"/>
              <w:snapToGrid w:val="0"/>
              <w:spacing w:line="41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我方保证在与招标人</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设计合同后壹天内开工，并在招标文件规定要求的设计工期内完成全部招标工程。</w:t>
            </w:r>
          </w:p>
          <w:p w14:paraId="22CD24F7">
            <w:pPr>
              <w:pStyle w:val="10"/>
              <w:adjustRightInd w:val="0"/>
              <w:snapToGrid w:val="0"/>
              <w:spacing w:line="41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我方保证按我方投标文件中的设计进度计划完成设计任务。</w:t>
            </w:r>
          </w:p>
        </w:tc>
        <w:tc>
          <w:tcPr>
            <w:tcW w:w="3653" w:type="dxa"/>
            <w:noWrap w:val="0"/>
            <w:vAlign w:val="center"/>
          </w:tcPr>
          <w:p w14:paraId="626C5C3E">
            <w:pPr>
              <w:pStyle w:val="32"/>
              <w:keepNext w:val="0"/>
              <w:keepLines w:val="0"/>
              <w:pageBreakBefore w:val="0"/>
              <w:kinsoku/>
              <w:overflowPunct/>
              <w:topLinePunct w:val="0"/>
              <w:autoSpaceDE/>
              <w:autoSpaceDN/>
              <w:bidi w:val="0"/>
              <w:spacing w:line="3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若因我方原因，设计没有按期完成时，我方须在逾期第壹天起每天按合同价款的1%向招标人返纳逾期违约金。</w:t>
            </w:r>
          </w:p>
          <w:p w14:paraId="0E37963F">
            <w:pPr>
              <w:pStyle w:val="32"/>
              <w:keepNext w:val="0"/>
              <w:keepLines w:val="0"/>
              <w:pageBreakBefore w:val="0"/>
              <w:kinsoku/>
              <w:overflowPunct/>
              <w:topLinePunct w:val="0"/>
              <w:autoSpaceDE/>
              <w:autoSpaceDN/>
              <w:bidi w:val="0"/>
              <w:spacing w:line="3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若因我方原因，设计的进度未能按我方投标文件中的设计进度计划完成设计任务，延期达到30日历天，招标人有权终止合同。我方愿意承担所有由此引起的责任及经济损失。</w:t>
            </w:r>
          </w:p>
        </w:tc>
      </w:tr>
      <w:tr w14:paraId="3B36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780" w:type="dxa"/>
            <w:noWrap w:val="0"/>
            <w:vAlign w:val="center"/>
          </w:tcPr>
          <w:p w14:paraId="2CDB90E5">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1" w:type="dxa"/>
            <w:noWrap w:val="0"/>
            <w:vAlign w:val="center"/>
          </w:tcPr>
          <w:p w14:paraId="639B9DD9">
            <w:pPr>
              <w:pStyle w:val="10"/>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承诺</w:t>
            </w:r>
          </w:p>
        </w:tc>
        <w:tc>
          <w:tcPr>
            <w:tcW w:w="3643" w:type="dxa"/>
            <w:noWrap w:val="0"/>
            <w:vAlign w:val="center"/>
          </w:tcPr>
          <w:p w14:paraId="3DEF902D">
            <w:pPr>
              <w:pStyle w:val="32"/>
              <w:keepNext w:val="0"/>
              <w:keepLines w:val="0"/>
              <w:pageBreakBefore w:val="0"/>
              <w:kinsoku/>
              <w:overflowPunct/>
              <w:topLinePunct w:val="0"/>
              <w:autoSpaceDE/>
              <w:autoSpaceDN/>
              <w:bidi w:val="0"/>
              <w:spacing w:line="3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如我方中标，我方保证按设计规范及有关法律法规进行设计，并准时提供相应设计文件经审图机构审查通过。</w:t>
            </w:r>
          </w:p>
          <w:p w14:paraId="3B658563">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我方保证按经过批准的初步设计概算（建安费）进行限额设计，并对设计文件出现的遗漏或错误负责修改或补充。</w:t>
            </w:r>
          </w:p>
        </w:tc>
        <w:tc>
          <w:tcPr>
            <w:tcW w:w="3653" w:type="dxa"/>
            <w:noWrap w:val="0"/>
            <w:vAlign w:val="center"/>
          </w:tcPr>
          <w:p w14:paraId="24FB8CD8">
            <w:pPr>
              <w:pStyle w:val="32"/>
              <w:keepNext w:val="0"/>
              <w:keepLines w:val="0"/>
              <w:pageBreakBefore w:val="0"/>
              <w:kinsoku/>
              <w:overflowPunct/>
              <w:topLinePunct w:val="0"/>
              <w:autoSpaceDE/>
              <w:autoSpaceDN/>
              <w:bidi w:val="0"/>
              <w:spacing w:line="3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1AD0674A">
            <w:pPr>
              <w:pStyle w:val="32"/>
              <w:keepNext w:val="0"/>
              <w:keepLines w:val="0"/>
              <w:pageBreakBefore w:val="0"/>
              <w:kinsoku/>
              <w:overflowPunct/>
              <w:topLinePunct w:val="0"/>
              <w:autoSpaceDE/>
              <w:autoSpaceDN/>
              <w:bidi w:val="0"/>
              <w:spacing w:line="3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由于设计单位设计工作错误造成工程设计质量事故，根据责任情况，负责赔偿工程损失费，但最高不超过该项目应收设计费总额，负责采取补救措施。</w:t>
            </w:r>
          </w:p>
          <w:p w14:paraId="738163F8">
            <w:pPr>
              <w:pStyle w:val="32"/>
              <w:keepNext w:val="0"/>
              <w:keepLines w:val="0"/>
              <w:pageBreakBefore w:val="0"/>
              <w:kinsoku/>
              <w:overflowPunct/>
              <w:topLinePunct w:val="0"/>
              <w:autoSpaceDE/>
              <w:autoSpaceDN/>
              <w:bidi w:val="0"/>
              <w:spacing w:line="3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施工期间除发包人要求或特殊地质原因外，因设计质量和深度不够的原因引起的工程返工或需要设计变更引起工程造价增加的，每次扣减设计合同价款中设计费的2%，扣完为止。</w:t>
            </w:r>
          </w:p>
          <w:p w14:paraId="1A9BC523">
            <w:pPr>
              <w:pStyle w:val="32"/>
              <w:keepNext w:val="0"/>
              <w:keepLines w:val="0"/>
              <w:pageBreakBefore w:val="0"/>
              <w:kinsoku/>
              <w:overflowPunct/>
              <w:topLinePunct w:val="0"/>
              <w:autoSpaceDE/>
              <w:autoSpaceDN/>
              <w:bidi w:val="0"/>
              <w:spacing w:line="3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因设计单位自身原因造成工程结算超施工招标中标价的，扣除应付设计合同价款中的余款。</w:t>
            </w:r>
          </w:p>
        </w:tc>
      </w:tr>
      <w:tr w14:paraId="4775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0" w:type="dxa"/>
            <w:noWrap w:val="0"/>
            <w:vAlign w:val="center"/>
          </w:tcPr>
          <w:p w14:paraId="58D6E1DC">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71" w:type="dxa"/>
            <w:noWrap w:val="0"/>
            <w:vAlign w:val="center"/>
          </w:tcPr>
          <w:p w14:paraId="18F1798E">
            <w:pPr>
              <w:pStyle w:val="10"/>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违约承诺</w:t>
            </w:r>
          </w:p>
        </w:tc>
        <w:tc>
          <w:tcPr>
            <w:tcW w:w="3643" w:type="dxa"/>
            <w:noWrap w:val="0"/>
            <w:vAlign w:val="center"/>
          </w:tcPr>
          <w:p w14:paraId="2C5A5D09">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我</w:t>
            </w:r>
            <w:r>
              <w:rPr>
                <w:rFonts w:hint="eastAsia" w:ascii="宋体" w:hAnsi="宋体" w:eastAsia="宋体" w:cs="宋体"/>
                <w:color w:val="auto"/>
                <w:sz w:val="24"/>
                <w:szCs w:val="24"/>
                <w:highlight w:val="none"/>
              </w:rPr>
              <w:t>方违约，需向守约方支付违约金，违约金不足以弥补守约方损失的，违约方需承担守约方的全部损失，并承担守约方因主张权益导致的全部损失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包括但不限于诉讼费、保全费、鉴定费、律师费等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c>
          <w:tcPr>
            <w:tcW w:w="3653" w:type="dxa"/>
            <w:noWrap w:val="0"/>
            <w:vAlign w:val="center"/>
          </w:tcPr>
          <w:p w14:paraId="1A4132D9">
            <w:pPr>
              <w:pStyle w:val="10"/>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lang w:eastAsia="zh-CN"/>
              </w:rPr>
              <w:t>若我</w:t>
            </w:r>
            <w:r>
              <w:rPr>
                <w:rFonts w:hint="eastAsia" w:ascii="宋体" w:hAnsi="宋体" w:eastAsia="宋体" w:cs="宋体"/>
                <w:color w:val="auto"/>
                <w:sz w:val="24"/>
                <w:szCs w:val="24"/>
                <w:highlight w:val="none"/>
              </w:rPr>
              <w:t>方违约，需向守约方支付违约金，违约金不足以弥补守约方损失的，违约方需承担守约方的全部损失，并承担守约方因主张权益导致的全部损失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包括但不限于诉讼费、保全费、鉴定费、律师费等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612B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780" w:type="dxa"/>
            <w:noWrap w:val="0"/>
            <w:vAlign w:val="center"/>
          </w:tcPr>
          <w:p w14:paraId="4E5B6EB4">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71" w:type="dxa"/>
            <w:noWrap w:val="0"/>
            <w:vAlign w:val="center"/>
          </w:tcPr>
          <w:p w14:paraId="235ED6E7">
            <w:pPr>
              <w:pStyle w:val="10"/>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账户承诺</w:t>
            </w:r>
          </w:p>
        </w:tc>
        <w:tc>
          <w:tcPr>
            <w:tcW w:w="3643" w:type="dxa"/>
            <w:noWrap w:val="0"/>
            <w:vAlign w:val="center"/>
          </w:tcPr>
          <w:p w14:paraId="0C71CD7E">
            <w:pPr>
              <w:adjustRightInd w:val="0"/>
              <w:snapToGrid w:val="0"/>
              <w:spacing w:line="410" w:lineRule="exact"/>
              <w:ind w:firstLine="56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我方保证招标人的资金随时可划入合同中规定的我方账户。</w:t>
            </w:r>
          </w:p>
        </w:tc>
        <w:tc>
          <w:tcPr>
            <w:tcW w:w="3653" w:type="dxa"/>
            <w:noWrap w:val="0"/>
            <w:vAlign w:val="center"/>
          </w:tcPr>
          <w:p w14:paraId="5AF5CC9C">
            <w:pPr>
              <w:pStyle w:val="10"/>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5C8C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5" w:hRule="atLeast"/>
          <w:jc w:val="center"/>
        </w:trPr>
        <w:tc>
          <w:tcPr>
            <w:tcW w:w="780" w:type="dxa"/>
            <w:noWrap w:val="0"/>
            <w:vAlign w:val="center"/>
          </w:tcPr>
          <w:p w14:paraId="5DBD41C1">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71" w:type="dxa"/>
            <w:noWrap w:val="0"/>
            <w:vAlign w:val="center"/>
          </w:tcPr>
          <w:p w14:paraId="404C2A50">
            <w:pPr>
              <w:pStyle w:val="10"/>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工程的配合服务承诺</w:t>
            </w:r>
          </w:p>
        </w:tc>
        <w:tc>
          <w:tcPr>
            <w:tcW w:w="3643" w:type="dxa"/>
            <w:noWrap w:val="0"/>
            <w:vAlign w:val="center"/>
          </w:tcPr>
          <w:p w14:paraId="5A46CA6F">
            <w:pPr>
              <w:adjustRightInd w:val="0"/>
              <w:snapToGrid w:val="0"/>
              <w:spacing w:line="410" w:lineRule="exact"/>
              <w:ind w:firstLine="560" w:firstLineChars="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我方保证安排各专业设计人员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施工现场或不定期到现场配合施工，并安排一名设计代表</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招标人地点作为处理现场问题及联络双方需协调事宜。根据施工进度情况和招标人的要求，每个专业各安排</w:t>
            </w:r>
            <w:r>
              <w:rPr>
                <w:rFonts w:hint="eastAsia" w:ascii="宋体" w:hAnsi="宋体" w:eastAsia="宋体" w:cs="宋体"/>
                <w:color w:val="auto"/>
                <w:sz w:val="24"/>
                <w:szCs w:val="24"/>
                <w:highlight w:val="none"/>
                <w:lang w:eastAsia="zh-CN"/>
              </w:rPr>
              <w:t>两名</w:t>
            </w:r>
            <w:r>
              <w:rPr>
                <w:rFonts w:hint="eastAsia" w:ascii="宋体" w:hAnsi="宋体" w:eastAsia="宋体" w:cs="宋体"/>
                <w:color w:val="auto"/>
                <w:sz w:val="24"/>
                <w:szCs w:val="24"/>
                <w:highlight w:val="none"/>
              </w:rPr>
              <w:t>专职设计人员组成设计小组配合施工。其他专业为不定期到现场配合施工。配合施工的设计人员应服从施工需要，随时到现场配合施工。</w:t>
            </w:r>
          </w:p>
        </w:tc>
        <w:tc>
          <w:tcPr>
            <w:tcW w:w="3653" w:type="dxa"/>
            <w:noWrap w:val="0"/>
            <w:vAlign w:val="center"/>
          </w:tcPr>
          <w:p w14:paraId="239C6591">
            <w:pPr>
              <w:pStyle w:val="10"/>
              <w:adjustRightInd w:val="0"/>
              <w:snapToGrid w:val="0"/>
              <w:spacing w:line="41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若因我方原因，未及时</w:t>
            </w:r>
            <w:r>
              <w:rPr>
                <w:rFonts w:hint="eastAsia" w:ascii="宋体" w:hAnsi="宋体" w:eastAsia="宋体" w:cs="宋体"/>
                <w:color w:val="auto"/>
                <w:spacing w:val="-2"/>
                <w:sz w:val="24"/>
                <w:szCs w:val="24"/>
                <w:highlight w:val="none"/>
                <w:lang w:eastAsia="zh-CN"/>
              </w:rPr>
              <w:t>配合</w:t>
            </w:r>
            <w:r>
              <w:rPr>
                <w:rFonts w:hint="eastAsia" w:ascii="宋体" w:hAnsi="宋体" w:eastAsia="宋体" w:cs="宋体"/>
                <w:color w:val="auto"/>
                <w:spacing w:val="-2"/>
                <w:sz w:val="24"/>
                <w:szCs w:val="24"/>
                <w:highlight w:val="none"/>
              </w:rPr>
              <w:t>施工单位的工程施工，给招标人或施工单位造成损失的，我方承担所有的责任及经济损失。</w:t>
            </w:r>
          </w:p>
          <w:p w14:paraId="50EC7D5A">
            <w:pPr>
              <w:pStyle w:val="10"/>
              <w:adjustRightInd w:val="0"/>
              <w:snapToGrid w:val="0"/>
              <w:spacing w:line="410" w:lineRule="exact"/>
              <w:ind w:firstLine="480"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各专业安排施工现场的专职设计人员</w:t>
            </w:r>
            <w:r>
              <w:rPr>
                <w:rFonts w:hint="eastAsia" w:ascii="宋体" w:hAnsi="宋体" w:eastAsia="宋体" w:cs="宋体"/>
                <w:color w:val="auto"/>
                <w:spacing w:val="-2"/>
                <w:sz w:val="24"/>
                <w:szCs w:val="24"/>
                <w:highlight w:val="none"/>
              </w:rPr>
              <w:t>未及时</w:t>
            </w:r>
            <w:r>
              <w:rPr>
                <w:rFonts w:hint="eastAsia" w:ascii="宋体" w:hAnsi="宋体" w:eastAsia="宋体" w:cs="宋体"/>
                <w:color w:val="auto"/>
                <w:spacing w:val="-2"/>
                <w:sz w:val="24"/>
                <w:szCs w:val="24"/>
                <w:highlight w:val="none"/>
                <w:lang w:eastAsia="zh-CN"/>
              </w:rPr>
              <w:t>配合</w:t>
            </w:r>
            <w:r>
              <w:rPr>
                <w:rFonts w:hint="eastAsia" w:ascii="宋体" w:hAnsi="宋体" w:eastAsia="宋体" w:cs="宋体"/>
                <w:color w:val="auto"/>
                <w:spacing w:val="-2"/>
                <w:sz w:val="24"/>
                <w:szCs w:val="24"/>
                <w:highlight w:val="none"/>
              </w:rPr>
              <w:t>施工单位的工程施工，每缺席一人次扣除500元</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缺席累计达10人次的，招标人有权终止合同。我方承担由此造成的所有责任及经济损失。</w:t>
            </w:r>
          </w:p>
        </w:tc>
      </w:tr>
      <w:tr w14:paraId="2DD6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5" w:hRule="atLeast"/>
          <w:jc w:val="center"/>
        </w:trPr>
        <w:tc>
          <w:tcPr>
            <w:tcW w:w="780" w:type="dxa"/>
            <w:noWrap w:val="0"/>
            <w:vAlign w:val="center"/>
          </w:tcPr>
          <w:p w14:paraId="4FE73E7F">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71" w:type="dxa"/>
            <w:noWrap w:val="0"/>
            <w:vAlign w:val="center"/>
          </w:tcPr>
          <w:p w14:paraId="2AB0CF35">
            <w:pPr>
              <w:pStyle w:val="10"/>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项目管理班子人员承诺</w:t>
            </w:r>
          </w:p>
        </w:tc>
        <w:tc>
          <w:tcPr>
            <w:tcW w:w="3643" w:type="dxa"/>
            <w:noWrap w:val="0"/>
            <w:vAlign w:val="center"/>
          </w:tcPr>
          <w:p w14:paraId="1B5A9407">
            <w:pPr>
              <w:adjustRightInd w:val="0"/>
              <w:snapToGrid w:val="0"/>
              <w:spacing w:line="410" w:lineRule="exact"/>
              <w:ind w:firstLine="560" w:firstLineChars="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z w:val="24"/>
                <w:szCs w:val="24"/>
                <w:highlight w:val="none"/>
              </w:rPr>
              <w:t>人员全部到位，负责各自职责。</w:t>
            </w:r>
          </w:p>
        </w:tc>
        <w:tc>
          <w:tcPr>
            <w:tcW w:w="3653" w:type="dxa"/>
            <w:noWrap w:val="0"/>
            <w:vAlign w:val="center"/>
          </w:tcPr>
          <w:p w14:paraId="70BE1C29">
            <w:pPr>
              <w:pStyle w:val="10"/>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若我方中标后，各负责人未按时参加招标人要求出席的会议（包括图纸会审和技术交底等，具体以招标人书面通知为准），每缺席一人次扣500元违约金。我方承担由此造成的所有责任及经济损失。</w:t>
            </w:r>
          </w:p>
        </w:tc>
      </w:tr>
      <w:tr w14:paraId="2230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780" w:type="dxa"/>
            <w:noWrap w:val="0"/>
            <w:vAlign w:val="center"/>
          </w:tcPr>
          <w:p w14:paraId="4AF33518">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71" w:type="dxa"/>
            <w:noWrap w:val="0"/>
            <w:vAlign w:val="center"/>
          </w:tcPr>
          <w:p w14:paraId="6950E3C8">
            <w:pPr>
              <w:pStyle w:val="10"/>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项目负责人承诺</w:t>
            </w:r>
          </w:p>
        </w:tc>
        <w:tc>
          <w:tcPr>
            <w:tcW w:w="3643" w:type="dxa"/>
            <w:noWrap w:val="0"/>
            <w:vAlign w:val="center"/>
          </w:tcPr>
          <w:p w14:paraId="6BF09357">
            <w:pPr>
              <w:pStyle w:val="10"/>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负责本项目设计全过程（包括初步设计评审、初步设计修编、施工图设计审查、施工图设计修编、图纸会审和技术交底）。</w:t>
            </w:r>
          </w:p>
        </w:tc>
        <w:tc>
          <w:tcPr>
            <w:tcW w:w="3653" w:type="dxa"/>
            <w:noWrap w:val="0"/>
            <w:vAlign w:val="center"/>
          </w:tcPr>
          <w:p w14:paraId="0D52931C">
            <w:pPr>
              <w:pStyle w:val="10"/>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若因我方原因，项目负责人未准时参加本项目设计全过程（包括初步设计评审、初步设计修编、施工图设计审查、施工图设计修编、图纸会审和技术交底）的，每缺席一次扣</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000元（以发包人发出的违约通知为准）。</w:t>
            </w:r>
          </w:p>
        </w:tc>
      </w:tr>
      <w:tr w14:paraId="1CC2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14:paraId="1875FD93">
            <w:pPr>
              <w:adjustRightInd w:val="0"/>
              <w:snapToGrid w:val="0"/>
              <w:spacing w:line="41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371" w:type="dxa"/>
            <w:noWrap w:val="0"/>
            <w:vAlign w:val="center"/>
          </w:tcPr>
          <w:p w14:paraId="7964A789">
            <w:pPr>
              <w:pStyle w:val="10"/>
              <w:adjustRightInd w:val="0"/>
              <w:snapToGrid w:val="0"/>
              <w:spacing w:line="41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廉政承诺</w:t>
            </w:r>
          </w:p>
        </w:tc>
        <w:tc>
          <w:tcPr>
            <w:tcW w:w="3643" w:type="dxa"/>
            <w:noWrap w:val="0"/>
            <w:vAlign w:val="center"/>
          </w:tcPr>
          <w:p w14:paraId="6EED8B02">
            <w:pPr>
              <w:pStyle w:val="10"/>
              <w:adjustRightInd w:val="0"/>
              <w:snapToGrid w:val="0"/>
              <w:spacing w:line="410" w:lineRule="exact"/>
              <w:ind w:firstLine="240" w:firstLineChars="1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我方保证严格遵守有关法律法规及廉政规定。</w:t>
            </w:r>
          </w:p>
        </w:tc>
        <w:tc>
          <w:tcPr>
            <w:tcW w:w="3653" w:type="dxa"/>
            <w:noWrap w:val="0"/>
            <w:vAlign w:val="center"/>
          </w:tcPr>
          <w:p w14:paraId="2E739AC5">
            <w:pPr>
              <w:widowControl/>
              <w:adjustRightInd w:val="0"/>
              <w:snapToGrid w:val="0"/>
              <w:spacing w:line="41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如我单位及其工作人员违反本承诺规定的</w:t>
            </w: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rPr>
              <w:t>愿接受党纪、</w:t>
            </w:r>
            <w:r>
              <w:rPr>
                <w:rFonts w:hint="eastAsia" w:ascii="宋体" w:hAnsi="宋体" w:eastAsia="宋体" w:cs="宋体"/>
                <w:color w:val="auto"/>
                <w:sz w:val="24"/>
                <w:szCs w:val="24"/>
                <w:highlight w:val="none"/>
                <w:lang w:eastAsia="zh-CN"/>
              </w:rPr>
              <w:t>政纪处分</w:t>
            </w:r>
            <w:r>
              <w:rPr>
                <w:rFonts w:hint="eastAsia" w:ascii="宋体" w:hAnsi="宋体" w:eastAsia="宋体" w:cs="宋体"/>
                <w:color w:val="auto"/>
                <w:sz w:val="24"/>
                <w:szCs w:val="24"/>
                <w:highlight w:val="none"/>
              </w:rPr>
              <w:t>直至追究法律责任；给招标单位造成经济损失的，依法给予赔偿。</w:t>
            </w:r>
          </w:p>
        </w:tc>
      </w:tr>
      <w:tr w14:paraId="0248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14:paraId="25108BAD">
            <w:pPr>
              <w:adjustRightInd w:val="0"/>
              <w:snapToGrid w:val="0"/>
              <w:spacing w:line="41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71" w:type="dxa"/>
            <w:noWrap w:val="0"/>
            <w:vAlign w:val="center"/>
          </w:tcPr>
          <w:p w14:paraId="2A05888D">
            <w:pPr>
              <w:adjustRightInd w:val="0"/>
              <w:snapToGrid w:val="0"/>
              <w:spacing w:line="41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投标文件信息公开承诺</w:t>
            </w:r>
          </w:p>
        </w:tc>
        <w:tc>
          <w:tcPr>
            <w:tcW w:w="3643" w:type="dxa"/>
            <w:noWrap w:val="0"/>
            <w:vAlign w:val="center"/>
          </w:tcPr>
          <w:p w14:paraId="27CA1B70">
            <w:pPr>
              <w:pStyle w:val="34"/>
              <w:wordWrap w:val="0"/>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Cs w:val="24"/>
                <w:highlight w:val="none"/>
              </w:rPr>
              <w:t>如果我方成为本项目中标候选人，我方同意并授权招标人在评标结果公示期内公开我方商务经济部分的全部内容。</w:t>
            </w:r>
          </w:p>
        </w:tc>
        <w:tc>
          <w:tcPr>
            <w:tcW w:w="3653" w:type="dxa"/>
            <w:tcBorders>
              <w:tr2bl w:val="single" w:color="auto" w:sz="4" w:space="0"/>
            </w:tcBorders>
            <w:noWrap w:val="0"/>
            <w:vAlign w:val="center"/>
          </w:tcPr>
          <w:p w14:paraId="689C47D4">
            <w:pPr>
              <w:pStyle w:val="34"/>
              <w:wordWrap w:val="0"/>
              <w:adjustRightInd w:val="0"/>
              <w:snapToGrid w:val="0"/>
              <w:spacing w:line="410" w:lineRule="exact"/>
              <w:ind w:firstLine="0" w:firstLineChars="0"/>
              <w:jc w:val="center"/>
              <w:rPr>
                <w:rFonts w:hint="eastAsia" w:ascii="宋体" w:hAnsi="宋体" w:eastAsia="宋体" w:cs="宋体"/>
                <w:color w:val="auto"/>
                <w:kern w:val="2"/>
                <w:sz w:val="24"/>
                <w:szCs w:val="24"/>
                <w:highlight w:val="none"/>
                <w:lang w:val="en-US" w:eastAsia="zh-CN" w:bidi="ar-SA"/>
              </w:rPr>
            </w:pPr>
          </w:p>
        </w:tc>
      </w:tr>
    </w:tbl>
    <w:p w14:paraId="0E05AFBF">
      <w:pPr>
        <w:rPr>
          <w:rFonts w:hint="eastAsia" w:ascii="宋体" w:hAnsi="宋体" w:eastAsia="宋体" w:cs="宋体"/>
          <w:color w:val="auto"/>
          <w:sz w:val="24"/>
          <w:szCs w:val="24"/>
          <w:highlight w:val="none"/>
        </w:rPr>
      </w:pPr>
    </w:p>
    <w:p w14:paraId="7E092322">
      <w:pPr>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78D2E5EE">
      <w:pPr>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0C2FC5D5">
      <w:pPr>
        <w:wordWrap w:val="0"/>
        <w:adjustRightInd w:val="0"/>
        <w:snapToGrid w:val="0"/>
        <w:spacing w:line="420" w:lineRule="exact"/>
        <w:ind w:firstLine="480" w:firstLineChars="20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4981DF5F">
      <w:pPr>
        <w:wordWrap w:val="0"/>
        <w:adjustRightInd w:val="0"/>
        <w:snapToGrid w:val="0"/>
        <w:spacing w:line="420" w:lineRule="exact"/>
        <w:ind w:firstLine="480" w:firstLineChars="200"/>
        <w:jc w:val="center"/>
        <w:rPr>
          <w:rFonts w:hint="eastAsia" w:ascii="宋体" w:hAnsi="宋体" w:eastAsia="宋体" w:cs="宋体"/>
          <w:snapToGrid w:val="0"/>
          <w:color w:val="auto"/>
          <w:kern w:val="0"/>
          <w:sz w:val="24"/>
          <w:szCs w:val="24"/>
          <w:highlight w:val="none"/>
        </w:rPr>
      </w:pPr>
    </w:p>
    <w:p w14:paraId="03B5134C">
      <w:pPr>
        <w:rPr>
          <w:rFonts w:hint="eastAsia" w:ascii="宋体" w:hAnsi="宋体" w:eastAsia="宋体" w:cs="宋体"/>
          <w:color w:val="auto"/>
        </w:rPr>
      </w:pPr>
    </w:p>
    <w:p w14:paraId="36D57B50">
      <w:pPr>
        <w:rPr>
          <w:rFonts w:hint="eastAsia" w:ascii="宋体" w:hAnsi="宋体" w:eastAsia="宋体" w:cs="宋体"/>
          <w:color w:val="auto"/>
        </w:rPr>
      </w:pPr>
    </w:p>
    <w:p w14:paraId="16762F13">
      <w:pPr>
        <w:rPr>
          <w:rFonts w:hint="eastAsia" w:ascii="宋体" w:hAnsi="宋体" w:eastAsia="宋体" w:cs="宋体"/>
          <w:color w:val="auto"/>
        </w:rPr>
      </w:pPr>
    </w:p>
    <w:p w14:paraId="69D12231">
      <w:pPr>
        <w:rPr>
          <w:rFonts w:hint="eastAsia" w:ascii="宋体" w:hAnsi="宋体" w:eastAsia="宋体" w:cs="宋体"/>
          <w:color w:val="auto"/>
        </w:rPr>
      </w:pPr>
    </w:p>
    <w:p w14:paraId="736B93BD">
      <w:pPr>
        <w:rPr>
          <w:rFonts w:hint="eastAsia" w:ascii="宋体" w:hAnsi="宋体" w:eastAsia="宋体" w:cs="宋体"/>
          <w:color w:val="auto"/>
        </w:rPr>
      </w:pPr>
    </w:p>
    <w:p w14:paraId="440F3C3C">
      <w:pPr>
        <w:rPr>
          <w:rFonts w:hint="eastAsia" w:ascii="宋体" w:hAnsi="宋体" w:eastAsia="宋体" w:cs="宋体"/>
          <w:color w:val="auto"/>
        </w:rPr>
      </w:pPr>
    </w:p>
    <w:p w14:paraId="6784D555">
      <w:pPr>
        <w:rPr>
          <w:rFonts w:hint="eastAsia" w:ascii="宋体" w:hAnsi="宋体" w:eastAsia="宋体" w:cs="宋体"/>
          <w:color w:val="auto"/>
        </w:rPr>
      </w:pPr>
    </w:p>
    <w:p w14:paraId="722A7A5F">
      <w:pPr>
        <w:rPr>
          <w:rFonts w:hint="eastAsia" w:ascii="宋体" w:hAnsi="宋体" w:eastAsia="宋体" w:cs="宋体"/>
          <w:color w:val="auto"/>
        </w:rPr>
      </w:pPr>
    </w:p>
    <w:p w14:paraId="3500D287">
      <w:pPr>
        <w:rPr>
          <w:rFonts w:hint="eastAsia" w:ascii="宋体" w:hAnsi="宋体" w:eastAsia="宋体" w:cs="宋体"/>
          <w:color w:val="auto"/>
        </w:rPr>
      </w:pPr>
    </w:p>
    <w:p w14:paraId="6D132E96">
      <w:pPr>
        <w:rPr>
          <w:rFonts w:hint="eastAsia" w:ascii="宋体" w:hAnsi="宋体" w:eastAsia="宋体" w:cs="宋体"/>
          <w:color w:val="auto"/>
        </w:rPr>
      </w:pPr>
    </w:p>
    <w:p w14:paraId="23E551E5">
      <w:pPr>
        <w:rPr>
          <w:rFonts w:hint="eastAsia" w:ascii="宋体" w:hAnsi="宋体" w:eastAsia="宋体" w:cs="宋体"/>
          <w:color w:val="auto"/>
        </w:rPr>
      </w:pPr>
    </w:p>
    <w:p w14:paraId="0BDD9286">
      <w:pPr>
        <w:rPr>
          <w:rFonts w:hint="eastAsia" w:ascii="宋体" w:hAnsi="宋体" w:eastAsia="宋体" w:cs="宋体"/>
          <w:color w:val="auto"/>
        </w:rPr>
      </w:pPr>
    </w:p>
    <w:p w14:paraId="40EBBC03">
      <w:pPr>
        <w:rPr>
          <w:rFonts w:hint="eastAsia" w:ascii="宋体" w:hAnsi="宋体" w:eastAsia="宋体" w:cs="宋体"/>
          <w:color w:val="auto"/>
        </w:rPr>
      </w:pPr>
    </w:p>
    <w:p w14:paraId="45BB0B31">
      <w:pPr>
        <w:rPr>
          <w:rFonts w:hint="eastAsia" w:ascii="宋体" w:hAnsi="宋体" w:eastAsia="宋体" w:cs="宋体"/>
          <w:color w:val="auto"/>
        </w:rPr>
      </w:pPr>
    </w:p>
    <w:p w14:paraId="2B0BCCB1">
      <w:pPr>
        <w:rPr>
          <w:rFonts w:hint="eastAsia" w:ascii="宋体" w:hAnsi="宋体" w:eastAsia="宋体" w:cs="宋体"/>
          <w:color w:val="auto"/>
        </w:rPr>
      </w:pPr>
    </w:p>
    <w:p w14:paraId="3EE83B9C">
      <w:pPr>
        <w:pStyle w:val="6"/>
        <w:wordWrap w:val="0"/>
        <w:autoSpaceDE/>
        <w:autoSpaceDN/>
        <w:snapToGrid w:val="0"/>
        <w:spacing w:line="440" w:lineRule="exact"/>
        <w:ind w:firstLine="480"/>
        <w:jc w:val="both"/>
        <w:rPr>
          <w:rFonts w:hint="eastAsia" w:ascii="宋体" w:hAnsi="宋体" w:eastAsia="宋体" w:cs="宋体"/>
          <w:b/>
          <w:snapToGrid w:val="0"/>
          <w:color w:val="auto"/>
          <w:sz w:val="24"/>
          <w:highlight w:val="none"/>
          <w:lang w:val="en-US" w:eastAsia="zh-CN"/>
        </w:rPr>
      </w:pPr>
      <w:bookmarkStart w:id="313" w:name="_Toc2161"/>
      <w:bookmarkStart w:id="314" w:name="_Toc5576"/>
      <w:bookmarkStart w:id="315" w:name="_Toc24870"/>
      <w:bookmarkStart w:id="316" w:name="_Toc23016"/>
      <w:r>
        <w:rPr>
          <w:rFonts w:hint="eastAsia" w:ascii="宋体" w:hAnsi="宋体" w:eastAsia="宋体" w:cs="宋体"/>
          <w:b/>
          <w:snapToGrid w:val="0"/>
          <w:color w:val="auto"/>
          <w:sz w:val="24"/>
          <w:highlight w:val="none"/>
          <w:lang w:val="en-US" w:eastAsia="zh-CN"/>
        </w:rPr>
        <w:t>格式五   授权委托书</w:t>
      </w:r>
      <w:bookmarkEnd w:id="313"/>
      <w:bookmarkEnd w:id="314"/>
      <w:bookmarkEnd w:id="315"/>
      <w:bookmarkEnd w:id="316"/>
    </w:p>
    <w:p w14:paraId="349CAEC5">
      <w:pPr>
        <w:wordWrap w:val="0"/>
        <w:adjustRightInd w:val="0"/>
        <w:snapToGrid w:val="0"/>
        <w:spacing w:before="260" w:after="260" w:line="44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30"/>
          <w:highlight w:val="none"/>
        </w:rPr>
        <w:t>授权委托书</w:t>
      </w:r>
    </w:p>
    <w:p w14:paraId="050F7D18">
      <w:pPr>
        <w:spacing w:line="360" w:lineRule="auto"/>
        <w:rPr>
          <w:rFonts w:hint="eastAsia" w:ascii="宋体" w:hAnsi="宋体" w:eastAsia="宋体" w:cs="宋体"/>
          <w:color w:val="auto"/>
          <w:sz w:val="24"/>
          <w:highlight w:val="none"/>
        </w:rPr>
      </w:pPr>
    </w:p>
    <w:p w14:paraId="76A7BF3A">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本人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（姓名）系</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（投标人名称）的法定代表人，现委托</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（姓名）为我方代理人。代理人根据授权，以我方名义签署、澄清、说明、补正、递交、撤回、修改</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（项目名称）投标文件、签订合同和处理有关事宜，其法律后果由我方承担。</w:t>
      </w:r>
    </w:p>
    <w:p w14:paraId="4B42545C">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委托期限：</w:t>
      </w:r>
      <w:r>
        <w:rPr>
          <w:rFonts w:hint="eastAsia" w:ascii="宋体" w:hAnsi="宋体" w:eastAsia="宋体" w:cs="宋体"/>
          <w:color w:val="auto"/>
          <w:sz w:val="24"/>
          <w:szCs w:val="21"/>
          <w:highlight w:val="none"/>
        </w:rPr>
        <w:t>至投标有效期的期满之日止。</w:t>
      </w:r>
    </w:p>
    <w:p w14:paraId="099E37CF">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代理人无转委托权。</w:t>
      </w:r>
    </w:p>
    <w:p w14:paraId="403CC4F8">
      <w:pPr>
        <w:spacing w:line="360" w:lineRule="auto"/>
        <w:rPr>
          <w:rFonts w:hint="eastAsia" w:ascii="宋体" w:hAnsi="宋体" w:eastAsia="宋体" w:cs="宋体"/>
          <w:color w:val="auto"/>
          <w:sz w:val="24"/>
          <w:highlight w:val="none"/>
        </w:rPr>
      </w:pPr>
    </w:p>
    <w:p w14:paraId="366CA9DC">
      <w:pPr>
        <w:spacing w:line="360" w:lineRule="auto"/>
        <w:rPr>
          <w:rFonts w:hint="eastAsia" w:ascii="宋体" w:hAnsi="宋体" w:eastAsia="宋体" w:cs="宋体"/>
          <w:color w:val="auto"/>
          <w:sz w:val="24"/>
          <w:highlight w:val="none"/>
        </w:rPr>
      </w:pPr>
    </w:p>
    <w:p w14:paraId="2340F752">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投  标  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（盖单位章）</w:t>
      </w:r>
    </w:p>
    <w:p w14:paraId="399AAD28">
      <w:pPr>
        <w:spacing w:line="360" w:lineRule="auto"/>
        <w:rPr>
          <w:rFonts w:hint="eastAsia" w:ascii="宋体" w:hAnsi="宋体" w:eastAsia="宋体" w:cs="宋体"/>
          <w:color w:val="auto"/>
          <w:sz w:val="24"/>
          <w:highlight w:val="none"/>
        </w:rPr>
      </w:pPr>
    </w:p>
    <w:p w14:paraId="37FACD3F">
      <w:pPr>
        <w:spacing w:line="360" w:lineRule="auto"/>
        <w:rPr>
          <w:rFonts w:hint="eastAsia" w:ascii="宋体" w:hAnsi="宋体" w:eastAsia="宋体" w:cs="宋体"/>
          <w:color w:val="auto"/>
          <w:sz w:val="24"/>
          <w:highlight w:val="none"/>
        </w:rPr>
      </w:pPr>
    </w:p>
    <w:p w14:paraId="5B1DF6AF">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法定代表人：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14:paraId="229C096A">
      <w:pPr>
        <w:spacing w:line="360" w:lineRule="auto"/>
        <w:rPr>
          <w:rFonts w:hint="eastAsia" w:ascii="宋体" w:hAnsi="宋体" w:eastAsia="宋体" w:cs="宋体"/>
          <w:color w:val="auto"/>
          <w:sz w:val="24"/>
          <w:highlight w:val="none"/>
        </w:rPr>
      </w:pPr>
    </w:p>
    <w:p w14:paraId="53389777">
      <w:pPr>
        <w:spacing w:line="360" w:lineRule="auto"/>
        <w:rPr>
          <w:rFonts w:hint="eastAsia" w:ascii="宋体" w:hAnsi="宋体" w:eastAsia="宋体" w:cs="宋体"/>
          <w:color w:val="auto"/>
          <w:sz w:val="24"/>
          <w:highlight w:val="none"/>
        </w:rPr>
      </w:pPr>
    </w:p>
    <w:p w14:paraId="4096DF0A">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委托代理人：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14:paraId="5EA9A6C3">
      <w:pPr>
        <w:spacing w:line="360" w:lineRule="auto"/>
        <w:rPr>
          <w:rFonts w:hint="eastAsia" w:ascii="宋体" w:hAnsi="宋体" w:eastAsia="宋体" w:cs="宋体"/>
          <w:snapToGrid w:val="0"/>
          <w:color w:val="auto"/>
          <w:kern w:val="0"/>
          <w:sz w:val="24"/>
          <w:szCs w:val="21"/>
          <w:highlight w:val="none"/>
        </w:rPr>
      </w:pPr>
    </w:p>
    <w:p w14:paraId="726002F9">
      <w:pPr>
        <w:spacing w:line="360" w:lineRule="auto"/>
        <w:rPr>
          <w:rFonts w:hint="eastAsia" w:ascii="宋体" w:hAnsi="宋体" w:eastAsia="宋体" w:cs="宋体"/>
          <w:color w:val="auto"/>
          <w:sz w:val="24"/>
          <w:highlight w:val="none"/>
        </w:rPr>
      </w:pPr>
    </w:p>
    <w:p w14:paraId="39ECEC39">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月</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日</w:t>
      </w:r>
    </w:p>
    <w:p w14:paraId="14F44EE5">
      <w:pPr>
        <w:spacing w:line="360" w:lineRule="auto"/>
        <w:rPr>
          <w:rFonts w:hint="eastAsia" w:ascii="宋体" w:hAnsi="宋体" w:eastAsia="宋体" w:cs="宋体"/>
          <w:color w:val="auto"/>
          <w:sz w:val="24"/>
          <w:highlight w:val="none"/>
        </w:rPr>
      </w:pPr>
    </w:p>
    <w:p w14:paraId="2BA1889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1514475</wp:posOffset>
                </wp:positionH>
                <wp:positionV relativeFrom="paragraph">
                  <wp:posOffset>51435</wp:posOffset>
                </wp:positionV>
                <wp:extent cx="319087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DD11B54">
                            <w:pPr>
                              <w:spacing w:line="360" w:lineRule="auto"/>
                              <w:jc w:val="center"/>
                              <w:rPr>
                                <w:rFonts w:ascii="宋体"/>
                                <w:sz w:val="24"/>
                                <w:szCs w:val="21"/>
                              </w:rPr>
                            </w:pPr>
                            <w:r>
                              <w:rPr>
                                <w:rFonts w:hint="eastAsia" w:ascii="宋体"/>
                                <w:sz w:val="24"/>
                                <w:szCs w:val="21"/>
                              </w:rPr>
                              <w:t>委托代理人身份证彩色扫描件正、反面</w:t>
                            </w:r>
                          </w:p>
                        </w:txbxContent>
                      </wps:txbx>
                      <wps:bodyPr upright="1"/>
                    </wps:wsp>
                  </a:graphicData>
                </a:graphic>
              </wp:anchor>
            </w:drawing>
          </mc:Choice>
          <mc:Fallback>
            <w:pict>
              <v:shape id="_x0000_s1026" o:spid="_x0000_s1026" o:spt="176" type="#_x0000_t176" style="position:absolute;left:0pt;margin-left:119.25pt;margin-top:4.05pt;height:124.75pt;width:251.25pt;z-index:251660288;mso-width-relative:page;mso-height-relative:page;" fillcolor="#FFFFFF" filled="t" stroked="t" coordsize="21600,21600" o:gfxdata="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Rem1wAAAAkBAAAPAAAAAAAAAAEAIAAAACIAAABkcnMvZG93bnJldi54bWxQSwEC&#10;FAAUAAAACACHTuJATv928y4CAABeBAAADgAAAAAAAAABACAAAAAmAQAAZHJzL2Uyb0RvYy54bWxQ&#10;SwUGAAAAAAYABgBZAQAAxgUAAAAA&#10;">
                <v:fill on="t" focussize="0,0"/>
                <v:stroke color="#000000" joinstyle="miter"/>
                <v:imagedata o:title=""/>
                <o:lock v:ext="edit" aspectratio="f"/>
                <v:textbox>
                  <w:txbxContent>
                    <w:p w14:paraId="2DD11B54">
                      <w:pPr>
                        <w:spacing w:line="360" w:lineRule="auto"/>
                        <w:jc w:val="center"/>
                        <w:rPr>
                          <w:rFonts w:ascii="宋体"/>
                          <w:sz w:val="24"/>
                          <w:szCs w:val="21"/>
                        </w:rPr>
                      </w:pPr>
                      <w:r>
                        <w:rPr>
                          <w:rFonts w:hint="eastAsia" w:ascii="宋体"/>
                          <w:sz w:val="24"/>
                          <w:szCs w:val="21"/>
                        </w:rPr>
                        <w:t>委托代理人身份证彩色扫描件正、反面</w:t>
                      </w:r>
                    </w:p>
                  </w:txbxContent>
                </v:textbox>
              </v:shape>
            </w:pict>
          </mc:Fallback>
        </mc:AlternateContent>
      </w:r>
    </w:p>
    <w:p w14:paraId="5FC6CA68">
      <w:pPr>
        <w:spacing w:line="360" w:lineRule="auto"/>
        <w:rPr>
          <w:rFonts w:hint="eastAsia" w:ascii="宋体" w:hAnsi="宋体" w:eastAsia="宋体" w:cs="宋体"/>
          <w:color w:val="auto"/>
          <w:sz w:val="24"/>
          <w:highlight w:val="none"/>
        </w:rPr>
      </w:pPr>
    </w:p>
    <w:p w14:paraId="075D693F">
      <w:pPr>
        <w:spacing w:line="360" w:lineRule="auto"/>
        <w:rPr>
          <w:rFonts w:hint="eastAsia" w:ascii="宋体" w:hAnsi="宋体" w:eastAsia="宋体" w:cs="宋体"/>
          <w:color w:val="auto"/>
          <w:sz w:val="24"/>
          <w:highlight w:val="none"/>
        </w:rPr>
      </w:pPr>
    </w:p>
    <w:p w14:paraId="47620FB8">
      <w:pPr>
        <w:spacing w:line="360" w:lineRule="auto"/>
        <w:rPr>
          <w:rFonts w:hint="eastAsia" w:ascii="宋体" w:hAnsi="宋体" w:eastAsia="宋体" w:cs="宋体"/>
          <w:color w:val="auto"/>
          <w:sz w:val="24"/>
          <w:highlight w:val="none"/>
        </w:rPr>
      </w:pPr>
    </w:p>
    <w:p w14:paraId="2F6FFF38">
      <w:pPr>
        <w:spacing w:line="360" w:lineRule="auto"/>
        <w:rPr>
          <w:rFonts w:hint="eastAsia" w:ascii="宋体" w:hAnsi="宋体" w:eastAsia="宋体" w:cs="宋体"/>
          <w:color w:val="auto"/>
          <w:sz w:val="24"/>
          <w:highlight w:val="none"/>
        </w:rPr>
      </w:pPr>
    </w:p>
    <w:p w14:paraId="0ECA64A8">
      <w:pPr>
        <w:spacing w:line="360" w:lineRule="auto"/>
        <w:rPr>
          <w:rFonts w:hint="eastAsia" w:ascii="宋体" w:hAnsi="宋体" w:eastAsia="宋体" w:cs="宋体"/>
          <w:color w:val="auto"/>
          <w:sz w:val="24"/>
          <w:highlight w:val="none"/>
        </w:rPr>
      </w:pPr>
    </w:p>
    <w:p w14:paraId="2F6810B7">
      <w:pPr>
        <w:spacing w:line="360" w:lineRule="auto"/>
        <w:rPr>
          <w:rFonts w:hint="eastAsia" w:ascii="宋体" w:hAnsi="宋体" w:eastAsia="宋体" w:cs="宋体"/>
          <w:color w:val="auto"/>
          <w:sz w:val="24"/>
          <w:highlight w:val="none"/>
        </w:rPr>
      </w:pPr>
    </w:p>
    <w:p w14:paraId="2A6F157B">
      <w:pPr>
        <w:pStyle w:val="6"/>
        <w:wordWrap w:val="0"/>
        <w:autoSpaceDE/>
        <w:autoSpaceDN/>
        <w:snapToGrid w:val="0"/>
        <w:spacing w:line="440" w:lineRule="exact"/>
        <w:ind w:firstLine="480"/>
        <w:jc w:val="both"/>
        <w:rPr>
          <w:rFonts w:hint="eastAsia" w:ascii="宋体" w:hAnsi="宋体" w:eastAsia="宋体" w:cs="宋体"/>
          <w:b/>
          <w:snapToGrid w:val="0"/>
          <w:color w:val="auto"/>
          <w:sz w:val="24"/>
          <w:highlight w:val="none"/>
          <w:lang w:val="en-US" w:eastAsia="zh-CN"/>
        </w:rPr>
      </w:pPr>
      <w:bookmarkStart w:id="317" w:name="_Toc650"/>
      <w:bookmarkStart w:id="318" w:name="_Toc6754"/>
      <w:bookmarkStart w:id="319" w:name="_Toc22502"/>
      <w:bookmarkStart w:id="320" w:name="_Toc14044"/>
      <w:r>
        <w:rPr>
          <w:rFonts w:hint="eastAsia" w:ascii="宋体" w:hAnsi="宋体" w:eastAsia="宋体" w:cs="宋体"/>
          <w:b/>
          <w:snapToGrid w:val="0"/>
          <w:color w:val="auto"/>
          <w:sz w:val="24"/>
          <w:highlight w:val="none"/>
          <w:lang w:val="en-US" w:eastAsia="zh-CN"/>
        </w:rPr>
        <w:t>格式六   法定代表人身份证明</w:t>
      </w:r>
      <w:bookmarkEnd w:id="317"/>
      <w:bookmarkEnd w:id="318"/>
      <w:bookmarkEnd w:id="319"/>
      <w:bookmarkEnd w:id="320"/>
    </w:p>
    <w:p w14:paraId="160963AB">
      <w:pPr>
        <w:wordWrap w:val="0"/>
        <w:adjustRightInd w:val="0"/>
        <w:snapToGrid w:val="0"/>
        <w:spacing w:before="260" w:after="260" w:line="44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30"/>
          <w:highlight w:val="none"/>
        </w:rPr>
        <w:t>法定代表人身份证明</w:t>
      </w:r>
    </w:p>
    <w:p w14:paraId="5508B14C">
      <w:pPr>
        <w:spacing w:line="360" w:lineRule="auto"/>
        <w:rPr>
          <w:rFonts w:hint="eastAsia" w:ascii="宋体" w:hAnsi="宋体" w:eastAsia="宋体" w:cs="宋体"/>
          <w:color w:val="auto"/>
          <w:sz w:val="24"/>
          <w:highlight w:val="none"/>
        </w:rPr>
      </w:pPr>
    </w:p>
    <w:p w14:paraId="65A4340E">
      <w:pPr>
        <w:wordWrap w:val="0"/>
        <w:adjustRightInd w:val="0"/>
        <w:snapToGrid w:val="0"/>
        <w:spacing w:line="440" w:lineRule="exact"/>
        <w:rPr>
          <w:rFonts w:hint="eastAsia" w:ascii="宋体" w:hAnsi="宋体" w:eastAsia="宋体" w:cs="宋体"/>
          <w:snapToGrid w:val="0"/>
          <w:color w:val="auto"/>
          <w:kern w:val="0"/>
          <w:sz w:val="24"/>
          <w:szCs w:val="21"/>
          <w:highlight w:val="none"/>
          <w:u w:val="single"/>
        </w:rPr>
      </w:pPr>
      <w:r>
        <w:rPr>
          <w:rFonts w:hint="eastAsia" w:ascii="宋体" w:hAnsi="宋体" w:eastAsia="宋体" w:cs="宋体"/>
          <w:snapToGrid w:val="0"/>
          <w:color w:val="auto"/>
          <w:kern w:val="0"/>
          <w:sz w:val="24"/>
          <w:szCs w:val="21"/>
          <w:highlight w:val="none"/>
        </w:rPr>
        <w:t>投标人名称：</w:t>
      </w:r>
      <w:r>
        <w:rPr>
          <w:rFonts w:hint="eastAsia" w:ascii="宋体" w:hAnsi="宋体" w:eastAsia="宋体" w:cs="宋体"/>
          <w:snapToGrid w:val="0"/>
          <w:color w:val="auto"/>
          <w:kern w:val="0"/>
          <w:sz w:val="24"/>
          <w:szCs w:val="21"/>
          <w:highlight w:val="none"/>
          <w:u w:val="single"/>
        </w:rPr>
        <w:t xml:space="preserve">                  </w:t>
      </w:r>
    </w:p>
    <w:p w14:paraId="74F59837">
      <w:pPr>
        <w:wordWrap w:val="0"/>
        <w:adjustRightInd w:val="0"/>
        <w:snapToGrid w:val="0"/>
        <w:spacing w:line="440" w:lineRule="exact"/>
        <w:rPr>
          <w:rFonts w:hint="eastAsia" w:ascii="宋体" w:hAnsi="宋体" w:eastAsia="宋体" w:cs="宋体"/>
          <w:snapToGrid w:val="0"/>
          <w:color w:val="auto"/>
          <w:kern w:val="0"/>
          <w:sz w:val="24"/>
          <w:szCs w:val="21"/>
          <w:highlight w:val="none"/>
          <w:u w:val="single"/>
        </w:rPr>
      </w:pPr>
      <w:r>
        <w:rPr>
          <w:rFonts w:hint="eastAsia" w:ascii="宋体" w:hAnsi="宋体" w:eastAsia="宋体" w:cs="宋体"/>
          <w:snapToGrid w:val="0"/>
          <w:color w:val="auto"/>
          <w:kern w:val="0"/>
          <w:sz w:val="24"/>
          <w:szCs w:val="21"/>
          <w:highlight w:val="none"/>
        </w:rPr>
        <w:t>姓名：</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性别：</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年龄：</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职务：</w:t>
      </w:r>
      <w:r>
        <w:rPr>
          <w:rFonts w:hint="eastAsia" w:ascii="宋体" w:hAnsi="宋体" w:eastAsia="宋体" w:cs="宋体"/>
          <w:snapToGrid w:val="0"/>
          <w:color w:val="auto"/>
          <w:kern w:val="0"/>
          <w:sz w:val="24"/>
          <w:szCs w:val="21"/>
          <w:highlight w:val="none"/>
          <w:u w:val="single"/>
        </w:rPr>
        <w:t xml:space="preserve">           </w:t>
      </w:r>
    </w:p>
    <w:p w14:paraId="24EE3A73">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系</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（投标人名称）的法定代表人。</w:t>
      </w:r>
    </w:p>
    <w:p w14:paraId="1BFE1ACA">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特此证明。</w:t>
      </w:r>
    </w:p>
    <w:p w14:paraId="45A20E5A">
      <w:pPr>
        <w:spacing w:line="360" w:lineRule="auto"/>
        <w:rPr>
          <w:rFonts w:hint="eastAsia" w:ascii="宋体" w:hAnsi="宋体" w:eastAsia="宋体" w:cs="宋体"/>
          <w:color w:val="auto"/>
          <w:sz w:val="24"/>
          <w:highlight w:val="none"/>
        </w:rPr>
      </w:pPr>
    </w:p>
    <w:p w14:paraId="3FF3D3E8">
      <w:pPr>
        <w:spacing w:line="360" w:lineRule="auto"/>
        <w:rPr>
          <w:rFonts w:hint="eastAsia" w:ascii="宋体" w:hAnsi="宋体" w:eastAsia="宋体" w:cs="宋体"/>
          <w:color w:val="auto"/>
          <w:sz w:val="24"/>
          <w:highlight w:val="none"/>
        </w:rPr>
      </w:pPr>
    </w:p>
    <w:p w14:paraId="700D6DFE">
      <w:pPr>
        <w:wordWrap w:val="0"/>
        <w:adjustRightInd w:val="0"/>
        <w:snapToGrid w:val="0"/>
        <w:spacing w:line="440" w:lineRule="exact"/>
        <w:jc w:val="righ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投标人：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（盖单位章）</w:t>
      </w:r>
    </w:p>
    <w:p w14:paraId="605F39F2">
      <w:pPr>
        <w:spacing w:line="360" w:lineRule="auto"/>
        <w:rPr>
          <w:rFonts w:hint="eastAsia" w:ascii="宋体" w:hAnsi="宋体" w:eastAsia="宋体" w:cs="宋体"/>
          <w:color w:val="auto"/>
          <w:sz w:val="24"/>
          <w:highlight w:val="none"/>
        </w:rPr>
      </w:pPr>
    </w:p>
    <w:p w14:paraId="0EF1D931">
      <w:pPr>
        <w:spacing w:line="360" w:lineRule="auto"/>
        <w:rPr>
          <w:rFonts w:hint="eastAsia" w:ascii="宋体" w:hAnsi="宋体" w:eastAsia="宋体" w:cs="宋体"/>
          <w:color w:val="auto"/>
          <w:sz w:val="24"/>
          <w:highlight w:val="none"/>
        </w:rPr>
      </w:pPr>
    </w:p>
    <w:p w14:paraId="04E93357">
      <w:pPr>
        <w:wordWrap w:val="0"/>
        <w:adjustRightInd w:val="0"/>
        <w:snapToGrid w:val="0"/>
        <w:spacing w:line="440" w:lineRule="exact"/>
        <w:jc w:val="righ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法定代表人：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14:paraId="77DDC43F">
      <w:pPr>
        <w:spacing w:line="360" w:lineRule="auto"/>
        <w:rPr>
          <w:rFonts w:hint="eastAsia" w:ascii="宋体" w:hAnsi="宋体" w:eastAsia="宋体" w:cs="宋体"/>
          <w:color w:val="auto"/>
          <w:sz w:val="24"/>
          <w:highlight w:val="none"/>
        </w:rPr>
      </w:pPr>
    </w:p>
    <w:p w14:paraId="0B64FBE4">
      <w:pPr>
        <w:spacing w:line="360" w:lineRule="auto"/>
        <w:rPr>
          <w:rFonts w:hint="eastAsia" w:ascii="宋体" w:hAnsi="宋体" w:eastAsia="宋体" w:cs="宋体"/>
          <w:color w:val="auto"/>
          <w:sz w:val="24"/>
          <w:highlight w:val="none"/>
        </w:rPr>
      </w:pPr>
    </w:p>
    <w:p w14:paraId="1D7C5DD7">
      <w:pPr>
        <w:wordWrap w:val="0"/>
        <w:adjustRightInd w:val="0"/>
        <w:snapToGrid w:val="0"/>
        <w:spacing w:line="440" w:lineRule="exact"/>
        <w:jc w:val="center"/>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月</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 xml:space="preserve">日       </w:t>
      </w:r>
    </w:p>
    <w:p w14:paraId="39597FED">
      <w:pPr>
        <w:spacing w:line="360" w:lineRule="auto"/>
        <w:rPr>
          <w:rFonts w:hint="eastAsia" w:ascii="宋体" w:hAnsi="宋体" w:eastAsia="宋体" w:cs="宋体"/>
          <w:color w:val="auto"/>
          <w:sz w:val="24"/>
          <w:highlight w:val="none"/>
        </w:rPr>
      </w:pPr>
    </w:p>
    <w:p w14:paraId="26FC0590">
      <w:pPr>
        <w:spacing w:line="360" w:lineRule="auto"/>
        <w:rPr>
          <w:rFonts w:hint="eastAsia" w:ascii="宋体" w:hAnsi="宋体" w:eastAsia="宋体" w:cs="宋体"/>
          <w:color w:val="auto"/>
          <w:sz w:val="24"/>
          <w:highlight w:val="none"/>
        </w:rPr>
      </w:pPr>
    </w:p>
    <w:p w14:paraId="2D32616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3082290" cy="1584325"/>
                <wp:effectExtent l="4445" t="4445" r="18415" b="11430"/>
                <wp:wrapNone/>
                <wp:docPr id="3" name="流程图: 可选过程 3"/>
                <wp:cNvGraphicFramePr/>
                <a:graphic xmlns:a="http://schemas.openxmlformats.org/drawingml/2006/main">
                  <a:graphicData uri="http://schemas.microsoft.com/office/word/2010/wordprocessingShape">
                    <wps:wsp>
                      <wps:cNvSpPr/>
                      <wps:spPr>
                        <a:xfrm>
                          <a:off x="0" y="0"/>
                          <a:ext cx="308229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B7BDADD">
                            <w:pPr>
                              <w:spacing w:line="360" w:lineRule="auto"/>
                              <w:jc w:val="both"/>
                              <w:rPr>
                                <w:rFonts w:ascii="宋体"/>
                                <w:sz w:val="24"/>
                                <w:szCs w:val="21"/>
                              </w:rPr>
                            </w:pPr>
                            <w:r>
                              <w:rPr>
                                <w:rFonts w:hint="eastAsia" w:ascii="宋体"/>
                                <w:sz w:val="24"/>
                                <w:szCs w:val="21"/>
                              </w:rPr>
                              <w:t>法定代表人身份证彩色扫描件正、反面</w:t>
                            </w:r>
                          </w:p>
                        </w:txbxContent>
                      </wps:txbx>
                      <wps:bodyPr upright="1"/>
                    </wps:wsp>
                  </a:graphicData>
                </a:graphic>
              </wp:anchor>
            </w:drawing>
          </mc:Choice>
          <mc:Fallback>
            <w:pict>
              <v:shape id="_x0000_s1026" o:spid="_x0000_s1026" o:spt="176" type="#_x0000_t176" style="position:absolute;left:0pt;margin-left:127.5pt;margin-top:1.6pt;height:124.75pt;width:242.7pt;z-index:251659264;mso-width-relative:page;mso-height-relative:page;" fillcolor="#FFFFFF" filled="t" stroked="t" coordsize="21600,21600" o:gfxdata="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hcbCa1wAAAAkBAAAPAAAAAAAAAAEAIAAAACIAAABkcnMvZG93bnJldi54bWxQSwEC&#10;FAAUAAAACACHTuJAsgK/hC4CAABeBAAADgAAAAAAAAABACAAAAAmAQAAZHJzL2Uyb0RvYy54bWxQ&#10;SwUGAAAAAAYABgBZAQAAxgUAAAAA&#10;">
                <v:fill on="t" focussize="0,0"/>
                <v:stroke color="#000000" joinstyle="miter"/>
                <v:imagedata o:title=""/>
                <o:lock v:ext="edit" aspectratio="f"/>
                <v:textbox>
                  <w:txbxContent>
                    <w:p w14:paraId="6B7BDADD">
                      <w:pPr>
                        <w:spacing w:line="360" w:lineRule="auto"/>
                        <w:jc w:val="both"/>
                        <w:rPr>
                          <w:rFonts w:ascii="宋体"/>
                          <w:sz w:val="24"/>
                          <w:szCs w:val="21"/>
                        </w:rPr>
                      </w:pPr>
                      <w:r>
                        <w:rPr>
                          <w:rFonts w:hint="eastAsia" w:ascii="宋体"/>
                          <w:sz w:val="24"/>
                          <w:szCs w:val="21"/>
                        </w:rPr>
                        <w:t>法定代表人身份证彩色扫描件正、反面</w:t>
                      </w:r>
                    </w:p>
                  </w:txbxContent>
                </v:textbox>
              </v:shape>
            </w:pict>
          </mc:Fallback>
        </mc:AlternateContent>
      </w:r>
    </w:p>
    <w:p w14:paraId="39A27CDA">
      <w:pPr>
        <w:spacing w:line="360" w:lineRule="auto"/>
        <w:rPr>
          <w:rFonts w:hint="eastAsia" w:ascii="宋体" w:hAnsi="宋体" w:eastAsia="宋体" w:cs="宋体"/>
          <w:color w:val="auto"/>
          <w:sz w:val="24"/>
          <w:highlight w:val="none"/>
        </w:rPr>
      </w:pPr>
    </w:p>
    <w:p w14:paraId="3069DF10">
      <w:pPr>
        <w:spacing w:line="360" w:lineRule="auto"/>
        <w:rPr>
          <w:rFonts w:hint="eastAsia" w:ascii="宋体" w:hAnsi="宋体" w:eastAsia="宋体" w:cs="宋体"/>
          <w:color w:val="auto"/>
          <w:sz w:val="24"/>
          <w:highlight w:val="none"/>
        </w:rPr>
      </w:pPr>
    </w:p>
    <w:p w14:paraId="3DFBCBA6">
      <w:pPr>
        <w:spacing w:line="360" w:lineRule="auto"/>
        <w:rPr>
          <w:rFonts w:hint="eastAsia" w:ascii="宋体" w:hAnsi="宋体" w:eastAsia="宋体" w:cs="宋体"/>
          <w:color w:val="auto"/>
          <w:sz w:val="24"/>
          <w:highlight w:val="none"/>
        </w:rPr>
      </w:pPr>
    </w:p>
    <w:p w14:paraId="3BBEB2AD">
      <w:pPr>
        <w:spacing w:line="360" w:lineRule="auto"/>
        <w:rPr>
          <w:rFonts w:hint="eastAsia" w:ascii="宋体" w:hAnsi="宋体" w:eastAsia="宋体" w:cs="宋体"/>
          <w:color w:val="auto"/>
          <w:sz w:val="24"/>
          <w:highlight w:val="none"/>
        </w:rPr>
      </w:pPr>
    </w:p>
    <w:p w14:paraId="57FEA11A">
      <w:pPr>
        <w:spacing w:line="360" w:lineRule="auto"/>
        <w:rPr>
          <w:rFonts w:hint="eastAsia" w:ascii="宋体" w:hAnsi="宋体" w:eastAsia="宋体" w:cs="宋体"/>
          <w:color w:val="auto"/>
          <w:sz w:val="24"/>
          <w:highlight w:val="none"/>
        </w:rPr>
      </w:pPr>
    </w:p>
    <w:p w14:paraId="40BD2B76">
      <w:pPr>
        <w:spacing w:line="360" w:lineRule="auto"/>
        <w:rPr>
          <w:rFonts w:hint="eastAsia" w:ascii="宋体" w:hAnsi="宋体" w:eastAsia="宋体" w:cs="宋体"/>
          <w:color w:val="auto"/>
          <w:sz w:val="24"/>
          <w:highlight w:val="none"/>
        </w:rPr>
      </w:pPr>
    </w:p>
    <w:p w14:paraId="4B8F5CC8">
      <w:pPr>
        <w:spacing w:line="360" w:lineRule="auto"/>
        <w:rPr>
          <w:rFonts w:hint="eastAsia" w:ascii="宋体" w:hAnsi="宋体" w:eastAsia="宋体" w:cs="宋体"/>
          <w:color w:val="auto"/>
          <w:sz w:val="24"/>
          <w:highlight w:val="none"/>
        </w:rPr>
      </w:pPr>
    </w:p>
    <w:p w14:paraId="5BC12CFE">
      <w:pPr>
        <w:spacing w:line="360" w:lineRule="auto"/>
        <w:rPr>
          <w:rFonts w:hint="eastAsia" w:ascii="宋体" w:hAnsi="宋体" w:eastAsia="宋体" w:cs="宋体"/>
          <w:color w:val="auto"/>
          <w:sz w:val="24"/>
          <w:highlight w:val="none"/>
        </w:rPr>
      </w:pPr>
    </w:p>
    <w:p w14:paraId="28CF58F2">
      <w:pPr>
        <w:pStyle w:val="6"/>
        <w:wordWrap w:val="0"/>
        <w:autoSpaceDE/>
        <w:autoSpaceDN/>
        <w:snapToGrid w:val="0"/>
        <w:spacing w:line="440" w:lineRule="exact"/>
        <w:ind w:firstLine="480"/>
        <w:jc w:val="both"/>
        <w:rPr>
          <w:rFonts w:hint="eastAsia" w:ascii="宋体" w:hAnsi="宋体" w:eastAsia="宋体" w:cs="宋体"/>
          <w:color w:val="auto"/>
          <w:sz w:val="24"/>
          <w:highlight w:val="none"/>
        </w:rPr>
      </w:pPr>
      <w:bookmarkStart w:id="321" w:name="_Toc295"/>
      <w:bookmarkStart w:id="322" w:name="_Toc8768"/>
      <w:bookmarkStart w:id="323" w:name="_Toc32048"/>
      <w:bookmarkStart w:id="324" w:name="_Toc11795"/>
      <w:r>
        <w:rPr>
          <w:rFonts w:hint="eastAsia" w:ascii="宋体" w:hAnsi="宋体" w:eastAsia="宋体" w:cs="宋体"/>
          <w:b/>
          <w:snapToGrid w:val="0"/>
          <w:color w:val="auto"/>
          <w:sz w:val="24"/>
          <w:highlight w:val="none"/>
          <w:lang w:val="en-US" w:eastAsia="zh-CN"/>
        </w:rPr>
        <w:t>格式七   投标人基本情况表</w:t>
      </w:r>
      <w:bookmarkEnd w:id="321"/>
      <w:bookmarkEnd w:id="322"/>
      <w:bookmarkEnd w:id="323"/>
      <w:bookmarkEnd w:id="324"/>
    </w:p>
    <w:p w14:paraId="22885FE2">
      <w:pPr>
        <w:wordWrap w:val="0"/>
        <w:adjustRightInd w:val="0"/>
        <w:snapToGrid w:val="0"/>
        <w:spacing w:before="260" w:after="260"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30"/>
          <w:highlight w:val="none"/>
        </w:rPr>
        <w:t>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0016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DDBD049">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投标人名称</w:t>
            </w:r>
          </w:p>
        </w:tc>
        <w:tc>
          <w:tcPr>
            <w:tcW w:w="7020" w:type="dxa"/>
            <w:gridSpan w:val="8"/>
            <w:noWrap w:val="0"/>
            <w:vAlign w:val="center"/>
          </w:tcPr>
          <w:p w14:paraId="62FC522E">
            <w:pPr>
              <w:wordWrap w:val="0"/>
              <w:adjustRightInd w:val="0"/>
              <w:snapToGrid w:val="0"/>
              <w:jc w:val="center"/>
              <w:rPr>
                <w:rFonts w:hint="eastAsia" w:ascii="宋体" w:hAnsi="宋体" w:eastAsia="宋体" w:cs="宋体"/>
                <w:snapToGrid w:val="0"/>
                <w:color w:val="auto"/>
                <w:kern w:val="0"/>
                <w:szCs w:val="21"/>
                <w:highlight w:val="none"/>
              </w:rPr>
            </w:pPr>
          </w:p>
        </w:tc>
      </w:tr>
      <w:tr w14:paraId="776C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4C042EBA">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注册地址</w:t>
            </w:r>
          </w:p>
        </w:tc>
        <w:tc>
          <w:tcPr>
            <w:tcW w:w="3389" w:type="dxa"/>
            <w:gridSpan w:val="3"/>
            <w:noWrap w:val="0"/>
            <w:vAlign w:val="center"/>
          </w:tcPr>
          <w:p w14:paraId="7B4CE701">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14:paraId="76831C1F">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邮政编码</w:t>
            </w:r>
          </w:p>
        </w:tc>
        <w:tc>
          <w:tcPr>
            <w:tcW w:w="2385" w:type="dxa"/>
            <w:gridSpan w:val="3"/>
            <w:noWrap w:val="0"/>
            <w:vAlign w:val="center"/>
          </w:tcPr>
          <w:p w14:paraId="562A6ECA">
            <w:pPr>
              <w:wordWrap w:val="0"/>
              <w:adjustRightInd w:val="0"/>
              <w:snapToGrid w:val="0"/>
              <w:jc w:val="center"/>
              <w:rPr>
                <w:rFonts w:hint="eastAsia" w:ascii="宋体" w:hAnsi="宋体" w:eastAsia="宋体" w:cs="宋体"/>
                <w:snapToGrid w:val="0"/>
                <w:color w:val="auto"/>
                <w:kern w:val="0"/>
                <w:szCs w:val="21"/>
                <w:highlight w:val="none"/>
              </w:rPr>
            </w:pPr>
          </w:p>
        </w:tc>
      </w:tr>
      <w:tr w14:paraId="60F1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14:paraId="4C38099D">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联系方式</w:t>
            </w:r>
          </w:p>
        </w:tc>
        <w:tc>
          <w:tcPr>
            <w:tcW w:w="897" w:type="dxa"/>
            <w:noWrap w:val="0"/>
            <w:vAlign w:val="center"/>
          </w:tcPr>
          <w:p w14:paraId="6D3C8303">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联系人</w:t>
            </w:r>
          </w:p>
        </w:tc>
        <w:tc>
          <w:tcPr>
            <w:tcW w:w="2492" w:type="dxa"/>
            <w:gridSpan w:val="2"/>
            <w:noWrap w:val="0"/>
            <w:vAlign w:val="center"/>
          </w:tcPr>
          <w:p w14:paraId="035AA9F6">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14:paraId="02D53D1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  话</w:t>
            </w:r>
          </w:p>
        </w:tc>
        <w:tc>
          <w:tcPr>
            <w:tcW w:w="2385" w:type="dxa"/>
            <w:gridSpan w:val="3"/>
            <w:noWrap w:val="0"/>
            <w:vAlign w:val="center"/>
          </w:tcPr>
          <w:p w14:paraId="6E591475">
            <w:pPr>
              <w:wordWrap w:val="0"/>
              <w:adjustRightInd w:val="0"/>
              <w:snapToGrid w:val="0"/>
              <w:jc w:val="center"/>
              <w:rPr>
                <w:rFonts w:hint="eastAsia" w:ascii="宋体" w:hAnsi="宋体" w:eastAsia="宋体" w:cs="宋体"/>
                <w:snapToGrid w:val="0"/>
                <w:color w:val="auto"/>
                <w:kern w:val="0"/>
                <w:szCs w:val="21"/>
                <w:highlight w:val="none"/>
              </w:rPr>
            </w:pPr>
          </w:p>
        </w:tc>
      </w:tr>
      <w:tr w14:paraId="6C5D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14:paraId="389B3001">
            <w:pPr>
              <w:wordWrap w:val="0"/>
              <w:adjustRightInd w:val="0"/>
              <w:snapToGrid w:val="0"/>
              <w:jc w:val="center"/>
              <w:rPr>
                <w:rFonts w:hint="eastAsia" w:ascii="宋体" w:hAnsi="宋体" w:eastAsia="宋体" w:cs="宋体"/>
                <w:snapToGrid w:val="0"/>
                <w:color w:val="auto"/>
                <w:kern w:val="0"/>
                <w:szCs w:val="21"/>
                <w:highlight w:val="none"/>
              </w:rPr>
            </w:pPr>
          </w:p>
        </w:tc>
        <w:tc>
          <w:tcPr>
            <w:tcW w:w="897" w:type="dxa"/>
            <w:noWrap w:val="0"/>
            <w:vAlign w:val="center"/>
          </w:tcPr>
          <w:p w14:paraId="5724647F">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传  真</w:t>
            </w:r>
          </w:p>
        </w:tc>
        <w:tc>
          <w:tcPr>
            <w:tcW w:w="2492" w:type="dxa"/>
            <w:gridSpan w:val="2"/>
            <w:noWrap w:val="0"/>
            <w:vAlign w:val="center"/>
          </w:tcPr>
          <w:p w14:paraId="289E431D">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14:paraId="214328B5">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电子邮箱</w:t>
            </w:r>
          </w:p>
        </w:tc>
        <w:tc>
          <w:tcPr>
            <w:tcW w:w="2385" w:type="dxa"/>
            <w:gridSpan w:val="3"/>
            <w:noWrap w:val="0"/>
            <w:vAlign w:val="center"/>
          </w:tcPr>
          <w:p w14:paraId="75CBF782">
            <w:pPr>
              <w:wordWrap w:val="0"/>
              <w:adjustRightInd w:val="0"/>
              <w:snapToGrid w:val="0"/>
              <w:jc w:val="center"/>
              <w:rPr>
                <w:rFonts w:hint="eastAsia" w:ascii="宋体" w:hAnsi="宋体" w:eastAsia="宋体" w:cs="宋体"/>
                <w:snapToGrid w:val="0"/>
                <w:color w:val="auto"/>
                <w:kern w:val="0"/>
                <w:szCs w:val="21"/>
                <w:highlight w:val="none"/>
              </w:rPr>
            </w:pPr>
          </w:p>
        </w:tc>
      </w:tr>
      <w:tr w14:paraId="0F81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773578D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单位性质</w:t>
            </w:r>
          </w:p>
        </w:tc>
        <w:tc>
          <w:tcPr>
            <w:tcW w:w="7020" w:type="dxa"/>
            <w:gridSpan w:val="8"/>
            <w:noWrap w:val="0"/>
            <w:vAlign w:val="center"/>
          </w:tcPr>
          <w:p w14:paraId="052C356C">
            <w:pPr>
              <w:wordWrap w:val="0"/>
              <w:adjustRightInd w:val="0"/>
              <w:snapToGrid w:val="0"/>
              <w:jc w:val="center"/>
              <w:rPr>
                <w:rFonts w:hint="eastAsia" w:ascii="宋体" w:hAnsi="宋体" w:eastAsia="宋体" w:cs="宋体"/>
                <w:snapToGrid w:val="0"/>
                <w:color w:val="auto"/>
                <w:kern w:val="0"/>
                <w:szCs w:val="21"/>
                <w:highlight w:val="none"/>
              </w:rPr>
            </w:pPr>
          </w:p>
        </w:tc>
      </w:tr>
      <w:tr w14:paraId="1A76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649FA638">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w:t>
            </w:r>
          </w:p>
        </w:tc>
        <w:tc>
          <w:tcPr>
            <w:tcW w:w="897" w:type="dxa"/>
            <w:noWrap w:val="0"/>
            <w:vAlign w:val="center"/>
          </w:tcPr>
          <w:p w14:paraId="6DAEEF68">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姓名</w:t>
            </w:r>
          </w:p>
        </w:tc>
        <w:tc>
          <w:tcPr>
            <w:tcW w:w="1689" w:type="dxa"/>
            <w:noWrap w:val="0"/>
            <w:vAlign w:val="center"/>
          </w:tcPr>
          <w:p w14:paraId="655969D3">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noWrap w:val="0"/>
            <w:vAlign w:val="center"/>
          </w:tcPr>
          <w:p w14:paraId="2C9C3EA5">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技术职称</w:t>
            </w:r>
          </w:p>
        </w:tc>
        <w:tc>
          <w:tcPr>
            <w:tcW w:w="1220" w:type="dxa"/>
            <w:gridSpan w:val="2"/>
            <w:noWrap w:val="0"/>
            <w:vAlign w:val="center"/>
          </w:tcPr>
          <w:p w14:paraId="6C888226">
            <w:pPr>
              <w:wordWrap w:val="0"/>
              <w:adjustRightInd w:val="0"/>
              <w:snapToGrid w:val="0"/>
              <w:jc w:val="center"/>
              <w:rPr>
                <w:rFonts w:hint="eastAsia" w:ascii="宋体" w:hAnsi="宋体" w:eastAsia="宋体" w:cs="宋体"/>
                <w:snapToGrid w:val="0"/>
                <w:color w:val="auto"/>
                <w:kern w:val="0"/>
                <w:szCs w:val="21"/>
                <w:highlight w:val="none"/>
              </w:rPr>
            </w:pPr>
          </w:p>
        </w:tc>
        <w:tc>
          <w:tcPr>
            <w:tcW w:w="709" w:type="dxa"/>
            <w:noWrap w:val="0"/>
            <w:vAlign w:val="center"/>
          </w:tcPr>
          <w:p w14:paraId="597D3F60">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电话</w:t>
            </w:r>
          </w:p>
        </w:tc>
        <w:tc>
          <w:tcPr>
            <w:tcW w:w="1416" w:type="dxa"/>
            <w:noWrap w:val="0"/>
            <w:vAlign w:val="center"/>
          </w:tcPr>
          <w:p w14:paraId="3B7A22CF">
            <w:pPr>
              <w:wordWrap w:val="0"/>
              <w:adjustRightInd w:val="0"/>
              <w:snapToGrid w:val="0"/>
              <w:jc w:val="center"/>
              <w:rPr>
                <w:rFonts w:hint="eastAsia" w:ascii="宋体" w:hAnsi="宋体" w:eastAsia="宋体" w:cs="宋体"/>
                <w:snapToGrid w:val="0"/>
                <w:color w:val="auto"/>
                <w:kern w:val="0"/>
                <w:szCs w:val="21"/>
                <w:highlight w:val="none"/>
              </w:rPr>
            </w:pPr>
          </w:p>
        </w:tc>
      </w:tr>
      <w:tr w14:paraId="7BE5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B9BE6C2">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成立时间</w:t>
            </w:r>
          </w:p>
        </w:tc>
        <w:tc>
          <w:tcPr>
            <w:tcW w:w="2586" w:type="dxa"/>
            <w:gridSpan w:val="2"/>
            <w:noWrap w:val="0"/>
            <w:vAlign w:val="center"/>
          </w:tcPr>
          <w:p w14:paraId="445383EE">
            <w:pPr>
              <w:wordWrap w:val="0"/>
              <w:adjustRightInd w:val="0"/>
              <w:snapToGrid w:val="0"/>
              <w:jc w:val="center"/>
              <w:rPr>
                <w:rFonts w:hint="eastAsia" w:ascii="宋体" w:hAnsi="宋体" w:eastAsia="宋体" w:cs="宋体"/>
                <w:snapToGrid w:val="0"/>
                <w:color w:val="auto"/>
                <w:kern w:val="0"/>
                <w:szCs w:val="21"/>
                <w:highlight w:val="none"/>
              </w:rPr>
            </w:pPr>
          </w:p>
        </w:tc>
        <w:tc>
          <w:tcPr>
            <w:tcW w:w="4434" w:type="dxa"/>
            <w:gridSpan w:val="6"/>
            <w:noWrap w:val="0"/>
            <w:vAlign w:val="center"/>
          </w:tcPr>
          <w:p w14:paraId="34BA7F57">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员工总人数（个）：</w:t>
            </w:r>
          </w:p>
        </w:tc>
      </w:tr>
      <w:tr w14:paraId="79A1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noWrap w:val="0"/>
            <w:vAlign w:val="center"/>
          </w:tcPr>
          <w:p w14:paraId="19F5484F">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企业资质</w:t>
            </w:r>
          </w:p>
          <w:p w14:paraId="46C3D95D">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类型和等级</w:t>
            </w:r>
          </w:p>
        </w:tc>
        <w:tc>
          <w:tcPr>
            <w:tcW w:w="2586" w:type="dxa"/>
            <w:gridSpan w:val="2"/>
            <w:noWrap w:val="0"/>
            <w:vAlign w:val="center"/>
          </w:tcPr>
          <w:p w14:paraId="1EA49363">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restart"/>
            <w:noWrap w:val="0"/>
            <w:vAlign w:val="center"/>
          </w:tcPr>
          <w:p w14:paraId="10A9E1BD">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其中</w:t>
            </w:r>
          </w:p>
        </w:tc>
        <w:tc>
          <w:tcPr>
            <w:tcW w:w="1929" w:type="dxa"/>
            <w:gridSpan w:val="3"/>
            <w:noWrap w:val="0"/>
            <w:vAlign w:val="center"/>
          </w:tcPr>
          <w:p w14:paraId="30FD8B8B">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项目经理</w:t>
            </w:r>
          </w:p>
        </w:tc>
        <w:tc>
          <w:tcPr>
            <w:tcW w:w="1416" w:type="dxa"/>
            <w:noWrap w:val="0"/>
            <w:vAlign w:val="center"/>
          </w:tcPr>
          <w:p w14:paraId="4DBBB5E5">
            <w:pPr>
              <w:wordWrap w:val="0"/>
              <w:adjustRightInd w:val="0"/>
              <w:snapToGrid w:val="0"/>
              <w:jc w:val="center"/>
              <w:rPr>
                <w:rFonts w:hint="eastAsia" w:ascii="宋体" w:hAnsi="宋体" w:eastAsia="宋体" w:cs="宋体"/>
                <w:snapToGrid w:val="0"/>
                <w:color w:val="auto"/>
                <w:kern w:val="0"/>
                <w:szCs w:val="21"/>
                <w:highlight w:val="none"/>
              </w:rPr>
            </w:pPr>
          </w:p>
        </w:tc>
      </w:tr>
      <w:tr w14:paraId="6657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70304F62">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营业执照号</w:t>
            </w:r>
          </w:p>
        </w:tc>
        <w:tc>
          <w:tcPr>
            <w:tcW w:w="2586" w:type="dxa"/>
            <w:gridSpan w:val="2"/>
            <w:noWrap w:val="0"/>
            <w:vAlign w:val="center"/>
          </w:tcPr>
          <w:p w14:paraId="21707E77">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6A99DF30">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43A53F22">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高级职称人员</w:t>
            </w:r>
          </w:p>
        </w:tc>
        <w:tc>
          <w:tcPr>
            <w:tcW w:w="1416" w:type="dxa"/>
            <w:noWrap w:val="0"/>
            <w:vAlign w:val="center"/>
          </w:tcPr>
          <w:p w14:paraId="5126531B">
            <w:pPr>
              <w:wordWrap w:val="0"/>
              <w:adjustRightInd w:val="0"/>
              <w:snapToGrid w:val="0"/>
              <w:jc w:val="center"/>
              <w:rPr>
                <w:rFonts w:hint="eastAsia" w:ascii="宋体" w:hAnsi="宋体" w:eastAsia="宋体" w:cs="宋体"/>
                <w:snapToGrid w:val="0"/>
                <w:color w:val="auto"/>
                <w:kern w:val="0"/>
                <w:szCs w:val="21"/>
                <w:highlight w:val="none"/>
              </w:rPr>
            </w:pPr>
          </w:p>
        </w:tc>
      </w:tr>
      <w:tr w14:paraId="5581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14:paraId="19795E0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注册资金</w:t>
            </w:r>
          </w:p>
        </w:tc>
        <w:tc>
          <w:tcPr>
            <w:tcW w:w="2586" w:type="dxa"/>
            <w:gridSpan w:val="2"/>
            <w:noWrap w:val="0"/>
            <w:vAlign w:val="center"/>
          </w:tcPr>
          <w:p w14:paraId="57EBA224">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3B5BF2D6">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42B4DD8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中级职称人员</w:t>
            </w:r>
          </w:p>
        </w:tc>
        <w:tc>
          <w:tcPr>
            <w:tcW w:w="1416" w:type="dxa"/>
            <w:noWrap w:val="0"/>
            <w:vAlign w:val="center"/>
          </w:tcPr>
          <w:p w14:paraId="6CF888E7">
            <w:pPr>
              <w:wordWrap w:val="0"/>
              <w:adjustRightInd w:val="0"/>
              <w:snapToGrid w:val="0"/>
              <w:jc w:val="center"/>
              <w:rPr>
                <w:rFonts w:hint="eastAsia" w:ascii="宋体" w:hAnsi="宋体" w:eastAsia="宋体" w:cs="宋体"/>
                <w:snapToGrid w:val="0"/>
                <w:color w:val="auto"/>
                <w:kern w:val="0"/>
                <w:szCs w:val="21"/>
                <w:highlight w:val="none"/>
              </w:rPr>
            </w:pPr>
          </w:p>
        </w:tc>
      </w:tr>
      <w:tr w14:paraId="697F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noWrap w:val="0"/>
            <w:vAlign w:val="center"/>
          </w:tcPr>
          <w:p w14:paraId="2C557D3A">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14:paraId="69F6BF71">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开户银行</w:t>
            </w:r>
          </w:p>
        </w:tc>
        <w:tc>
          <w:tcPr>
            <w:tcW w:w="2586" w:type="dxa"/>
            <w:gridSpan w:val="2"/>
            <w:noWrap w:val="0"/>
            <w:vAlign w:val="center"/>
          </w:tcPr>
          <w:p w14:paraId="32DC20F4">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7C7A9746">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1DE927CB">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初级职称人员</w:t>
            </w:r>
          </w:p>
        </w:tc>
        <w:tc>
          <w:tcPr>
            <w:tcW w:w="1416" w:type="dxa"/>
            <w:noWrap w:val="0"/>
            <w:vAlign w:val="center"/>
          </w:tcPr>
          <w:p w14:paraId="3463E82D">
            <w:pPr>
              <w:wordWrap w:val="0"/>
              <w:adjustRightInd w:val="0"/>
              <w:snapToGrid w:val="0"/>
              <w:jc w:val="center"/>
              <w:rPr>
                <w:rFonts w:hint="eastAsia" w:ascii="宋体" w:hAnsi="宋体" w:eastAsia="宋体" w:cs="宋体"/>
                <w:snapToGrid w:val="0"/>
                <w:color w:val="auto"/>
                <w:kern w:val="0"/>
                <w:szCs w:val="21"/>
                <w:highlight w:val="none"/>
              </w:rPr>
            </w:pPr>
          </w:p>
        </w:tc>
      </w:tr>
      <w:tr w14:paraId="75D4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noWrap w:val="0"/>
            <w:vAlign w:val="center"/>
          </w:tcPr>
          <w:p w14:paraId="704334DB">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14:paraId="3E313C1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银行账号</w:t>
            </w:r>
          </w:p>
        </w:tc>
        <w:tc>
          <w:tcPr>
            <w:tcW w:w="2586" w:type="dxa"/>
            <w:gridSpan w:val="2"/>
            <w:noWrap w:val="0"/>
            <w:vAlign w:val="center"/>
          </w:tcPr>
          <w:p w14:paraId="0EE42D64">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14:paraId="1F09AD33">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14:paraId="2D80AFF6">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技术员</w:t>
            </w:r>
          </w:p>
        </w:tc>
        <w:tc>
          <w:tcPr>
            <w:tcW w:w="1416" w:type="dxa"/>
            <w:noWrap w:val="0"/>
            <w:vAlign w:val="center"/>
          </w:tcPr>
          <w:p w14:paraId="07F0795E">
            <w:pPr>
              <w:wordWrap w:val="0"/>
              <w:adjustRightInd w:val="0"/>
              <w:snapToGrid w:val="0"/>
              <w:jc w:val="center"/>
              <w:rPr>
                <w:rFonts w:hint="eastAsia" w:ascii="宋体" w:hAnsi="宋体" w:eastAsia="宋体" w:cs="宋体"/>
                <w:snapToGrid w:val="0"/>
                <w:color w:val="auto"/>
                <w:kern w:val="0"/>
                <w:szCs w:val="21"/>
                <w:highlight w:val="none"/>
              </w:rPr>
            </w:pPr>
          </w:p>
        </w:tc>
      </w:tr>
      <w:tr w14:paraId="15FE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85" w:type="dxa"/>
            <w:noWrap w:val="0"/>
            <w:vAlign w:val="center"/>
          </w:tcPr>
          <w:p w14:paraId="102FAA52">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经营范围</w:t>
            </w:r>
          </w:p>
        </w:tc>
        <w:tc>
          <w:tcPr>
            <w:tcW w:w="7020" w:type="dxa"/>
            <w:gridSpan w:val="8"/>
            <w:noWrap w:val="0"/>
            <w:vAlign w:val="center"/>
          </w:tcPr>
          <w:p w14:paraId="7AE3A99E">
            <w:pPr>
              <w:wordWrap w:val="0"/>
              <w:adjustRightInd w:val="0"/>
              <w:snapToGrid w:val="0"/>
              <w:jc w:val="left"/>
              <w:rPr>
                <w:rFonts w:hint="eastAsia" w:ascii="宋体" w:hAnsi="宋体" w:eastAsia="宋体" w:cs="宋体"/>
                <w:snapToGrid w:val="0"/>
                <w:color w:val="auto"/>
                <w:kern w:val="0"/>
                <w:szCs w:val="21"/>
                <w:highlight w:val="none"/>
              </w:rPr>
            </w:pPr>
          </w:p>
        </w:tc>
      </w:tr>
      <w:tr w14:paraId="5D7B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85" w:type="dxa"/>
            <w:noWrap w:val="0"/>
            <w:vAlign w:val="center"/>
          </w:tcPr>
          <w:p w14:paraId="193B2C8E">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关联企业情况</w:t>
            </w:r>
          </w:p>
        </w:tc>
        <w:tc>
          <w:tcPr>
            <w:tcW w:w="7020" w:type="dxa"/>
            <w:gridSpan w:val="8"/>
            <w:noWrap w:val="0"/>
            <w:vAlign w:val="center"/>
          </w:tcPr>
          <w:p w14:paraId="4CF7DC24">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包括但不限于与投标人存在以下关系的不同单位：</w:t>
            </w:r>
          </w:p>
          <w:p w14:paraId="2B9A9D88">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1.</w:t>
            </w:r>
            <w:r>
              <w:rPr>
                <w:rFonts w:hint="eastAsia" w:ascii="宋体" w:hAnsi="宋体" w:eastAsia="宋体" w:cs="宋体"/>
                <w:snapToGrid w:val="0"/>
                <w:color w:val="auto"/>
                <w:kern w:val="0"/>
                <w:szCs w:val="21"/>
                <w:highlight w:val="none"/>
              </w:rPr>
              <w:t>法定代表人为同一人的。</w:t>
            </w:r>
          </w:p>
          <w:p w14:paraId="4F2FF704">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2.</w:t>
            </w:r>
            <w:r>
              <w:rPr>
                <w:rFonts w:hint="eastAsia" w:ascii="宋体" w:hAnsi="宋体" w:eastAsia="宋体" w:cs="宋体"/>
                <w:snapToGrid w:val="0"/>
                <w:color w:val="auto"/>
                <w:kern w:val="0"/>
                <w:szCs w:val="21"/>
                <w:highlight w:val="none"/>
              </w:rPr>
              <w:t>存在控股、管理关系的。</w:t>
            </w:r>
          </w:p>
          <w:p w14:paraId="581011B5">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3.</w:t>
            </w:r>
            <w:r>
              <w:rPr>
                <w:rFonts w:hint="eastAsia" w:ascii="宋体" w:hAnsi="宋体" w:eastAsia="宋体" w:cs="宋体"/>
                <w:snapToGrid w:val="0"/>
                <w:color w:val="auto"/>
                <w:kern w:val="0"/>
                <w:szCs w:val="21"/>
                <w:highlight w:val="none"/>
              </w:rPr>
              <w:t>主要人员相互任职的。</w:t>
            </w:r>
          </w:p>
        </w:tc>
      </w:tr>
      <w:tr w14:paraId="5AD9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noWrap w:val="0"/>
            <w:vAlign w:val="center"/>
          </w:tcPr>
          <w:p w14:paraId="47E39CD3">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备注</w:t>
            </w:r>
          </w:p>
        </w:tc>
        <w:tc>
          <w:tcPr>
            <w:tcW w:w="7020" w:type="dxa"/>
            <w:gridSpan w:val="8"/>
            <w:noWrap w:val="0"/>
            <w:vAlign w:val="center"/>
          </w:tcPr>
          <w:p w14:paraId="62AEF6F2">
            <w:pPr>
              <w:wordWrap w:val="0"/>
              <w:adjustRightInd w:val="0"/>
              <w:snapToGrid w:val="0"/>
              <w:jc w:val="center"/>
              <w:rPr>
                <w:rFonts w:hint="eastAsia" w:ascii="宋体" w:hAnsi="宋体" w:eastAsia="宋体" w:cs="宋体"/>
                <w:snapToGrid w:val="0"/>
                <w:color w:val="auto"/>
                <w:kern w:val="0"/>
                <w:szCs w:val="21"/>
                <w:highlight w:val="none"/>
              </w:rPr>
            </w:pPr>
          </w:p>
        </w:tc>
      </w:tr>
    </w:tbl>
    <w:p w14:paraId="04B7A98B">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w:t>
      </w:r>
    </w:p>
    <w:p w14:paraId="05E787CB">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eastAsia="zh-CN"/>
        </w:rPr>
        <w:t>1.</w:t>
      </w:r>
      <w:r>
        <w:rPr>
          <w:rFonts w:hint="eastAsia" w:ascii="宋体" w:hAnsi="宋体" w:eastAsia="宋体" w:cs="宋体"/>
          <w:snapToGrid w:val="0"/>
          <w:color w:val="auto"/>
          <w:kern w:val="0"/>
          <w:szCs w:val="21"/>
          <w:highlight w:val="none"/>
        </w:rPr>
        <w:t>《投标人基本情况表》后应附以下资料：</w:t>
      </w:r>
    </w:p>
    <w:p w14:paraId="429921BB">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（1）企业营业执照、资质证书的证书彩色扫描件；</w:t>
      </w:r>
    </w:p>
    <w:p w14:paraId="7EEFC463">
      <w:pPr>
        <w:wordWrap w:val="0"/>
        <w:adjustRightInd w:val="0"/>
        <w:snapToGrid w:val="0"/>
        <w:spacing w:line="400" w:lineRule="exact"/>
        <w:ind w:firstLine="420" w:firstLineChars="200"/>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szCs w:val="24"/>
          <w:highlight w:val="none"/>
        </w:rPr>
        <w:t>“进粤企业和人员诚信信息登记平台”企业信息情况彩色扫描件。（适用于省外建筑企业）；</w:t>
      </w:r>
    </w:p>
    <w:p w14:paraId="10F3F82E">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（3）《法人和非法人组织公共信用信息报告》扫描件</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在“信用中国”网站企业查询界面中下载</w:t>
      </w:r>
      <w:r>
        <w:rPr>
          <w:rFonts w:hint="eastAsia" w:ascii="宋体" w:hAnsi="宋体" w:eastAsia="宋体" w:cs="宋体"/>
          <w:snapToGrid w:val="0"/>
          <w:color w:val="auto"/>
          <w:kern w:val="0"/>
          <w:szCs w:val="21"/>
          <w:highlight w:val="none"/>
          <w:lang w:eastAsia="zh-CN"/>
        </w:rPr>
        <w:t>）</w:t>
      </w:r>
      <w:r>
        <w:rPr>
          <w:rFonts w:hint="eastAsia" w:ascii="宋体" w:hAnsi="宋体" w:eastAsia="宋体" w:cs="宋体"/>
          <w:snapToGrid w:val="0"/>
          <w:color w:val="auto"/>
          <w:kern w:val="0"/>
          <w:szCs w:val="21"/>
          <w:highlight w:val="none"/>
        </w:rPr>
        <w:t>。</w:t>
      </w:r>
    </w:p>
    <w:p w14:paraId="75181051">
      <w:pPr>
        <w:rPr>
          <w:rFonts w:hint="eastAsia" w:ascii="宋体" w:hAnsi="宋体" w:eastAsia="宋体" w:cs="宋体"/>
          <w:color w:val="auto"/>
        </w:rPr>
      </w:pPr>
    </w:p>
    <w:p w14:paraId="1CEEDEDF">
      <w:pPr>
        <w:rPr>
          <w:rFonts w:hint="eastAsia" w:ascii="宋体" w:hAnsi="宋体" w:eastAsia="宋体" w:cs="宋体"/>
          <w:color w:val="auto"/>
        </w:rPr>
      </w:pPr>
    </w:p>
    <w:p w14:paraId="71F25CE7">
      <w:pPr>
        <w:rPr>
          <w:rFonts w:hint="eastAsia" w:ascii="宋体" w:hAnsi="宋体" w:eastAsia="宋体" w:cs="宋体"/>
          <w:color w:val="auto"/>
        </w:rPr>
      </w:pPr>
    </w:p>
    <w:p w14:paraId="3ACD9271">
      <w:pPr>
        <w:pStyle w:val="6"/>
        <w:wordWrap w:val="0"/>
        <w:autoSpaceDE/>
        <w:autoSpaceDN/>
        <w:snapToGrid w:val="0"/>
        <w:spacing w:line="440" w:lineRule="exact"/>
        <w:ind w:firstLine="480"/>
        <w:jc w:val="both"/>
        <w:rPr>
          <w:rFonts w:hint="eastAsia" w:ascii="宋体" w:hAnsi="宋体" w:eastAsia="宋体" w:cs="宋体"/>
          <w:b/>
          <w:snapToGrid w:val="0"/>
          <w:color w:val="auto"/>
          <w:sz w:val="24"/>
          <w:highlight w:val="none"/>
          <w:lang w:val="en-US" w:eastAsia="zh-CN"/>
        </w:rPr>
      </w:pPr>
      <w:bookmarkStart w:id="325" w:name="_Toc8897"/>
      <w:bookmarkStart w:id="326" w:name="_Toc27657"/>
      <w:bookmarkStart w:id="327" w:name="_Toc27425"/>
      <w:bookmarkStart w:id="328" w:name="_Toc747"/>
      <w:r>
        <w:rPr>
          <w:rFonts w:hint="eastAsia" w:ascii="宋体" w:hAnsi="宋体" w:eastAsia="宋体" w:cs="宋体"/>
          <w:b/>
          <w:snapToGrid w:val="0"/>
          <w:color w:val="auto"/>
          <w:sz w:val="24"/>
          <w:highlight w:val="none"/>
          <w:lang w:val="en-US" w:eastAsia="zh-CN"/>
        </w:rPr>
        <w:t xml:space="preserve">格式八 </w:t>
      </w:r>
      <w:bookmarkEnd w:id="325"/>
      <w:bookmarkEnd w:id="326"/>
      <w:r>
        <w:rPr>
          <w:rFonts w:hint="eastAsia" w:ascii="宋体" w:hAnsi="宋体" w:eastAsia="宋体" w:cs="宋体"/>
          <w:b/>
          <w:snapToGrid w:val="0"/>
          <w:color w:val="auto"/>
          <w:sz w:val="24"/>
          <w:highlight w:val="none"/>
          <w:lang w:val="en-US" w:eastAsia="zh-CN"/>
        </w:rPr>
        <w:t xml:space="preserve">  设计负责人简历表</w:t>
      </w:r>
      <w:bookmarkEnd w:id="327"/>
      <w:bookmarkEnd w:id="328"/>
    </w:p>
    <w:p w14:paraId="4B61B899">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lang w:eastAsia="zh-CN"/>
        </w:rPr>
      </w:pPr>
      <w:r>
        <w:rPr>
          <w:rFonts w:hint="eastAsia" w:ascii="宋体" w:hAnsi="宋体" w:eastAsia="宋体" w:cs="宋体"/>
          <w:b/>
          <w:snapToGrid w:val="0"/>
          <w:color w:val="auto"/>
          <w:kern w:val="0"/>
          <w:sz w:val="30"/>
          <w:highlight w:val="none"/>
          <w:lang w:eastAsia="zh-CN"/>
        </w:rPr>
        <w:t>设计负责人简历表</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803"/>
        <w:gridCol w:w="183"/>
        <w:gridCol w:w="1749"/>
      </w:tblGrid>
      <w:tr w14:paraId="5CD4BF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309" w:type="dxa"/>
            <w:gridSpan w:val="10"/>
            <w:noWrap w:val="0"/>
            <w:vAlign w:val="center"/>
          </w:tcPr>
          <w:p w14:paraId="50B45A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145E7B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437E895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87" w:type="dxa"/>
            <w:noWrap w:val="0"/>
            <w:vAlign w:val="center"/>
          </w:tcPr>
          <w:p w14:paraId="07EE3866">
            <w:pPr>
              <w:spacing w:line="360" w:lineRule="auto"/>
              <w:jc w:val="center"/>
              <w:rPr>
                <w:rFonts w:hint="eastAsia" w:ascii="宋体" w:hAnsi="宋体" w:eastAsia="宋体" w:cs="宋体"/>
                <w:color w:val="auto"/>
                <w:sz w:val="24"/>
                <w:szCs w:val="24"/>
                <w:highlight w:val="none"/>
              </w:rPr>
            </w:pPr>
          </w:p>
        </w:tc>
        <w:tc>
          <w:tcPr>
            <w:tcW w:w="704" w:type="dxa"/>
            <w:noWrap w:val="0"/>
            <w:vAlign w:val="center"/>
          </w:tcPr>
          <w:p w14:paraId="3AD111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73" w:type="dxa"/>
            <w:noWrap w:val="0"/>
            <w:vAlign w:val="center"/>
          </w:tcPr>
          <w:p w14:paraId="1E42312E">
            <w:pPr>
              <w:spacing w:line="360" w:lineRule="auto"/>
              <w:jc w:val="center"/>
              <w:rPr>
                <w:rFonts w:hint="eastAsia" w:ascii="宋体" w:hAnsi="宋体" w:eastAsia="宋体" w:cs="宋体"/>
                <w:color w:val="auto"/>
                <w:sz w:val="24"/>
                <w:szCs w:val="24"/>
                <w:highlight w:val="none"/>
              </w:rPr>
            </w:pPr>
          </w:p>
        </w:tc>
        <w:tc>
          <w:tcPr>
            <w:tcW w:w="922" w:type="dxa"/>
            <w:noWrap w:val="0"/>
            <w:vAlign w:val="center"/>
          </w:tcPr>
          <w:p w14:paraId="287139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257" w:type="dxa"/>
            <w:gridSpan w:val="2"/>
            <w:noWrap w:val="0"/>
            <w:vAlign w:val="center"/>
          </w:tcPr>
          <w:p w14:paraId="259FAD57">
            <w:pPr>
              <w:spacing w:line="360" w:lineRule="auto"/>
              <w:jc w:val="center"/>
              <w:rPr>
                <w:rFonts w:hint="eastAsia" w:ascii="宋体" w:hAnsi="宋体" w:eastAsia="宋体" w:cs="宋体"/>
                <w:color w:val="auto"/>
                <w:sz w:val="24"/>
                <w:szCs w:val="24"/>
                <w:highlight w:val="none"/>
              </w:rPr>
            </w:pPr>
          </w:p>
        </w:tc>
        <w:tc>
          <w:tcPr>
            <w:tcW w:w="986" w:type="dxa"/>
            <w:gridSpan w:val="2"/>
            <w:noWrap w:val="0"/>
            <w:vAlign w:val="center"/>
          </w:tcPr>
          <w:p w14:paraId="42E550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749" w:type="dxa"/>
            <w:noWrap w:val="0"/>
            <w:vAlign w:val="center"/>
          </w:tcPr>
          <w:p w14:paraId="10C94DA7">
            <w:pPr>
              <w:spacing w:line="360" w:lineRule="auto"/>
              <w:jc w:val="center"/>
              <w:rPr>
                <w:rFonts w:hint="eastAsia" w:ascii="宋体" w:hAnsi="宋体" w:eastAsia="宋体" w:cs="宋体"/>
                <w:color w:val="auto"/>
                <w:sz w:val="24"/>
                <w:szCs w:val="24"/>
                <w:highlight w:val="none"/>
              </w:rPr>
            </w:pPr>
          </w:p>
        </w:tc>
      </w:tr>
      <w:tr w14:paraId="02AD4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466B43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87" w:type="dxa"/>
            <w:noWrap w:val="0"/>
            <w:vAlign w:val="center"/>
          </w:tcPr>
          <w:p w14:paraId="4734F661">
            <w:pPr>
              <w:spacing w:line="360" w:lineRule="auto"/>
              <w:jc w:val="center"/>
              <w:rPr>
                <w:rFonts w:hint="eastAsia" w:ascii="宋体" w:hAnsi="宋体" w:eastAsia="宋体" w:cs="宋体"/>
                <w:color w:val="auto"/>
                <w:sz w:val="24"/>
                <w:szCs w:val="24"/>
                <w:highlight w:val="none"/>
              </w:rPr>
            </w:pPr>
          </w:p>
        </w:tc>
        <w:tc>
          <w:tcPr>
            <w:tcW w:w="2177" w:type="dxa"/>
            <w:gridSpan w:val="2"/>
            <w:noWrap w:val="0"/>
            <w:vAlign w:val="center"/>
          </w:tcPr>
          <w:p w14:paraId="4E93E7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22" w:type="dxa"/>
            <w:noWrap w:val="0"/>
            <w:vAlign w:val="center"/>
          </w:tcPr>
          <w:p w14:paraId="200EA004">
            <w:pPr>
              <w:spacing w:line="360" w:lineRule="auto"/>
              <w:jc w:val="center"/>
              <w:rPr>
                <w:rFonts w:hint="eastAsia" w:ascii="宋体" w:hAnsi="宋体" w:eastAsia="宋体" w:cs="宋体"/>
                <w:color w:val="auto"/>
                <w:sz w:val="24"/>
                <w:szCs w:val="24"/>
                <w:highlight w:val="none"/>
              </w:rPr>
            </w:pPr>
          </w:p>
        </w:tc>
        <w:tc>
          <w:tcPr>
            <w:tcW w:w="2243" w:type="dxa"/>
            <w:gridSpan w:val="4"/>
            <w:noWrap w:val="0"/>
            <w:vAlign w:val="center"/>
          </w:tcPr>
          <w:p w14:paraId="7ABA330B">
            <w:pP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在本合同中拟任职</w:t>
            </w:r>
          </w:p>
        </w:tc>
        <w:tc>
          <w:tcPr>
            <w:tcW w:w="1749" w:type="dxa"/>
            <w:noWrap w:val="0"/>
            <w:vAlign w:val="center"/>
          </w:tcPr>
          <w:p w14:paraId="0AD959D6">
            <w:pPr>
              <w:spacing w:line="360" w:lineRule="auto"/>
              <w:jc w:val="center"/>
              <w:rPr>
                <w:rFonts w:hint="eastAsia" w:ascii="宋体" w:hAnsi="宋体" w:eastAsia="宋体" w:cs="宋体"/>
                <w:color w:val="auto"/>
                <w:sz w:val="24"/>
                <w:szCs w:val="24"/>
                <w:highlight w:val="none"/>
              </w:rPr>
            </w:pPr>
          </w:p>
        </w:tc>
      </w:tr>
      <w:tr w14:paraId="7670C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4ADDC16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478" w:type="dxa"/>
            <w:gridSpan w:val="9"/>
            <w:noWrap w:val="0"/>
            <w:vAlign w:val="center"/>
          </w:tcPr>
          <w:p w14:paraId="79D7ED6D">
            <w:pPr>
              <w:spacing w:line="360" w:lineRule="auto"/>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461DE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3A93617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76BAFD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14:paraId="0BE7E77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585" w:type="dxa"/>
            <w:gridSpan w:val="5"/>
            <w:noWrap w:val="0"/>
            <w:vAlign w:val="center"/>
          </w:tcPr>
          <w:p w14:paraId="68823C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1961" w:type="dxa"/>
            <w:gridSpan w:val="2"/>
            <w:noWrap w:val="0"/>
            <w:vAlign w:val="center"/>
          </w:tcPr>
          <w:p w14:paraId="436E3F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932" w:type="dxa"/>
            <w:gridSpan w:val="2"/>
            <w:noWrap w:val="0"/>
            <w:vAlign w:val="center"/>
          </w:tcPr>
          <w:p w14:paraId="3A78AE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263EA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14:paraId="3DCB56B1">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14:paraId="71FEAD58">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14:paraId="5B1D111A">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14:paraId="7A6F0E33">
            <w:pPr>
              <w:spacing w:line="360" w:lineRule="auto"/>
              <w:jc w:val="center"/>
              <w:rPr>
                <w:rFonts w:hint="eastAsia" w:ascii="宋体" w:hAnsi="宋体" w:eastAsia="宋体" w:cs="宋体"/>
                <w:color w:val="auto"/>
                <w:sz w:val="24"/>
                <w:szCs w:val="24"/>
                <w:highlight w:val="none"/>
              </w:rPr>
            </w:pPr>
          </w:p>
        </w:tc>
      </w:tr>
      <w:tr w14:paraId="4221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1" w:type="dxa"/>
            <w:noWrap w:val="0"/>
            <w:vAlign w:val="center"/>
          </w:tcPr>
          <w:p w14:paraId="1379169C">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14:paraId="3A594C58">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14:paraId="3F52CA80">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14:paraId="233A2A3A">
            <w:pPr>
              <w:spacing w:line="360" w:lineRule="auto"/>
              <w:jc w:val="center"/>
              <w:rPr>
                <w:rFonts w:hint="eastAsia" w:ascii="宋体" w:hAnsi="宋体" w:eastAsia="宋体" w:cs="宋体"/>
                <w:color w:val="auto"/>
                <w:sz w:val="24"/>
                <w:szCs w:val="24"/>
                <w:highlight w:val="none"/>
              </w:rPr>
            </w:pPr>
          </w:p>
        </w:tc>
      </w:tr>
      <w:tr w14:paraId="0864B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09" w:type="dxa"/>
            <w:gridSpan w:val="10"/>
            <w:noWrap w:val="0"/>
            <w:vAlign w:val="center"/>
          </w:tcPr>
          <w:p w14:paraId="6F0906A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02018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09" w:type="dxa"/>
            <w:gridSpan w:val="10"/>
            <w:noWrap w:val="0"/>
            <w:vAlign w:val="center"/>
          </w:tcPr>
          <w:p w14:paraId="332362CD">
            <w:pPr>
              <w:spacing w:line="360" w:lineRule="auto"/>
              <w:jc w:val="center"/>
              <w:rPr>
                <w:rFonts w:hint="eastAsia" w:ascii="宋体" w:hAnsi="宋体" w:eastAsia="宋体" w:cs="宋体"/>
                <w:color w:val="auto"/>
                <w:sz w:val="24"/>
                <w:szCs w:val="24"/>
                <w:highlight w:val="none"/>
              </w:rPr>
            </w:pPr>
          </w:p>
        </w:tc>
      </w:tr>
      <w:tr w14:paraId="508DF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14:paraId="15945CD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272FB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09" w:type="dxa"/>
            <w:gridSpan w:val="10"/>
            <w:noWrap w:val="0"/>
            <w:vAlign w:val="center"/>
          </w:tcPr>
          <w:p w14:paraId="0A6289CD">
            <w:pPr>
              <w:spacing w:line="360" w:lineRule="auto"/>
              <w:jc w:val="center"/>
              <w:rPr>
                <w:rFonts w:hint="eastAsia" w:ascii="宋体" w:hAnsi="宋体" w:eastAsia="宋体" w:cs="宋体"/>
                <w:color w:val="auto"/>
                <w:sz w:val="24"/>
                <w:szCs w:val="24"/>
                <w:highlight w:val="none"/>
              </w:rPr>
            </w:pPr>
          </w:p>
        </w:tc>
      </w:tr>
    </w:tbl>
    <w:p w14:paraId="6C1301D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注：本表不够时自制</w:t>
      </w:r>
    </w:p>
    <w:p w14:paraId="251A5855">
      <w:pPr>
        <w:wordWrap w:val="0"/>
        <w:adjustRightInd w:val="0"/>
        <w:snapToGrid w:val="0"/>
        <w:spacing w:line="400" w:lineRule="exact"/>
        <w:rPr>
          <w:rFonts w:hint="eastAsia" w:ascii="宋体" w:hAnsi="宋体" w:eastAsia="宋体" w:cs="宋体"/>
          <w:snapToGrid w:val="0"/>
          <w:color w:val="auto"/>
          <w:kern w:val="0"/>
          <w:szCs w:val="28"/>
          <w:highlight w:val="none"/>
        </w:rPr>
      </w:pPr>
    </w:p>
    <w:p w14:paraId="76CFE0FA">
      <w:pPr>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说明：《设计负责人简历表》后应附拟派设计负责人以下资料：</w:t>
      </w:r>
    </w:p>
    <w:p w14:paraId="5BF9E72A">
      <w:pPr>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lang w:eastAsia="zh-CN"/>
        </w:rPr>
        <w:t>1.</w:t>
      </w:r>
      <w:r>
        <w:rPr>
          <w:rFonts w:hint="eastAsia" w:ascii="宋体" w:hAnsi="宋体" w:eastAsia="宋体" w:cs="宋体"/>
          <w:snapToGrid w:val="0"/>
          <w:color w:val="auto"/>
          <w:kern w:val="0"/>
          <w:szCs w:val="28"/>
          <w:highlight w:val="none"/>
        </w:rPr>
        <w:t>有效的身份证扫描件；</w:t>
      </w:r>
    </w:p>
    <w:p w14:paraId="2EE822F0">
      <w:pPr>
        <w:wordWrap w:val="0"/>
        <w:adjustRightInd w:val="0"/>
        <w:snapToGrid w:val="0"/>
        <w:spacing w:line="400" w:lineRule="exact"/>
        <w:ind w:firstLine="420" w:firstLineChars="200"/>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1"/>
          <w:highlight w:val="none"/>
          <w:lang w:eastAsia="zh-CN"/>
        </w:rPr>
        <w:t>2.</w:t>
      </w:r>
      <w:r>
        <w:rPr>
          <w:rFonts w:hint="eastAsia" w:ascii="宋体" w:hAnsi="宋体" w:eastAsia="宋体" w:cs="宋体"/>
          <w:snapToGrid w:val="0"/>
          <w:color w:val="auto"/>
          <w:kern w:val="0"/>
          <w:szCs w:val="21"/>
          <w:highlight w:val="none"/>
        </w:rPr>
        <w:t>所需相关证书彩色扫描件；</w:t>
      </w:r>
    </w:p>
    <w:p w14:paraId="131E8BE3">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8"/>
          <w:highlight w:val="none"/>
          <w:lang w:eastAsia="zh-CN"/>
        </w:rPr>
        <w:t>3.</w:t>
      </w:r>
      <w:r>
        <w:rPr>
          <w:rFonts w:hint="eastAsia" w:ascii="宋体" w:hAnsi="宋体" w:eastAsia="宋体" w:cs="宋体"/>
          <w:snapToGrid w:val="0"/>
          <w:color w:val="auto"/>
          <w:kern w:val="0"/>
          <w:szCs w:val="28"/>
          <w:highlight w:val="none"/>
        </w:rPr>
        <w:t>在本单位缴纳社保的证明（</w:t>
      </w:r>
      <w:r>
        <w:rPr>
          <w:rFonts w:hint="eastAsia" w:ascii="宋体" w:hAnsi="宋体" w:eastAsia="宋体" w:cs="宋体"/>
          <w:snapToGrid w:val="0"/>
          <w:color w:val="auto"/>
          <w:kern w:val="0"/>
          <w:szCs w:val="28"/>
          <w:highlight w:val="none"/>
          <w:lang w:eastAsia="zh-CN"/>
        </w:rPr>
        <w:t>至少连续1个月，其中必须有2026年</w:t>
      </w:r>
      <w:r>
        <w:rPr>
          <w:rFonts w:hint="eastAsia" w:ascii="宋体" w:hAnsi="宋体" w:eastAsia="宋体" w:cs="宋体"/>
          <w:snapToGrid w:val="0"/>
          <w:color w:val="auto"/>
          <w:kern w:val="0"/>
          <w:szCs w:val="28"/>
          <w:highlight w:val="none"/>
          <w:lang w:val="en-US" w:eastAsia="zh-CN"/>
        </w:rPr>
        <w:t>4</w:t>
      </w:r>
      <w:r>
        <w:rPr>
          <w:rFonts w:hint="eastAsia" w:ascii="宋体" w:hAnsi="宋体" w:eastAsia="宋体" w:cs="宋体"/>
          <w:snapToGrid w:val="0"/>
          <w:color w:val="auto"/>
          <w:kern w:val="0"/>
          <w:szCs w:val="28"/>
          <w:highlight w:val="none"/>
          <w:lang w:eastAsia="zh-CN"/>
        </w:rPr>
        <w:t>月</w:t>
      </w:r>
      <w:r>
        <w:rPr>
          <w:rFonts w:hint="eastAsia" w:ascii="宋体" w:hAnsi="宋体" w:eastAsia="宋体" w:cs="宋体"/>
          <w:snapToGrid w:val="0"/>
          <w:color w:val="auto"/>
          <w:kern w:val="0"/>
          <w:szCs w:val="28"/>
          <w:highlight w:val="none"/>
        </w:rPr>
        <w:t>）彩色扫描件（非独立法人分支机构出具社保，予以认可）；拟派设计负责人为退休返聘人员无法提供社保证明的，提供退休证明和劳动合同彩色扫描件</w:t>
      </w:r>
      <w:r>
        <w:rPr>
          <w:rFonts w:hint="eastAsia" w:ascii="宋体" w:hAnsi="宋体" w:eastAsia="宋体" w:cs="宋体"/>
          <w:snapToGrid w:val="0"/>
          <w:color w:val="auto"/>
          <w:kern w:val="0"/>
          <w:szCs w:val="21"/>
          <w:highlight w:val="none"/>
        </w:rPr>
        <w:t>。</w:t>
      </w:r>
    </w:p>
    <w:p w14:paraId="05070263">
      <w:pPr>
        <w:rPr>
          <w:rFonts w:hint="eastAsia" w:ascii="宋体" w:hAnsi="宋体" w:eastAsia="宋体" w:cs="宋体"/>
          <w:color w:val="auto"/>
        </w:rPr>
      </w:pPr>
    </w:p>
    <w:p w14:paraId="3E55EBD0">
      <w:pPr>
        <w:rPr>
          <w:rFonts w:hint="eastAsia" w:ascii="宋体" w:hAnsi="宋体" w:eastAsia="宋体" w:cs="宋体"/>
          <w:color w:val="auto"/>
        </w:rPr>
      </w:pPr>
    </w:p>
    <w:p w14:paraId="1B619B6F">
      <w:pPr>
        <w:rPr>
          <w:rFonts w:hint="eastAsia" w:ascii="宋体" w:hAnsi="宋体" w:eastAsia="宋体" w:cs="宋体"/>
          <w:color w:val="auto"/>
        </w:rPr>
      </w:pPr>
    </w:p>
    <w:p w14:paraId="3520DC77">
      <w:pPr>
        <w:rPr>
          <w:rFonts w:hint="eastAsia" w:ascii="宋体" w:hAnsi="宋体" w:eastAsia="宋体" w:cs="宋体"/>
          <w:color w:val="auto"/>
        </w:rPr>
      </w:pPr>
    </w:p>
    <w:p w14:paraId="0CD5156D">
      <w:pPr>
        <w:rPr>
          <w:rFonts w:hint="eastAsia" w:ascii="宋体" w:hAnsi="宋体" w:eastAsia="宋体" w:cs="宋体"/>
          <w:color w:val="auto"/>
        </w:rPr>
      </w:pPr>
    </w:p>
    <w:p w14:paraId="3D9F6DE7">
      <w:pPr>
        <w:rPr>
          <w:rFonts w:hint="eastAsia" w:ascii="宋体" w:hAnsi="宋体" w:eastAsia="宋体" w:cs="宋体"/>
          <w:color w:val="auto"/>
          <w:lang w:eastAsia="zh-CN"/>
        </w:rPr>
      </w:pPr>
    </w:p>
    <w:bookmarkEnd w:id="286"/>
    <w:bookmarkEnd w:id="287"/>
    <w:p w14:paraId="3005EAF2">
      <w:pPr>
        <w:pStyle w:val="6"/>
        <w:wordWrap w:val="0"/>
        <w:autoSpaceDE/>
        <w:autoSpaceDN/>
        <w:snapToGrid w:val="0"/>
        <w:spacing w:line="440" w:lineRule="exact"/>
        <w:ind w:firstLine="480"/>
        <w:jc w:val="both"/>
        <w:rPr>
          <w:rFonts w:hint="eastAsia" w:ascii="宋体" w:hAnsi="宋体" w:eastAsia="宋体" w:cs="宋体"/>
          <w:b w:val="0"/>
          <w:snapToGrid w:val="0"/>
          <w:color w:val="auto"/>
          <w:kern w:val="0"/>
          <w:sz w:val="30"/>
          <w:highlight w:val="none"/>
        </w:rPr>
      </w:pPr>
      <w:bookmarkStart w:id="329" w:name="_Toc20506"/>
      <w:bookmarkStart w:id="330" w:name="_Toc14261309"/>
      <w:bookmarkStart w:id="331" w:name="_Toc23155"/>
      <w:bookmarkStart w:id="332" w:name="_Toc15295"/>
      <w:bookmarkStart w:id="333" w:name="_Toc26031"/>
      <w:bookmarkStart w:id="334" w:name="_Toc26335"/>
      <w:bookmarkStart w:id="335" w:name="_Toc8264"/>
      <w:bookmarkStart w:id="336" w:name="_Toc200338098"/>
      <w:r>
        <w:rPr>
          <w:rFonts w:hint="eastAsia" w:ascii="宋体" w:hAnsi="宋体" w:eastAsia="宋体" w:cs="宋体"/>
          <w:b/>
          <w:snapToGrid w:val="0"/>
          <w:color w:val="auto"/>
          <w:sz w:val="24"/>
          <w:highlight w:val="none"/>
          <w:lang w:val="en-US" w:eastAsia="zh-CN"/>
        </w:rPr>
        <w:t>格式</w:t>
      </w:r>
      <w:bookmarkStart w:id="337" w:name="_Hlt287950384"/>
      <w:bookmarkEnd w:id="337"/>
      <w:r>
        <w:rPr>
          <w:rFonts w:hint="eastAsia" w:ascii="宋体" w:hAnsi="宋体" w:eastAsia="宋体" w:cs="宋体"/>
          <w:b/>
          <w:snapToGrid w:val="0"/>
          <w:color w:val="auto"/>
          <w:sz w:val="24"/>
          <w:highlight w:val="none"/>
          <w:lang w:val="en-US" w:eastAsia="zh-CN"/>
        </w:rPr>
        <w:t xml:space="preserve">九 </w:t>
      </w:r>
      <w:bookmarkEnd w:id="329"/>
      <w:bookmarkEnd w:id="330"/>
      <w:r>
        <w:rPr>
          <w:rFonts w:hint="eastAsia" w:ascii="宋体" w:hAnsi="宋体" w:eastAsia="宋体" w:cs="宋体"/>
          <w:b/>
          <w:snapToGrid w:val="0"/>
          <w:color w:val="auto"/>
          <w:sz w:val="24"/>
          <w:highlight w:val="none"/>
          <w:lang w:val="en-US" w:eastAsia="zh-CN"/>
        </w:rPr>
        <w:t xml:space="preserve">  本项目拟投入的人员基本情况表</w:t>
      </w:r>
      <w:bookmarkEnd w:id="331"/>
      <w:bookmarkEnd w:id="332"/>
      <w:bookmarkEnd w:id="333"/>
      <w:bookmarkEnd w:id="334"/>
      <w:bookmarkStart w:id="338" w:name="_Toc14261751"/>
    </w:p>
    <w:p w14:paraId="6D2B5DFA">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本项目拟投入的人员基本情况表</w:t>
      </w:r>
      <w:bookmarkEnd w:id="33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1116"/>
        <w:gridCol w:w="1317"/>
        <w:gridCol w:w="3546"/>
      </w:tblGrid>
      <w:tr w14:paraId="3B34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35" w:type="dxa"/>
            <w:noWrap w:val="0"/>
            <w:vAlign w:val="center"/>
          </w:tcPr>
          <w:p w14:paraId="42DC808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人员安排</w:t>
            </w:r>
          </w:p>
        </w:tc>
        <w:tc>
          <w:tcPr>
            <w:tcW w:w="1116" w:type="dxa"/>
            <w:noWrap w:val="0"/>
            <w:vAlign w:val="center"/>
          </w:tcPr>
          <w:p w14:paraId="1F96CE7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317" w:type="dxa"/>
            <w:noWrap w:val="0"/>
            <w:vAlign w:val="center"/>
          </w:tcPr>
          <w:p w14:paraId="1FB3149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3546" w:type="dxa"/>
            <w:noWrap w:val="0"/>
            <w:vAlign w:val="center"/>
          </w:tcPr>
          <w:p w14:paraId="3C7EC63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职称证或注册执业专业</w:t>
            </w:r>
          </w:p>
        </w:tc>
      </w:tr>
      <w:tr w14:paraId="416E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3335" w:type="dxa"/>
            <w:noWrap w:val="0"/>
            <w:vAlign w:val="center"/>
          </w:tcPr>
          <w:p w14:paraId="4FE05255">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项目负责人（即设计负责人）</w:t>
            </w:r>
          </w:p>
        </w:tc>
        <w:tc>
          <w:tcPr>
            <w:tcW w:w="1116" w:type="dxa"/>
            <w:noWrap w:val="0"/>
            <w:vAlign w:val="center"/>
          </w:tcPr>
          <w:p w14:paraId="020B8B4F">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6D375C81">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2C024C80">
            <w:pPr>
              <w:adjustRightInd w:val="0"/>
              <w:snapToGrid w:val="0"/>
              <w:spacing w:line="360" w:lineRule="auto"/>
              <w:rPr>
                <w:rFonts w:hint="eastAsia" w:ascii="宋体" w:hAnsi="宋体" w:eastAsia="宋体" w:cs="宋体"/>
                <w:color w:val="auto"/>
                <w:sz w:val="24"/>
                <w:szCs w:val="24"/>
                <w:highlight w:val="none"/>
              </w:rPr>
            </w:pPr>
          </w:p>
        </w:tc>
      </w:tr>
      <w:tr w14:paraId="4697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56BCAB33">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各专业负责人</w:t>
            </w:r>
          </w:p>
        </w:tc>
        <w:tc>
          <w:tcPr>
            <w:tcW w:w="1116" w:type="dxa"/>
            <w:noWrap w:val="0"/>
            <w:vAlign w:val="center"/>
          </w:tcPr>
          <w:p w14:paraId="5AB7FBA5">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4B6B84FA">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461D877E">
            <w:pPr>
              <w:adjustRightInd w:val="0"/>
              <w:snapToGrid w:val="0"/>
              <w:spacing w:line="360" w:lineRule="auto"/>
              <w:rPr>
                <w:rFonts w:hint="eastAsia" w:ascii="宋体" w:hAnsi="宋体" w:eastAsia="宋体" w:cs="宋体"/>
                <w:color w:val="auto"/>
                <w:sz w:val="24"/>
                <w:szCs w:val="24"/>
                <w:highlight w:val="none"/>
              </w:rPr>
            </w:pPr>
          </w:p>
        </w:tc>
      </w:tr>
      <w:tr w14:paraId="65D6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18370491">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1116" w:type="dxa"/>
            <w:noWrap w:val="0"/>
            <w:vAlign w:val="center"/>
          </w:tcPr>
          <w:p w14:paraId="527E139A">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504F9FFA">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138EFC9A">
            <w:pPr>
              <w:adjustRightInd w:val="0"/>
              <w:snapToGrid w:val="0"/>
              <w:spacing w:line="360" w:lineRule="auto"/>
              <w:rPr>
                <w:rFonts w:hint="eastAsia" w:ascii="宋体" w:hAnsi="宋体" w:eastAsia="宋体" w:cs="宋体"/>
                <w:color w:val="auto"/>
                <w:sz w:val="24"/>
                <w:szCs w:val="24"/>
                <w:highlight w:val="none"/>
              </w:rPr>
            </w:pPr>
          </w:p>
        </w:tc>
      </w:tr>
      <w:tr w14:paraId="49C6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605FD11F">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4E6E62A9">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31BABE27">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3A8086AE">
            <w:pPr>
              <w:adjustRightInd w:val="0"/>
              <w:snapToGrid w:val="0"/>
              <w:spacing w:line="360" w:lineRule="auto"/>
              <w:rPr>
                <w:rFonts w:hint="eastAsia" w:ascii="宋体" w:hAnsi="宋体" w:eastAsia="宋体" w:cs="宋体"/>
                <w:color w:val="auto"/>
                <w:sz w:val="24"/>
                <w:szCs w:val="24"/>
                <w:highlight w:val="none"/>
              </w:rPr>
            </w:pPr>
          </w:p>
        </w:tc>
      </w:tr>
      <w:tr w14:paraId="0B6C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0BE07151">
            <w:pPr>
              <w:adjustRightInd w:val="0"/>
              <w:snapToGrid w:val="0"/>
              <w:spacing w:line="360" w:lineRule="auto"/>
              <w:rPr>
                <w:rFonts w:hint="eastAsia" w:ascii="宋体" w:hAnsi="宋体" w:eastAsia="宋体" w:cs="宋体"/>
                <w:color w:val="auto"/>
                <w:sz w:val="24"/>
                <w:szCs w:val="24"/>
                <w:highlight w:val="none"/>
              </w:rPr>
            </w:pPr>
          </w:p>
        </w:tc>
        <w:tc>
          <w:tcPr>
            <w:tcW w:w="1116" w:type="dxa"/>
            <w:noWrap w:val="0"/>
            <w:vAlign w:val="center"/>
          </w:tcPr>
          <w:p w14:paraId="5487F211">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04589CFF">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31C778FC">
            <w:pPr>
              <w:adjustRightInd w:val="0"/>
              <w:snapToGrid w:val="0"/>
              <w:spacing w:line="360" w:lineRule="auto"/>
              <w:rPr>
                <w:rFonts w:hint="eastAsia" w:ascii="宋体" w:hAnsi="宋体" w:eastAsia="宋体" w:cs="宋体"/>
                <w:color w:val="auto"/>
                <w:sz w:val="24"/>
                <w:szCs w:val="24"/>
                <w:highlight w:val="none"/>
              </w:rPr>
            </w:pPr>
          </w:p>
        </w:tc>
      </w:tr>
      <w:tr w14:paraId="2EDF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52DA3838">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4A3EB505">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446B8143">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2E7346CF">
            <w:pPr>
              <w:adjustRightInd w:val="0"/>
              <w:snapToGrid w:val="0"/>
              <w:spacing w:line="360" w:lineRule="auto"/>
              <w:rPr>
                <w:rFonts w:hint="eastAsia" w:ascii="宋体" w:hAnsi="宋体" w:eastAsia="宋体" w:cs="宋体"/>
                <w:color w:val="auto"/>
                <w:sz w:val="24"/>
                <w:szCs w:val="24"/>
                <w:highlight w:val="none"/>
              </w:rPr>
            </w:pPr>
          </w:p>
        </w:tc>
      </w:tr>
      <w:tr w14:paraId="3307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1E342B95">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29DAC53B">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763782B4">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5043968E">
            <w:pPr>
              <w:adjustRightInd w:val="0"/>
              <w:snapToGrid w:val="0"/>
              <w:spacing w:line="360" w:lineRule="auto"/>
              <w:rPr>
                <w:rFonts w:hint="eastAsia" w:ascii="宋体" w:hAnsi="宋体" w:eastAsia="宋体" w:cs="宋体"/>
                <w:color w:val="auto"/>
                <w:sz w:val="24"/>
                <w:szCs w:val="24"/>
                <w:highlight w:val="none"/>
              </w:rPr>
            </w:pPr>
          </w:p>
        </w:tc>
      </w:tr>
      <w:tr w14:paraId="4719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5208AF17">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100CF942">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35C28309">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00A95C3D">
            <w:pPr>
              <w:adjustRightInd w:val="0"/>
              <w:snapToGrid w:val="0"/>
              <w:spacing w:line="360" w:lineRule="auto"/>
              <w:rPr>
                <w:rFonts w:hint="eastAsia" w:ascii="宋体" w:hAnsi="宋体" w:eastAsia="宋体" w:cs="宋体"/>
                <w:color w:val="auto"/>
                <w:sz w:val="24"/>
                <w:szCs w:val="24"/>
                <w:highlight w:val="none"/>
              </w:rPr>
            </w:pPr>
          </w:p>
        </w:tc>
      </w:tr>
      <w:tr w14:paraId="2C41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5F9CD2A8">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6FBFBF52">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17252B2B">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68AD987A">
            <w:pPr>
              <w:adjustRightInd w:val="0"/>
              <w:snapToGrid w:val="0"/>
              <w:spacing w:line="360" w:lineRule="auto"/>
              <w:rPr>
                <w:rFonts w:hint="eastAsia" w:ascii="宋体" w:hAnsi="宋体" w:eastAsia="宋体" w:cs="宋体"/>
                <w:color w:val="auto"/>
                <w:sz w:val="24"/>
                <w:szCs w:val="24"/>
                <w:highlight w:val="none"/>
              </w:rPr>
            </w:pPr>
          </w:p>
        </w:tc>
      </w:tr>
      <w:tr w14:paraId="4D9A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14:paraId="7CB48E95">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14:paraId="75E69509">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14:paraId="3EB01463">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14:paraId="25D9F4C9">
            <w:pPr>
              <w:adjustRightInd w:val="0"/>
              <w:snapToGrid w:val="0"/>
              <w:spacing w:line="360" w:lineRule="auto"/>
              <w:rPr>
                <w:rFonts w:hint="eastAsia" w:ascii="宋体" w:hAnsi="宋体" w:eastAsia="宋体" w:cs="宋体"/>
                <w:color w:val="auto"/>
                <w:sz w:val="24"/>
                <w:szCs w:val="24"/>
                <w:highlight w:val="none"/>
              </w:rPr>
            </w:pPr>
          </w:p>
        </w:tc>
      </w:tr>
    </w:tbl>
    <w:p w14:paraId="7D05E768">
      <w:pPr>
        <w:wordWrap w:val="0"/>
        <w:adjustRightInd w:val="0"/>
        <w:snapToGrid w:val="0"/>
        <w:spacing w:line="400" w:lineRule="exact"/>
        <w:ind w:firstLine="42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说明：</w:t>
      </w:r>
    </w:p>
    <w:p w14:paraId="6C679AD2">
      <w:pPr>
        <w:wordWrap w:val="0"/>
        <w:adjustRightInd w:val="0"/>
        <w:snapToGrid w:val="0"/>
        <w:spacing w:line="400" w:lineRule="exact"/>
        <w:ind w:firstLine="478" w:firstLineChars="228"/>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8"/>
          <w:highlight w:val="none"/>
        </w:rPr>
        <w:t>《本项目拟投入的人员基本情况表》后应附拟派其他主要人员（设计负责人除外）以下资料：</w:t>
      </w:r>
    </w:p>
    <w:bookmarkEnd w:id="335"/>
    <w:bookmarkEnd w:id="336"/>
    <w:p w14:paraId="6281464A">
      <w:pPr>
        <w:wordWrap w:val="0"/>
        <w:adjustRightInd w:val="0"/>
        <w:snapToGrid w:val="0"/>
        <w:spacing w:line="400" w:lineRule="exact"/>
        <w:ind w:firstLine="478" w:firstLineChars="22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r>
        <w:rPr>
          <w:rFonts w:hint="eastAsia" w:ascii="宋体" w:hAnsi="宋体" w:eastAsia="宋体" w:cs="宋体"/>
          <w:snapToGrid w:val="0"/>
          <w:color w:val="auto"/>
          <w:kern w:val="0"/>
          <w:szCs w:val="28"/>
          <w:highlight w:val="none"/>
        </w:rPr>
        <w:t>身份证</w:t>
      </w:r>
      <w:r>
        <w:rPr>
          <w:rFonts w:hint="eastAsia" w:ascii="宋体" w:hAnsi="宋体" w:eastAsia="宋体" w:cs="宋体"/>
          <w:snapToGrid w:val="0"/>
          <w:color w:val="auto"/>
          <w:kern w:val="0"/>
          <w:szCs w:val="28"/>
          <w:highlight w:val="none"/>
          <w:lang w:val="en-US" w:eastAsia="zh-CN"/>
        </w:rPr>
        <w:t>彩色</w:t>
      </w:r>
      <w:r>
        <w:rPr>
          <w:rFonts w:hint="eastAsia" w:ascii="宋体" w:hAnsi="宋体" w:eastAsia="宋体" w:cs="宋体"/>
          <w:snapToGrid w:val="0"/>
          <w:color w:val="auto"/>
          <w:kern w:val="0"/>
          <w:szCs w:val="21"/>
          <w:highlight w:val="none"/>
        </w:rPr>
        <w:t>扫描件</w:t>
      </w:r>
      <w:r>
        <w:rPr>
          <w:rFonts w:hint="eastAsia" w:ascii="宋体" w:hAnsi="宋体" w:eastAsia="宋体" w:cs="宋体"/>
          <w:snapToGrid w:val="0"/>
          <w:color w:val="auto"/>
          <w:kern w:val="0"/>
          <w:szCs w:val="28"/>
          <w:highlight w:val="none"/>
        </w:rPr>
        <w:t>；</w:t>
      </w:r>
    </w:p>
    <w:p w14:paraId="0A7439EF">
      <w:pPr>
        <w:wordWrap w:val="0"/>
        <w:adjustRightInd w:val="0"/>
        <w:snapToGrid w:val="0"/>
        <w:spacing w:line="400" w:lineRule="exact"/>
        <w:ind w:firstLine="478" w:firstLineChars="22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（2）毕业证（如需）、职称证（如需）、有效期内注册证书（如需）的扫描件；投标人所提供的注册证书不能体现有效期的，必须提供住建部门相关网站的显示有效期的网页截图作为证明材料；</w:t>
      </w:r>
    </w:p>
    <w:p w14:paraId="658D90FE">
      <w:pPr>
        <w:wordWrap w:val="0"/>
        <w:adjustRightInd w:val="0"/>
        <w:snapToGrid w:val="0"/>
        <w:spacing w:line="400" w:lineRule="exact"/>
        <w:ind w:firstLine="478" w:firstLineChars="22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（3）在本单位缴纳社保的证明（</w:t>
      </w:r>
      <w:r>
        <w:rPr>
          <w:rFonts w:hint="eastAsia" w:ascii="宋体" w:hAnsi="宋体" w:eastAsia="宋体" w:cs="宋体"/>
          <w:snapToGrid w:val="0"/>
          <w:color w:val="auto"/>
          <w:kern w:val="0"/>
          <w:szCs w:val="21"/>
          <w:highlight w:val="none"/>
          <w:lang w:eastAsia="zh-CN"/>
        </w:rPr>
        <w:t>至少连续1个月，其中必须有2026年</w:t>
      </w:r>
      <w:r>
        <w:rPr>
          <w:rFonts w:hint="eastAsia" w:ascii="宋体" w:hAnsi="宋体" w:eastAsia="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eastAsia="zh-CN"/>
        </w:rPr>
        <w:t>月</w:t>
      </w:r>
      <w:r>
        <w:rPr>
          <w:rFonts w:hint="eastAsia" w:ascii="宋体" w:hAnsi="宋体" w:eastAsia="宋体" w:cs="宋体"/>
          <w:snapToGrid w:val="0"/>
          <w:color w:val="auto"/>
          <w:kern w:val="0"/>
          <w:szCs w:val="21"/>
          <w:highlight w:val="none"/>
        </w:rPr>
        <w:t>）彩色扫描件（非独立法人分支机构出具社保，予以认可）。拟派人员为退休返聘人员无法提供社保证明的，提供退休证明和劳动合同彩色扫描件；</w:t>
      </w:r>
    </w:p>
    <w:bookmarkEnd w:id="5"/>
    <w:bookmarkEnd w:id="288"/>
    <w:bookmarkEnd w:id="289"/>
    <w:p w14:paraId="14BB7325">
      <w:pPr>
        <w:rPr>
          <w:rFonts w:hint="eastAsia" w:ascii="宋体" w:hAnsi="宋体" w:eastAsia="宋体" w:cs="宋体"/>
          <w:color w:val="auto"/>
          <w:lang w:val="en-US" w:eastAsia="zh-CN"/>
        </w:rPr>
      </w:pPr>
    </w:p>
    <w:p w14:paraId="14CE8234">
      <w:pPr>
        <w:rPr>
          <w:rFonts w:hint="eastAsia" w:ascii="宋体" w:hAnsi="宋体" w:eastAsia="宋体" w:cs="宋体"/>
          <w:color w:val="auto"/>
          <w:lang w:val="en-US" w:eastAsia="zh-CN"/>
        </w:rPr>
      </w:pPr>
    </w:p>
    <w:p w14:paraId="48C36377">
      <w:pPr>
        <w:rPr>
          <w:rFonts w:hint="eastAsia" w:ascii="宋体" w:hAnsi="宋体" w:eastAsia="宋体" w:cs="宋体"/>
          <w:color w:val="auto"/>
          <w:lang w:val="en-US" w:eastAsia="zh-CN"/>
        </w:rPr>
      </w:pPr>
    </w:p>
    <w:p w14:paraId="773A6B36">
      <w:pPr>
        <w:rPr>
          <w:rFonts w:hint="eastAsia" w:ascii="宋体" w:hAnsi="宋体" w:eastAsia="宋体" w:cs="宋体"/>
          <w:color w:val="auto"/>
          <w:lang w:val="en-US" w:eastAsia="zh-CN"/>
        </w:rPr>
      </w:pPr>
    </w:p>
    <w:p w14:paraId="3D2E19B7">
      <w:pPr>
        <w:rPr>
          <w:rFonts w:hint="eastAsia" w:ascii="宋体" w:hAnsi="宋体" w:eastAsia="宋体" w:cs="宋体"/>
          <w:color w:val="auto"/>
          <w:lang w:val="en-US" w:eastAsia="zh-CN"/>
        </w:rPr>
      </w:pPr>
    </w:p>
    <w:p w14:paraId="752B1811">
      <w:pPr>
        <w:rPr>
          <w:rFonts w:hint="eastAsia" w:ascii="宋体" w:hAnsi="宋体" w:eastAsia="宋体" w:cs="宋体"/>
          <w:color w:val="auto"/>
          <w:lang w:val="en-US" w:eastAsia="zh-CN"/>
        </w:rPr>
      </w:pPr>
    </w:p>
    <w:p w14:paraId="0743F207">
      <w:pPr>
        <w:rPr>
          <w:rFonts w:hint="eastAsia" w:ascii="宋体" w:hAnsi="宋体" w:eastAsia="宋体" w:cs="宋体"/>
          <w:color w:val="auto"/>
          <w:lang w:val="en-US" w:eastAsia="zh-CN"/>
        </w:rPr>
      </w:pPr>
    </w:p>
    <w:p w14:paraId="68C2D1BF">
      <w:pPr>
        <w:rPr>
          <w:rFonts w:hint="eastAsia" w:ascii="宋体" w:hAnsi="宋体" w:eastAsia="宋体" w:cs="宋体"/>
          <w:color w:val="auto"/>
          <w:lang w:val="en-US" w:eastAsia="zh-CN"/>
        </w:rPr>
      </w:pPr>
    </w:p>
    <w:p w14:paraId="7E9CD16E">
      <w:pPr>
        <w:pStyle w:val="6"/>
        <w:wordWrap w:val="0"/>
        <w:autoSpaceDE/>
        <w:autoSpaceDN/>
        <w:snapToGrid w:val="0"/>
        <w:spacing w:line="440" w:lineRule="exact"/>
        <w:ind w:firstLine="480"/>
        <w:jc w:val="both"/>
        <w:rPr>
          <w:rFonts w:hint="eastAsia" w:ascii="宋体" w:hAnsi="宋体" w:eastAsia="宋体" w:cs="宋体"/>
          <w:b/>
          <w:snapToGrid w:val="0"/>
          <w:color w:val="auto"/>
          <w:sz w:val="24"/>
          <w:highlight w:val="none"/>
          <w:lang w:val="en-US" w:eastAsia="zh-CN"/>
        </w:rPr>
      </w:pPr>
      <w:bookmarkStart w:id="339" w:name="_Toc21145"/>
      <w:bookmarkStart w:id="340" w:name="_Toc7611"/>
      <w:r>
        <w:rPr>
          <w:rFonts w:hint="eastAsia" w:ascii="宋体" w:hAnsi="宋体" w:eastAsia="宋体" w:cs="宋体"/>
          <w:b/>
          <w:snapToGrid w:val="0"/>
          <w:color w:val="auto"/>
          <w:sz w:val="24"/>
          <w:highlight w:val="none"/>
          <w:lang w:val="en-US" w:eastAsia="zh-CN"/>
        </w:rPr>
        <w:t>格式十   定标因素评审资料</w:t>
      </w:r>
      <w:bookmarkEnd w:id="339"/>
      <w:bookmarkEnd w:id="340"/>
    </w:p>
    <w:p w14:paraId="42BE1057">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b/>
          <w:bCs/>
          <w:color w:val="auto"/>
          <w:sz w:val="30"/>
          <w:szCs w:val="30"/>
          <w:highlight w:val="none"/>
          <w:lang w:eastAsia="zh-CN"/>
        </w:rPr>
        <w:t>定标因素评审资料</w:t>
      </w:r>
    </w:p>
    <w:p w14:paraId="3C0732F6">
      <w:pPr>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投标人根据“第一章 </w:t>
      </w:r>
      <w:r>
        <w:rPr>
          <w:rFonts w:hint="eastAsia" w:ascii="宋体" w:hAnsi="宋体" w:eastAsia="宋体" w:cs="宋体"/>
          <w:b w:val="0"/>
          <w:bCs w:val="0"/>
          <w:color w:val="auto"/>
          <w:sz w:val="28"/>
          <w:szCs w:val="28"/>
          <w:highlight w:val="none"/>
        </w:rPr>
        <w:t>第六节 定标规定及细则</w:t>
      </w:r>
      <w:r>
        <w:rPr>
          <w:rFonts w:hint="eastAsia" w:ascii="宋体" w:hAnsi="宋体" w:eastAsia="宋体" w:cs="宋体"/>
          <w:b w:val="0"/>
          <w:bCs w:val="0"/>
          <w:color w:val="auto"/>
          <w:sz w:val="28"/>
          <w:szCs w:val="28"/>
          <w:highlight w:val="none"/>
          <w:lang w:val="en-US" w:eastAsia="zh-CN"/>
        </w:rPr>
        <w:t>”载明的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2128DDEF">
      <w:pPr>
        <w:rPr>
          <w:rFonts w:hint="eastAsia" w:ascii="宋体" w:hAnsi="宋体" w:eastAsia="宋体" w:cs="宋体"/>
          <w:color w:val="auto"/>
        </w:rPr>
      </w:pPr>
    </w:p>
    <w:p w14:paraId="15DB5D0C">
      <w:pPr>
        <w:rPr>
          <w:rFonts w:hint="eastAsia" w:ascii="宋体" w:hAnsi="宋体" w:eastAsia="宋体" w:cs="宋体"/>
          <w:color w:val="auto"/>
        </w:rPr>
      </w:pPr>
    </w:p>
    <w:p w14:paraId="797D9995">
      <w:pPr>
        <w:rPr>
          <w:rFonts w:hint="eastAsia" w:ascii="宋体" w:hAnsi="宋体" w:eastAsia="宋体" w:cs="宋体"/>
          <w:color w:val="auto"/>
        </w:rPr>
      </w:pPr>
    </w:p>
    <w:p w14:paraId="4536551D">
      <w:pPr>
        <w:rPr>
          <w:rFonts w:hint="eastAsia" w:ascii="宋体" w:hAnsi="宋体" w:eastAsia="宋体" w:cs="宋体"/>
          <w:color w:val="auto"/>
        </w:rPr>
      </w:pPr>
    </w:p>
    <w:p w14:paraId="32C3B347">
      <w:pPr>
        <w:rPr>
          <w:rFonts w:hint="eastAsia" w:ascii="宋体" w:hAnsi="宋体" w:eastAsia="宋体" w:cs="宋体"/>
          <w:color w:val="auto"/>
        </w:rPr>
      </w:pPr>
    </w:p>
    <w:p w14:paraId="5277023F">
      <w:pPr>
        <w:rPr>
          <w:rFonts w:hint="eastAsia" w:ascii="宋体" w:hAnsi="宋体" w:eastAsia="宋体" w:cs="宋体"/>
          <w:color w:val="auto"/>
        </w:rPr>
      </w:pPr>
    </w:p>
    <w:p w14:paraId="06B65505">
      <w:pPr>
        <w:rPr>
          <w:rFonts w:hint="eastAsia" w:ascii="宋体" w:hAnsi="宋体" w:eastAsia="宋体" w:cs="宋体"/>
          <w:color w:val="auto"/>
        </w:rPr>
      </w:pPr>
    </w:p>
    <w:p w14:paraId="60085DC7">
      <w:pPr>
        <w:rPr>
          <w:rFonts w:hint="eastAsia" w:ascii="宋体" w:hAnsi="宋体" w:eastAsia="宋体" w:cs="宋体"/>
          <w:color w:val="auto"/>
        </w:rPr>
      </w:pPr>
    </w:p>
    <w:p w14:paraId="7D314B2C">
      <w:pPr>
        <w:rPr>
          <w:rFonts w:hint="eastAsia" w:ascii="宋体" w:hAnsi="宋体" w:eastAsia="宋体" w:cs="宋体"/>
          <w:color w:val="auto"/>
        </w:rPr>
      </w:pPr>
    </w:p>
    <w:p w14:paraId="2EF20048">
      <w:pPr>
        <w:rPr>
          <w:rFonts w:hint="eastAsia" w:ascii="宋体" w:hAnsi="宋体" w:eastAsia="宋体" w:cs="宋体"/>
          <w:color w:val="auto"/>
        </w:rPr>
      </w:pPr>
    </w:p>
    <w:p w14:paraId="159F1222">
      <w:pPr>
        <w:rPr>
          <w:rFonts w:hint="eastAsia" w:ascii="宋体" w:hAnsi="宋体" w:eastAsia="宋体" w:cs="宋体"/>
          <w:color w:val="auto"/>
        </w:rPr>
      </w:pPr>
    </w:p>
    <w:p w14:paraId="30F83EA7">
      <w:pPr>
        <w:rPr>
          <w:rFonts w:hint="eastAsia" w:ascii="宋体" w:hAnsi="宋体" w:eastAsia="宋体" w:cs="宋体"/>
          <w:color w:val="auto"/>
        </w:rPr>
      </w:pPr>
    </w:p>
    <w:p w14:paraId="20EF05C2">
      <w:pPr>
        <w:rPr>
          <w:rFonts w:hint="eastAsia" w:ascii="宋体" w:hAnsi="宋体" w:eastAsia="宋体" w:cs="宋体"/>
          <w:color w:val="auto"/>
        </w:rPr>
      </w:pPr>
    </w:p>
    <w:p w14:paraId="2C198C35">
      <w:pPr>
        <w:rPr>
          <w:rFonts w:hint="eastAsia" w:ascii="宋体" w:hAnsi="宋体" w:eastAsia="宋体" w:cs="宋体"/>
          <w:color w:val="auto"/>
        </w:rPr>
      </w:pPr>
    </w:p>
    <w:p w14:paraId="497BEBD8">
      <w:pPr>
        <w:rPr>
          <w:rFonts w:hint="eastAsia" w:ascii="宋体" w:hAnsi="宋体" w:eastAsia="宋体" w:cs="宋体"/>
          <w:color w:val="auto"/>
        </w:rPr>
      </w:pPr>
    </w:p>
    <w:p w14:paraId="334DD359">
      <w:pPr>
        <w:rPr>
          <w:rFonts w:hint="eastAsia" w:ascii="宋体" w:hAnsi="宋体" w:eastAsia="宋体" w:cs="宋体"/>
          <w:color w:val="auto"/>
          <w:lang w:val="en-US" w:eastAsia="zh-CN"/>
        </w:rPr>
      </w:pPr>
    </w:p>
    <w:p w14:paraId="69F42371">
      <w:pPr>
        <w:jc w:val="left"/>
        <w:rPr>
          <w:rFonts w:hint="eastAsia" w:ascii="宋体" w:hAnsi="宋体" w:eastAsia="宋体" w:cs="宋体"/>
          <w:color w:val="auto"/>
          <w:lang w:val="en-US" w:eastAsia="zh-CN"/>
        </w:rPr>
      </w:pPr>
    </w:p>
    <w:p w14:paraId="6CF5D6DD">
      <w:pPr>
        <w:jc w:val="left"/>
        <w:rPr>
          <w:rFonts w:hint="eastAsia" w:ascii="宋体" w:hAnsi="宋体" w:eastAsia="宋体" w:cs="宋体"/>
          <w:color w:val="auto"/>
          <w:lang w:val="en-US" w:eastAsia="zh-CN"/>
        </w:rPr>
      </w:pPr>
    </w:p>
    <w:p w14:paraId="09CB61CA">
      <w:pPr>
        <w:jc w:val="left"/>
        <w:rPr>
          <w:rFonts w:hint="eastAsia" w:ascii="宋体" w:hAnsi="宋体" w:eastAsia="宋体" w:cs="宋体"/>
          <w:color w:val="auto"/>
          <w:lang w:val="en-US" w:eastAsia="zh-CN"/>
        </w:rPr>
      </w:pPr>
    </w:p>
    <w:p w14:paraId="1D6E01C4">
      <w:pPr>
        <w:jc w:val="left"/>
        <w:rPr>
          <w:rFonts w:hint="eastAsia" w:ascii="宋体" w:hAnsi="宋体" w:eastAsia="宋体" w:cs="宋体"/>
          <w:color w:val="auto"/>
          <w:lang w:val="en-US" w:eastAsia="zh-CN"/>
        </w:rPr>
      </w:pPr>
    </w:p>
    <w:p w14:paraId="67302650">
      <w:pPr>
        <w:jc w:val="left"/>
        <w:rPr>
          <w:rFonts w:hint="eastAsia" w:ascii="宋体" w:hAnsi="宋体" w:eastAsia="宋体" w:cs="宋体"/>
          <w:color w:val="auto"/>
          <w:lang w:val="en-US" w:eastAsia="zh-CN"/>
        </w:rPr>
      </w:pPr>
    </w:p>
    <w:p w14:paraId="1D5328E7">
      <w:pPr>
        <w:wordWrap w:val="0"/>
        <w:autoSpaceDE/>
        <w:autoSpaceDN/>
        <w:snapToGrid w:val="0"/>
        <w:spacing w:line="440" w:lineRule="exact"/>
        <w:jc w:val="left"/>
        <w:outlineLvl w:val="9"/>
        <w:rPr>
          <w:rFonts w:hint="eastAsia" w:ascii="宋体" w:hAnsi="宋体" w:eastAsia="宋体" w:cs="宋体"/>
          <w:b/>
          <w:snapToGrid w:val="0"/>
          <w:color w:val="auto"/>
          <w:sz w:val="24"/>
          <w:highlight w:val="none"/>
          <w:lang w:val="en-US" w:eastAsia="zh-CN"/>
        </w:rPr>
      </w:pPr>
    </w:p>
    <w:p w14:paraId="47E92DAE">
      <w:pPr>
        <w:wordWrap w:val="0"/>
        <w:autoSpaceDE/>
        <w:autoSpaceDN/>
        <w:snapToGrid w:val="0"/>
        <w:spacing w:line="440" w:lineRule="exact"/>
        <w:jc w:val="left"/>
        <w:outlineLvl w:val="9"/>
        <w:rPr>
          <w:rFonts w:hint="eastAsia" w:ascii="宋体" w:hAnsi="宋体" w:eastAsia="宋体" w:cs="宋体"/>
          <w:b/>
          <w:snapToGrid w:val="0"/>
          <w:color w:val="auto"/>
          <w:sz w:val="24"/>
          <w:highlight w:val="none"/>
          <w:lang w:val="en-US" w:eastAsia="zh-CN"/>
        </w:rPr>
      </w:pPr>
      <w:bookmarkStart w:id="341" w:name="_Toc14605"/>
    </w:p>
    <w:p w14:paraId="0200B430">
      <w:pPr>
        <w:pStyle w:val="4"/>
        <w:wordWrap w:val="0"/>
        <w:autoSpaceDE/>
        <w:autoSpaceDN/>
        <w:snapToGrid w:val="0"/>
        <w:spacing w:line="440" w:lineRule="exact"/>
        <w:jc w:val="center"/>
        <w:outlineLvl w:val="0"/>
        <w:rPr>
          <w:rFonts w:hint="eastAsia" w:ascii="宋体" w:hAnsi="宋体" w:eastAsia="宋体" w:cs="宋体"/>
          <w:color w:val="auto"/>
          <w:lang w:val="en-US" w:eastAsia="zh-CN"/>
        </w:rPr>
      </w:pPr>
      <w:bookmarkStart w:id="342" w:name="_Toc29292"/>
      <w:r>
        <w:rPr>
          <w:rFonts w:hint="eastAsia" w:ascii="宋体" w:hAnsi="宋体" w:eastAsia="宋体" w:cs="宋体"/>
          <w:b/>
          <w:snapToGrid w:val="0"/>
          <w:color w:val="auto"/>
          <w:sz w:val="24"/>
          <w:highlight w:val="none"/>
          <w:lang w:val="en-US" w:eastAsia="zh-CN"/>
        </w:rPr>
        <w:t xml:space="preserve">第六章   </w:t>
      </w:r>
      <w:r>
        <w:rPr>
          <w:rFonts w:hint="eastAsia" w:ascii="宋体" w:hAnsi="宋体" w:eastAsia="宋体" w:cs="宋体"/>
          <w:b/>
          <w:snapToGrid w:val="0"/>
          <w:color w:val="auto"/>
          <w:sz w:val="24"/>
          <w:highlight w:val="none"/>
        </w:rPr>
        <w:t>建设工程设计合同</w:t>
      </w:r>
      <w:bookmarkEnd w:id="341"/>
      <w:bookmarkEnd w:id="342"/>
    </w:p>
    <w:p w14:paraId="6C90D9A9">
      <w:pPr>
        <w:spacing w:line="360" w:lineRule="auto"/>
        <w:ind w:firstLine="482" w:firstLineChars="200"/>
        <w:jc w:val="both"/>
        <w:rPr>
          <w:rFonts w:hint="eastAsia" w:ascii="宋体" w:hAnsi="宋体" w:eastAsia="宋体" w:cs="宋体"/>
          <w:color w:val="auto"/>
        </w:rPr>
      </w:pPr>
      <w:r>
        <w:rPr>
          <w:rFonts w:hint="eastAsia" w:ascii="宋体" w:hAnsi="宋体" w:eastAsia="宋体" w:cs="宋体"/>
          <w:b/>
          <w:bCs/>
          <w:color w:val="auto"/>
          <w:sz w:val="24"/>
          <w:szCs w:val="24"/>
          <w:highlight w:val="none"/>
          <w:lang w:val="en-US" w:eastAsia="zh-CN"/>
        </w:rPr>
        <w:t>根据《建设工程设计合同示范文本（专业建设工程）》（GF-2015-0210）执行，如有最新按最新版执行。</w:t>
      </w:r>
    </w:p>
    <w:sectPr>
      <w:headerReference r:id="rId4" w:type="default"/>
      <w:footerReference r:id="rId5" w:type="default"/>
      <w:endnotePr>
        <w:numFmt w:val="decimal"/>
      </w:endnotePr>
      <w:type w:val="continuous"/>
      <w:pgSz w:w="11907" w:h="16840"/>
      <w:pgMar w:top="1134" w:right="1134" w:bottom="1134" w:left="1134" w:header="850" w:footer="850" w:gutter="0"/>
      <w:pgBorders>
        <w:top w:val="none" w:sz="0" w:space="0"/>
        <w:left w:val="none" w:sz="0" w:space="0"/>
        <w:bottom w:val="none" w:sz="0" w:space="0"/>
        <w:right w:val="none" w:sz="0" w:space="0"/>
      </w:pgBorders>
      <w:pgNumType w:fmt="decimal"/>
      <w:cols w:space="0" w:num="1"/>
      <w:rtlGutter w:val="0"/>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BFA8">
    <w:pPr>
      <w:widowControl/>
      <w:tabs>
        <w:tab w:val="center" w:pos="4153"/>
        <w:tab w:val="right" w:pos="8306"/>
      </w:tabs>
      <w:snapToGrid w:val="0"/>
      <w:spacing w:line="360" w:lineRule="auto"/>
      <w:jc w:val="left"/>
      <w:rPr>
        <w:rFonts w:ascii="宋体"/>
        <w:kern w:val="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B43C">
    <w:pPr>
      <w:pStyle w:val="13"/>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F3BB79">
                          <w:pPr>
                            <w:pStyle w:val="13"/>
                            <w:rPr>
                              <w:rFonts w:hint="eastAsia" w:ascii="宋体" w:hAnsi="宋体" w:eastAsia="宋体" w:cs="宋体"/>
                              <w:sz w:val="21"/>
                              <w:szCs w:val="21"/>
                            </w:rPr>
                          </w:pPr>
                          <w:r>
                            <w:fldChar w:fldCharType="begin"/>
                          </w:r>
                          <w:r>
                            <w:instrText xml:space="preserve"> PAGE  \* MERGEFORMAT </w:instrText>
                          </w:r>
                          <w:r>
                            <w:fldChar w:fldCharType="separate"/>
                          </w:r>
                          <w:r>
                            <w:t>- 36 -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1F3BB79">
                    <w:pPr>
                      <w:pStyle w:val="13"/>
                      <w:rPr>
                        <w:rFonts w:hint="eastAsia" w:ascii="宋体" w:hAnsi="宋体" w:eastAsia="宋体" w:cs="宋体"/>
                        <w:sz w:val="21"/>
                        <w:szCs w:val="21"/>
                      </w:rPr>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44EA">
    <w:pPr>
      <w:ind w:firstLine="180" w:firstLineChars="100"/>
      <w:rPr>
        <w:rFonts w:ascii="黑体" w:hAnsi="黑体" w:eastAsia="黑体"/>
        <w:sz w:val="18"/>
        <w:szCs w:val="18"/>
        <w:u w:val="double"/>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建梅">
    <w15:presenceInfo w15:providerId="None" w15:userId="张建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5288F"/>
    <w:rsid w:val="033143E1"/>
    <w:rsid w:val="03A74C8A"/>
    <w:rsid w:val="03C230FA"/>
    <w:rsid w:val="073F2B88"/>
    <w:rsid w:val="07F66B3F"/>
    <w:rsid w:val="083E7612"/>
    <w:rsid w:val="08C94101"/>
    <w:rsid w:val="0A751CE8"/>
    <w:rsid w:val="0AF21771"/>
    <w:rsid w:val="0B810F5B"/>
    <w:rsid w:val="0BAF4CA1"/>
    <w:rsid w:val="0E2A5230"/>
    <w:rsid w:val="0F460B37"/>
    <w:rsid w:val="0FB71F81"/>
    <w:rsid w:val="12072620"/>
    <w:rsid w:val="13B3480E"/>
    <w:rsid w:val="140F518F"/>
    <w:rsid w:val="150E0C1B"/>
    <w:rsid w:val="15A9411A"/>
    <w:rsid w:val="17814CA5"/>
    <w:rsid w:val="17E01949"/>
    <w:rsid w:val="1FC82BD8"/>
    <w:rsid w:val="20E340B8"/>
    <w:rsid w:val="20F64315"/>
    <w:rsid w:val="21894E00"/>
    <w:rsid w:val="222F4AC7"/>
    <w:rsid w:val="23107577"/>
    <w:rsid w:val="24431839"/>
    <w:rsid w:val="297C3DE6"/>
    <w:rsid w:val="29A01A5F"/>
    <w:rsid w:val="2C3F4812"/>
    <w:rsid w:val="2C623F2B"/>
    <w:rsid w:val="2F1C5505"/>
    <w:rsid w:val="2F3E26E0"/>
    <w:rsid w:val="2F6C1E8E"/>
    <w:rsid w:val="2FE5288F"/>
    <w:rsid w:val="33AD2144"/>
    <w:rsid w:val="33DC40A8"/>
    <w:rsid w:val="343616D2"/>
    <w:rsid w:val="34DA47F5"/>
    <w:rsid w:val="379C744C"/>
    <w:rsid w:val="3913382C"/>
    <w:rsid w:val="399F2F31"/>
    <w:rsid w:val="39D11A7C"/>
    <w:rsid w:val="3A5B349D"/>
    <w:rsid w:val="3A883217"/>
    <w:rsid w:val="3B116E34"/>
    <w:rsid w:val="3BE9169C"/>
    <w:rsid w:val="3C9B4029"/>
    <w:rsid w:val="3CB61878"/>
    <w:rsid w:val="3D153E5D"/>
    <w:rsid w:val="3D3F670D"/>
    <w:rsid w:val="3D486264"/>
    <w:rsid w:val="3DA10406"/>
    <w:rsid w:val="402204A1"/>
    <w:rsid w:val="40FA5705"/>
    <w:rsid w:val="41F52A30"/>
    <w:rsid w:val="43AF5FB6"/>
    <w:rsid w:val="452D7DEC"/>
    <w:rsid w:val="460A2D55"/>
    <w:rsid w:val="46D012A4"/>
    <w:rsid w:val="480908C5"/>
    <w:rsid w:val="4A2819C9"/>
    <w:rsid w:val="511C2408"/>
    <w:rsid w:val="523A167B"/>
    <w:rsid w:val="529A0930"/>
    <w:rsid w:val="530F6FAB"/>
    <w:rsid w:val="544B1B01"/>
    <w:rsid w:val="574E69F0"/>
    <w:rsid w:val="58C56E85"/>
    <w:rsid w:val="5B9E5CB3"/>
    <w:rsid w:val="5D09661C"/>
    <w:rsid w:val="5ED545B3"/>
    <w:rsid w:val="633156FD"/>
    <w:rsid w:val="66540B05"/>
    <w:rsid w:val="676230D0"/>
    <w:rsid w:val="68646FFA"/>
    <w:rsid w:val="689C4577"/>
    <w:rsid w:val="6A2627B9"/>
    <w:rsid w:val="6ABE50E7"/>
    <w:rsid w:val="6AE42A50"/>
    <w:rsid w:val="6B5966AC"/>
    <w:rsid w:val="6BEA3CBA"/>
    <w:rsid w:val="6D77332B"/>
    <w:rsid w:val="6EA73055"/>
    <w:rsid w:val="70307598"/>
    <w:rsid w:val="70C804D9"/>
    <w:rsid w:val="71B15F38"/>
    <w:rsid w:val="74A92964"/>
    <w:rsid w:val="75240D2B"/>
    <w:rsid w:val="792E3438"/>
    <w:rsid w:val="79C37B21"/>
    <w:rsid w:val="7B722CBC"/>
    <w:rsid w:val="7C231E74"/>
    <w:rsid w:val="7D094E66"/>
    <w:rsid w:val="7F586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autoSpaceDE w:val="0"/>
      <w:autoSpaceDN w:val="0"/>
      <w:adjustRightInd w:val="0"/>
      <w:jc w:val="left"/>
      <w:outlineLvl w:val="0"/>
    </w:pPr>
    <w:rPr>
      <w:kern w:val="0"/>
      <w:sz w:val="30"/>
    </w:rPr>
  </w:style>
  <w:style w:type="paragraph" w:styleId="5">
    <w:name w:val="heading 2"/>
    <w:basedOn w:val="1"/>
    <w:next w:val="1"/>
    <w:qFormat/>
    <w:uiPriority w:val="0"/>
    <w:pPr>
      <w:autoSpaceDE w:val="0"/>
      <w:autoSpaceDN w:val="0"/>
      <w:adjustRightInd w:val="0"/>
      <w:jc w:val="left"/>
      <w:outlineLvl w:val="1"/>
    </w:pPr>
    <w:rPr>
      <w:kern w:val="0"/>
      <w:sz w:val="20"/>
    </w:rPr>
  </w:style>
  <w:style w:type="paragraph" w:styleId="6">
    <w:name w:val="heading 3"/>
    <w:basedOn w:val="1"/>
    <w:next w:val="1"/>
    <w:qFormat/>
    <w:uiPriority w:val="0"/>
    <w:pPr>
      <w:keepNext/>
      <w:keepLines/>
      <w:spacing w:before="120" w:beforeLines="0" w:after="120" w:afterLines="0"/>
      <w:outlineLvl w:val="2"/>
    </w:pPr>
    <w:rPr>
      <w:b/>
      <w:kern w:val="2"/>
      <w:sz w:val="24"/>
    </w:rPr>
  </w:style>
  <w:style w:type="paragraph" w:styleId="7">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eastAsia="宋体" w:cs="Times New Roman"/>
      <w:sz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rPr>
  </w:style>
  <w:style w:type="paragraph" w:styleId="3">
    <w:name w:val="Body Text"/>
    <w:basedOn w:val="1"/>
    <w:qFormat/>
    <w:uiPriority w:val="0"/>
    <w:pPr>
      <w:spacing w:after="120" w:afterLines="0" w:afterAutospacing="0"/>
    </w:pPr>
  </w:style>
  <w:style w:type="paragraph" w:styleId="8">
    <w:name w:val="annotation text"/>
    <w:basedOn w:val="1"/>
    <w:qFormat/>
    <w:uiPriority w:val="0"/>
    <w:pPr>
      <w:jc w:val="left"/>
    </w:pPr>
  </w:style>
  <w:style w:type="paragraph" w:styleId="9">
    <w:name w:val="Salutation"/>
    <w:basedOn w:val="1"/>
    <w:next w:val="1"/>
    <w:qFormat/>
    <w:uiPriority w:val="0"/>
  </w:style>
  <w:style w:type="paragraph" w:styleId="10">
    <w:name w:val="Body Text Indent"/>
    <w:basedOn w:val="1"/>
    <w:next w:val="11"/>
    <w:qFormat/>
    <w:uiPriority w:val="0"/>
    <w:pPr>
      <w:ind w:firstLine="560" w:firstLineChars="200"/>
    </w:pPr>
  </w:style>
  <w:style w:type="paragraph" w:styleId="11">
    <w:name w:val="envelope return"/>
    <w:basedOn w:val="1"/>
    <w:qFormat/>
    <w:uiPriority w:val="0"/>
    <w:pPr>
      <w:snapToGrid w:val="0"/>
    </w:pPr>
    <w:rPr>
      <w:rFonts w:ascii="Arial" w:hAnsi="Arial"/>
    </w:rPr>
  </w:style>
  <w:style w:type="paragraph" w:styleId="12">
    <w:name w:val="toc 3"/>
    <w:basedOn w:val="1"/>
    <w:next w:val="1"/>
    <w:qFormat/>
    <w:uiPriority w:val="39"/>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Lines="0" w:beforeAutospacing="1" w:after="100" w:afterLines="0" w:afterAutospacing="1" w:line="240" w:lineRule="auto"/>
      <w:jc w:val="left"/>
    </w:pPr>
    <w:rPr>
      <w:rFonts w:hAnsi="宋体" w:cs="宋体"/>
      <w:color w:val="000000"/>
      <w:kern w:val="0"/>
      <w:szCs w:val="24"/>
    </w:rPr>
  </w:style>
  <w:style w:type="paragraph" w:styleId="17">
    <w:name w:val="Body Text First Indent 2"/>
    <w:basedOn w:val="10"/>
    <w:next w:val="18"/>
    <w:qFormat/>
    <w:uiPriority w:val="0"/>
    <w:pPr>
      <w:ind w:firstLine="420" w:firstLineChars="200"/>
    </w:pPr>
    <w:rPr>
      <w:rFonts w:ascii="宋体" w:hAnsi="宋体"/>
      <w:spacing w:val="-20"/>
      <w:kern w:val="21"/>
      <w:sz w:val="28"/>
    </w:rPr>
  </w:style>
  <w:style w:type="paragraph" w:customStyle="1" w:styleId="18">
    <w:name w:val="章标题"/>
    <w:next w:val="1"/>
    <w:qFormat/>
    <w:uiPriority w:val="0"/>
    <w:pPr>
      <w:spacing w:before="50" w:after="50"/>
      <w:jc w:val="both"/>
      <w:outlineLvl w:val="1"/>
    </w:pPr>
    <w:rPr>
      <w:rFonts w:ascii="黑体" w:hAnsi="Calibri" w:eastAsia="黑体" w:cs="Times New Roman"/>
      <w:sz w:val="21"/>
      <w:lang w:val="en-US" w:eastAsia="zh-CN" w:bidi="ar-SA"/>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paragraph" w:customStyle="1" w:styleId="23">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27">
    <w:name w:val="Normal (Web)"/>
    <w:qFormat/>
    <w:uiPriority w:val="0"/>
    <w:pPr>
      <w:spacing w:before="100" w:beforeLines="0" w:beforeAutospacing="1" w:after="100" w:afterLines="0" w:afterAutospacing="1" w:line="360" w:lineRule="auto"/>
    </w:pPr>
    <w:rPr>
      <w:rFonts w:ascii="宋体" w:hAnsi="宋体" w:eastAsia="宋体" w:cs="宋体"/>
      <w:sz w:val="25"/>
      <w:szCs w:val="25"/>
      <w:lang w:val="en-US" w:eastAsia="zh-CN"/>
    </w:rPr>
  </w:style>
  <w:style w:type="character" w:customStyle="1" w:styleId="28">
    <w:name w:val="NormalCharacter"/>
    <w:semiHidden/>
    <w:qFormat/>
    <w:uiPriority w:val="0"/>
    <w:rPr>
      <w:rFonts w:ascii="宋体"/>
      <w:kern w:val="2"/>
      <w:sz w:val="24"/>
      <w:lang w:val="en-US" w:eastAsia="zh-CN" w:bidi="ar-SA"/>
    </w:rPr>
  </w:style>
  <w:style w:type="paragraph" w:customStyle="1" w:styleId="29">
    <w:name w:val="样式 宋体 行距: 1.5 倍行距"/>
    <w:basedOn w:val="30"/>
    <w:next w:val="1"/>
    <w:qFormat/>
    <w:uiPriority w:val="0"/>
    <w:pPr>
      <w:jc w:val="center"/>
    </w:pPr>
    <w:rPr>
      <w:rFonts w:ascii="Times New Roman" w:hAnsi="Times New Roman"/>
      <w:b/>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9"/>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32">
    <w:name w:val="正文文本缩进 New New New New New New New New"/>
    <w:basedOn w:val="33"/>
    <w:qFormat/>
    <w:uiPriority w:val="0"/>
    <w:pPr>
      <w:spacing w:after="120" w:afterLines="0"/>
      <w:ind w:left="420" w:leftChars="200"/>
    </w:pPr>
    <w:rPr>
      <w:rFonts w:eastAsia="宋体"/>
      <w:szCs w:val="24"/>
      <w:lang w:bidi="ar-SA"/>
    </w:rPr>
  </w:style>
  <w:style w:type="paragraph" w:customStyle="1" w:styleId="33">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4">
    <w:name w:val="正文文本缩进 New"/>
    <w:basedOn w:val="35"/>
    <w:qFormat/>
    <w:uiPriority w:val="0"/>
    <w:pPr>
      <w:ind w:firstLine="560" w:firstLineChars="200"/>
    </w:pPr>
    <w:rPr>
      <w:rFonts w:ascii="宋体"/>
      <w:kern w:val="2"/>
      <w:sz w:val="24"/>
    </w:rPr>
  </w:style>
  <w:style w:type="paragraph" w:customStyle="1" w:styleId="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8">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d5f67568-65b9-430a-9090-e831e0b1cb5c</errorID>
      <errorWord>证</errorWord>
      <group>L1_Word</group>
      <groupName>字词问题</groupName>
      <ability>L2_Typo</ability>
      <abilityName>字词错误</abilityName>
      <candidateList>
        <item>证金</item>
      </candidateList>
      <explain/>
      <paraID>3392B353</paraID>
      <start>35</start>
      <end>36</end>
      <status>unmodified</status>
      <modifiedWord/>
      <trackRevisions>false</trackRevisions>
    </reviewItem>
    <reviewItem>
      <errorID>8800c4de-400e-4fdb-85d8-d425f54941d1</errorID>
      <errorWord>-</errorWord>
      <group>L1_Format</group>
      <groupName>格式问题</groupName>
      <ability>L2_HalfPunc_CN</ability>
      <abilityName>全半角检查</abilityName>
      <candidateList>
        <item>－</item>
      </candidateList>
      <explain>文本全半角错误。</explain>
      <paraID>4E35628B</paraID>
      <start>47</start>
      <end>48</end>
      <status>unmodified</status>
      <modifiedWord/>
      <trackRevisions>false</trackRevisions>
    </reviewItem>
    <reviewItem>
      <errorID>0cfe6ef7-2d6c-4080-b503-f5755a6cb8d9</errorID>
      <errorWord>-</errorWord>
      <group>L1_Format</group>
      <groupName>格式问题</groupName>
      <ability>L2_HalfPunc_CN</ability>
      <abilityName>全半角检查</abilityName>
      <candidateList>
        <item>－</item>
      </candidateList>
      <explain>文本全半角错误。</explain>
      <paraID>4E35628B</paraID>
      <start>48</start>
      <end>49</end>
      <status>unmodified</status>
      <modifiedWord/>
      <trackRevisions>false</trackRevisions>
    </reviewItem>
    <reviewItem>
      <errorID>e63360e6-67fd-4cb8-904c-f0fd00f87b1a</errorID>
      <errorWord>（</errorWord>
      <group>L1_Punc</group>
      <groupName>标点问题</groupName>
      <ability>L2_Punc_CN</ability>
      <abilityName>标点符号检查</abilityName>
      <candidateList/>
      <explain>同一形式括号套用。</explain>
      <paraID>32CC6BF5</paraID>
      <start>104</start>
      <end>105</end>
      <status>unmodified</status>
      <modifiedWord/>
      <trackRevisions>false</trackRevisions>
    </reviewItem>
    <reviewItem>
      <errorID>9a3c9162-891f-4d94-8231-814b181d1a5b</errorID>
      <errorWord>）</errorWord>
      <group>L1_Punc</group>
      <groupName>标点问题</groupName>
      <ability>L2_Punc_CN</ability>
      <abilityName>标点符号检查</abilityName>
      <candidateList/>
      <explain>同一形式括号套用。</explain>
      <paraID>32CC6BF5</paraID>
      <start>119</start>
      <end>120</end>
      <status>unmodified</status>
      <modifiedWord/>
      <trackRevisions>false</trackRevisions>
    </reviewItem>
    <reviewItem>
      <errorID>d3a9b89f-ce26-45e6-9e62-d65c7497b82a</errorID>
      <errorWord>保证缴</errorWord>
      <group>L1_Word</group>
      <groupName>字词问题</groupName>
      <ability>L2_Typo</ability>
      <abilityName>字词错误</abilityName>
      <candidateList>
        <item>保证金</item>
      </candidateList>
      <explain/>
      <paraID>6FED4586</paraID>
      <start>2</start>
      <end>5</end>
      <status>unmodified</status>
      <modifiedWord/>
      <trackRevisions>false</trackRevisions>
    </reviewItem>
    <reviewItem>
      <errorID>7ddab7f5-672f-462f-9a1f-588ea750a219</errorID>
      <errorWord>国家工业和信息化部</errorWord>
      <group>L1_Political</group>
      <groupName>政治性问题</groupName>
      <ability>L2_Unpolitical</ability>
      <abilityName>政治敏感错误</abilityName>
      <candidateList>
        <item>工业和信息化部</item>
      </candidateList>
      <explain/>
      <paraID>2F410EA7</paraID>
      <start>9</start>
      <end>18</end>
      <status>unmodified</status>
      <modifiedWord/>
      <trackRevisions>false</trackRevisions>
    </reviewItem>
    <reviewItem>
      <errorID>2ea549f6-c415-4403-8831-9de7288b5824</errorID>
      <errorWord>证</errorWord>
      <group>L1_Word</group>
      <groupName>字词问题</groupName>
      <ability>L2_Typo</ability>
      <abilityName>字词错误</abilityName>
      <candidateList>
        <item>证金</item>
      </candidateList>
      <explain/>
      <paraID>24B58DA1</paraID>
      <start>39</start>
      <end>40</end>
      <status>unmodified</status>
      <modifiedWord/>
      <trackRevisions>false</trackRevisions>
    </reviewItem>
    <reviewItem>
      <errorID>8e5be43f-0446-46c5-9315-b9b201a04186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6FA5184F</paraID>
      <start>0</start>
      <end>3</end>
      <status>unmodified</status>
      <modifiedWord/>
      <trackRevisions>false</trackRevisions>
    </reviewItem>
    <reviewItem>
      <errorID>7380dd24-ed41-42cd-a58a-c7b67aa66c0a</errorID>
      <errorWord>(</errorWord>
      <group>L1_Format</group>
      <groupName>格式问题</groupName>
      <ability>L2_HalfPunc_CN</ability>
      <abilityName>全半角检查</abilityName>
      <candidateList>
        <item>（</item>
      </candidateList>
      <explain>文本全半角错误。</explain>
      <paraID>6FA5184F</paraID>
      <start>81</start>
      <end>82</end>
      <status>unmodified</status>
      <modifiedWord/>
      <trackRevisions>false</trackRevisions>
    </reviewItem>
    <reviewItem>
      <errorID>b1346839-4c70-49c0-932f-a8c2f1ade176</errorID>
      <errorWord>)</errorWord>
      <group>L1_Format</group>
      <groupName>格式问题</groupName>
      <ability>L2_HalfPunc_CN</ability>
      <abilityName>全半角检查</abilityName>
      <candidateList>
        <item>）</item>
      </candidateList>
      <explain>文本全半角错误。</explain>
      <paraID>6FA5184F</paraID>
      <start>102</start>
      <end>103</end>
      <status>unmodified</status>
      <modifiedWord/>
      <trackRevisions>false</trackRevisions>
    </reviewItem>
    <reviewItem>
      <errorID>1ae54c57-f3b2-455d-9f1a-ac1335a2d1e7</errorID>
      <errorWord>证</errorWord>
      <group>L1_Word</group>
      <groupName>字词问题</groupName>
      <ability>L2_Typo</ability>
      <abilityName>字词错误</abilityName>
      <candidateList>
        <item>证金</item>
      </candidateList>
      <explain/>
      <paraID>308C80C5</paraID>
      <start>38</start>
      <end>39</end>
      <status>unmodified</status>
      <modifiedWord/>
      <trackRevisions>false</trackRevisions>
    </reviewItem>
    <reviewItem>
      <errorID>b4cec57f-d9ea-4079-91dc-44369a8b6432</errorID>
      <errorWord>证</errorWord>
      <group>L1_Word</group>
      <groupName>字词问题</groupName>
      <ability>L2_Typo</ability>
      <abilityName>字词错误</abilityName>
      <candidateList>
        <item>证金</item>
      </candidateList>
      <explain/>
      <paraID>1A9A986B</paraID>
      <start>6</start>
      <end>7</end>
      <status>unmodified</status>
      <modifiedWord/>
      <trackRevisions>false</trackRevisions>
    </reviewItem>
    <reviewItem>
      <errorID>9dfe4312-7578-4ea6-8090-f58ccd663443</errorID>
      <errorWord>（</errorWord>
      <group>L1_Punc</group>
      <groupName>标点问题</groupName>
      <ability>L2_Punc_CN</ability>
      <abilityName>标点符号检查</abilityName>
      <candidateList/>
      <explain>同一形式括号套用。</explain>
      <paraID>49923835</paraID>
      <start>111</start>
      <end>112</end>
      <status>unmodified</status>
      <modifiedWord/>
      <trackRevisions>false</trackRevisions>
    </reviewItem>
    <reviewItem>
      <errorID>fc91c1f0-07bb-4e0c-a83c-7590e75c27bc</errorID>
      <errorWord>）</errorWord>
      <group>L1_Punc</group>
      <groupName>标点问题</groupName>
      <ability>L2_Punc_CN</ability>
      <abilityName>标点符号检查</abilityName>
      <candidateList/>
      <explain>同一形式括号套用。</explain>
      <paraID>49923835</paraID>
      <start>114</start>
      <end>115</end>
      <status>unmodified</status>
      <modifiedWord/>
      <trackRevisions>false</trackRevisions>
    </reviewItem>
    <reviewItem>
      <errorID>837024e9-d78a-4b29-8e95-d8cd2beb0e93</errorID>
      <errorWord>位</errorWord>
      <group>L1_Word</group>
      <groupName>字词问题</groupName>
      <ability>L2_Typo</ability>
      <abilityName>字词错误</abilityName>
      <candidateList>
        <item>位公</item>
      </candidateList>
      <explain/>
      <paraID>718A13D6</paraID>
      <start>48</start>
      <end>49</end>
      <status>unmodified</status>
      <modifiedWord/>
      <trackRevisions>false</trackRevisions>
    </reviewItem>
    <reviewItem>
      <errorID>5e5e4b1f-e411-49dd-9cee-4678fa661198</errorID>
      <errorWord>位</errorWord>
      <group>L1_Word</group>
      <groupName>字词问题</groupName>
      <ability>L2_Typo</ability>
      <abilityName>字词错误</abilityName>
      <candidateList>
        <item>位公</item>
      </candidateList>
      <explain/>
      <paraID>48B02EBA</paraID>
      <start>46</start>
      <end>47</end>
      <status>unmodified</status>
      <modifiedWord/>
      <trackRevisions>false</trackRevisions>
    </reviewItem>
    <reviewItem>
      <errorID>f1e8203b-bc8d-4ac2-aa5b-4ae228512be6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14FC58BD</paraID>
      <start>0</start>
      <end>3</end>
      <status>unmodified</status>
      <modifiedWord/>
      <trackRevisions>false</trackRevisions>
    </reviewItem>
    <reviewItem>
      <errorID>d99914ef-9534-4f4a-bc9b-85d171a5f213</errorID>
      <errorWord>证</errorWord>
      <group>L1_Word</group>
      <groupName>字词问题</groupName>
      <ability>L2_Typo</ability>
      <abilityName>字词错误</abilityName>
      <candidateList>
        <item>证金</item>
      </candidateList>
      <explain/>
      <paraID>613F850B</paraID>
      <start>30</start>
      <end>31</end>
      <status>unmodified</status>
      <modifiedWord/>
      <trackRevisions>false</trackRevisions>
    </reviewItem>
    <reviewItem>
      <errorID>11434f9b-789a-451f-9586-60ff252190ac</errorID>
      <errorWord>登陆</errorWord>
      <group>L1_Word</group>
      <groupName>字词问题</groupName>
      <ability>L2_Typo</ability>
      <abilityName>字词错误</abilityName>
      <candidateList>
        <item>登录</item>
      </candidateList>
      <explain>存在发音相同字词的误用。</explain>
      <paraID>613F850B</paraID>
      <start>57</start>
      <end>59</end>
      <status>unmodified</status>
      <modifiedWord/>
      <trackRevisions>false</trackRevisions>
    </reviewItem>
    <reviewItem>
      <errorID>d176f5bd-56d2-4b05-9b46-e02add8c6dba</errorID>
      <errorWord>证</errorWord>
      <group>L1_Word</group>
      <groupName>字词问题</groupName>
      <ability>L2_Typo</ability>
      <abilityName>字词错误</abilityName>
      <candidateList>
        <item>证金</item>
      </candidateList>
      <explain/>
      <paraID>4950B95D</paraID>
      <start>94</start>
      <end>95</end>
      <status>unmodified</status>
      <modifiedWord/>
      <trackRevisions>false</trackRevisions>
    </reviewItem>
    <reviewItem>
      <errorID>b02a37b0-dc19-4f72-971d-d15e2b889563</errorID>
      <errorWord>证</errorWord>
      <group>L1_Word</group>
      <groupName>字词问题</groupName>
      <ability>L2_Typo</ability>
      <abilityName>字词错误</abilityName>
      <candidateList>
        <item>证金</item>
      </candidateList>
      <explain/>
      <paraID>47329701</paraID>
      <start>53</start>
      <end>54</end>
      <status>unmodified</status>
      <modifiedWord/>
      <trackRevisions>false</trackRevisions>
    </reviewItem>
    <reviewItem>
      <errorID>383ca0a4-e6e0-4612-935b-5a0d9bd4e5f7</errorID>
      <errorWord>证</errorWord>
      <group>L1_Word</group>
      <groupName>字词问题</groupName>
      <ability>L2_Typo</ability>
      <abilityName>字词错误</abilityName>
      <candidateList>
        <item>证金</item>
      </candidateList>
      <explain/>
      <paraID>66050002</paraID>
      <start>76</start>
      <end>77</end>
      <status>unmodified</status>
      <modifiedWord/>
      <trackRevisions>false</trackRevisions>
    </reviewItem>
    <reviewItem>
      <errorID>ebcce685-d4eb-4348-83a0-bbff4afbd073</errorID>
      <errorWord>证</errorWord>
      <group>L1_Word</group>
      <groupName>字词问题</groupName>
      <ability>L2_Typo</ability>
      <abilityName>字词错误</abilityName>
      <candidateList>
        <item>证金</item>
      </candidateList>
      <explain/>
      <paraID>5731769F</paraID>
      <start>26</start>
      <end>27</end>
      <status>unmodified</status>
      <modifiedWord/>
      <trackRevisions>false</trackRevisions>
    </reviewItem>
    <reviewItem>
      <errorID>6dbf6545-84b4-4874-86d4-0c0f3f793e47</errorID>
      <errorWord>--</errorWord>
      <group>L1_Punc</group>
      <groupName>标点问题</groupName>
      <ability>L2_Punc_CN</ability>
      <abilityName>标点符号检查</abilityName>
      <candidateList>
        <item>——</item>
      </candidateList>
      <explain>破折号或连接号疑似使用错误。</explain>
      <paraID>57862557</paraID>
      <start>49</start>
      <end>51</end>
      <status>unmodified</status>
      <modifiedWord/>
      <trackRevisions>false</trackRevisions>
    </reviewItem>
    <reviewItem>
      <errorID>7f78f18f-e7c8-4b6b-80ef-c3e22dfdea1f</errorID>
      <errorWord>,</errorWord>
      <group>L1_Format</group>
      <groupName>格式问题</groupName>
      <ability>L2_HalfPunc_CN</ability>
      <abilityName>全半角检查</abilityName>
      <candidateList>
        <item>，</item>
      </candidateList>
      <explain>文本全半角错误。</explain>
      <paraID>36412A90</paraID>
      <start>24</start>
      <end>25</end>
      <status>unmodified</status>
      <modifiedWord/>
      <trackRevisions>false</trackRevisions>
    </reviewItem>
    <reviewItem>
      <errorID>b688ad40-6340-4387-8f67-0f57ab546a4a</errorID>
      <errorWord>纪检监察等机关</errorWord>
      <group>L1_Political</group>
      <groupName>政治性问题</groupName>
      <ability>L2_Keyword</ability>
      <abilityName>固定表述</abilityName>
      <candidateList>
        <item>纪检监察机关</item>
      </candidateList>
      <explain>词汇“纪检监察机关”在特定场景下为固定表述形式，请确认此处的“纪检监察等机关”是否存在不当。</explain>
      <paraID>12B9AC6A</paraID>
      <start>15</start>
      <end>22</end>
      <status>unmodified</status>
      <modifiedWord/>
      <trackRevisions>false</trackRevisions>
    </reviewItem>
    <reviewItem>
      <errorID>5bf9f9cf-0b75-461d-a258-94321513cee3</errorID>
      <errorWord>证</errorWord>
      <group>L1_Word</group>
      <groupName>字词问题</groupName>
      <ability>L2_Typo</ability>
      <abilityName>字词错误</abilityName>
      <candidateList>
        <item>证金</item>
      </candidateList>
      <explain/>
      <paraID>45268085</paraID>
      <start>32</start>
      <end>33</end>
      <status>unmodified</status>
      <modifiedWord/>
      <trackRevisions>false</trackRevisions>
    </reviewItem>
    <reviewItem>
      <errorID>fa8736aa-ef21-4d59-bb6c-a547c5df4faa</errorID>
      <errorWord>法律、法规</errorWord>
      <group>L1_Word</group>
      <groupName>字词问题</groupName>
      <ability>L2_Typo</ability>
      <abilityName>字词错误</abilityName>
      <candidateList>
        <item>法律法规</item>
      </candidateList>
      <explain/>
      <paraID>528F8A3F</paraID>
      <start>4</start>
      <end>9</end>
      <status>unmodified</status>
      <modifiedWord/>
      <trackRevisions>false</trackRevisions>
    </reviewItem>
    <reviewItem>
      <errorID>915dc7c1-d712-45dc-ad84-490b9b51f742</errorID>
      <errorWord>(</errorWord>
      <group>L1_Format</group>
      <groupName>格式问题</groupName>
      <ability>L2_HalfPunc_CN</ability>
      <abilityName>全半角检查</abilityName>
      <candidateList>
        <item>（</item>
      </candidateList>
      <explain>文本全半角错误。</explain>
      <paraID>54EFC790</paraID>
      <start>6</start>
      <end>7</end>
      <status>unmodified</status>
      <modifiedWord/>
      <trackRevisions>false</trackRevisions>
    </reviewItem>
    <reviewItem>
      <errorID>09e8b6d4-8f48-4320-8989-6acdea110c45</errorID>
      <errorWord>)</errorWord>
      <group>L1_Format</group>
      <groupName>格式问题</groupName>
      <ability>L2_HalfPunc_CN</ability>
      <abilityName>全半角检查</abilityName>
      <candidateList>
        <item>）</item>
      </candidateList>
      <explain>文本全半角错误。</explain>
      <paraID>54EFC790</paraID>
      <start>18</start>
      <end>19</end>
      <status>unmodified</status>
      <modifiedWord/>
      <trackRevisions>false</trackRevisions>
    </reviewItem>
    <reviewItem>
      <errorID>74aa05f8-5fe2-4505-b79a-1af42d7dcb56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47F51FD2</paraID>
      <start>0</start>
      <end>2</end>
      <status>unmodified</status>
      <modifiedWord/>
      <trackRevisions>false</trackRevisions>
    </reviewItem>
    <reviewItem>
      <errorID>44310c88-9334-4b7f-ae67-0c3a2dcdbc74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35F172F7</paraID>
      <start>0</start>
      <end>2</end>
      <status>unmodified</status>
      <modifiedWord/>
      <trackRevisions>false</trackRevisions>
    </reviewItem>
    <reviewItem>
      <errorID>d434f378-f42d-4686-bbfe-e871329c539e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29EF0FC7</paraID>
      <start>0</start>
      <end>2</end>
      <status>unmodified</status>
      <modifiedWord/>
      <trackRevisions>false</trackRevisions>
    </reviewItem>
    <reviewItem>
      <errorID>4e3b6133-a2aa-407a-994b-1702c2fb71d8</errorID>
      <errorWord>(</errorWord>
      <group>L1_Format</group>
      <groupName>格式问题</groupName>
      <ability>L2_HalfPunc_CN</ability>
      <abilityName>全半角检查</abilityName>
      <candidateList>
        <item>（</item>
      </candidateList>
      <explain>文本全半角错误。</explain>
      <paraID>68820AE0</paraID>
      <start>23</start>
      <end>24</end>
      <status>unmodified</status>
      <modifiedWord/>
      <trackRevisions>false</trackRevisions>
    </reviewItem>
    <reviewItem>
      <errorID>39c8e493-6bbf-4f47-8ec3-8f6ded6871a8</errorID>
      <errorWord>)</errorWord>
      <group>L1_Format</group>
      <groupName>格式问题</groupName>
      <ability>L2_HalfPunc_CN</ability>
      <abilityName>全半角检查</abilityName>
      <candidateList>
        <item>）</item>
      </candidateList>
      <explain>文本全半角错误。</explain>
      <paraID>68820AE0</paraID>
      <start>36</start>
      <end>37</end>
      <status>unmodified</status>
      <modifiedWord/>
      <trackRevisions>false</trackRevisions>
    </reviewItem>
    <reviewItem>
      <errorID>b42d1569-710c-400a-b0bf-52f4b66a43b0</errorID>
      <errorWord>(</errorWord>
      <group>L1_Format</group>
      <groupName>格式问题</groupName>
      <ability>L2_HalfPunc_CN</ability>
      <abilityName>全半角检查</abilityName>
      <candidateList>
        <item>（</item>
      </candidateList>
      <explain>文本全半角错误。</explain>
      <paraID>1FC973EC</paraID>
      <start>27</start>
      <end>28</end>
      <status>unmodified</status>
      <modifiedWord/>
      <trackRevisions>false</trackRevisions>
    </reviewItem>
    <reviewItem>
      <errorID>ad01f078-9ee2-4dde-8a2c-e61cfba5bf58</errorID>
      <errorWord>)</errorWord>
      <group>L1_Format</group>
      <groupName>格式问题</groupName>
      <ability>L2_HalfPunc_CN</ability>
      <abilityName>全半角检查</abilityName>
      <candidateList>
        <item>）</item>
      </candidateList>
      <explain>文本全半角错误。</explain>
      <paraID>1FC973EC</paraID>
      <start>40</start>
      <end>41</end>
      <status>unmodified</status>
      <modifiedWord/>
      <trackRevisions>false</trackRevisions>
    </reviewItem>
    <reviewItem>
      <errorID>4df6e9ae-aca0-4e20-92d7-2bb75cf7b9c3</errorID>
      <errorWord>(</errorWord>
      <group>L1_Format</group>
      <groupName>格式问题</groupName>
      <ability>L2_HalfPunc_CN</ability>
      <abilityName>全半角检查</abilityName>
      <candidateList>
        <item>（</item>
      </candidateList>
      <explain>文本全半角错误。</explain>
      <paraID> 2C26696</paraID>
      <start>31</start>
      <end>32</end>
      <status>unmodified</status>
      <modifiedWord/>
      <trackRevisions>false</trackRevisions>
    </reviewItem>
    <reviewItem>
      <errorID>11b7663e-bbe0-4837-834f-87a88861082f</errorID>
      <errorWord>)</errorWord>
      <group>L1_Format</group>
      <groupName>格式问题</groupName>
      <ability>L2_HalfPunc_CN</ability>
      <abilityName>全半角检查</abilityName>
      <candidateList>
        <item>）</item>
      </candidateList>
      <explain>文本全半角错误。</explain>
      <paraID> 2C26696</paraID>
      <start>44</start>
      <end>45</end>
      <status>unmodified</status>
      <modifiedWord/>
      <trackRevisions>false</trackRevisions>
    </reviewItem>
    <reviewItem>
      <errorID>2c7353fe-dc71-4417-9e65-a05dac0f6a26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54D26633</paraID>
      <start>0</start>
      <end>2</end>
      <status>unmodified</status>
      <modifiedWord/>
      <trackRevisions>false</trackRevisions>
    </reviewItem>
    <reviewItem>
      <errorID>e3260073-2f6c-48ed-8caf-767137cdd237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7141E2E4</paraID>
      <start>0</start>
      <end>2</end>
      <status>unmodified</status>
      <modifiedWord/>
      <trackRevisions>false</trackRevisions>
    </reviewItem>
    <reviewItem>
      <errorID>f4d62adc-83c5-4ab9-8a1d-cf44c62182a3</errorID>
      <errorWord>(</errorWord>
      <group>L1_Format</group>
      <groupName>格式问题</groupName>
      <ability>L2_HalfPunc_CN</ability>
      <abilityName>全半角检查</abilityName>
      <candidateList>
        <item>（</item>
      </candidateList>
      <explain>文本全半角错误。</explain>
      <paraID>71F83C3B</paraID>
      <start>8</start>
      <end>9</end>
      <status>unmodified</status>
      <modifiedWord/>
      <trackRevisions>false</trackRevisions>
    </reviewItem>
    <reviewItem>
      <errorID>bbf0a116-d4b5-4b14-9a7f-737cf45bbcdb</errorID>
      <errorWord>)</errorWord>
      <group>L1_Format</group>
      <groupName>格式问题</groupName>
      <ability>L2_HalfPunc_CN</ability>
      <abilityName>全半角检查</abilityName>
      <candidateList>
        <item>）</item>
      </candidateList>
      <explain>文本全半角错误。</explain>
      <paraID>71F83C3B</paraID>
      <start>11</start>
      <end>12</end>
      <status>unmodified</status>
      <modifiedWord/>
      <trackRevisions>false</trackRevisions>
    </reviewItem>
    <reviewItem>
      <errorID>ea2c577f-e587-4b31-8f99-3127443c59b1</errorID>
      <errorWord>(</errorWord>
      <group>L1_Format</group>
      <groupName>格式问题</groupName>
      <ability>L2_HalfPunc_CN</ability>
      <abilityName>全半角检查</abilityName>
      <candidateList>
        <item>（</item>
      </candidateList>
      <explain>文本全半角错误。</explain>
      <paraID>22A2FDC7</paraID>
      <start>8</start>
      <end>9</end>
      <status>unmodified</status>
      <modifiedWord/>
      <trackRevisions>false</trackRevisions>
    </reviewItem>
    <reviewItem>
      <errorID>8147e049-6ce8-4379-a646-9591e6f29bfe</errorID>
      <errorWord>)</errorWord>
      <group>L1_Format</group>
      <groupName>格式问题</groupName>
      <ability>L2_HalfPunc_CN</ability>
      <abilityName>全半角检查</abilityName>
      <candidateList>
        <item>）</item>
      </candidateList>
      <explain>文本全半角错误。</explain>
      <paraID>22A2FDC7</paraID>
      <start>11</start>
      <end>12</end>
      <status>unmodified</status>
      <modifiedWord/>
      <trackRevisions>false</trackRevisions>
    </reviewItem>
    <reviewItem>
      <errorID>93997d6d-561f-4e5c-8b18-69b7d0e212e4</errorID>
      <errorWord>(</errorWord>
      <group>L1_Format</group>
      <groupName>格式问题</groupName>
      <ability>L2_HalfPunc_CN</ability>
      <abilityName>全半角检查</abilityName>
      <candidateList>
        <item>（</item>
      </candidateList>
      <explain>文本全半角错误。</explain>
      <paraID>59C04D24</paraID>
      <start>8</start>
      <end>9</end>
      <status>unmodified</status>
      <modifiedWord/>
      <trackRevisions>false</trackRevisions>
    </reviewItem>
    <reviewItem>
      <errorID>7642504f-ec42-4a39-8871-e92ce26e9739</errorID>
      <errorWord>)</errorWord>
      <group>L1_Format</group>
      <groupName>格式问题</groupName>
      <ability>L2_HalfPunc_CN</ability>
      <abilityName>全半角检查</abilityName>
      <candidateList>
        <item>）</item>
      </candidateList>
      <explain>文本全半角错误。</explain>
      <paraID>59C04D24</paraID>
      <start>11</start>
      <end>12</end>
      <status>unmodified</status>
      <modifiedWord/>
      <trackRevisions>false</trackRevisions>
    </reviewItem>
    <reviewItem>
      <errorID>04a6911f-fb31-4008-9a35-58a654e00cac</errorID>
      <errorWord>(</errorWord>
      <group>L1_Format</group>
      <groupName>格式问题</groupName>
      <ability>L2_HalfPunc_CN</ability>
      <abilityName>全半角检查</abilityName>
      <candidateList>
        <item>（</item>
      </candidateList>
      <explain>文本全半角错误。</explain>
      <paraID>59C04D24</paraID>
      <start>26</start>
      <end>27</end>
      <status>unmodified</status>
      <modifiedWord/>
      <trackRevisions>false</trackRevisions>
    </reviewItem>
    <reviewItem>
      <errorID>76f205c9-950d-4bab-85b1-3712ccee5ff6</errorID>
      <errorWord>)</errorWord>
      <group>L1_Format</group>
      <groupName>格式问题</groupName>
      <ability>L2_HalfPunc_CN</ability>
      <abilityName>全半角检查</abilityName>
      <candidateList>
        <item>）</item>
      </candidateList>
      <explain>文本全半角错误。</explain>
      <paraID>59C04D24</paraID>
      <start>30</start>
      <end>31</end>
      <status>unmodified</status>
      <modifiedWord/>
      <trackRevisions>false</trackRevisions>
    </reviewItem>
    <reviewItem>
      <errorID>31217658-17df-4ab3-80cd-8b3a6e51909a</errorID>
      <errorWord>(</errorWord>
      <group>L1_Format</group>
      <groupName>格式问题</groupName>
      <ability>L2_HalfPunc_CN</ability>
      <abilityName>全半角检查</abilityName>
      <candidateList>
        <item>（</item>
      </candidateList>
      <explain>文本全半角错误。</explain>
      <paraID>6CB4ED3C</paraID>
      <start>8</start>
      <end>9</end>
      <status>unmodified</status>
      <modifiedWord/>
      <trackRevisions>false</trackRevisions>
    </reviewItem>
    <reviewItem>
      <errorID>3355f46e-f428-4f2e-960a-ad908726eb1a</errorID>
      <errorWord>)</errorWord>
      <group>L1_Format</group>
      <groupName>格式问题</groupName>
      <ability>L2_HalfPunc_CN</ability>
      <abilityName>全半角检查</abilityName>
      <candidateList>
        <item>）</item>
      </candidateList>
      <explain>文本全半角错误。</explain>
      <paraID>6CB4ED3C</paraID>
      <start>13</start>
      <end>14</end>
      <status>unmodified</status>
      <modifiedWord/>
      <trackRevisions>false</trackRevisions>
    </reviewItem>
    <reviewItem>
      <errorID>d06ef890-514d-40a3-b066-3150eefb3a17</errorID>
      <errorWord>(</errorWord>
      <group>L1_Format</group>
      <groupName>格式问题</groupName>
      <ability>L2_HalfPunc_CN</ability>
      <abilityName>全半角检查</abilityName>
      <candidateList>
        <item>（</item>
      </candidateList>
      <explain>文本全半角错误。</explain>
      <paraID>6CB4ED3C</paraID>
      <start>30</start>
      <end>31</end>
      <status>unmodified</status>
      <modifiedWord/>
      <trackRevisions>false</trackRevisions>
    </reviewItem>
    <reviewItem>
      <errorID>b3f2a68b-0d0c-4cda-a5a1-8c2766988439</errorID>
      <errorWord>)</errorWord>
      <group>L1_Format</group>
      <groupName>格式问题</groupName>
      <ability>L2_HalfPunc_CN</ability>
      <abilityName>全半角检查</abilityName>
      <candidateList>
        <item>）</item>
      </candidateList>
      <explain>文本全半角错误。</explain>
      <paraID>6CB4ED3C</paraID>
      <start>35</start>
      <end>36</end>
      <status>unmodified</status>
      <modifiedWord/>
      <trackRevisions>false</trackRevisions>
    </reviewItem>
    <reviewItem>
      <errorID>a3ac4973-95c7-4ba4-99ff-0e939debb935</errorID>
      <errorWord>(</errorWord>
      <group>L1_Format</group>
      <groupName>格式问题</groupName>
      <ability>L2_HalfPunc_CN</ability>
      <abilityName>全半角检查</abilityName>
      <candidateList>
        <item>（</item>
      </candidateList>
      <explain>文本全半角错误。</explain>
      <paraID>1AC43F47</paraID>
      <start>8</start>
      <end>9</end>
      <status>unmodified</status>
      <modifiedWord/>
      <trackRevisions>false</trackRevisions>
    </reviewItem>
    <reviewItem>
      <errorID>45cb677a-15f3-4642-817c-c4704d8bf1ce</errorID>
      <errorWord>)</errorWord>
      <group>L1_Format</group>
      <groupName>格式问题</groupName>
      <ability>L2_HalfPunc_CN</ability>
      <abilityName>全半角检查</abilityName>
      <candidateList>
        <item>）</item>
      </candidateList>
      <explain>文本全半角错误。</explain>
      <paraID>1AC43F47</paraID>
      <start>11</start>
      <end>12</end>
      <status>unmodified</status>
      <modifiedWord/>
      <trackRevisions>false</trackRevisions>
    </reviewItem>
    <reviewItem>
      <errorID>688d91db-5ffa-4c12-a104-a4c16a5f7c18</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12C1620A</paraID>
      <start>6</start>
      <end>8</end>
      <status>unmodified</status>
      <modifiedWord/>
      <trackRevisions>false</trackRevisions>
    </reviewItem>
    <reviewItem>
      <errorID>43d4866c-02a2-4b5c-a74c-be9361f73d07</errorID>
      <errorWord>,</errorWord>
      <group>L1_Format</group>
      <groupName>格式问题</groupName>
      <ability>L2_HalfPunc_CN</ability>
      <abilityName>全半角检查</abilityName>
      <candidateList>
        <item>，</item>
      </candidateList>
      <explain>文本全半角错误。</explain>
      <paraID>281AA4DA</paraID>
      <start>60</start>
      <end>61</end>
      <status>unmodified</status>
      <modifiedWord/>
      <trackRevisions>false</trackRevisions>
    </reviewItem>
    <reviewItem>
      <errorID>55f81052-b57e-450d-bfdc-955758af43e1</errorID>
      <errorWord>证</errorWord>
      <group>L1_Word</group>
      <groupName>字词问题</groupName>
      <ability>L2_Typo</ability>
      <abilityName>字词错误</abilityName>
      <candidateList>
        <item>证金</item>
      </candidateList>
      <explain/>
      <paraID> 6F676B3</paraID>
      <start>29</start>
      <end>30</end>
      <status>unmodified</status>
      <modifiedWord/>
      <trackRevisions>false</trackRevisions>
    </reviewItem>
    <reviewItem>
      <errorID>9e5a2669-3eff-41c7-b94f-1e5a2b669409</errorID>
      <errorWord>（</errorWord>
      <group>L1_Punc</group>
      <groupName>标点问题</groupName>
      <ability>L2_Punc_CN</ability>
      <abilityName>标点符号检查</abilityName>
      <candidateList/>
      <explain>同一形式括号套用。</explain>
      <paraID>70094A1A</paraID>
      <start>72</start>
      <end>73</end>
      <status>unmodified</status>
      <modifiedWord/>
      <trackRevisions>false</trackRevisions>
    </reviewItem>
    <reviewItem>
      <errorID>179742bc-157f-43b5-826b-ae1aac36e1fa</errorID>
      <errorWord>）</errorWord>
      <group>L1_Punc</group>
      <groupName>标点问题</groupName>
      <ability>L2_Punc_CN</ability>
      <abilityName>标点符号检查</abilityName>
      <candidateList/>
      <explain>同一形式括号套用。</explain>
      <paraID>70094A1A</paraID>
      <start>84</start>
      <end>85</end>
      <status>unmodified</status>
      <modifiedWord/>
      <trackRevisions>false</trackRevisions>
    </reviewItem>
    <reviewItem>
      <errorID>4a886119-09fd-45ec-952e-b946454ceced</errorID>
      <errorWord>必须严格按</errorWord>
      <group>L1_Word</group>
      <groupName>字词问题</groupName>
      <ability>L2_Typo</ability>
      <abilityName>字词错误</abilityName>
      <candidateList>
        <item>必须严格按照</item>
      </candidateList>
      <explain/>
      <paraID>5AB435EC</paraID>
      <start>6</start>
      <end>11</end>
      <status>unmodified</status>
      <modifiedWord/>
      <trackRevisions>false</trackRevisions>
    </reviewItem>
    <reviewItem>
      <errorID>e96b7ee3-1523-4260-93a0-5fcdf91d1e86</errorID>
      <errorWord>整</errorWord>
      <group>L1_Word</group>
      <groupName>字词问题</groupName>
      <ability>L2_Typo</ability>
      <abilityName>字词错误</abilityName>
      <candidateList>
        <item>整和</item>
      </candidateList>
      <explain/>
      <paraID>74B8F313</paraID>
      <start>109</start>
      <end>111</end>
      <status>modified</status>
      <modifiedWord>整和</modifiedWord>
      <trackRevisions>false</trackRevisions>
    </reviewItem>
    <reviewItem>
      <errorID>1743f94c-6580-4192-a6ca-28a0a9f22a4e</errorID>
      <errorWord>,</errorWord>
      <group>L1_Format</group>
      <groupName>格式问题</groupName>
      <ability>L2_HalfPunc_CN</ability>
      <abilityName>全半角检查</abilityName>
      <candidateList>
        <item>，</item>
      </candidateList>
      <explain>文本全半角错误。</explain>
      <paraID>651B476E</paraID>
      <start>60</start>
      <end>61</end>
      <status>modified</status>
      <modifiedWord>，</modifiedWord>
      <trackRevisions>false</trackRevisions>
    </reviewItem>
    <reviewItem>
      <errorID>d80b4649-72aa-44bc-8f7e-2635bd337bf9</errorID>
      <errorWord>,</errorWord>
      <group>L1_Word</group>
      <groupName>字词问题</groupName>
      <ability>L2_Typo</ability>
      <abilityName>字词错误</abilityName>
      <candidateList>
        <item>,必</item>
      </candidateList>
      <explain/>
      <paraID> 7E93971</paraID>
      <start>41</start>
      <end>43</end>
      <status>modified</status>
      <modifiedWord>,必</modifiedWord>
      <trackRevisions>false</trackRevisions>
    </reviewItem>
    <reviewItem>
      <errorID>21fdc796-0485-4681-9c6c-af2888bed29b</errorID>
      <errorWord>,</errorWord>
      <group>L1_Format</group>
      <groupName>格式问题</groupName>
      <ability>L2_HalfPunc_CN</ability>
      <abilityName>全半角检查</abilityName>
      <candidateList>
        <item>，</item>
      </candidateList>
      <explain>文本全半角错误。</explain>
      <paraID> 7E93971</paraID>
      <start>59</start>
      <end>60</end>
      <status>modified</status>
      <modifiedWord>，</modifiedWord>
      <trackRevisions>false</trackRevisions>
    </reviewItem>
    <reviewItem>
      <errorID>24790b7c-b3a1-4487-804e-7b3528de67c4</errorID>
      <errorWord>一</errorWord>
      <group>L1_Word</group>
      <groupName>字词问题</groupName>
      <ability>L2_Typo</ability>
      <abilityName>字词错误</abilityName>
      <candidateList>
        <item>一道</item>
      </candidateList>
      <explain>（～儿）〈副〉一同；一路❸：～走｜～工作。</explain>
      <paraID>37EA830F</paraID>
      <start>41</start>
      <end>43</end>
      <status>modified</status>
      <modifiedWord>一道</modifiedWord>
      <trackRevisions>false</trackRevisions>
    </reviewItem>
    <reviewItem>
      <errorID>3e2e7940-828d-4c2a-a356-c8c39c88e2c6</errorID>
      <errorWord>(</errorWord>
      <group>L1_Format</group>
      <groupName>格式问题</groupName>
      <ability>L2_HalfPunc_CN</ability>
      <abilityName>全半角检查</abilityName>
      <candidateList>
        <item>（</item>
      </candidateList>
      <explain>文本全半角错误。</explain>
      <paraID>5E3F72AE</paraID>
      <start>24</start>
      <end>25</end>
      <status>modified</status>
      <modifiedWord>（</modifiedWord>
      <trackRevisions>false</trackRevisions>
    </reviewItem>
    <reviewItem>
      <errorID>7c364bcd-6b7f-4995-a880-245794958d6c</errorID>
      <errorWord>)</errorWord>
      <group>L1_Format</group>
      <groupName>格式问题</groupName>
      <ability>L2_HalfPunc_CN</ability>
      <abilityName>全半角检查</abilityName>
      <candidateList>
        <item>）</item>
      </candidateList>
      <explain>文本全半角错误。</explain>
      <paraID>5E3F72AE</paraID>
      <start>32</start>
      <end>33</end>
      <status>modified</status>
      <modifiedWord>）</modifiedWord>
      <trackRevisions>false</trackRevisions>
    </reviewItem>
    <reviewItem>
      <errorID>e1081bda-32ec-47a1-b344-05ea528dc751</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15EA2D2A</paraID>
      <start>21</start>
      <end>27</end>
      <status>unmodified</status>
      <modifiedWord/>
      <trackRevisions>false</trackRevisions>
    </reviewItem>
    <reviewItem>
      <errorID>945c5075-3ba9-40f5-a4e3-30e15ec2a8ce</errorID>
      <errorWord>10%-15%</errorWord>
      <group>L1_Knowledge</group>
      <groupName>知识性问题</groupName>
      <ability>L2_Knowledge</ability>
      <abilityName>其他知识</abilityName>
      <candidateList>
        <item>10%—15%</item>
      </candidateList>
      <explain>1. “10%-15%”中的单位“%”仅出现在后一个数字上，容易引起歧义；根据《现代汉语标点符号数字用法规范手册》，数字表示范围两边需要使用统一的格式。2.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5CD50C9D</paraID>
      <start>21</start>
      <end>28</end>
      <status>unmodified</status>
      <modifiedWord/>
      <trackRevisions>false</trackRevisions>
    </reviewItem>
    <reviewItem>
      <errorID>2929709a-e3ee-4562-88b2-8ef23ab7f751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25D0B797</paraID>
      <start>0</start>
      <end>3</end>
      <status>unmodified</status>
      <modifiedWord/>
      <trackRevisions>false</trackRevisions>
    </reviewItem>
    <reviewItem>
      <errorID>119ccd19-8501-4205-a968-7947a7086595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1F395D05</paraID>
      <start>0</start>
      <end>3</end>
      <status>unmodified</status>
      <modifiedWord/>
      <trackRevisions>false</trackRevisions>
    </reviewItem>
    <reviewItem>
      <errorID>d9caa7c7-b036-4ff3-8100-8d56f63a3784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379DBF8B</paraID>
      <start>0</start>
      <end>3</end>
      <status>unmodified</status>
      <modifiedWord/>
      <trackRevisions>false</trackRevisions>
    </reviewItem>
    <reviewItem>
      <errorID>973e797f-b6fb-4a72-bee5-700a2af92627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75FFFDEC</paraID>
      <start>0</start>
      <end>3</end>
      <status>unmodified</status>
      <modifiedWord/>
      <trackRevisions>false</trackRevisions>
    </reviewItem>
    <reviewItem>
      <errorID>04b29b69-3e7d-4f9f-ba2e-15b97f920b9e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756835C</paraID>
      <start>0</start>
      <end>3</end>
      <status>unmodified</status>
      <modifiedWord/>
      <trackRevisions>false</trackRevisions>
    </reviewItem>
    <reviewItem>
      <errorID>f5f2959e-bce2-47c5-8503-7809b1919db1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1475B53E</paraID>
      <start>0</start>
      <end>3</end>
      <status>unmodified</status>
      <modifiedWord/>
      <trackRevisions>false</trackRevisions>
    </reviewItem>
    <reviewItem>
      <errorID>47eddf29-f65e-4bc5-bb06-eda3c5054547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9874E7D</paraID>
      <start>0</start>
      <end>3</end>
      <status>unmodified</status>
      <modifiedWord/>
      <trackRevisions>false</trackRevisions>
    </reviewItem>
    <reviewItem>
      <errorID>e5afcff6-a04d-48c4-9c19-45979ff5714c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766D90B</paraID>
      <start>0</start>
      <end>3</end>
      <status>unmodified</status>
      <modifiedWord/>
      <trackRevisions>false</trackRevisions>
    </reviewItem>
    <reviewItem>
      <errorID>6ab3fb15-1ba1-4bc2-bfff-69b87bf76596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46E57858</paraID>
      <start>0</start>
      <end>3</end>
      <status>unmodified</status>
      <modifiedWord/>
      <trackRevisions>false</trackRevisions>
    </reviewItem>
    <reviewItem>
      <errorID>89ca19b9-f16d-47f8-9180-18d80460f6b1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11161C51</paraID>
      <start>0</start>
      <end>4</end>
      <status>unmodified</status>
      <modifiedWord/>
      <trackRevisions>false</trackRevisions>
    </reviewItem>
    <reviewItem>
      <errorID>2e66ed08-3aa3-40ab-bc7f-ec177ef9f47f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2C49B6EF</paraID>
      <start>0</start>
      <end>4</end>
      <status>unmodified</status>
      <modifiedWord/>
      <trackRevisions>false</trackRevisions>
    </reviewItem>
    <reviewItem>
      <errorID>4079d0a8-d98d-44ae-bb34-6199308e1509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7E4626CD</paraID>
      <start>0</start>
      <end>4</end>
      <status>unmodified</status>
      <modifiedWord/>
      <trackRevisions>false</trackRevisions>
    </reviewItem>
    <reviewItem>
      <errorID>7113acfc-ae0f-4547-aeee-dfe503367969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438DB159</paraID>
      <start>0</start>
      <end>4</end>
      <status>unmodified</status>
      <modifiedWord/>
      <trackRevisions>false</trackRevisions>
    </reviewItem>
    <reviewItem>
      <errorID>5000c5cc-f3df-497a-945e-e7dbc72ece19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EEC5125</paraID>
      <start>0</start>
      <end>4</end>
      <status>unmodified</status>
      <modifiedWord/>
      <trackRevisions>false</trackRevisions>
    </reviewItem>
    <reviewItem>
      <errorID>28974644-39e0-4fb8-9017-ab5020361338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174BE8BC</paraID>
      <start>0</start>
      <end>4</end>
      <status>unmodified</status>
      <modifiedWord/>
      <trackRevisions>false</trackRevisions>
    </reviewItem>
    <reviewItem>
      <errorID>94e30f59-05a0-438f-9d1f-238c79538459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48C609E8</paraID>
      <start>0</start>
      <end>4</end>
      <status>unmodified</status>
      <modifiedWord/>
      <trackRevisions>false</trackRevisions>
    </reviewItem>
    <reviewItem>
      <errorID>5c4594fd-5ebb-401d-8877-36ab2840b61b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148784B6</paraID>
      <start>0</start>
      <end>4</end>
      <status>unmodified</status>
      <modifiedWord/>
      <trackRevisions>false</trackRevisions>
    </reviewItem>
    <reviewItem>
      <errorID>f7b9953b-f774-43ac-b209-1c683f03969c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179078</paraID>
      <start>0</start>
      <end>4</end>
      <status>unmodified</status>
      <modifiedWord/>
      <trackRevisions>false</trackRevisions>
    </reviewItem>
    <reviewItem>
      <errorID>852ca4c3-451d-4e36-b958-d3ca39120761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586FB0B5</paraID>
      <start>0</start>
      <end>4</end>
      <status>unmodified</status>
      <modifiedWord/>
      <trackRevisions>false</trackRevisions>
    </reviewItem>
    <reviewItem>
      <errorID>ddce01dd-5987-4c68-95d3-5c2b1ffb50fc</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10A31AB2</paraID>
      <start>0</start>
      <end>4</end>
      <status>unmodified</status>
      <modifiedWord/>
      <trackRevisions>false</trackRevisions>
    </reviewItem>
    <reviewItem>
      <errorID>05410968-6eae-484f-bce4-87ee46b26c01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19BBE0BF</paraID>
      <start>0</start>
      <end>4</end>
      <status>unmodified</status>
      <modifiedWord/>
      <trackRevisions>false</trackRevisions>
    </reviewItem>
    <reviewItem>
      <errorID>46a7e0c3-d4fc-46f8-b1e7-926648bc6f1c</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7FAAFFC8</paraID>
      <start>0</start>
      <end>4</end>
      <status>unmodified</status>
      <modifiedWord/>
      <trackRevisions>false</trackRevisions>
    </reviewItem>
    <reviewItem>
      <errorID>65e54569-95f5-46f9-8ab0-b3fb9fba197b</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20937B7D</paraID>
      <start>0</start>
      <end>4</end>
      <status>unmodified</status>
      <modifiedWord/>
      <trackRevisions>false</trackRevisions>
    </reviewItem>
    <reviewItem>
      <errorID>13dab81d-5800-46d1-9977-c8ba7fe78d52</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3F6747E1</paraID>
      <start>0</start>
      <end>4</end>
      <status>unmodified</status>
      <modifiedWord/>
      <trackRevisions>false</trackRevisions>
    </reviewItem>
    <reviewItem>
      <errorID>6afb592d-2734-4b9b-9cf8-bf4085970ba6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4F37EFCB</paraID>
      <start>0</start>
      <end>4</end>
      <status>unmodified</status>
      <modifiedWord/>
      <trackRevisions>false</trackRevisions>
    </reviewItem>
    <reviewItem>
      <errorID>d83b5d1b-5ab7-4c1f-b13f-1fbaeae66805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5260F629</paraID>
      <start>0</start>
      <end>4</end>
      <status>unmodified</status>
      <modifiedWord/>
      <trackRevisions>false</trackRevisions>
    </reviewItem>
    <reviewItem>
      <errorID>b4e70703-8a0c-4331-800a-8ca92ec0328e</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5C477E35</paraID>
      <start>0</start>
      <end>4</end>
      <status>unmodified</status>
      <modifiedWord/>
      <trackRevisions>false</trackRevisions>
    </reviewItem>
    <reviewItem>
      <errorID>782c3d9c-85b1-481d-8160-eee04f075999</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256A4B23</paraID>
      <start>0</start>
      <end>4</end>
      <status>unmodified</status>
      <modifiedWord/>
      <trackRevisions>false</trackRevisions>
    </reviewItem>
    <reviewItem>
      <errorID>cee9355f-e8ac-4e14-8f5d-91db2917431d</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268E067</paraID>
      <start>0</start>
      <end>4</end>
      <status>unmodified</status>
      <modifiedWord/>
      <trackRevisions>false</trackRevisions>
    </reviewItem>
    <reviewItem>
      <errorID>122dedbf-ea96-4e02-a943-983c19269d84</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599724EB</paraID>
      <start>0</start>
      <end>4</end>
      <status>unmodified</status>
      <modifiedWord/>
      <trackRevisions>false</trackRevisions>
    </reviewItem>
    <reviewItem>
      <errorID>a33cea84-9faa-4d85-b4fe-ffa5ad25c14d</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8C31975</paraID>
      <start>0</start>
      <end>4</end>
      <status>unmodified</status>
      <modifiedWord/>
      <trackRevisions>false</trackRevisions>
    </reviewItem>
    <reviewItem>
      <errorID>36b8680a-3888-40f3-96fe-381c1356109e</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4B09A0E3</paraID>
      <start>0</start>
      <end>4</end>
      <status>unmodified</status>
      <modifiedWord/>
      <trackRevisions>false</trackRevisions>
    </reviewItem>
    <reviewItem>
      <errorID>96bd297a-7511-44e8-9ac3-f5e0b8ba488b</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165456B6</paraID>
      <start>0</start>
      <end>4</end>
      <status>unmodified</status>
      <modifiedWord/>
      <trackRevisions>false</trackRevisions>
    </reviewItem>
    <reviewItem>
      <errorID>94aca362-24b5-4d0c-94a6-3145e41b2b62</errorID>
      <errorWord>收</errorWord>
      <group>L1_Word</group>
      <groupName>字词问题</groupName>
      <ability>L2_Typo</ability>
      <abilityName>字词错误</abilityName>
      <candidateList>
        <item>收到</item>
      </candidateList>
      <explain/>
      <paraID>5922F49A</paraID>
      <start>11</start>
      <end>12</end>
      <status>unmodified</status>
      <modifiedWord/>
      <trackRevisions>false</trackRevisions>
    </reviewItem>
    <reviewItem>
      <errorID>fbfa0500-f916-4522-8263-c3c65ad11fdc</errorID>
      <errorWord>政纪处分</errorWord>
      <group>L1_Word</group>
      <groupName>字词问题</groupName>
      <ability>L2_Typo</ability>
      <abilityName>字词错误</abilityName>
      <candidateList>
        <item>政务处分</item>
      </candidateList>
      <explain/>
      <paraID>2E739AC5</paraID>
      <start>26</start>
      <end>30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b5583c-8cb5-400a-b5c8-c0bf8a3e5701}">
  <ds:schemaRefs/>
</ds:datastoreItem>
</file>

<file path=docProps/app.xml><?xml version="1.0" encoding="utf-8"?>
<Properties xmlns="http://schemas.openxmlformats.org/officeDocument/2006/extended-properties" xmlns:vt="http://schemas.openxmlformats.org/officeDocument/2006/docPropsVTypes">
  <Template>Normal.dotm</Template>
  <Pages>71</Pages>
  <Words>828</Words>
  <Characters>958</Characters>
  <Lines>0</Lines>
  <Paragraphs>0</Paragraphs>
  <TotalTime>5</TotalTime>
  <ScaleCrop>false</ScaleCrop>
  <LinksUpToDate>false</LinksUpToDate>
  <CharactersWithSpaces>1159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2026-05-22T11:48:00Z</dcterms:created>
  <dc:creator>明正</dc:creator>
  <cp:lastModifiedBy>明正</cp:lastModifiedBy>
  <dcterms:modified xsi:type="dcterms:W3CDTF">2026-06-10T01:27:36Z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AA8ECD3A2C3F4197BD63E96539355926_13</vt:lpwstr>
  </property>
  <property fmtid="{D5CDD505-2E9C-101B-9397-08002B2CF9AE}" pid="4" name="KSOTemplateDocerSaveRecord">
    <vt:lpwstr>eyJoZGlkIjoiZTU1MjcyNTlkNzdiMzEwMTJiNjdiZWZkMzY3YmQxMWEiLCJ1c2VySWQiOiIzMjI4NDYzOTkifQ==</vt:lpwstr>
  </property>
</Properties>
</file>