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C9D6D">
      <w:pPr>
        <w:bidi w:val="0"/>
        <w:rPr>
          <w:rFonts w:hint="eastAsia"/>
          <w:color w:val="auto"/>
        </w:rPr>
      </w:pPr>
      <w:r>
        <w:rPr>
          <w:color w:val="auto"/>
        </w:rPr>
        <w:drawing>
          <wp:inline distT="0" distB="0" distL="114300" distR="114300">
            <wp:extent cx="5854700" cy="8371840"/>
            <wp:effectExtent l="0" t="0" r="1270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854700" cy="8371840"/>
                    </a:xfrm>
                    <a:prstGeom prst="rect">
                      <a:avLst/>
                    </a:prstGeom>
                    <a:noFill/>
                    <a:ln>
                      <a:noFill/>
                    </a:ln>
                  </pic:spPr>
                </pic:pic>
              </a:graphicData>
            </a:graphic>
          </wp:inline>
        </w:drawing>
      </w:r>
    </w:p>
    <w:p w14:paraId="65896186">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64C916A3">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23A68A81">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6A608776">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2A8F95E8">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63E93E5B">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2E81FA94">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6284BB1C">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4DE7217A">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20B5CFA0">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0DAFAEDF">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69665A51">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0F0AA18B">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7F0A1E56">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67E58D07">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6C0A708D">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75F5A20B">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324A3077">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29134622">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514247C6">
      <w:pPr>
        <w:pStyle w:val="32"/>
        <w:tabs>
          <w:tab w:val="left" w:pos="4935"/>
        </w:tabs>
        <w:jc w:val="center"/>
        <w:rPr>
          <w:rFonts w:hint="eastAsia" w:asciiTheme="minorEastAsia" w:hAnsiTheme="minorEastAsia" w:eastAsiaTheme="minorEastAsia" w:cstheme="minorEastAsia"/>
          <w:b/>
          <w:color w:val="auto"/>
          <w:sz w:val="28"/>
          <w:szCs w:val="28"/>
          <w:highlight w:val="none"/>
        </w:rPr>
      </w:pPr>
    </w:p>
    <w:p w14:paraId="2DC3416E">
      <w:pPr>
        <w:pStyle w:val="32"/>
        <w:tabs>
          <w:tab w:val="left" w:pos="4935"/>
        </w:tabs>
        <w:jc w:val="center"/>
        <w:rPr>
          <w:rFonts w:hint="eastAsia" w:asciiTheme="minorEastAsia" w:hAnsiTheme="minorEastAsia" w:eastAsiaTheme="minorEastAsia" w:cstheme="minorEastAsia"/>
          <w:b/>
          <w:color w:val="auto"/>
          <w:sz w:val="28"/>
          <w:szCs w:val="28"/>
          <w:highlight w:val="none"/>
        </w:rPr>
        <w:sectPr>
          <w:footerReference r:id="rId3" w:type="default"/>
          <w:endnotePr>
            <w:numFmt w:val="decimal"/>
          </w:endnotePr>
          <w:pgSz w:w="11906" w:h="16838"/>
          <w:pgMar w:top="1440" w:right="1800" w:bottom="1440" w:left="1800" w:header="851" w:footer="992" w:gutter="0"/>
          <w:pgNumType w:fmt="decimalFullWidth" w:start="1"/>
          <w:cols w:space="720" w:num="1"/>
          <w:docGrid w:type="lines" w:linePitch="312" w:charSpace="0"/>
        </w:sectPr>
      </w:pPr>
    </w:p>
    <w:p w14:paraId="6E729219">
      <w:pPr>
        <w:pStyle w:val="32"/>
        <w:tabs>
          <w:tab w:val="left" w:pos="4935"/>
        </w:tabs>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目    录</w:t>
      </w:r>
    </w:p>
    <w:p w14:paraId="5F8D5773">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TOC \o "1-4" \h \z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_Toc21573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rPr>
        <w:t>第一章投标须知</w:t>
      </w:r>
      <w:r>
        <w:rPr>
          <w:color w:val="auto"/>
        </w:rPr>
        <w:tab/>
      </w:r>
      <w:r>
        <w:rPr>
          <w:color w:val="auto"/>
        </w:rPr>
        <w:fldChar w:fldCharType="begin"/>
      </w:r>
      <w:r>
        <w:rPr>
          <w:color w:val="auto"/>
        </w:rPr>
        <w:instrText xml:space="preserve"> PAGEREF _Toc21573 </w:instrText>
      </w:r>
      <w:r>
        <w:rPr>
          <w:color w:val="auto"/>
        </w:rPr>
        <w:fldChar w:fldCharType="separate"/>
      </w:r>
      <w:r>
        <w:rPr>
          <w:color w:val="auto"/>
        </w:rPr>
        <w:t>1</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DB521CB">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_Toc20497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第一节</w:t>
      </w:r>
      <w:r>
        <w:rPr>
          <w:rFonts w:hint="eastAsia" w:asciiTheme="minorEastAsia" w:hAnsiTheme="minorEastAsia" w:eastAsiaTheme="minorEastAsia" w:cstheme="minorEastAsia"/>
          <w:color w:val="auto"/>
          <w:kern w:val="2"/>
          <w:highlight w:val="none"/>
          <w:lang w:val="en-US" w:eastAsia="zh-CN"/>
        </w:rPr>
        <w:t xml:space="preserve"> </w:t>
      </w:r>
      <w:r>
        <w:rPr>
          <w:rFonts w:hint="eastAsia" w:asciiTheme="minorEastAsia" w:hAnsiTheme="minorEastAsia" w:eastAsiaTheme="minorEastAsia" w:cstheme="minorEastAsia"/>
          <w:color w:val="auto"/>
          <w:kern w:val="2"/>
          <w:highlight w:val="none"/>
        </w:rPr>
        <w:t>投标须知前附表</w:t>
      </w:r>
      <w:r>
        <w:rPr>
          <w:color w:val="auto"/>
        </w:rPr>
        <w:tab/>
      </w:r>
      <w:r>
        <w:rPr>
          <w:color w:val="auto"/>
        </w:rPr>
        <w:fldChar w:fldCharType="begin"/>
      </w:r>
      <w:r>
        <w:rPr>
          <w:color w:val="auto"/>
        </w:rPr>
        <w:instrText xml:space="preserve"> PAGEREF _Toc20497 </w:instrText>
      </w:r>
      <w:r>
        <w:rPr>
          <w:color w:val="auto"/>
        </w:rPr>
        <w:fldChar w:fldCharType="separate"/>
      </w:r>
      <w:r>
        <w:rPr>
          <w:color w:val="auto"/>
        </w:rPr>
        <w:t>1</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4B2D4763">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_Toc16386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szCs w:val="24"/>
          <w:highlight w:val="none"/>
        </w:rPr>
        <w:t>第二节</w:t>
      </w:r>
      <w:r>
        <w:rPr>
          <w:rFonts w:hint="eastAsia" w:asciiTheme="minorEastAsia" w:hAnsiTheme="minorEastAsia" w:eastAsiaTheme="minorEastAsia" w:cstheme="minorEastAsia"/>
          <w:color w:val="auto"/>
          <w:kern w:val="2"/>
          <w:szCs w:val="24"/>
          <w:highlight w:val="none"/>
          <w:lang w:val="en-US" w:eastAsia="zh-CN"/>
        </w:rPr>
        <w:t xml:space="preserve"> </w:t>
      </w:r>
      <w:r>
        <w:rPr>
          <w:rFonts w:hint="eastAsia" w:asciiTheme="minorEastAsia" w:hAnsiTheme="minorEastAsia" w:eastAsiaTheme="minorEastAsia" w:cstheme="minorEastAsia"/>
          <w:color w:val="auto"/>
          <w:kern w:val="2"/>
          <w:szCs w:val="24"/>
          <w:highlight w:val="none"/>
        </w:rPr>
        <w:t>重要事项时间地点一览表.</w:t>
      </w:r>
      <w:r>
        <w:rPr>
          <w:color w:val="auto"/>
        </w:rPr>
        <w:tab/>
      </w:r>
      <w:r>
        <w:rPr>
          <w:color w:val="auto"/>
        </w:rPr>
        <w:fldChar w:fldCharType="begin"/>
      </w:r>
      <w:r>
        <w:rPr>
          <w:color w:val="auto"/>
        </w:rPr>
        <w:instrText xml:space="preserve"> PAGEREF _Toc16386 </w:instrText>
      </w:r>
      <w:r>
        <w:rPr>
          <w:color w:val="auto"/>
        </w:rPr>
        <w:fldChar w:fldCharType="separate"/>
      </w:r>
      <w:r>
        <w:rPr>
          <w:color w:val="auto"/>
        </w:rPr>
        <w:t>8</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D441B0A">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_Toc4383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36"/>
          <w:highlight w:val="none"/>
        </w:rPr>
        <w:t>第</w:t>
      </w:r>
      <w:r>
        <w:rPr>
          <w:rFonts w:hint="eastAsia" w:asciiTheme="minorEastAsia" w:hAnsiTheme="minorEastAsia" w:eastAsiaTheme="minorEastAsia" w:cstheme="minorEastAsia"/>
          <w:color w:val="auto"/>
          <w:kern w:val="44"/>
          <w:szCs w:val="36"/>
          <w:highlight w:val="none"/>
        </w:rPr>
        <w:t>三节 投标须知正文</w:t>
      </w:r>
      <w:r>
        <w:rPr>
          <w:color w:val="auto"/>
        </w:rPr>
        <w:tab/>
      </w:r>
      <w:r>
        <w:rPr>
          <w:color w:val="auto"/>
        </w:rPr>
        <w:fldChar w:fldCharType="begin"/>
      </w:r>
      <w:r>
        <w:rPr>
          <w:color w:val="auto"/>
        </w:rPr>
        <w:instrText xml:space="preserve"> PAGEREF _Toc4383 </w:instrText>
      </w:r>
      <w:r>
        <w:rPr>
          <w:color w:val="auto"/>
        </w:rPr>
        <w:fldChar w:fldCharType="separate"/>
      </w:r>
      <w:r>
        <w:rPr>
          <w:color w:val="auto"/>
        </w:rPr>
        <w:t>9</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7BE8785F">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_Toc6702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1</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工程概况综合说明</w:t>
      </w:r>
      <w:r>
        <w:rPr>
          <w:color w:val="auto"/>
        </w:rPr>
        <w:tab/>
      </w:r>
      <w:r>
        <w:rPr>
          <w:color w:val="auto"/>
        </w:rPr>
        <w:fldChar w:fldCharType="begin"/>
      </w:r>
      <w:r>
        <w:rPr>
          <w:color w:val="auto"/>
        </w:rPr>
        <w:instrText xml:space="preserve"> PAGEREF _Toc6702 </w:instrText>
      </w:r>
      <w:r>
        <w:rPr>
          <w:color w:val="auto"/>
        </w:rPr>
        <w:fldChar w:fldCharType="separate"/>
      </w:r>
      <w:r>
        <w:rPr>
          <w:color w:val="auto"/>
        </w:rPr>
        <w:t>9</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30F67EC4">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_Toc11326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2</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招标范围</w:t>
      </w:r>
      <w:r>
        <w:rPr>
          <w:color w:val="auto"/>
        </w:rPr>
        <w:tab/>
      </w:r>
      <w:r>
        <w:rPr>
          <w:color w:val="auto"/>
        </w:rPr>
        <w:fldChar w:fldCharType="begin"/>
      </w:r>
      <w:r>
        <w:rPr>
          <w:color w:val="auto"/>
        </w:rPr>
        <w:instrText xml:space="preserve"> PAGEREF _Toc11326 </w:instrText>
      </w:r>
      <w:r>
        <w:rPr>
          <w:color w:val="auto"/>
        </w:rPr>
        <w:fldChar w:fldCharType="separate"/>
      </w:r>
      <w:r>
        <w:rPr>
          <w:color w:val="auto"/>
        </w:rPr>
        <w:t>9</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00A3020A">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_Toc18179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szCs w:val="22"/>
          <w:highlight w:val="none"/>
        </w:rPr>
        <w:t>3</w:t>
      </w:r>
      <w:r>
        <w:rPr>
          <w:rFonts w:hint="eastAsia" w:asciiTheme="minorEastAsia" w:hAnsiTheme="minorEastAsia" w:eastAsiaTheme="minorEastAsia" w:cstheme="minorEastAsia"/>
          <w:color w:val="auto"/>
          <w:kern w:val="2"/>
          <w:szCs w:val="22"/>
          <w:highlight w:val="none"/>
          <w:lang w:val="en-US" w:eastAsia="zh-CN"/>
        </w:rPr>
        <w:t>.</w:t>
      </w:r>
      <w:r>
        <w:rPr>
          <w:rFonts w:hint="eastAsia" w:asciiTheme="minorEastAsia" w:hAnsiTheme="minorEastAsia" w:eastAsiaTheme="minorEastAsia" w:cstheme="minorEastAsia"/>
          <w:color w:val="auto"/>
          <w:kern w:val="2"/>
          <w:szCs w:val="22"/>
          <w:highlight w:val="none"/>
        </w:rPr>
        <w:t>工期</w:t>
      </w:r>
      <w:r>
        <w:rPr>
          <w:color w:val="auto"/>
        </w:rPr>
        <w:tab/>
      </w:r>
      <w:r>
        <w:rPr>
          <w:color w:val="auto"/>
        </w:rPr>
        <w:fldChar w:fldCharType="begin"/>
      </w:r>
      <w:r>
        <w:rPr>
          <w:color w:val="auto"/>
        </w:rPr>
        <w:instrText xml:space="preserve"> PAGEREF _Toc18179 </w:instrText>
      </w:r>
      <w:r>
        <w:rPr>
          <w:color w:val="auto"/>
        </w:rPr>
        <w:fldChar w:fldCharType="separate"/>
      </w:r>
      <w:r>
        <w:rPr>
          <w:color w:val="auto"/>
        </w:rPr>
        <w:t>9</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26EE2E5D">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_Toc14790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4</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投标人资质及条件要求</w:t>
      </w:r>
      <w:r>
        <w:rPr>
          <w:color w:val="auto"/>
        </w:rPr>
        <w:tab/>
      </w:r>
      <w:r>
        <w:rPr>
          <w:color w:val="auto"/>
        </w:rPr>
        <w:fldChar w:fldCharType="begin"/>
      </w:r>
      <w:r>
        <w:rPr>
          <w:color w:val="auto"/>
        </w:rPr>
        <w:instrText xml:space="preserve"> PAGEREF _Toc14790 </w:instrText>
      </w:r>
      <w:r>
        <w:rPr>
          <w:color w:val="auto"/>
        </w:rPr>
        <w:fldChar w:fldCharType="separate"/>
      </w:r>
      <w:r>
        <w:rPr>
          <w:color w:val="auto"/>
        </w:rPr>
        <w:t>10</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7350EDFF">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_Toc9951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5</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工程招标内容及要求</w:t>
      </w:r>
      <w:r>
        <w:rPr>
          <w:color w:val="auto"/>
        </w:rPr>
        <w:tab/>
      </w:r>
      <w:r>
        <w:rPr>
          <w:color w:val="auto"/>
        </w:rPr>
        <w:fldChar w:fldCharType="begin"/>
      </w:r>
      <w:r>
        <w:rPr>
          <w:color w:val="auto"/>
        </w:rPr>
        <w:instrText xml:space="preserve"> PAGEREF _Toc9951 </w:instrText>
      </w:r>
      <w:r>
        <w:rPr>
          <w:color w:val="auto"/>
        </w:rPr>
        <w:fldChar w:fldCharType="separate"/>
      </w:r>
      <w:r>
        <w:rPr>
          <w:color w:val="auto"/>
        </w:rPr>
        <w:t>13</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4C85401B">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_Toc12765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6</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招标工程施工条件及现场踏勘</w:t>
      </w:r>
      <w:r>
        <w:rPr>
          <w:color w:val="auto"/>
        </w:rPr>
        <w:tab/>
      </w:r>
      <w:r>
        <w:rPr>
          <w:color w:val="auto"/>
        </w:rPr>
        <w:fldChar w:fldCharType="begin"/>
      </w:r>
      <w:r>
        <w:rPr>
          <w:color w:val="auto"/>
        </w:rPr>
        <w:instrText xml:space="preserve"> PAGEREF _Toc12765 </w:instrText>
      </w:r>
      <w:r>
        <w:rPr>
          <w:color w:val="auto"/>
        </w:rPr>
        <w:fldChar w:fldCharType="separate"/>
      </w:r>
      <w:r>
        <w:rPr>
          <w:color w:val="auto"/>
        </w:rPr>
        <w:t>15</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4340155C">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_Toc3397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7</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其他招标说明</w:t>
      </w:r>
      <w:r>
        <w:rPr>
          <w:color w:val="auto"/>
        </w:rPr>
        <w:tab/>
      </w:r>
      <w:r>
        <w:rPr>
          <w:color w:val="auto"/>
        </w:rPr>
        <w:fldChar w:fldCharType="begin"/>
      </w:r>
      <w:r>
        <w:rPr>
          <w:color w:val="auto"/>
        </w:rPr>
        <w:instrText xml:space="preserve"> PAGEREF _Toc3397 </w:instrText>
      </w:r>
      <w:r>
        <w:rPr>
          <w:color w:val="auto"/>
        </w:rPr>
        <w:fldChar w:fldCharType="separate"/>
      </w:r>
      <w:r>
        <w:rPr>
          <w:color w:val="auto"/>
        </w:rPr>
        <w:t>16</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04E21A73">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_Toc20975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8</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招标答疑</w:t>
      </w:r>
      <w:r>
        <w:rPr>
          <w:color w:val="auto"/>
        </w:rPr>
        <w:tab/>
      </w:r>
      <w:r>
        <w:rPr>
          <w:color w:val="auto"/>
        </w:rPr>
        <w:fldChar w:fldCharType="begin"/>
      </w:r>
      <w:r>
        <w:rPr>
          <w:color w:val="auto"/>
        </w:rPr>
        <w:instrText xml:space="preserve"> PAGEREF _Toc20975 </w:instrText>
      </w:r>
      <w:r>
        <w:rPr>
          <w:color w:val="auto"/>
        </w:rPr>
        <w:fldChar w:fldCharType="separate"/>
      </w:r>
      <w:r>
        <w:rPr>
          <w:color w:val="auto"/>
        </w:rPr>
        <w:t>17</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3563B246">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_Toc6958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9</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投标报价的编制</w:t>
      </w:r>
      <w:r>
        <w:rPr>
          <w:color w:val="auto"/>
        </w:rPr>
        <w:tab/>
      </w:r>
      <w:r>
        <w:rPr>
          <w:color w:val="auto"/>
        </w:rPr>
        <w:fldChar w:fldCharType="begin"/>
      </w:r>
      <w:r>
        <w:rPr>
          <w:color w:val="auto"/>
        </w:rPr>
        <w:instrText xml:space="preserve"> PAGEREF _Toc6958 </w:instrText>
      </w:r>
      <w:r>
        <w:rPr>
          <w:color w:val="auto"/>
        </w:rPr>
        <w:fldChar w:fldCharType="separate"/>
      </w:r>
      <w:r>
        <w:rPr>
          <w:color w:val="auto"/>
        </w:rPr>
        <w:t>18</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29F46477">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_Toc2575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4"/>
          <w:highlight w:val="none"/>
        </w:rPr>
        <w:t>10</w:t>
      </w:r>
      <w:r>
        <w:rPr>
          <w:rFonts w:hint="eastAsia" w:asciiTheme="minorEastAsia" w:hAnsiTheme="minorEastAsia" w:eastAsiaTheme="minorEastAsia" w:cstheme="minorEastAsia"/>
          <w:color w:val="auto"/>
          <w:szCs w:val="24"/>
          <w:highlight w:val="none"/>
          <w:lang w:val="en-US" w:eastAsia="zh-CN"/>
        </w:rPr>
        <w:t>.</w:t>
      </w:r>
      <w:r>
        <w:rPr>
          <w:rFonts w:hint="eastAsia" w:asciiTheme="minorEastAsia" w:hAnsiTheme="minorEastAsia" w:eastAsiaTheme="minorEastAsia" w:cstheme="minorEastAsia"/>
          <w:color w:val="auto"/>
          <w:szCs w:val="24"/>
          <w:highlight w:val="none"/>
        </w:rPr>
        <w:t>最高</w:t>
      </w:r>
      <w:r>
        <w:rPr>
          <w:rFonts w:hint="eastAsia" w:asciiTheme="minorEastAsia" w:hAnsiTheme="minorEastAsia" w:eastAsiaTheme="minorEastAsia" w:cstheme="minorEastAsia"/>
          <w:color w:val="auto"/>
          <w:kern w:val="2"/>
          <w:highlight w:val="none"/>
        </w:rPr>
        <w:t>投标</w:t>
      </w:r>
      <w:r>
        <w:rPr>
          <w:rFonts w:hint="eastAsia" w:asciiTheme="minorEastAsia" w:hAnsiTheme="minorEastAsia" w:eastAsiaTheme="minorEastAsia" w:cstheme="minorEastAsia"/>
          <w:color w:val="auto"/>
          <w:szCs w:val="24"/>
          <w:highlight w:val="none"/>
        </w:rPr>
        <w:t>限价的确定</w:t>
      </w:r>
      <w:r>
        <w:rPr>
          <w:color w:val="auto"/>
        </w:rPr>
        <w:tab/>
      </w:r>
      <w:r>
        <w:rPr>
          <w:color w:val="auto"/>
        </w:rPr>
        <w:fldChar w:fldCharType="begin"/>
      </w:r>
      <w:r>
        <w:rPr>
          <w:color w:val="auto"/>
        </w:rPr>
        <w:instrText xml:space="preserve"> PAGEREF _Toc2575 </w:instrText>
      </w:r>
      <w:r>
        <w:rPr>
          <w:color w:val="auto"/>
        </w:rPr>
        <w:fldChar w:fldCharType="separate"/>
      </w:r>
      <w:r>
        <w:rPr>
          <w:color w:val="auto"/>
        </w:rPr>
        <w:t>19</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2274FF2">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_Toc26016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lang w:val="en-US"/>
        </w:rPr>
        <w:t>1</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lang w:val="en-US"/>
        </w:rPr>
        <w:t>.</w:t>
      </w:r>
      <w:r>
        <w:rPr>
          <w:rFonts w:hint="eastAsia" w:asciiTheme="minorEastAsia" w:hAnsiTheme="minorEastAsia" w:eastAsiaTheme="minorEastAsia" w:cstheme="minorEastAsia"/>
          <w:color w:val="auto"/>
          <w:szCs w:val="21"/>
          <w:highlight w:val="none"/>
        </w:rPr>
        <w:t>电子投标</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_Toc26016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22</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78A95678">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_Toc20343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．电子投标解密失败及突发情况的补救</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_Toc20343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23</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3E6FFE86">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_Toc9873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13. 投标文件的提交</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_Toc9873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24</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6683F96">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_Toc12752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lang w:eastAsia="zh-CN"/>
        </w:rPr>
        <w:t>14.</w:t>
      </w:r>
      <w:r>
        <w:rPr>
          <w:rFonts w:hint="eastAsia" w:asciiTheme="minorEastAsia" w:hAnsiTheme="minorEastAsia" w:eastAsiaTheme="minorEastAsia" w:cstheme="minorEastAsia"/>
          <w:color w:val="auto"/>
          <w:szCs w:val="21"/>
          <w:highlight w:val="none"/>
        </w:rPr>
        <w:t>开标</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_Toc12752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24</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4409DDFF">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_Toc13082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lang w:eastAsia="zh-CN"/>
        </w:rPr>
        <w:t>15.</w:t>
      </w:r>
      <w:r>
        <w:rPr>
          <w:rFonts w:hint="eastAsia" w:asciiTheme="minorEastAsia" w:hAnsiTheme="minorEastAsia" w:eastAsiaTheme="minorEastAsia" w:cstheme="minorEastAsia"/>
          <w:color w:val="auto"/>
          <w:szCs w:val="21"/>
          <w:highlight w:val="none"/>
        </w:rPr>
        <w:t>评标</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_Toc13082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25</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257AFE71">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_Toc30922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16．中标候选人公示</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_Toc30922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38</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4C1BF61E">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_Toc10540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第四节 否决投标条件</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_Toc10540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40</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48FAA896">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_Toc23608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1．资格评审环节</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_Toc23608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40</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46AC2AB4">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_Toc21356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2．形式评审环节</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_Toc21356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41</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7FF75F3">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_Toc26103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3．响应性评审环节</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_Toc26103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41</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63B3BD5B">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_Toc2643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4．其他</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PAGEREF _Toc2643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t>41</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A3566CA">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_Toc29385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lang w:val="en-US" w:eastAsia="zh-CN" w:bidi="ar-SA"/>
        </w:rPr>
        <w:t>第三章 拟签订合同的主要条款</w:t>
      </w:r>
      <w:r>
        <w:rPr>
          <w:color w:val="auto"/>
        </w:rPr>
        <w:tab/>
      </w:r>
      <w:r>
        <w:rPr>
          <w:color w:val="auto"/>
        </w:rPr>
        <w:fldChar w:fldCharType="begin"/>
      </w:r>
      <w:r>
        <w:rPr>
          <w:color w:val="auto"/>
        </w:rPr>
        <w:instrText xml:space="preserve"> PAGEREF _Toc29385 </w:instrText>
      </w:r>
      <w:r>
        <w:rPr>
          <w:color w:val="auto"/>
        </w:rPr>
        <w:fldChar w:fldCharType="separate"/>
      </w:r>
      <w:r>
        <w:rPr>
          <w:color w:val="auto"/>
        </w:rPr>
        <w:t>57</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3B44D49">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_Toc13116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1</w:t>
      </w:r>
      <w:r>
        <w:rPr>
          <w:rFonts w:hint="eastAsia" w:asciiTheme="minorEastAsia" w:hAnsiTheme="minorEastAsia" w:eastAsiaTheme="minorEastAsia" w:cstheme="minorEastAsia"/>
          <w:color w:val="auto"/>
          <w:kern w:val="2"/>
          <w:highlight w:val="none"/>
          <w:lang w:val="en-US" w:eastAsia="zh-CN"/>
        </w:rPr>
        <w:t>.</w:t>
      </w:r>
      <w:r>
        <w:rPr>
          <w:rFonts w:hint="eastAsia" w:asciiTheme="minorEastAsia" w:hAnsiTheme="minorEastAsia" w:eastAsiaTheme="minorEastAsia" w:cstheme="minorEastAsia"/>
          <w:color w:val="auto"/>
          <w:kern w:val="2"/>
          <w:highlight w:val="none"/>
        </w:rPr>
        <w:t>工程承包方式</w:t>
      </w:r>
      <w:r>
        <w:rPr>
          <w:color w:val="auto"/>
        </w:rPr>
        <w:tab/>
      </w:r>
      <w:r>
        <w:rPr>
          <w:color w:val="auto"/>
        </w:rPr>
        <w:fldChar w:fldCharType="begin"/>
      </w:r>
      <w:r>
        <w:rPr>
          <w:color w:val="auto"/>
        </w:rPr>
        <w:instrText xml:space="preserve"> PAGEREF _Toc13116 </w:instrText>
      </w:r>
      <w:r>
        <w:rPr>
          <w:color w:val="auto"/>
        </w:rPr>
        <w:fldChar w:fldCharType="separate"/>
      </w:r>
      <w:r>
        <w:rPr>
          <w:color w:val="auto"/>
        </w:rPr>
        <w:t>57</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7AC20AB1">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_Toc10924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val="en-US" w:eastAsia="zh-CN"/>
        </w:rPr>
        <w:t>.</w:t>
      </w:r>
      <w:r>
        <w:rPr>
          <w:rFonts w:hint="eastAsia" w:asciiTheme="minorEastAsia" w:hAnsiTheme="minorEastAsia" w:eastAsiaTheme="minorEastAsia" w:cstheme="minorEastAsia"/>
          <w:color w:val="auto"/>
          <w:highlight w:val="none"/>
        </w:rPr>
        <w:t>施工图工程量清单预算的编制原则</w:t>
      </w:r>
      <w:r>
        <w:rPr>
          <w:color w:val="auto"/>
        </w:rPr>
        <w:tab/>
      </w:r>
      <w:r>
        <w:rPr>
          <w:color w:val="auto"/>
        </w:rPr>
        <w:fldChar w:fldCharType="begin"/>
      </w:r>
      <w:r>
        <w:rPr>
          <w:color w:val="auto"/>
        </w:rPr>
        <w:instrText xml:space="preserve"> PAGEREF _Toc10924 </w:instrText>
      </w:r>
      <w:r>
        <w:rPr>
          <w:color w:val="auto"/>
        </w:rPr>
        <w:fldChar w:fldCharType="separate"/>
      </w:r>
      <w:r>
        <w:rPr>
          <w:color w:val="auto"/>
        </w:rPr>
        <w:t>57</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17F8363">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_Toc25528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szCs w:val="24"/>
          <w:highlight w:val="none"/>
        </w:rPr>
        <w:t>3</w:t>
      </w:r>
      <w:r>
        <w:rPr>
          <w:rFonts w:hint="eastAsia" w:asciiTheme="minorEastAsia" w:hAnsiTheme="minorEastAsia" w:eastAsiaTheme="minorEastAsia" w:cstheme="minorEastAsia"/>
          <w:color w:val="auto"/>
          <w:kern w:val="2"/>
          <w:szCs w:val="24"/>
          <w:highlight w:val="none"/>
          <w:lang w:val="en-US" w:eastAsia="zh-CN"/>
        </w:rPr>
        <w:t>.</w:t>
      </w:r>
      <w:r>
        <w:rPr>
          <w:rFonts w:hint="eastAsia" w:asciiTheme="minorEastAsia" w:hAnsiTheme="minorEastAsia" w:eastAsiaTheme="minorEastAsia" w:cstheme="minorEastAsia"/>
          <w:color w:val="auto"/>
          <w:kern w:val="2"/>
          <w:szCs w:val="24"/>
          <w:highlight w:val="none"/>
        </w:rPr>
        <w:t>工程结算原则</w:t>
      </w:r>
      <w:r>
        <w:rPr>
          <w:rFonts w:hint="eastAsia" w:asciiTheme="minorEastAsia" w:hAnsiTheme="minorEastAsia" w:eastAsiaTheme="minorEastAsia" w:cstheme="minorEastAsia"/>
          <w:color w:val="auto"/>
          <w:kern w:val="2"/>
          <w:szCs w:val="24"/>
          <w:highlight w:val="none"/>
          <w:lang w:eastAsia="zh-CN"/>
        </w:rPr>
        <w:t>：</w:t>
      </w:r>
      <w:r>
        <w:rPr>
          <w:rFonts w:hint="eastAsia" w:asciiTheme="minorEastAsia" w:hAnsiTheme="minorEastAsia" w:eastAsiaTheme="minorEastAsia" w:cstheme="minorEastAsia"/>
          <w:color w:val="auto"/>
          <w:kern w:val="2"/>
          <w:szCs w:val="24"/>
          <w:highlight w:val="none"/>
          <w:lang w:val="en-US" w:eastAsia="zh-CN"/>
        </w:rPr>
        <w:t>据实结算</w:t>
      </w:r>
      <w:r>
        <w:rPr>
          <w:color w:val="auto"/>
        </w:rPr>
        <w:tab/>
      </w:r>
      <w:r>
        <w:rPr>
          <w:color w:val="auto"/>
        </w:rPr>
        <w:fldChar w:fldCharType="begin"/>
      </w:r>
      <w:r>
        <w:rPr>
          <w:color w:val="auto"/>
        </w:rPr>
        <w:instrText xml:space="preserve"> PAGEREF _Toc25528 </w:instrText>
      </w:r>
      <w:r>
        <w:rPr>
          <w:color w:val="auto"/>
        </w:rPr>
        <w:fldChar w:fldCharType="separate"/>
      </w:r>
      <w:r>
        <w:rPr>
          <w:color w:val="auto"/>
        </w:rPr>
        <w:t>58</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5126DEEC">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_Toc15726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szCs w:val="24"/>
          <w:highlight w:val="none"/>
        </w:rPr>
        <w:t>4</w:t>
      </w:r>
      <w:r>
        <w:rPr>
          <w:rFonts w:hint="eastAsia" w:asciiTheme="minorEastAsia" w:hAnsiTheme="minorEastAsia" w:eastAsiaTheme="minorEastAsia" w:cstheme="minorEastAsia"/>
          <w:color w:val="auto"/>
          <w:kern w:val="2"/>
          <w:szCs w:val="24"/>
          <w:highlight w:val="none"/>
          <w:lang w:val="en-US" w:eastAsia="zh-CN"/>
        </w:rPr>
        <w:t>.</w:t>
      </w:r>
      <w:r>
        <w:rPr>
          <w:rFonts w:hint="eastAsia" w:asciiTheme="minorEastAsia" w:hAnsiTheme="minorEastAsia" w:eastAsiaTheme="minorEastAsia" w:cstheme="minorEastAsia"/>
          <w:color w:val="auto"/>
          <w:kern w:val="2"/>
          <w:szCs w:val="24"/>
          <w:highlight w:val="none"/>
        </w:rPr>
        <w:t>工程付款办法</w:t>
      </w:r>
      <w:r>
        <w:rPr>
          <w:color w:val="auto"/>
        </w:rPr>
        <w:tab/>
      </w:r>
      <w:r>
        <w:rPr>
          <w:color w:val="auto"/>
        </w:rPr>
        <w:fldChar w:fldCharType="begin"/>
      </w:r>
      <w:r>
        <w:rPr>
          <w:color w:val="auto"/>
        </w:rPr>
        <w:instrText xml:space="preserve"> PAGEREF _Toc15726 </w:instrText>
      </w:r>
      <w:r>
        <w:rPr>
          <w:color w:val="auto"/>
        </w:rPr>
        <w:fldChar w:fldCharType="separate"/>
      </w:r>
      <w:r>
        <w:rPr>
          <w:color w:val="auto"/>
        </w:rPr>
        <w:t>61</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D154D81">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_Toc14567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rPr>
        <w:t>第</w:t>
      </w:r>
      <w:r>
        <w:rPr>
          <w:rFonts w:hint="eastAsia" w:asciiTheme="minorEastAsia" w:hAnsiTheme="minorEastAsia" w:eastAsiaTheme="minorEastAsia" w:cstheme="minorEastAsia"/>
          <w:color w:val="auto"/>
          <w:kern w:val="44"/>
          <w:szCs w:val="36"/>
          <w:highlight w:val="none"/>
          <w:lang w:val="en-US" w:eastAsia="zh-CN"/>
        </w:rPr>
        <w:t>四</w:t>
      </w:r>
      <w:r>
        <w:rPr>
          <w:rFonts w:hint="eastAsia" w:asciiTheme="minorEastAsia" w:hAnsiTheme="minorEastAsia" w:eastAsiaTheme="minorEastAsia" w:cstheme="minorEastAsia"/>
          <w:color w:val="auto"/>
          <w:kern w:val="44"/>
          <w:szCs w:val="36"/>
          <w:highlight w:val="none"/>
        </w:rPr>
        <w:t>章 技术要求</w:t>
      </w:r>
      <w:r>
        <w:rPr>
          <w:color w:val="auto"/>
        </w:rPr>
        <w:tab/>
      </w:r>
      <w:r>
        <w:rPr>
          <w:color w:val="auto"/>
        </w:rPr>
        <w:fldChar w:fldCharType="begin"/>
      </w:r>
      <w:r>
        <w:rPr>
          <w:color w:val="auto"/>
        </w:rPr>
        <w:instrText xml:space="preserve"> PAGEREF _Toc14567 </w:instrText>
      </w:r>
      <w:r>
        <w:rPr>
          <w:color w:val="auto"/>
        </w:rPr>
        <w:fldChar w:fldCharType="separate"/>
      </w:r>
      <w:r>
        <w:rPr>
          <w:color w:val="auto"/>
        </w:rPr>
        <w:t>63</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294A1B77">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_Toc10009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lang w:val="en-US" w:eastAsia="zh-CN" w:bidi="ar-SA"/>
        </w:rPr>
        <w:t>第五章  招标文件的附件</w:t>
      </w:r>
      <w:r>
        <w:rPr>
          <w:color w:val="auto"/>
        </w:rPr>
        <w:tab/>
      </w:r>
      <w:r>
        <w:rPr>
          <w:color w:val="auto"/>
        </w:rPr>
        <w:fldChar w:fldCharType="begin"/>
      </w:r>
      <w:r>
        <w:rPr>
          <w:color w:val="auto"/>
        </w:rPr>
        <w:instrText xml:space="preserve"> PAGEREF _Toc10009 </w:instrText>
      </w:r>
      <w:r>
        <w:rPr>
          <w:color w:val="auto"/>
        </w:rPr>
        <w:fldChar w:fldCharType="separate"/>
      </w:r>
      <w:r>
        <w:rPr>
          <w:color w:val="auto"/>
        </w:rPr>
        <w:t>65</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3E38F5D">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_Toc2910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snapToGrid w:val="0"/>
          <w:color w:val="auto"/>
          <w:szCs w:val="24"/>
          <w:highlight w:val="none"/>
        </w:rPr>
        <w:t>格式一 封面</w:t>
      </w:r>
      <w:r>
        <w:rPr>
          <w:color w:val="auto"/>
        </w:rPr>
        <w:tab/>
      </w:r>
      <w:r>
        <w:rPr>
          <w:color w:val="auto"/>
        </w:rPr>
        <w:fldChar w:fldCharType="begin"/>
      </w:r>
      <w:r>
        <w:rPr>
          <w:color w:val="auto"/>
        </w:rPr>
        <w:instrText xml:space="preserve"> PAGEREF _Toc2910 </w:instrText>
      </w:r>
      <w:r>
        <w:rPr>
          <w:color w:val="auto"/>
        </w:rPr>
        <w:fldChar w:fldCharType="separate"/>
      </w:r>
      <w:r>
        <w:rPr>
          <w:color w:val="auto"/>
        </w:rPr>
        <w:t>65</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30A77D2C">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_Toc8176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格式二 《投标函》及《工程项目总价表》</w:t>
      </w:r>
      <w:r>
        <w:rPr>
          <w:color w:val="auto"/>
        </w:rPr>
        <w:tab/>
      </w:r>
      <w:r>
        <w:rPr>
          <w:color w:val="auto"/>
        </w:rPr>
        <w:fldChar w:fldCharType="begin"/>
      </w:r>
      <w:r>
        <w:rPr>
          <w:color w:val="auto"/>
        </w:rPr>
        <w:instrText xml:space="preserve"> PAGEREF _Toc8176 </w:instrText>
      </w:r>
      <w:r>
        <w:rPr>
          <w:color w:val="auto"/>
        </w:rPr>
        <w:fldChar w:fldCharType="separate"/>
      </w:r>
      <w:r>
        <w:rPr>
          <w:color w:val="auto"/>
        </w:rPr>
        <w:t>66</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77242D53">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_Toc10974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4"/>
          <w:highlight w:val="none"/>
        </w:rPr>
        <w:t>格式三 各项</w:t>
      </w:r>
      <w:r>
        <w:rPr>
          <w:rFonts w:hint="eastAsia" w:asciiTheme="minorEastAsia" w:hAnsiTheme="minorEastAsia" w:eastAsiaTheme="minorEastAsia" w:cstheme="minorEastAsia"/>
          <w:bCs/>
          <w:color w:val="auto"/>
          <w:szCs w:val="24"/>
          <w:highlight w:val="none"/>
        </w:rPr>
        <w:t>承诺</w:t>
      </w:r>
      <w:r>
        <w:rPr>
          <w:rFonts w:hint="eastAsia" w:asciiTheme="minorEastAsia" w:hAnsiTheme="minorEastAsia" w:eastAsiaTheme="minorEastAsia" w:cstheme="minorEastAsia"/>
          <w:color w:val="auto"/>
          <w:szCs w:val="24"/>
          <w:highlight w:val="none"/>
        </w:rPr>
        <w:t>一览表</w:t>
      </w:r>
      <w:r>
        <w:rPr>
          <w:color w:val="auto"/>
        </w:rPr>
        <w:tab/>
      </w:r>
      <w:r>
        <w:rPr>
          <w:color w:val="auto"/>
        </w:rPr>
        <w:fldChar w:fldCharType="begin"/>
      </w:r>
      <w:r>
        <w:rPr>
          <w:color w:val="auto"/>
        </w:rPr>
        <w:instrText xml:space="preserve"> PAGEREF _Toc10974 </w:instrText>
      </w:r>
      <w:r>
        <w:rPr>
          <w:color w:val="auto"/>
        </w:rPr>
        <w:fldChar w:fldCharType="separate"/>
      </w:r>
      <w:r>
        <w:rPr>
          <w:color w:val="auto"/>
        </w:rPr>
        <w:t>68</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AAFEFB6">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_Toc27589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格式四 授权委托书</w:t>
      </w:r>
      <w:r>
        <w:rPr>
          <w:color w:val="auto"/>
        </w:rPr>
        <w:tab/>
      </w:r>
      <w:r>
        <w:rPr>
          <w:color w:val="auto"/>
        </w:rPr>
        <w:fldChar w:fldCharType="begin"/>
      </w:r>
      <w:r>
        <w:rPr>
          <w:color w:val="auto"/>
        </w:rPr>
        <w:instrText xml:space="preserve"> PAGEREF _Toc27589 </w:instrText>
      </w:r>
      <w:r>
        <w:rPr>
          <w:color w:val="auto"/>
        </w:rPr>
        <w:fldChar w:fldCharType="separate"/>
      </w:r>
      <w:r>
        <w:rPr>
          <w:color w:val="auto"/>
        </w:rPr>
        <w:t>72</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25EF5CCB">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_Toc13693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格式五 法定代表人身份证明</w:t>
      </w:r>
      <w:r>
        <w:rPr>
          <w:color w:val="auto"/>
        </w:rPr>
        <w:tab/>
      </w:r>
      <w:r>
        <w:rPr>
          <w:color w:val="auto"/>
        </w:rPr>
        <w:fldChar w:fldCharType="begin"/>
      </w:r>
      <w:r>
        <w:rPr>
          <w:color w:val="auto"/>
        </w:rPr>
        <w:instrText xml:space="preserve"> PAGEREF _Toc13693 </w:instrText>
      </w:r>
      <w:r>
        <w:rPr>
          <w:color w:val="auto"/>
        </w:rPr>
        <w:fldChar w:fldCharType="separate"/>
      </w:r>
      <w:r>
        <w:rPr>
          <w:color w:val="auto"/>
        </w:rPr>
        <w:t>73</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309A6040">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_Toc8640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格式六 联合体协议书</w:t>
      </w:r>
      <w:r>
        <w:rPr>
          <w:color w:val="auto"/>
        </w:rPr>
        <w:tab/>
      </w:r>
      <w:r>
        <w:rPr>
          <w:color w:val="auto"/>
        </w:rPr>
        <w:fldChar w:fldCharType="begin"/>
      </w:r>
      <w:r>
        <w:rPr>
          <w:color w:val="auto"/>
        </w:rPr>
        <w:instrText xml:space="preserve"> PAGEREF _Toc8640 </w:instrText>
      </w:r>
      <w:r>
        <w:rPr>
          <w:color w:val="auto"/>
        </w:rPr>
        <w:fldChar w:fldCharType="separate"/>
      </w:r>
      <w:r>
        <w:rPr>
          <w:color w:val="auto"/>
        </w:rPr>
        <w:t>74</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7534F7D">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_Toc29859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格式七 投标人基本情况表</w:t>
      </w:r>
      <w:r>
        <w:rPr>
          <w:color w:val="auto"/>
        </w:rPr>
        <w:tab/>
      </w:r>
      <w:r>
        <w:rPr>
          <w:color w:val="auto"/>
        </w:rPr>
        <w:fldChar w:fldCharType="begin"/>
      </w:r>
      <w:r>
        <w:rPr>
          <w:color w:val="auto"/>
        </w:rPr>
        <w:instrText xml:space="preserve"> PAGEREF _Toc29859 </w:instrText>
      </w:r>
      <w:r>
        <w:rPr>
          <w:color w:val="auto"/>
        </w:rPr>
        <w:fldChar w:fldCharType="separate"/>
      </w:r>
      <w:r>
        <w:rPr>
          <w:color w:val="auto"/>
        </w:rPr>
        <w:t>76</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187752DB">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_Toc6438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格式八 项目经理简历表</w:t>
      </w:r>
      <w:r>
        <w:rPr>
          <w:color w:val="auto"/>
        </w:rPr>
        <w:tab/>
      </w:r>
      <w:r>
        <w:rPr>
          <w:color w:val="auto"/>
        </w:rPr>
        <w:fldChar w:fldCharType="begin"/>
      </w:r>
      <w:r>
        <w:rPr>
          <w:color w:val="auto"/>
        </w:rPr>
        <w:instrText xml:space="preserve"> PAGEREF _Toc6438 </w:instrText>
      </w:r>
      <w:r>
        <w:rPr>
          <w:color w:val="auto"/>
        </w:rPr>
        <w:fldChar w:fldCharType="separate"/>
      </w:r>
      <w:r>
        <w:rPr>
          <w:color w:val="auto"/>
        </w:rPr>
        <w:t>77</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3CE0C472">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_Toc26500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格式九 项目经理任职声明</w:t>
      </w:r>
      <w:r>
        <w:rPr>
          <w:color w:val="auto"/>
        </w:rPr>
        <w:tab/>
      </w:r>
      <w:r>
        <w:rPr>
          <w:color w:val="auto"/>
        </w:rPr>
        <w:fldChar w:fldCharType="begin"/>
      </w:r>
      <w:r>
        <w:rPr>
          <w:color w:val="auto"/>
        </w:rPr>
        <w:instrText xml:space="preserve"> PAGEREF _Toc26500 </w:instrText>
      </w:r>
      <w:r>
        <w:rPr>
          <w:color w:val="auto"/>
        </w:rPr>
        <w:fldChar w:fldCharType="separate"/>
      </w:r>
      <w:r>
        <w:rPr>
          <w:color w:val="auto"/>
        </w:rPr>
        <w:t>78</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2CF3A18D">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_Toc20073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格式十 项目技术负责人简历表</w:t>
      </w:r>
      <w:r>
        <w:rPr>
          <w:color w:val="auto"/>
        </w:rPr>
        <w:tab/>
      </w:r>
      <w:r>
        <w:rPr>
          <w:color w:val="auto"/>
        </w:rPr>
        <w:fldChar w:fldCharType="begin"/>
      </w:r>
      <w:r>
        <w:rPr>
          <w:color w:val="auto"/>
        </w:rPr>
        <w:instrText xml:space="preserve"> PAGEREF _Toc20073 </w:instrText>
      </w:r>
      <w:r>
        <w:rPr>
          <w:color w:val="auto"/>
        </w:rPr>
        <w:fldChar w:fldCharType="separate"/>
      </w:r>
      <w:r>
        <w:rPr>
          <w:color w:val="auto"/>
        </w:rPr>
        <w:t>79</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3AA782C4">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_Toc21166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格式十一 项目设计负责人简历表</w:t>
      </w:r>
      <w:r>
        <w:rPr>
          <w:color w:val="auto"/>
        </w:rPr>
        <w:tab/>
      </w:r>
      <w:r>
        <w:rPr>
          <w:color w:val="auto"/>
        </w:rPr>
        <w:fldChar w:fldCharType="begin"/>
      </w:r>
      <w:r>
        <w:rPr>
          <w:color w:val="auto"/>
        </w:rPr>
        <w:instrText xml:space="preserve"> PAGEREF _Toc21166 </w:instrText>
      </w:r>
      <w:r>
        <w:rPr>
          <w:color w:val="auto"/>
        </w:rPr>
        <w:fldChar w:fldCharType="separate"/>
      </w:r>
      <w:r>
        <w:rPr>
          <w:color w:val="auto"/>
        </w:rPr>
        <w:t>80</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535E22AB">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_Toc20021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snapToGrid w:val="0"/>
          <w:color w:val="auto"/>
          <w:szCs w:val="24"/>
          <w:highlight w:val="none"/>
        </w:rPr>
        <w:t>格式十二 项目管理机构组成表</w:t>
      </w:r>
      <w:r>
        <w:rPr>
          <w:color w:val="auto"/>
        </w:rPr>
        <w:tab/>
      </w:r>
      <w:r>
        <w:rPr>
          <w:color w:val="auto"/>
        </w:rPr>
        <w:fldChar w:fldCharType="begin"/>
      </w:r>
      <w:r>
        <w:rPr>
          <w:color w:val="auto"/>
        </w:rPr>
        <w:instrText xml:space="preserve"> PAGEREF _Toc20021 </w:instrText>
      </w:r>
      <w:r>
        <w:rPr>
          <w:color w:val="auto"/>
        </w:rPr>
        <w:fldChar w:fldCharType="separate"/>
      </w:r>
      <w:r>
        <w:rPr>
          <w:color w:val="auto"/>
        </w:rPr>
        <w:t>81</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4CEABE99">
      <w:pPr>
        <w:pStyle w:val="2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_Toc15610 </w:instrText>
      </w:r>
      <w:r>
        <w:rPr>
          <w:rFonts w:hint="eastAsia" w:asciiTheme="minorEastAsia" w:hAnsiTheme="minorEastAsia" w:eastAsiaTheme="minorEastAsia" w:cstheme="minorEastAsia"/>
          <w:color w:val="auto"/>
          <w:szCs w:val="21"/>
          <w:highlight w:val="none"/>
        </w:rPr>
        <w:fldChar w:fldCharType="separate"/>
      </w:r>
      <w:r>
        <w:rPr>
          <w:rFonts w:hint="eastAsia" w:ascii="宋体" w:hAnsi="宋体" w:eastAsia="宋体" w:cs="宋体"/>
          <w:bCs/>
          <w:color w:val="auto"/>
          <w:szCs w:val="21"/>
          <w:highlight w:val="none"/>
        </w:rPr>
        <w:t>建造师查询页（有效期）</w:t>
      </w:r>
      <w:r>
        <w:rPr>
          <w:color w:val="auto"/>
        </w:rPr>
        <w:tab/>
      </w:r>
      <w:r>
        <w:rPr>
          <w:color w:val="auto"/>
        </w:rPr>
        <w:fldChar w:fldCharType="begin"/>
      </w:r>
      <w:r>
        <w:rPr>
          <w:color w:val="auto"/>
        </w:rPr>
        <w:instrText xml:space="preserve"> PAGEREF _Toc15610 </w:instrText>
      </w:r>
      <w:r>
        <w:rPr>
          <w:color w:val="auto"/>
        </w:rPr>
        <w:fldChar w:fldCharType="separate"/>
      </w:r>
      <w:r>
        <w:rPr>
          <w:color w:val="auto"/>
        </w:rPr>
        <w:t>82</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7C425D25">
      <w:pPr>
        <w:pStyle w:val="20"/>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color w:val="auto"/>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_Toc11728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rPr>
        <w:t>第</w:t>
      </w:r>
      <w:r>
        <w:rPr>
          <w:rFonts w:hint="eastAsia" w:asciiTheme="minorEastAsia" w:hAnsiTheme="minorEastAsia" w:eastAsiaTheme="minorEastAsia" w:cstheme="minorEastAsia"/>
          <w:color w:val="auto"/>
          <w:kern w:val="44"/>
          <w:szCs w:val="36"/>
          <w:highlight w:val="none"/>
          <w:lang w:val="en-US" w:eastAsia="zh-CN"/>
        </w:rPr>
        <w:t>六</w:t>
      </w:r>
      <w:r>
        <w:rPr>
          <w:rFonts w:hint="eastAsia" w:asciiTheme="minorEastAsia" w:hAnsiTheme="minorEastAsia" w:eastAsiaTheme="minorEastAsia" w:cstheme="minorEastAsia"/>
          <w:color w:val="auto"/>
          <w:kern w:val="44"/>
          <w:szCs w:val="36"/>
          <w:highlight w:val="none"/>
        </w:rPr>
        <w:t>章  建设工程合同</w:t>
      </w:r>
      <w:r>
        <w:rPr>
          <w:color w:val="auto"/>
        </w:rPr>
        <w:tab/>
      </w:r>
      <w:r>
        <w:rPr>
          <w:color w:val="auto"/>
        </w:rPr>
        <w:fldChar w:fldCharType="begin"/>
      </w:r>
      <w:r>
        <w:rPr>
          <w:color w:val="auto"/>
        </w:rPr>
        <w:instrText xml:space="preserve"> PAGEREF _Toc11728 </w:instrText>
      </w:r>
      <w:r>
        <w:rPr>
          <w:color w:val="auto"/>
        </w:rPr>
        <w:fldChar w:fldCharType="separate"/>
      </w:r>
      <w:r>
        <w:rPr>
          <w:color w:val="auto"/>
        </w:rPr>
        <w:t>83</w:t>
      </w:r>
      <w:r>
        <w:rPr>
          <w:color w:val="auto"/>
        </w:rPr>
        <w:fldChar w:fldCharType="end"/>
      </w:r>
      <w:r>
        <w:rPr>
          <w:rFonts w:hint="eastAsia" w:asciiTheme="minorEastAsia" w:hAnsiTheme="minorEastAsia" w:eastAsiaTheme="minorEastAsia" w:cstheme="minorEastAsia"/>
          <w:color w:val="auto"/>
          <w:szCs w:val="21"/>
          <w:highlight w:val="none"/>
        </w:rPr>
        <w:fldChar w:fldCharType="end"/>
      </w:r>
    </w:p>
    <w:p w14:paraId="4F585ABF">
      <w:pPr>
        <w:pStyle w:val="32"/>
        <w:keepNext w:val="0"/>
        <w:keepLines w:val="0"/>
        <w:pageBreakBefore w:val="0"/>
        <w:widowControl w:val="0"/>
        <w:tabs>
          <w:tab w:val="left" w:pos="4935"/>
        </w:tabs>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Cs w:val="21"/>
          <w:highlight w:val="none"/>
        </w:rPr>
        <w:sectPr>
          <w:footerReference r:id="rId4" w:type="default"/>
          <w:endnotePr>
            <w:numFmt w:val="decimal"/>
          </w:endnotePr>
          <w:pgSz w:w="11906" w:h="16838"/>
          <w:pgMar w:top="1440" w:right="1800" w:bottom="1440" w:left="1800" w:header="851" w:footer="992" w:gutter="0"/>
          <w:pgNumType w:fmt="decimal" w:start="1"/>
          <w:cols w:space="720" w:num="1"/>
          <w:docGrid w:type="lines" w:linePitch="312" w:charSpace="0"/>
        </w:sectPr>
      </w:pPr>
      <w:r>
        <w:rPr>
          <w:rFonts w:hint="eastAsia" w:asciiTheme="minorEastAsia" w:hAnsiTheme="minorEastAsia" w:eastAsiaTheme="minorEastAsia" w:cstheme="minorEastAsia"/>
          <w:color w:val="auto"/>
          <w:szCs w:val="21"/>
          <w:highlight w:val="none"/>
        </w:rPr>
        <w:fldChar w:fldCharType="end"/>
      </w:r>
    </w:p>
    <w:p w14:paraId="59E4EBE9">
      <w:pPr>
        <w:pStyle w:val="33"/>
        <w:keepNext/>
        <w:keepLines/>
        <w:jc w:val="center"/>
        <w:rPr>
          <w:rFonts w:hint="eastAsia" w:asciiTheme="minorEastAsia" w:hAnsiTheme="minorEastAsia" w:eastAsiaTheme="minorEastAsia" w:cstheme="minorEastAsia"/>
          <w:b/>
          <w:color w:val="auto"/>
          <w:kern w:val="44"/>
          <w:sz w:val="36"/>
          <w:szCs w:val="36"/>
          <w:highlight w:val="none"/>
        </w:rPr>
      </w:pPr>
      <w:bookmarkStart w:id="0" w:name="_Toc21573"/>
      <w:bookmarkStart w:id="1" w:name="_Hlt111690251"/>
      <w:r>
        <w:rPr>
          <w:rFonts w:hint="eastAsia" w:asciiTheme="minorEastAsia" w:hAnsiTheme="minorEastAsia" w:eastAsiaTheme="minorEastAsia" w:cstheme="minorEastAsia"/>
          <w:b/>
          <w:color w:val="auto"/>
          <w:kern w:val="44"/>
          <w:sz w:val="36"/>
          <w:szCs w:val="36"/>
          <w:highlight w:val="none"/>
        </w:rPr>
        <w:t>第一章投标须知</w:t>
      </w:r>
      <w:bookmarkEnd w:id="0"/>
    </w:p>
    <w:p w14:paraId="380FA345">
      <w:pPr>
        <w:pStyle w:val="34"/>
        <w:keepNext/>
        <w:keepLines/>
        <w:autoSpaceDE/>
        <w:autoSpaceDN/>
        <w:adjustRightInd/>
        <w:spacing w:before="260" w:after="260" w:line="360" w:lineRule="exact"/>
        <w:ind w:firstLine="482" w:firstLineChars="200"/>
        <w:jc w:val="both"/>
        <w:rPr>
          <w:rFonts w:hint="eastAsia" w:asciiTheme="minorEastAsia" w:hAnsiTheme="minorEastAsia" w:eastAsiaTheme="minorEastAsia" w:cstheme="minorEastAsia"/>
          <w:b/>
          <w:color w:val="auto"/>
          <w:kern w:val="2"/>
          <w:highlight w:val="none"/>
        </w:rPr>
      </w:pPr>
      <w:bookmarkStart w:id="2" w:name="_Hlt127175444"/>
      <w:bookmarkEnd w:id="2"/>
      <w:bookmarkStart w:id="3" w:name="_Toc20497"/>
      <w:bookmarkStart w:id="4" w:name="_Hlt120077520"/>
      <w:r>
        <w:rPr>
          <w:rFonts w:hint="eastAsia" w:asciiTheme="minorEastAsia" w:hAnsiTheme="minorEastAsia" w:eastAsiaTheme="minorEastAsia" w:cstheme="minorEastAsia"/>
          <w:b/>
          <w:color w:val="auto"/>
          <w:kern w:val="2"/>
          <w:highlight w:val="none"/>
        </w:rPr>
        <w:t>第一节</w:t>
      </w:r>
      <w:r>
        <w:rPr>
          <w:rFonts w:hint="eastAsia" w:asciiTheme="minorEastAsia" w:hAnsiTheme="minorEastAsia" w:eastAsiaTheme="minorEastAsia" w:cstheme="minorEastAsia"/>
          <w:b/>
          <w:color w:val="auto"/>
          <w:kern w:val="2"/>
          <w:highlight w:val="none"/>
          <w:lang w:val="en-US" w:eastAsia="zh-CN"/>
        </w:rPr>
        <w:t xml:space="preserve"> </w:t>
      </w:r>
      <w:r>
        <w:rPr>
          <w:rFonts w:hint="eastAsia" w:asciiTheme="minorEastAsia" w:hAnsiTheme="minorEastAsia" w:eastAsiaTheme="minorEastAsia" w:cstheme="minorEastAsia"/>
          <w:b/>
          <w:color w:val="auto"/>
          <w:kern w:val="2"/>
          <w:highlight w:val="none"/>
        </w:rPr>
        <w:t>投标须知前附表</w:t>
      </w:r>
      <w:bookmarkEnd w:id="3"/>
    </w:p>
    <w:tbl>
      <w:tblPr>
        <w:tblStyle w:val="27"/>
        <w:tblW w:w="100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10"/>
        <w:gridCol w:w="2137"/>
        <w:gridCol w:w="7116"/>
      </w:tblGrid>
      <w:tr w14:paraId="328D18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EFFB350">
            <w:pPr>
              <w:pStyle w:val="32"/>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序</w:t>
            </w:r>
          </w:p>
          <w:p w14:paraId="7C0F3F94">
            <w:pPr>
              <w:pStyle w:val="32"/>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号</w:t>
            </w:r>
          </w:p>
        </w:tc>
        <w:tc>
          <w:tcPr>
            <w:tcW w:w="2137" w:type="dxa"/>
            <w:tcBorders>
              <w:top w:val="single" w:color="auto" w:sz="4" w:space="0"/>
              <w:left w:val="single" w:color="auto" w:sz="4" w:space="0"/>
              <w:bottom w:val="single" w:color="auto" w:sz="4" w:space="0"/>
              <w:right w:val="single" w:color="auto" w:sz="4" w:space="0"/>
            </w:tcBorders>
            <w:noWrap/>
            <w:vAlign w:val="center"/>
          </w:tcPr>
          <w:p w14:paraId="2A2D0B19">
            <w:pPr>
              <w:pStyle w:val="32"/>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内容</w:t>
            </w:r>
          </w:p>
        </w:tc>
        <w:tc>
          <w:tcPr>
            <w:tcW w:w="7116" w:type="dxa"/>
            <w:tcBorders>
              <w:top w:val="single" w:color="auto" w:sz="4" w:space="0"/>
              <w:left w:val="single" w:color="auto" w:sz="4" w:space="0"/>
              <w:bottom w:val="single" w:color="auto" w:sz="4" w:space="0"/>
              <w:right w:val="single" w:color="auto" w:sz="4" w:space="0"/>
            </w:tcBorders>
            <w:noWrap/>
            <w:vAlign w:val="center"/>
          </w:tcPr>
          <w:p w14:paraId="25E2E449">
            <w:pPr>
              <w:pStyle w:val="32"/>
              <w:tabs>
                <w:tab w:val="left" w:pos="1180"/>
              </w:tabs>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说明与要求</w:t>
            </w:r>
          </w:p>
        </w:tc>
      </w:tr>
      <w:tr w14:paraId="1F67C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94C9FD2">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w:t>
            </w:r>
          </w:p>
        </w:tc>
        <w:tc>
          <w:tcPr>
            <w:tcW w:w="2137" w:type="dxa"/>
            <w:tcBorders>
              <w:top w:val="single" w:color="auto" w:sz="4" w:space="0"/>
              <w:left w:val="single" w:color="auto" w:sz="4" w:space="0"/>
              <w:bottom w:val="single" w:color="auto" w:sz="4" w:space="0"/>
              <w:right w:val="single" w:color="auto" w:sz="4" w:space="0"/>
            </w:tcBorders>
            <w:noWrap/>
            <w:vAlign w:val="center"/>
          </w:tcPr>
          <w:p w14:paraId="47A87DE9">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工程名称</w:t>
            </w:r>
          </w:p>
        </w:tc>
        <w:tc>
          <w:tcPr>
            <w:tcW w:w="7116" w:type="dxa"/>
            <w:tcBorders>
              <w:top w:val="single" w:color="auto" w:sz="4" w:space="0"/>
              <w:left w:val="single" w:color="auto" w:sz="4" w:space="0"/>
              <w:bottom w:val="single" w:color="auto" w:sz="4" w:space="0"/>
              <w:right w:val="single" w:color="auto" w:sz="4" w:space="0"/>
            </w:tcBorders>
            <w:noWrap/>
            <w:vAlign w:val="center"/>
          </w:tcPr>
          <w:p w14:paraId="4F88F2BB">
            <w:pPr>
              <w:pStyle w:val="35"/>
              <w:keepNext w:val="0"/>
              <w:keepLines w:val="0"/>
              <w:pageBreakBefore w:val="0"/>
              <w:widowControl w:val="0"/>
              <w:kinsoku/>
              <w:wordWrap w:val="0"/>
              <w:overflowPunct/>
              <w:topLinePunct w:val="0"/>
              <w:autoSpaceDE/>
              <w:autoSpaceDN/>
              <w:bidi w:val="0"/>
              <w:adjustRightInd w:val="0"/>
              <w:snapToGrid w:val="0"/>
              <w:spacing w:line="360" w:lineRule="auto"/>
              <w:ind w:left="100" w:firstLine="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始兴县顿岗镇全域土地综合整治（乡村空间“三提三化”）项目光伏项目（一期）设计施工总承包</w:t>
            </w:r>
          </w:p>
        </w:tc>
      </w:tr>
      <w:tr w14:paraId="6A60DD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DBFEA18">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w:t>
            </w:r>
          </w:p>
        </w:tc>
        <w:tc>
          <w:tcPr>
            <w:tcW w:w="2137" w:type="dxa"/>
            <w:tcBorders>
              <w:top w:val="single" w:color="auto" w:sz="4" w:space="0"/>
              <w:left w:val="single" w:color="auto" w:sz="4" w:space="0"/>
              <w:bottom w:val="single" w:color="auto" w:sz="4" w:space="0"/>
              <w:right w:val="single" w:color="auto" w:sz="4" w:space="0"/>
            </w:tcBorders>
            <w:noWrap/>
            <w:vAlign w:val="center"/>
          </w:tcPr>
          <w:p w14:paraId="13C77C66">
            <w:pPr>
              <w:pStyle w:val="32"/>
              <w:jc w:val="center"/>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项目业主</w:t>
            </w:r>
          </w:p>
        </w:tc>
        <w:tc>
          <w:tcPr>
            <w:tcW w:w="7116" w:type="dxa"/>
            <w:tcBorders>
              <w:top w:val="single" w:color="auto" w:sz="4" w:space="0"/>
              <w:left w:val="single" w:color="auto" w:sz="4" w:space="0"/>
              <w:bottom w:val="single" w:color="auto" w:sz="4" w:space="0"/>
              <w:right w:val="single" w:color="auto" w:sz="4" w:space="0"/>
            </w:tcBorders>
            <w:noWrap/>
            <w:vAlign w:val="center"/>
          </w:tcPr>
          <w:p w14:paraId="3FCC2DFB">
            <w:pPr>
              <w:pStyle w:val="32"/>
              <w:keepNext w:val="0"/>
              <w:keepLines w:val="0"/>
              <w:pageBreakBefore w:val="0"/>
              <w:widowControl w:val="0"/>
              <w:kinsoku/>
              <w:overflowPunct/>
              <w:topLinePunct w:val="0"/>
              <w:autoSpaceDE/>
              <w:autoSpaceDN/>
              <w:bidi w:val="0"/>
              <w:ind w:left="100" w:firstLine="0"/>
              <w:textAlignment w:val="auto"/>
              <w:rPr>
                <w:rFonts w:hint="eastAsia" w:asciiTheme="minorEastAsia" w:hAnsiTheme="minorEastAsia" w:eastAsiaTheme="minorEastAsia" w:cstheme="minorEastAsia"/>
                <w:color w:val="auto"/>
                <w:kern w:val="0"/>
                <w:szCs w:val="24"/>
                <w:highlight w:val="none"/>
                <w:lang w:eastAsia="zh-CN"/>
              </w:rPr>
            </w:pPr>
            <w:r>
              <w:rPr>
                <w:rFonts w:hint="eastAsia" w:asciiTheme="minorEastAsia" w:hAnsiTheme="minorEastAsia" w:eastAsiaTheme="minorEastAsia" w:cstheme="minorEastAsia"/>
                <w:color w:val="auto"/>
                <w:szCs w:val="24"/>
                <w:highlight w:val="none"/>
                <w:lang w:val="en-US" w:eastAsia="zh-CN"/>
              </w:rPr>
              <w:t>广东兴展土地整理开发有限公司</w:t>
            </w:r>
          </w:p>
        </w:tc>
      </w:tr>
      <w:tr w14:paraId="6D919C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E60CA75">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3</w:t>
            </w:r>
          </w:p>
        </w:tc>
        <w:tc>
          <w:tcPr>
            <w:tcW w:w="2137" w:type="dxa"/>
            <w:tcBorders>
              <w:top w:val="single" w:color="auto" w:sz="4" w:space="0"/>
              <w:left w:val="single" w:color="auto" w:sz="4" w:space="0"/>
              <w:bottom w:val="single" w:color="auto" w:sz="4" w:space="0"/>
              <w:right w:val="single" w:color="auto" w:sz="4" w:space="0"/>
            </w:tcBorders>
            <w:noWrap/>
            <w:vAlign w:val="center"/>
          </w:tcPr>
          <w:p w14:paraId="54A4A9AC">
            <w:pPr>
              <w:pStyle w:val="32"/>
              <w:jc w:val="center"/>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项目批准部门</w:t>
            </w:r>
          </w:p>
        </w:tc>
        <w:tc>
          <w:tcPr>
            <w:tcW w:w="7116" w:type="dxa"/>
            <w:tcBorders>
              <w:top w:val="single" w:color="auto" w:sz="4" w:space="0"/>
              <w:left w:val="single" w:color="auto" w:sz="4" w:space="0"/>
              <w:bottom w:val="single" w:color="auto" w:sz="4" w:space="0"/>
              <w:right w:val="single" w:color="auto" w:sz="4" w:space="0"/>
            </w:tcBorders>
            <w:noWrap/>
            <w:vAlign w:val="center"/>
          </w:tcPr>
          <w:p w14:paraId="374F6656">
            <w:pPr>
              <w:pStyle w:val="32"/>
              <w:keepNext w:val="0"/>
              <w:keepLines w:val="0"/>
              <w:pageBreakBefore w:val="0"/>
              <w:widowControl w:val="0"/>
              <w:kinsoku/>
              <w:overflowPunct/>
              <w:topLinePunct w:val="0"/>
              <w:autoSpaceDE/>
              <w:autoSpaceDN/>
              <w:bidi w:val="0"/>
              <w:ind w:left="100" w:firstLine="0"/>
              <w:textAlignment w:val="auto"/>
              <w:rPr>
                <w:rFonts w:hint="eastAsia" w:asciiTheme="minorEastAsia" w:hAnsiTheme="minorEastAsia" w:eastAsiaTheme="minorEastAsia" w:cstheme="minorEastAsia"/>
                <w:color w:val="auto"/>
                <w:kern w:val="0"/>
                <w:szCs w:val="24"/>
                <w:highlight w:val="none"/>
                <w:lang w:eastAsia="zh-CN"/>
              </w:rPr>
            </w:pPr>
            <w:r>
              <w:rPr>
                <w:rFonts w:hint="eastAsia" w:asciiTheme="minorEastAsia" w:hAnsiTheme="minorEastAsia" w:eastAsiaTheme="minorEastAsia" w:cstheme="minorEastAsia"/>
                <w:color w:val="auto"/>
                <w:kern w:val="0"/>
                <w:szCs w:val="24"/>
                <w:highlight w:val="none"/>
                <w:lang w:eastAsia="zh-CN"/>
              </w:rPr>
              <w:t>始兴县发展和改革局</w:t>
            </w:r>
          </w:p>
        </w:tc>
      </w:tr>
      <w:tr w14:paraId="6EF24E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26C6155">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w:t>
            </w:r>
          </w:p>
        </w:tc>
        <w:tc>
          <w:tcPr>
            <w:tcW w:w="2137" w:type="dxa"/>
            <w:tcBorders>
              <w:top w:val="single" w:color="auto" w:sz="4" w:space="0"/>
              <w:left w:val="single" w:color="auto" w:sz="4" w:space="0"/>
              <w:bottom w:val="single" w:color="auto" w:sz="4" w:space="0"/>
              <w:right w:val="single" w:color="auto" w:sz="4" w:space="0"/>
            </w:tcBorders>
            <w:noWrap/>
            <w:vAlign w:val="center"/>
          </w:tcPr>
          <w:p w14:paraId="1343BD92">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项目批准文号</w:t>
            </w:r>
          </w:p>
        </w:tc>
        <w:tc>
          <w:tcPr>
            <w:tcW w:w="7116" w:type="dxa"/>
            <w:tcBorders>
              <w:top w:val="single" w:color="auto" w:sz="4" w:space="0"/>
              <w:left w:val="single" w:color="auto" w:sz="4" w:space="0"/>
              <w:bottom w:val="single" w:color="auto" w:sz="4" w:space="0"/>
              <w:right w:val="single" w:color="auto" w:sz="4" w:space="0"/>
            </w:tcBorders>
            <w:noWrap/>
            <w:vAlign w:val="center"/>
          </w:tcPr>
          <w:p w14:paraId="5E7BF453">
            <w:pPr>
              <w:keepNext w:val="0"/>
              <w:keepLines w:val="0"/>
              <w:pageBreakBefore w:val="0"/>
              <w:widowControl w:val="0"/>
              <w:kinsoku/>
              <w:wordWrap w:val="0"/>
              <w:overflowPunct/>
              <w:topLinePunct w:val="0"/>
              <w:autoSpaceDE/>
              <w:autoSpaceDN/>
              <w:bidi w:val="0"/>
              <w:adjustRightInd w:val="0"/>
              <w:snapToGrid w:val="0"/>
              <w:spacing w:line="360" w:lineRule="auto"/>
              <w:ind w:left="100" w:firstLine="0"/>
              <w:jc w:val="left"/>
              <w:textAlignment w:val="auto"/>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lang w:val="en-US" w:eastAsia="zh-CN"/>
              </w:rPr>
              <w:t>/</w:t>
            </w:r>
          </w:p>
        </w:tc>
      </w:tr>
      <w:tr w14:paraId="7CF91A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56C31FC">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w:t>
            </w:r>
          </w:p>
        </w:tc>
        <w:tc>
          <w:tcPr>
            <w:tcW w:w="2137" w:type="dxa"/>
            <w:tcBorders>
              <w:top w:val="single" w:color="auto" w:sz="4" w:space="0"/>
              <w:left w:val="single" w:color="auto" w:sz="4" w:space="0"/>
              <w:bottom w:val="single" w:color="auto" w:sz="4" w:space="0"/>
              <w:right w:val="single" w:color="auto" w:sz="4" w:space="0"/>
            </w:tcBorders>
            <w:noWrap/>
            <w:vAlign w:val="center"/>
          </w:tcPr>
          <w:p w14:paraId="4A55840B">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项目代码</w:t>
            </w:r>
          </w:p>
        </w:tc>
        <w:tc>
          <w:tcPr>
            <w:tcW w:w="7116" w:type="dxa"/>
            <w:tcBorders>
              <w:top w:val="single" w:color="auto" w:sz="4" w:space="0"/>
              <w:left w:val="single" w:color="auto" w:sz="4" w:space="0"/>
              <w:bottom w:val="single" w:color="auto" w:sz="4" w:space="0"/>
              <w:right w:val="single" w:color="auto" w:sz="4" w:space="0"/>
            </w:tcBorders>
            <w:noWrap/>
            <w:vAlign w:val="center"/>
          </w:tcPr>
          <w:p w14:paraId="4343B455">
            <w:pPr>
              <w:keepNext w:val="0"/>
              <w:keepLines w:val="0"/>
              <w:pageBreakBefore w:val="0"/>
              <w:widowControl w:val="0"/>
              <w:kinsoku/>
              <w:wordWrap w:val="0"/>
              <w:overflowPunct/>
              <w:topLinePunct w:val="0"/>
              <w:autoSpaceDE/>
              <w:autoSpaceDN/>
              <w:bidi w:val="0"/>
              <w:adjustRightInd w:val="0"/>
              <w:snapToGrid w:val="0"/>
              <w:spacing w:line="360" w:lineRule="auto"/>
              <w:ind w:left="100" w:firstLine="0"/>
              <w:textAlignment w:val="auto"/>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lang w:eastAsia="zh-CN"/>
              </w:rPr>
              <w:t>2508-440222-04-01-307369</w:t>
            </w:r>
          </w:p>
        </w:tc>
      </w:tr>
      <w:tr w14:paraId="7C271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7"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A4C0D6A">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w:t>
            </w:r>
          </w:p>
        </w:tc>
        <w:tc>
          <w:tcPr>
            <w:tcW w:w="2137" w:type="dxa"/>
            <w:tcBorders>
              <w:top w:val="single" w:color="auto" w:sz="4" w:space="0"/>
              <w:left w:val="single" w:color="auto" w:sz="4" w:space="0"/>
              <w:bottom w:val="single" w:color="auto" w:sz="4" w:space="0"/>
              <w:right w:val="single" w:color="auto" w:sz="4" w:space="0"/>
            </w:tcBorders>
            <w:noWrap/>
            <w:vAlign w:val="center"/>
          </w:tcPr>
          <w:p w14:paraId="33A3E8F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资金来源</w:t>
            </w:r>
          </w:p>
          <w:p w14:paraId="489F806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及出资比例</w:t>
            </w:r>
          </w:p>
        </w:tc>
        <w:tc>
          <w:tcPr>
            <w:tcW w:w="7116" w:type="dxa"/>
            <w:tcBorders>
              <w:top w:val="single" w:color="auto" w:sz="4" w:space="0"/>
              <w:left w:val="single" w:color="auto" w:sz="4" w:space="0"/>
              <w:bottom w:val="single" w:color="auto" w:sz="4" w:space="0"/>
              <w:right w:val="single" w:color="auto" w:sz="4" w:space="0"/>
            </w:tcBorders>
            <w:noWrap/>
            <w:vAlign w:val="center"/>
          </w:tcPr>
          <w:p w14:paraId="3F0CFE0E">
            <w:pPr>
              <w:pStyle w:val="32"/>
              <w:keepNext w:val="0"/>
              <w:keepLines w:val="0"/>
              <w:pageBreakBefore w:val="0"/>
              <w:widowControl w:val="0"/>
              <w:tabs>
                <w:tab w:val="left" w:pos="1180"/>
              </w:tabs>
              <w:kinsoku/>
              <w:overflowPunct/>
              <w:topLinePunct w:val="0"/>
              <w:autoSpaceDE/>
              <w:autoSpaceDN/>
              <w:bidi w:val="0"/>
              <w:ind w:left="100" w:firstLine="0"/>
              <w:jc w:val="left"/>
              <w:textAlignment w:val="auto"/>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highlight w:val="none"/>
                <w:lang w:eastAsia="zh-CN"/>
              </w:rPr>
              <w:t>企业自筹资金</w:t>
            </w:r>
            <w:r>
              <w:rPr>
                <w:rFonts w:hint="eastAsia" w:asciiTheme="minorEastAsia" w:hAnsiTheme="minorEastAsia" w:eastAsiaTheme="minorEastAsia" w:cstheme="minorEastAsia"/>
                <w:color w:val="auto"/>
                <w:highlight w:val="none"/>
              </w:rPr>
              <w:t>100%</w:t>
            </w:r>
          </w:p>
        </w:tc>
      </w:tr>
      <w:tr w14:paraId="2CBBE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1EFEDC4">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w:t>
            </w:r>
          </w:p>
        </w:tc>
        <w:tc>
          <w:tcPr>
            <w:tcW w:w="2137" w:type="dxa"/>
            <w:tcBorders>
              <w:top w:val="single" w:color="auto" w:sz="4" w:space="0"/>
              <w:left w:val="single" w:color="auto" w:sz="4" w:space="0"/>
              <w:bottom w:val="single" w:color="auto" w:sz="4" w:space="0"/>
              <w:right w:val="single" w:color="auto" w:sz="4" w:space="0"/>
            </w:tcBorders>
            <w:noWrap/>
            <w:vAlign w:val="center"/>
          </w:tcPr>
          <w:p w14:paraId="799ACB65">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招标人</w:t>
            </w:r>
          </w:p>
        </w:tc>
        <w:tc>
          <w:tcPr>
            <w:tcW w:w="7116" w:type="dxa"/>
            <w:tcBorders>
              <w:top w:val="single" w:color="auto" w:sz="4" w:space="0"/>
              <w:left w:val="single" w:color="auto" w:sz="4" w:space="0"/>
              <w:bottom w:val="single" w:color="auto" w:sz="4" w:space="0"/>
              <w:right w:val="single" w:color="auto" w:sz="4" w:space="0"/>
            </w:tcBorders>
            <w:noWrap/>
            <w:vAlign w:val="center"/>
          </w:tcPr>
          <w:p w14:paraId="6A806203">
            <w:pPr>
              <w:pStyle w:val="32"/>
              <w:keepNext w:val="0"/>
              <w:keepLines w:val="0"/>
              <w:pageBreakBefore w:val="0"/>
              <w:widowControl w:val="0"/>
              <w:kinsoku/>
              <w:overflowPunct/>
              <w:topLinePunct w:val="0"/>
              <w:autoSpaceDE/>
              <w:autoSpaceDN/>
              <w:bidi w:val="0"/>
              <w:ind w:left="100" w:firstLine="0"/>
              <w:textAlignment w:val="auto"/>
              <w:rPr>
                <w:rFonts w:hint="eastAsia" w:asciiTheme="minorEastAsia" w:hAnsiTheme="minorEastAsia" w:eastAsiaTheme="minorEastAsia" w:cstheme="minorEastAsia"/>
                <w:bCs/>
                <w:color w:val="auto"/>
                <w:szCs w:val="24"/>
                <w:highlight w:val="none"/>
                <w:lang w:eastAsia="zh-CN"/>
              </w:rPr>
            </w:pPr>
            <w:r>
              <w:rPr>
                <w:rFonts w:hint="eastAsia" w:asciiTheme="minorEastAsia" w:hAnsiTheme="minorEastAsia" w:eastAsiaTheme="minorEastAsia" w:cstheme="minorEastAsia"/>
                <w:color w:val="auto"/>
                <w:kern w:val="0"/>
                <w:szCs w:val="24"/>
                <w:highlight w:val="none"/>
                <w:lang w:eastAsia="zh-CN"/>
              </w:rPr>
              <w:t>广东兴展土地整理开发有限公司</w:t>
            </w:r>
          </w:p>
        </w:tc>
      </w:tr>
      <w:tr w14:paraId="0EA93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3C250A9">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8</w:t>
            </w:r>
          </w:p>
        </w:tc>
        <w:tc>
          <w:tcPr>
            <w:tcW w:w="2137" w:type="dxa"/>
            <w:tcBorders>
              <w:top w:val="single" w:color="auto" w:sz="4" w:space="0"/>
              <w:left w:val="single" w:color="auto" w:sz="4" w:space="0"/>
              <w:bottom w:val="single" w:color="auto" w:sz="4" w:space="0"/>
              <w:right w:val="single" w:color="auto" w:sz="4" w:space="0"/>
            </w:tcBorders>
            <w:noWrap/>
            <w:vAlign w:val="center"/>
          </w:tcPr>
          <w:p w14:paraId="6FDF374F">
            <w:pPr>
              <w:wordWrap w:val="0"/>
              <w:adjustRightInd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招标代理机构</w:t>
            </w:r>
          </w:p>
        </w:tc>
        <w:tc>
          <w:tcPr>
            <w:tcW w:w="7116" w:type="dxa"/>
            <w:tcBorders>
              <w:top w:val="single" w:color="auto" w:sz="4" w:space="0"/>
              <w:left w:val="single" w:color="auto" w:sz="4" w:space="0"/>
              <w:bottom w:val="single" w:color="auto" w:sz="4" w:space="0"/>
              <w:right w:val="single" w:color="auto" w:sz="4" w:space="0"/>
            </w:tcBorders>
            <w:noWrap/>
            <w:vAlign w:val="center"/>
          </w:tcPr>
          <w:p w14:paraId="49AD09D6">
            <w:pPr>
              <w:pStyle w:val="32"/>
              <w:keepNext w:val="0"/>
              <w:keepLines w:val="0"/>
              <w:pageBreakBefore w:val="0"/>
              <w:widowControl w:val="0"/>
              <w:kinsoku/>
              <w:overflowPunct/>
              <w:topLinePunct w:val="0"/>
              <w:autoSpaceDE/>
              <w:autoSpaceDN/>
              <w:bidi w:val="0"/>
              <w:ind w:left="100" w:firstLine="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广东伟达工程咨询顾问有限公司</w:t>
            </w:r>
          </w:p>
        </w:tc>
      </w:tr>
      <w:tr w14:paraId="3C046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BA7ADB3">
            <w:pPr>
              <w:pStyle w:val="32"/>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rPr>
              <w:t>9</w:t>
            </w:r>
          </w:p>
        </w:tc>
        <w:tc>
          <w:tcPr>
            <w:tcW w:w="2137" w:type="dxa"/>
            <w:tcBorders>
              <w:top w:val="single" w:color="auto" w:sz="4" w:space="0"/>
              <w:left w:val="single" w:color="auto" w:sz="4" w:space="0"/>
              <w:bottom w:val="single" w:color="auto" w:sz="4" w:space="0"/>
              <w:right w:val="single" w:color="auto" w:sz="4" w:space="0"/>
            </w:tcBorders>
            <w:noWrap/>
            <w:vAlign w:val="center"/>
          </w:tcPr>
          <w:p w14:paraId="0D57CA54">
            <w:pPr>
              <w:pStyle w:val="32"/>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项目总投资</w:t>
            </w:r>
          </w:p>
        </w:tc>
        <w:tc>
          <w:tcPr>
            <w:tcW w:w="7116" w:type="dxa"/>
            <w:tcBorders>
              <w:top w:val="single" w:color="auto" w:sz="4" w:space="0"/>
              <w:left w:val="single" w:color="auto" w:sz="4" w:space="0"/>
              <w:bottom w:val="single" w:color="auto" w:sz="4" w:space="0"/>
              <w:right w:val="single" w:color="auto" w:sz="4" w:space="0"/>
            </w:tcBorders>
            <w:noWrap/>
            <w:vAlign w:val="center"/>
          </w:tcPr>
          <w:p w14:paraId="4B845EEB">
            <w:pPr>
              <w:pStyle w:val="32"/>
              <w:keepNext w:val="0"/>
              <w:keepLines w:val="0"/>
              <w:pageBreakBefore w:val="0"/>
              <w:widowControl w:val="0"/>
              <w:kinsoku/>
              <w:overflowPunct/>
              <w:topLinePunct w:val="0"/>
              <w:autoSpaceDE/>
              <w:autoSpaceDN/>
              <w:bidi w:val="0"/>
              <w:ind w:left="100" w:firstLine="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工程总投资</w:t>
            </w:r>
            <w:r>
              <w:rPr>
                <w:rFonts w:hint="eastAsia" w:asciiTheme="minorEastAsia" w:hAnsiTheme="minorEastAsia" w:eastAsiaTheme="minorEastAsia" w:cstheme="minorEastAsia"/>
                <w:color w:val="auto"/>
                <w:highlight w:val="none"/>
                <w:lang w:val="en-US" w:eastAsia="zh-CN"/>
              </w:rPr>
              <w:t>约1525万元</w:t>
            </w:r>
            <w:r>
              <w:rPr>
                <w:rFonts w:hint="eastAsia" w:asciiTheme="minorEastAsia" w:hAnsiTheme="minorEastAsia" w:eastAsiaTheme="minorEastAsia" w:cstheme="minorEastAsia"/>
                <w:color w:val="auto"/>
                <w:highlight w:val="none"/>
                <w:lang w:eastAsia="zh-CN"/>
              </w:rPr>
              <w:t>。</w:t>
            </w:r>
          </w:p>
        </w:tc>
      </w:tr>
      <w:tr w14:paraId="53875E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4978800">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w:t>
            </w:r>
          </w:p>
        </w:tc>
        <w:tc>
          <w:tcPr>
            <w:tcW w:w="2137" w:type="dxa"/>
            <w:tcBorders>
              <w:top w:val="single" w:color="auto" w:sz="4" w:space="0"/>
              <w:left w:val="single" w:color="auto" w:sz="4" w:space="0"/>
              <w:bottom w:val="single" w:color="auto" w:sz="4" w:space="0"/>
              <w:right w:val="single" w:color="auto" w:sz="4" w:space="0"/>
            </w:tcBorders>
            <w:noWrap/>
            <w:vAlign w:val="center"/>
          </w:tcPr>
          <w:p w14:paraId="3202270E">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建设地点</w:t>
            </w:r>
          </w:p>
        </w:tc>
        <w:tc>
          <w:tcPr>
            <w:tcW w:w="7116" w:type="dxa"/>
            <w:tcBorders>
              <w:top w:val="single" w:color="auto" w:sz="4" w:space="0"/>
              <w:left w:val="single" w:color="auto" w:sz="4" w:space="0"/>
              <w:bottom w:val="single" w:color="auto" w:sz="4" w:space="0"/>
              <w:right w:val="single" w:color="auto" w:sz="4" w:space="0"/>
            </w:tcBorders>
            <w:noWrap/>
            <w:vAlign w:val="center"/>
          </w:tcPr>
          <w:p w14:paraId="579B4AB4">
            <w:pPr>
              <w:pStyle w:val="32"/>
              <w:keepNext w:val="0"/>
              <w:keepLines w:val="0"/>
              <w:pageBreakBefore w:val="0"/>
              <w:widowControl w:val="0"/>
              <w:kinsoku/>
              <w:overflowPunct/>
              <w:topLinePunct w:val="0"/>
              <w:autoSpaceDE/>
              <w:autoSpaceDN/>
              <w:bidi w:val="0"/>
              <w:ind w:left="100" w:firstLine="0"/>
              <w:textAlignment w:val="auto"/>
              <w:rPr>
                <w:rFonts w:hint="default" w:asciiTheme="minorEastAsia" w:hAnsiTheme="minorEastAsia" w:eastAsiaTheme="minorEastAsia" w:cstheme="minorEastAsia"/>
                <w:color w:val="auto"/>
                <w:kern w:val="0"/>
                <w:szCs w:val="24"/>
                <w:highlight w:val="none"/>
                <w:lang w:val="en-US" w:eastAsia="zh-CN"/>
              </w:rPr>
            </w:pPr>
            <w:r>
              <w:rPr>
                <w:rFonts w:hint="eastAsia" w:asciiTheme="minorEastAsia" w:hAnsiTheme="minorEastAsia" w:eastAsiaTheme="minorEastAsia" w:cstheme="minorEastAsia"/>
                <w:color w:val="auto"/>
                <w:highlight w:val="none"/>
                <w:lang w:eastAsia="zh-CN"/>
              </w:rPr>
              <w:t>始兴县顿岗镇全域土地综合整治项目区域内</w:t>
            </w:r>
          </w:p>
        </w:tc>
      </w:tr>
      <w:tr w14:paraId="224E4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1523747">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w:t>
            </w:r>
          </w:p>
        </w:tc>
        <w:tc>
          <w:tcPr>
            <w:tcW w:w="2137" w:type="dxa"/>
            <w:tcBorders>
              <w:top w:val="single" w:color="auto" w:sz="4" w:space="0"/>
              <w:left w:val="single" w:color="auto" w:sz="4" w:space="0"/>
              <w:bottom w:val="single" w:color="auto" w:sz="4" w:space="0"/>
              <w:right w:val="single" w:color="auto" w:sz="4" w:space="0"/>
            </w:tcBorders>
            <w:noWrap/>
            <w:vAlign w:val="center"/>
          </w:tcPr>
          <w:p w14:paraId="1439F1BD">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项目建设内容</w:t>
            </w:r>
          </w:p>
          <w:p w14:paraId="7C3A989D">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和规模</w:t>
            </w:r>
          </w:p>
        </w:tc>
        <w:tc>
          <w:tcPr>
            <w:tcW w:w="7116" w:type="dxa"/>
            <w:tcBorders>
              <w:top w:val="single" w:color="auto" w:sz="4" w:space="0"/>
              <w:left w:val="single" w:color="auto" w:sz="4" w:space="0"/>
              <w:bottom w:val="single" w:color="auto" w:sz="4" w:space="0"/>
              <w:right w:val="single" w:color="auto" w:sz="4" w:space="0"/>
            </w:tcBorders>
            <w:noWrap/>
            <w:vAlign w:val="center"/>
          </w:tcPr>
          <w:p w14:paraId="5A460944">
            <w:pPr>
              <w:pStyle w:val="7"/>
              <w:keepNext w:val="0"/>
              <w:keepLines w:val="0"/>
              <w:pageBreakBefore w:val="0"/>
              <w:widowControl w:val="0"/>
              <w:kinsoku/>
              <w:wordWrap/>
              <w:overflowPunct/>
              <w:topLinePunct w:val="0"/>
              <w:autoSpaceDE/>
              <w:autoSpaceDN/>
              <w:bidi w:val="0"/>
              <w:adjustRightInd/>
              <w:snapToGrid/>
              <w:spacing w:line="360" w:lineRule="auto"/>
              <w:ind w:firstLine="120" w:firstLineChars="50"/>
              <w:textAlignment w:val="auto"/>
              <w:rPr>
                <w:rFonts w:hint="eastAsia" w:asciiTheme="minorEastAsia" w:hAnsiTheme="minorEastAsia" w:eastAsiaTheme="minorEastAsia" w:cstheme="minorEastAsia"/>
                <w:color w:val="auto"/>
                <w:highlight w:val="none"/>
                <w:lang w:eastAsia="zh-CN"/>
              </w:rPr>
            </w:pPr>
            <w:r>
              <w:rPr>
                <w:rFonts w:hint="eastAsia" w:eastAsiaTheme="minorEastAsia"/>
                <w:color w:val="auto"/>
                <w:sz w:val="24"/>
                <w:szCs w:val="24"/>
                <w:lang w:val="en-US" w:eastAsia="zh-CN"/>
              </w:rPr>
              <w:t>光伏3.6MW及附属设施；3台容量设计分别为630kVA、1250kVA、1600kVA的箱变及附属设施；储能柜260kWh以及160kw充电桩一台（一拖四）及周所村未来社区地块一1-17栋相关永电工程。</w:t>
            </w:r>
          </w:p>
        </w:tc>
      </w:tr>
      <w:tr w14:paraId="369D30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0AC6085">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12</w:t>
            </w:r>
          </w:p>
        </w:tc>
        <w:tc>
          <w:tcPr>
            <w:tcW w:w="2137" w:type="dxa"/>
            <w:tcBorders>
              <w:top w:val="single" w:color="auto" w:sz="4" w:space="0"/>
              <w:left w:val="single" w:color="auto" w:sz="4" w:space="0"/>
              <w:bottom w:val="single" w:color="auto" w:sz="4" w:space="0"/>
              <w:right w:val="single" w:color="auto" w:sz="4" w:space="0"/>
            </w:tcBorders>
            <w:noWrap/>
            <w:vAlign w:val="center"/>
          </w:tcPr>
          <w:p w14:paraId="311168C7">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招标范围</w:t>
            </w:r>
          </w:p>
          <w:p w14:paraId="2B399C62">
            <w:pPr>
              <w:pStyle w:val="32"/>
              <w:jc w:val="center"/>
              <w:rPr>
                <w:rFonts w:hint="eastAsia" w:asciiTheme="minorEastAsia" w:hAnsiTheme="minorEastAsia" w:eastAsiaTheme="minorEastAsia" w:cstheme="minorEastAsia"/>
                <w:snapToGrid w:val="0"/>
                <w:color w:val="auto"/>
                <w:kern w:val="0"/>
                <w:szCs w:val="24"/>
                <w:highlight w:val="none"/>
              </w:rPr>
            </w:pPr>
          </w:p>
        </w:tc>
        <w:tc>
          <w:tcPr>
            <w:tcW w:w="7116" w:type="dxa"/>
            <w:tcBorders>
              <w:top w:val="single" w:color="auto" w:sz="4" w:space="0"/>
              <w:left w:val="single" w:color="auto" w:sz="4" w:space="0"/>
              <w:bottom w:val="single" w:color="auto" w:sz="4" w:space="0"/>
              <w:right w:val="single" w:color="auto" w:sz="4" w:space="0"/>
            </w:tcBorders>
            <w:noWrap/>
            <w:vAlign w:val="center"/>
          </w:tcPr>
          <w:p w14:paraId="30C57A57">
            <w:pPr>
              <w:pStyle w:val="32"/>
              <w:keepNext w:val="0"/>
              <w:keepLines w:val="0"/>
              <w:pageBreakBefore w:val="0"/>
              <w:widowControl w:val="0"/>
              <w:kinsoku/>
              <w:wordWrap/>
              <w:overflowPunct/>
              <w:topLinePunct w:val="0"/>
              <w:autoSpaceDE/>
              <w:autoSpaceDN/>
              <w:bidi w:val="0"/>
              <w:adjustRightInd/>
              <w:snapToGrid/>
              <w:ind w:left="100" w:firstLine="240" w:firstLineChars="100"/>
              <w:jc w:val="left"/>
              <w:textAlignment w:val="auto"/>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本工程所涉及的内容包括但不限于以下（1）和（2）：</w:t>
            </w:r>
          </w:p>
          <w:p w14:paraId="6474D79F">
            <w:pPr>
              <w:pStyle w:val="32"/>
              <w:keepNext w:val="0"/>
              <w:keepLines w:val="0"/>
              <w:pageBreakBefore w:val="0"/>
              <w:widowControl w:val="0"/>
              <w:kinsoku/>
              <w:wordWrap/>
              <w:overflowPunct/>
              <w:topLinePunct w:val="0"/>
              <w:autoSpaceDE/>
              <w:autoSpaceDN/>
              <w:bidi w:val="0"/>
              <w:adjustRightInd/>
              <w:snapToGrid/>
              <w:ind w:left="100" w:firstLine="240" w:firstLineChars="100"/>
              <w:jc w:val="left"/>
              <w:textAlignment w:val="auto"/>
              <w:rPr>
                <w:rFonts w:hint="eastAsia" w:asciiTheme="minorEastAsia" w:hAnsiTheme="minorEastAsia" w:eastAsiaTheme="minorEastAsia" w:cstheme="minorEastAsia"/>
                <w:snapToGrid w:val="0"/>
                <w:color w:val="auto"/>
                <w:kern w:val="0"/>
                <w:highlight w:val="none"/>
                <w:lang w:eastAsia="zh-CN"/>
              </w:rPr>
            </w:pPr>
            <w:r>
              <w:rPr>
                <w:rFonts w:hint="eastAsia" w:asciiTheme="minorEastAsia" w:hAnsiTheme="minorEastAsia" w:eastAsiaTheme="minorEastAsia" w:cstheme="minorEastAsia"/>
                <w:snapToGrid w:val="0"/>
                <w:color w:val="auto"/>
                <w:kern w:val="0"/>
                <w:highlight w:val="none"/>
                <w:lang w:eastAsia="zh-CN"/>
              </w:rPr>
              <w:t>（</w:t>
            </w:r>
            <w:r>
              <w:rPr>
                <w:rFonts w:hint="eastAsia" w:asciiTheme="minorEastAsia" w:hAnsiTheme="minorEastAsia" w:eastAsiaTheme="minorEastAsia" w:cstheme="minorEastAsia"/>
                <w:snapToGrid w:val="0"/>
                <w:color w:val="auto"/>
                <w:kern w:val="0"/>
                <w:highlight w:val="none"/>
                <w:lang w:val="en-US" w:eastAsia="zh-CN"/>
              </w:rPr>
              <w:t>1</w:t>
            </w:r>
            <w:r>
              <w:rPr>
                <w:rFonts w:hint="eastAsia" w:asciiTheme="minorEastAsia" w:hAnsiTheme="minorEastAsia" w:eastAsiaTheme="minorEastAsia" w:cstheme="minorEastAsia"/>
                <w:snapToGrid w:val="0"/>
                <w:color w:val="auto"/>
                <w:kern w:val="0"/>
                <w:highlight w:val="none"/>
                <w:lang w:eastAsia="zh-CN"/>
              </w:rPr>
              <w:t>）设计部分：本项目的设计范围：确保项目顺利实施的规划、报建、施工等所需的所有建安工程等设计文件。包括：施工图设计、</w:t>
            </w:r>
            <w:r>
              <w:rPr>
                <w:rFonts w:hint="eastAsia" w:asciiTheme="minorEastAsia" w:hAnsiTheme="minorEastAsia" w:eastAsiaTheme="minorEastAsia" w:cstheme="minorEastAsia"/>
                <w:snapToGrid w:val="0"/>
                <w:color w:val="auto"/>
                <w:kern w:val="0"/>
                <w:highlight w:val="none"/>
                <w:lang w:val="en-US" w:eastAsia="zh-CN"/>
              </w:rPr>
              <w:t>施工图审查、</w:t>
            </w:r>
            <w:r>
              <w:rPr>
                <w:rFonts w:hint="eastAsia" w:asciiTheme="minorEastAsia" w:hAnsiTheme="minorEastAsia" w:eastAsiaTheme="minorEastAsia" w:cstheme="minorEastAsia"/>
                <w:snapToGrid w:val="0"/>
                <w:color w:val="auto"/>
                <w:kern w:val="0"/>
                <w:highlight w:val="none"/>
                <w:lang w:eastAsia="zh-CN"/>
              </w:rPr>
              <w:t>验收过程中的设计指导及配合阶段验收等。</w:t>
            </w:r>
          </w:p>
          <w:p w14:paraId="34D33527">
            <w:pPr>
              <w:pStyle w:val="32"/>
              <w:keepNext w:val="0"/>
              <w:keepLines w:val="0"/>
              <w:pageBreakBefore w:val="0"/>
              <w:widowControl w:val="0"/>
              <w:kinsoku/>
              <w:wordWrap/>
              <w:overflowPunct/>
              <w:topLinePunct w:val="0"/>
              <w:autoSpaceDE/>
              <w:autoSpaceDN/>
              <w:bidi w:val="0"/>
              <w:adjustRightInd/>
              <w:snapToGrid/>
              <w:ind w:left="100" w:firstLine="240" w:firstLineChars="100"/>
              <w:jc w:val="left"/>
              <w:textAlignment w:val="auto"/>
              <w:rPr>
                <w:rFonts w:hint="eastAsia" w:asciiTheme="minorEastAsia" w:hAnsiTheme="minorEastAsia" w:eastAsiaTheme="minorEastAsia" w:cstheme="minorEastAsia"/>
                <w:snapToGrid w:val="0"/>
                <w:color w:val="auto"/>
                <w:kern w:val="0"/>
                <w:highlight w:val="none"/>
                <w:lang w:val="en-US" w:eastAsia="zh-CN"/>
              </w:rPr>
            </w:pPr>
            <w:r>
              <w:rPr>
                <w:rFonts w:hint="eastAsia" w:asciiTheme="minorEastAsia" w:hAnsiTheme="minorEastAsia" w:eastAsiaTheme="minorEastAsia" w:cstheme="minorEastAsia"/>
                <w:snapToGrid w:val="0"/>
                <w:color w:val="auto"/>
                <w:kern w:val="0"/>
                <w:highlight w:val="none"/>
              </w:rPr>
              <w:t>（2）施工部分：设计文件及工程量清单范围内的所有工程及配套工程、设施等的施工。</w:t>
            </w:r>
          </w:p>
        </w:tc>
      </w:tr>
      <w:tr w14:paraId="69C255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E8D5FC3">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13</w:t>
            </w:r>
          </w:p>
        </w:tc>
        <w:tc>
          <w:tcPr>
            <w:tcW w:w="2137" w:type="dxa"/>
            <w:tcBorders>
              <w:top w:val="single" w:color="auto" w:sz="4" w:space="0"/>
              <w:left w:val="single" w:color="auto" w:sz="4" w:space="0"/>
              <w:bottom w:val="single" w:color="auto" w:sz="4" w:space="0"/>
              <w:right w:val="single" w:color="auto" w:sz="4" w:space="0"/>
            </w:tcBorders>
            <w:noWrap/>
            <w:vAlign w:val="center"/>
          </w:tcPr>
          <w:p w14:paraId="505CAD51">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标段划分</w:t>
            </w:r>
          </w:p>
        </w:tc>
        <w:tc>
          <w:tcPr>
            <w:tcW w:w="7116" w:type="dxa"/>
            <w:tcBorders>
              <w:top w:val="single" w:color="auto" w:sz="4" w:space="0"/>
              <w:left w:val="single" w:color="auto" w:sz="4" w:space="0"/>
              <w:bottom w:val="single" w:color="auto" w:sz="4" w:space="0"/>
              <w:right w:val="single" w:color="auto" w:sz="4" w:space="0"/>
            </w:tcBorders>
            <w:noWrap/>
            <w:vAlign w:val="center"/>
          </w:tcPr>
          <w:p w14:paraId="3371156E">
            <w:pPr>
              <w:keepNext w:val="0"/>
              <w:keepLines w:val="0"/>
              <w:pageBreakBefore w:val="0"/>
              <w:widowControl w:val="0"/>
              <w:kinsoku/>
              <w:wordWrap w:val="0"/>
              <w:overflowPunct/>
              <w:topLinePunct w:val="0"/>
              <w:autoSpaceDE/>
              <w:autoSpaceDN/>
              <w:bidi w:val="0"/>
              <w:adjustRightInd w:val="0"/>
              <w:snapToGrid w:val="0"/>
              <w:spacing w:line="360" w:lineRule="auto"/>
              <w:ind w:left="100" w:firstLine="240" w:firstLineChars="100"/>
              <w:textAlignment w:val="auto"/>
              <w:rPr>
                <w:rFonts w:hint="eastAsia" w:asciiTheme="minorEastAsia" w:hAnsiTheme="minorEastAsia" w:eastAsiaTheme="minorEastAsia" w:cstheme="minorEastAsia"/>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lang w:eastAsia="zh-CN"/>
              </w:rPr>
              <w:t>本招标项目不划分标段。</w:t>
            </w:r>
          </w:p>
        </w:tc>
      </w:tr>
      <w:tr w14:paraId="08966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0307F0B">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14</w:t>
            </w:r>
          </w:p>
        </w:tc>
        <w:tc>
          <w:tcPr>
            <w:tcW w:w="2137" w:type="dxa"/>
            <w:tcBorders>
              <w:top w:val="single" w:color="auto" w:sz="4" w:space="0"/>
              <w:left w:val="single" w:color="auto" w:sz="4" w:space="0"/>
              <w:bottom w:val="single" w:color="auto" w:sz="4" w:space="0"/>
              <w:right w:val="single" w:color="auto" w:sz="4" w:space="0"/>
            </w:tcBorders>
            <w:noWrap/>
            <w:vAlign w:val="center"/>
          </w:tcPr>
          <w:p w14:paraId="00E014A9">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工期</w:t>
            </w:r>
          </w:p>
        </w:tc>
        <w:tc>
          <w:tcPr>
            <w:tcW w:w="7116" w:type="dxa"/>
            <w:tcBorders>
              <w:top w:val="single" w:color="auto" w:sz="4" w:space="0"/>
              <w:left w:val="single" w:color="auto" w:sz="4" w:space="0"/>
              <w:bottom w:val="single" w:color="auto" w:sz="4" w:space="0"/>
              <w:right w:val="single" w:color="auto" w:sz="4" w:space="0"/>
            </w:tcBorders>
            <w:noWrap/>
            <w:vAlign w:val="center"/>
          </w:tcPr>
          <w:p w14:paraId="1A17189A">
            <w:pPr>
              <w:keepNext w:val="0"/>
              <w:keepLines w:val="0"/>
              <w:pageBreakBefore w:val="0"/>
              <w:widowControl w:val="0"/>
              <w:kinsoku/>
              <w:wordWrap w:val="0"/>
              <w:overflowPunct/>
              <w:topLinePunct w:val="0"/>
              <w:autoSpaceDE/>
              <w:autoSpaceDN/>
              <w:bidi w:val="0"/>
              <w:adjustRightInd w:val="0"/>
              <w:snapToGrid w:val="0"/>
              <w:spacing w:line="360" w:lineRule="auto"/>
              <w:ind w:left="100" w:firstLine="240" w:firstLineChars="100"/>
              <w:jc w:val="left"/>
              <w:textAlignment w:val="auto"/>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color w:val="auto"/>
                <w:kern w:val="0"/>
                <w:highlight w:val="none"/>
                <w:lang w:val="en-US" w:eastAsia="zh-CN"/>
              </w:rPr>
              <w:t>本项目设计、施工工期：110</w:t>
            </w:r>
            <w:r>
              <w:rPr>
                <w:rFonts w:hint="eastAsia" w:asciiTheme="minorEastAsia" w:hAnsiTheme="minorEastAsia" w:eastAsiaTheme="minorEastAsia" w:cstheme="minorEastAsia"/>
                <w:color w:val="auto"/>
                <w:kern w:val="0"/>
                <w:highlight w:val="none"/>
                <w:lang w:eastAsia="zh-CN"/>
              </w:rPr>
              <w:t>日历天【其中：设计工期</w:t>
            </w:r>
            <w:r>
              <w:rPr>
                <w:rFonts w:hint="eastAsia" w:asciiTheme="minorEastAsia" w:hAnsiTheme="minorEastAsia" w:eastAsiaTheme="minorEastAsia" w:cstheme="minorEastAsia"/>
                <w:color w:val="auto"/>
                <w:kern w:val="0"/>
                <w:highlight w:val="none"/>
                <w:lang w:val="en-US" w:eastAsia="zh-CN"/>
              </w:rPr>
              <w:t>20</w:t>
            </w:r>
            <w:r>
              <w:rPr>
                <w:rFonts w:hint="eastAsia" w:asciiTheme="minorEastAsia" w:hAnsiTheme="minorEastAsia" w:eastAsiaTheme="minorEastAsia" w:cstheme="minorEastAsia"/>
                <w:color w:val="auto"/>
                <w:kern w:val="0"/>
                <w:highlight w:val="none"/>
                <w:lang w:eastAsia="zh-CN"/>
              </w:rPr>
              <w:t>日历天、施工工期</w:t>
            </w:r>
            <w:r>
              <w:rPr>
                <w:rFonts w:hint="eastAsia" w:asciiTheme="minorEastAsia" w:hAnsiTheme="minorEastAsia" w:eastAsiaTheme="minorEastAsia" w:cstheme="minorEastAsia"/>
                <w:color w:val="auto"/>
                <w:kern w:val="0"/>
                <w:highlight w:val="none"/>
                <w:lang w:val="en-US" w:eastAsia="zh-CN"/>
              </w:rPr>
              <w:t>90</w:t>
            </w:r>
            <w:r>
              <w:rPr>
                <w:rFonts w:hint="eastAsia" w:asciiTheme="minorEastAsia" w:hAnsiTheme="minorEastAsia" w:eastAsiaTheme="minorEastAsia" w:cstheme="minorEastAsia"/>
                <w:color w:val="auto"/>
                <w:kern w:val="0"/>
                <w:highlight w:val="none"/>
                <w:lang w:eastAsia="zh-CN"/>
              </w:rPr>
              <w:t>日历天】。</w:t>
            </w:r>
          </w:p>
        </w:tc>
      </w:tr>
      <w:tr w14:paraId="2EC00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6924EB6">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15</w:t>
            </w:r>
          </w:p>
        </w:tc>
        <w:tc>
          <w:tcPr>
            <w:tcW w:w="2137" w:type="dxa"/>
            <w:tcBorders>
              <w:top w:val="single" w:color="auto" w:sz="4" w:space="0"/>
              <w:left w:val="single" w:color="auto" w:sz="4" w:space="0"/>
              <w:bottom w:val="single" w:color="auto" w:sz="4" w:space="0"/>
              <w:right w:val="single" w:color="auto" w:sz="4" w:space="0"/>
            </w:tcBorders>
            <w:noWrap/>
            <w:vAlign w:val="center"/>
          </w:tcPr>
          <w:p w14:paraId="59E43E00">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质量标准</w:t>
            </w:r>
          </w:p>
        </w:tc>
        <w:tc>
          <w:tcPr>
            <w:tcW w:w="7116" w:type="dxa"/>
            <w:tcBorders>
              <w:top w:val="single" w:color="auto" w:sz="4" w:space="0"/>
              <w:left w:val="single" w:color="auto" w:sz="4" w:space="0"/>
              <w:bottom w:val="single" w:color="auto" w:sz="4" w:space="0"/>
              <w:right w:val="single" w:color="auto" w:sz="4" w:space="0"/>
            </w:tcBorders>
            <w:noWrap/>
            <w:vAlign w:val="center"/>
          </w:tcPr>
          <w:p w14:paraId="732616C4">
            <w:pPr>
              <w:pStyle w:val="32"/>
              <w:ind w:firstLine="240" w:firstLineChars="100"/>
              <w:jc w:val="left"/>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设计要求：符合国家或行业颁布的现行有效的有关设计的规范要求，并必须通过有关部门的审查及经有资质的审图机构审查合格。</w:t>
            </w:r>
          </w:p>
          <w:p w14:paraId="1BAC78B4">
            <w:pPr>
              <w:pStyle w:val="32"/>
              <w:ind w:firstLine="240" w:firstLineChars="100"/>
              <w:jc w:val="left"/>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snapToGrid w:val="0"/>
                <w:color w:val="auto"/>
                <w:kern w:val="0"/>
                <w:highlight w:val="none"/>
              </w:rPr>
              <w:t>施工要求：施工质量必须达到合格标准。</w:t>
            </w:r>
          </w:p>
        </w:tc>
      </w:tr>
      <w:tr w14:paraId="6F8078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28"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9546311">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16</w:t>
            </w:r>
          </w:p>
        </w:tc>
        <w:tc>
          <w:tcPr>
            <w:tcW w:w="2137" w:type="dxa"/>
            <w:tcBorders>
              <w:top w:val="single" w:color="auto" w:sz="4" w:space="0"/>
              <w:left w:val="single" w:color="auto" w:sz="4" w:space="0"/>
              <w:bottom w:val="single" w:color="auto" w:sz="4" w:space="0"/>
              <w:right w:val="single" w:color="auto" w:sz="4" w:space="0"/>
            </w:tcBorders>
            <w:noWrap/>
            <w:vAlign w:val="center"/>
          </w:tcPr>
          <w:p w14:paraId="4416C3CB">
            <w:pPr>
              <w:pStyle w:val="32"/>
              <w:spacing w:line="24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rPr>
              <w:t>工程最高投标限价</w:t>
            </w:r>
          </w:p>
        </w:tc>
        <w:tc>
          <w:tcPr>
            <w:tcW w:w="7116" w:type="dxa"/>
            <w:tcBorders>
              <w:top w:val="single" w:color="auto" w:sz="4" w:space="0"/>
              <w:left w:val="single" w:color="auto" w:sz="4" w:space="0"/>
              <w:bottom w:val="single" w:color="auto" w:sz="4" w:space="0"/>
              <w:right w:val="single" w:color="auto" w:sz="4" w:space="0"/>
            </w:tcBorders>
            <w:noWrap/>
            <w:vAlign w:val="center"/>
          </w:tcPr>
          <w:p w14:paraId="161623CC">
            <w:pPr>
              <w:pStyle w:val="32"/>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heme="minorEastAsia" w:hAnsiTheme="minorEastAsia" w:eastAsiaTheme="minorEastAsia" w:cstheme="minorEastAsia"/>
                <w:snapToGrid w:val="0"/>
                <w:color w:val="auto"/>
                <w:kern w:val="0"/>
                <w:szCs w:val="24"/>
                <w:highlight w:val="none"/>
                <w:lang w:val="en-US"/>
              </w:rPr>
            </w:pPr>
            <w:r>
              <w:rPr>
                <w:rFonts w:hint="eastAsia" w:asciiTheme="minorEastAsia" w:hAnsiTheme="minorEastAsia" w:eastAsiaTheme="minorEastAsia" w:cstheme="minorEastAsia"/>
                <w:color w:val="auto"/>
                <w:szCs w:val="24"/>
                <w:highlight w:val="none"/>
                <w:lang w:eastAsia="zh-CN"/>
              </w:rPr>
              <w:t>本项目最高投标限价为人民币（大写）：</w:t>
            </w:r>
            <w:r>
              <w:rPr>
                <w:rFonts w:hint="eastAsia" w:asciiTheme="minorEastAsia" w:hAnsiTheme="minorEastAsia" w:eastAsiaTheme="minorEastAsia" w:cstheme="minorEastAsia"/>
                <w:color w:val="auto"/>
                <w:szCs w:val="24"/>
                <w:highlight w:val="none"/>
                <w:u w:val="single"/>
                <w:lang w:val="en-US" w:eastAsia="zh-CN"/>
              </w:rPr>
              <w:t>壹仟伍佰贰拾伍万元整（¥15250000.00元），</w:t>
            </w:r>
            <w:r>
              <w:rPr>
                <w:rFonts w:hint="eastAsia" w:asciiTheme="minorEastAsia" w:hAnsiTheme="minorEastAsia" w:eastAsiaTheme="minorEastAsia" w:cstheme="minorEastAsia"/>
                <w:color w:val="auto"/>
                <w:szCs w:val="24"/>
                <w:highlight w:val="none"/>
                <w:lang w:val="en-US" w:eastAsia="zh-CN"/>
              </w:rPr>
              <w:t>（其中：</w:t>
            </w:r>
            <w:r>
              <w:rPr>
                <w:rFonts w:hint="eastAsia" w:asciiTheme="minorEastAsia" w:hAnsiTheme="minorEastAsia" w:eastAsiaTheme="minorEastAsia" w:cstheme="minorEastAsia"/>
                <w:color w:val="auto"/>
                <w:szCs w:val="24"/>
                <w:highlight w:val="none"/>
                <w:lang w:eastAsia="zh-CN"/>
              </w:rPr>
              <w:t>设计费</w:t>
            </w:r>
            <w:r>
              <w:rPr>
                <w:rFonts w:hint="eastAsia" w:asciiTheme="minorEastAsia" w:hAnsiTheme="minorEastAsia" w:eastAsiaTheme="minorEastAsia" w:cstheme="minorEastAsia"/>
                <w:color w:val="auto"/>
                <w:szCs w:val="24"/>
                <w:highlight w:val="none"/>
                <w:u w:val="single"/>
                <w:lang w:eastAsia="zh-CN"/>
              </w:rPr>
              <w:t>¥</w:t>
            </w:r>
            <w:r>
              <w:rPr>
                <w:rFonts w:hint="eastAsia" w:asciiTheme="minorEastAsia" w:hAnsiTheme="minorEastAsia" w:eastAsiaTheme="minorEastAsia" w:cstheme="minorEastAsia"/>
                <w:color w:val="auto"/>
                <w:szCs w:val="24"/>
                <w:highlight w:val="none"/>
                <w:u w:val="single"/>
                <w:lang w:val="en-US" w:eastAsia="zh-CN"/>
              </w:rPr>
              <w:t>25</w:t>
            </w:r>
            <w:r>
              <w:rPr>
                <w:rFonts w:hint="eastAsia" w:asciiTheme="minorEastAsia" w:hAnsiTheme="minorEastAsia" w:eastAsiaTheme="minorEastAsia" w:cstheme="minorEastAsia"/>
                <w:color w:val="auto"/>
                <w:szCs w:val="24"/>
                <w:highlight w:val="none"/>
                <w:u w:val="single"/>
                <w:lang w:eastAsia="zh-CN"/>
              </w:rPr>
              <w:t>0000</w:t>
            </w:r>
            <w:r>
              <w:rPr>
                <w:rFonts w:hint="eastAsia" w:asciiTheme="minorEastAsia" w:hAnsiTheme="minorEastAsia" w:eastAsiaTheme="minorEastAsia" w:cstheme="minorEastAsia"/>
                <w:color w:val="auto"/>
                <w:szCs w:val="24"/>
                <w:highlight w:val="none"/>
                <w:u w:val="single"/>
                <w:lang w:val="en-US" w:eastAsia="zh-CN"/>
              </w:rPr>
              <w:t>.00</w:t>
            </w:r>
            <w:r>
              <w:rPr>
                <w:rFonts w:hint="eastAsia" w:asciiTheme="minorEastAsia" w:hAnsiTheme="minorEastAsia" w:eastAsiaTheme="minorEastAsia" w:cstheme="minorEastAsia"/>
                <w:color w:val="auto"/>
                <w:szCs w:val="24"/>
                <w:highlight w:val="none"/>
                <w:u w:val="single"/>
                <w:lang w:eastAsia="zh-CN"/>
              </w:rPr>
              <w:t>元</w:t>
            </w:r>
            <w:r>
              <w:rPr>
                <w:rFonts w:hint="eastAsia" w:asciiTheme="minorEastAsia" w:hAnsiTheme="minorEastAsia" w:eastAsiaTheme="minorEastAsia" w:cstheme="minorEastAsia"/>
                <w:color w:val="auto"/>
                <w:szCs w:val="24"/>
                <w:highlight w:val="none"/>
                <w:lang w:eastAsia="zh-CN"/>
              </w:rPr>
              <w:t>、施工工程费</w:t>
            </w:r>
            <w:r>
              <w:rPr>
                <w:rFonts w:hint="eastAsia" w:asciiTheme="minorEastAsia" w:hAnsiTheme="minorEastAsia" w:eastAsiaTheme="minorEastAsia" w:cstheme="minorEastAsia"/>
                <w:color w:val="auto"/>
                <w:szCs w:val="24"/>
                <w:highlight w:val="none"/>
                <w:u w:val="single"/>
                <w:lang w:eastAsia="zh-CN"/>
              </w:rPr>
              <w:t>¥</w:t>
            </w:r>
            <w:r>
              <w:rPr>
                <w:rFonts w:hint="eastAsia" w:asciiTheme="minorEastAsia" w:hAnsiTheme="minorEastAsia" w:eastAsiaTheme="minorEastAsia" w:cstheme="minorEastAsia"/>
                <w:color w:val="auto"/>
                <w:szCs w:val="24"/>
                <w:highlight w:val="none"/>
                <w:u w:val="single"/>
                <w:lang w:val="en-US" w:eastAsia="zh-CN"/>
              </w:rPr>
              <w:t>1500</w:t>
            </w:r>
            <w:r>
              <w:rPr>
                <w:rFonts w:hint="eastAsia" w:asciiTheme="minorEastAsia" w:hAnsiTheme="minorEastAsia" w:eastAsiaTheme="minorEastAsia" w:cstheme="minorEastAsia"/>
                <w:color w:val="auto"/>
                <w:szCs w:val="24"/>
                <w:highlight w:val="none"/>
                <w:u w:val="single"/>
                <w:lang w:eastAsia="zh-CN"/>
              </w:rPr>
              <w:t>0000</w:t>
            </w:r>
            <w:r>
              <w:rPr>
                <w:rFonts w:hint="eastAsia" w:asciiTheme="minorEastAsia" w:hAnsiTheme="minorEastAsia" w:eastAsiaTheme="minorEastAsia" w:cstheme="minorEastAsia"/>
                <w:color w:val="auto"/>
                <w:szCs w:val="24"/>
                <w:highlight w:val="none"/>
                <w:u w:val="single"/>
                <w:lang w:val="en-US" w:eastAsia="zh-CN"/>
              </w:rPr>
              <w:t>.00</w:t>
            </w:r>
            <w:r>
              <w:rPr>
                <w:rFonts w:hint="eastAsia" w:asciiTheme="minorEastAsia" w:hAnsiTheme="minorEastAsia" w:eastAsiaTheme="minorEastAsia" w:cstheme="minorEastAsia"/>
                <w:color w:val="auto"/>
                <w:szCs w:val="24"/>
                <w:highlight w:val="none"/>
                <w:u w:val="single"/>
                <w:lang w:eastAsia="zh-CN"/>
              </w:rPr>
              <w:t>元</w:t>
            </w:r>
            <w:r>
              <w:rPr>
                <w:rFonts w:hint="eastAsia" w:asciiTheme="minorEastAsia" w:hAnsiTheme="minorEastAsia" w:eastAsiaTheme="minorEastAsia" w:cstheme="minorEastAsia"/>
                <w:color w:val="auto"/>
                <w:szCs w:val="24"/>
                <w:highlight w:val="none"/>
                <w:lang w:eastAsia="zh-CN"/>
              </w:rPr>
              <w:t>）。</w:t>
            </w:r>
          </w:p>
        </w:tc>
      </w:tr>
      <w:tr w14:paraId="1717B1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FED63AE">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17</w:t>
            </w:r>
          </w:p>
        </w:tc>
        <w:tc>
          <w:tcPr>
            <w:tcW w:w="2137" w:type="dxa"/>
            <w:tcBorders>
              <w:top w:val="single" w:color="auto" w:sz="4" w:space="0"/>
              <w:left w:val="single" w:color="auto" w:sz="4" w:space="0"/>
              <w:bottom w:val="single" w:color="auto" w:sz="4" w:space="0"/>
              <w:right w:val="single" w:color="auto" w:sz="4" w:space="0"/>
            </w:tcBorders>
            <w:noWrap/>
            <w:vAlign w:val="center"/>
          </w:tcPr>
          <w:p w14:paraId="467DDB58">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投标人资格要求</w:t>
            </w:r>
          </w:p>
        </w:tc>
        <w:tc>
          <w:tcPr>
            <w:tcW w:w="7116" w:type="dxa"/>
            <w:tcBorders>
              <w:top w:val="single" w:color="auto" w:sz="4" w:space="0"/>
              <w:left w:val="single" w:color="auto" w:sz="4" w:space="0"/>
              <w:bottom w:val="single" w:color="auto" w:sz="4" w:space="0"/>
              <w:right w:val="single" w:color="auto" w:sz="4" w:space="0"/>
            </w:tcBorders>
            <w:noWrap/>
            <w:vAlign w:val="center"/>
          </w:tcPr>
          <w:p w14:paraId="6C845B6E">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1．本次招标</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接受</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联合体投标，联合体以一个投标人的身份共同投标。</w:t>
            </w:r>
          </w:p>
          <w:p w14:paraId="55DCF8AF">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1.1．联合体成员数量不超过</w:t>
            </w:r>
            <w:r>
              <w:rPr>
                <w:rFonts w:hint="eastAsia" w:asciiTheme="minorEastAsia" w:hAnsiTheme="minorEastAsia" w:eastAsiaTheme="minorEastAsia" w:cstheme="minorEastAsia"/>
                <w:color w:val="auto"/>
                <w:sz w:val="24"/>
                <w:highlight w:val="none"/>
                <w:u w:val="single"/>
              </w:rPr>
              <w:t>2</w:t>
            </w:r>
            <w:r>
              <w:rPr>
                <w:rFonts w:hint="eastAsia" w:asciiTheme="minorEastAsia" w:hAnsiTheme="minorEastAsia" w:eastAsiaTheme="minorEastAsia" w:cstheme="minorEastAsia"/>
                <w:color w:val="auto"/>
                <w:sz w:val="24"/>
                <w:highlight w:val="none"/>
              </w:rPr>
              <w:t>个。</w:t>
            </w:r>
          </w:p>
          <w:p w14:paraId="3F12D550">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1.2．联合体各方应按招标文件提供的格式签订联合体协议书，明确联合体牵头人和各方权利义务，并承诺就中标项目向招标人承担连带责任。《联合体协议书》作为投标文件的组成部分向招标人提交。</w:t>
            </w:r>
          </w:p>
          <w:p w14:paraId="2117C2B6">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联合体成员单位均应具备拟承担的工作内容（以《联合体协议书》的约定为准）所规定的资格条件。若同一工作内容由两个或两个以上单位共同承担，该项工作内容按照资质等级较低的单位确定联合体资质等级。</w:t>
            </w:r>
          </w:p>
          <w:p w14:paraId="1895D051">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1.4．联合体各方不得再以自己名义单独或参加其他联合体在本招标项目中投标，否则各相关投标均无效。</w:t>
            </w:r>
          </w:p>
          <w:p w14:paraId="6218B647">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2.资质要求</w:t>
            </w:r>
          </w:p>
          <w:p w14:paraId="31CB9B85">
            <w:pPr>
              <w:pStyle w:val="35"/>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2.1．投标人须具备独立法人</w:t>
            </w:r>
            <w:r>
              <w:rPr>
                <w:rFonts w:hint="eastAsia" w:asciiTheme="minorEastAsia" w:hAnsiTheme="minorEastAsia" w:eastAsiaTheme="minorEastAsia" w:cstheme="minorEastAsia"/>
                <w:color w:val="auto"/>
                <w:sz w:val="24"/>
                <w:highlight w:val="none"/>
                <w:lang w:val="en-US" w:eastAsia="zh-CN"/>
              </w:rPr>
              <w:t>或其他组织资格</w:t>
            </w:r>
            <w:r>
              <w:rPr>
                <w:rFonts w:hint="eastAsia" w:asciiTheme="minorEastAsia" w:hAnsiTheme="minorEastAsia" w:eastAsiaTheme="minorEastAsia" w:cstheme="minorEastAsia"/>
                <w:color w:val="auto"/>
                <w:sz w:val="24"/>
                <w:highlight w:val="none"/>
              </w:rPr>
              <w:t>，按国家法律经营。</w:t>
            </w:r>
          </w:p>
          <w:p w14:paraId="22BC2E84">
            <w:pPr>
              <w:pStyle w:val="35"/>
              <w:wordWrap w:val="0"/>
              <w:adjustRightInd w:val="0"/>
              <w:snapToGrid w:val="0"/>
              <w:spacing w:line="360" w:lineRule="auto"/>
              <w:ind w:firstLine="48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2.2分公司投标时，需同时满足以下条件：</w:t>
            </w:r>
          </w:p>
          <w:p w14:paraId="5F1F1599">
            <w:pPr>
              <w:pStyle w:val="35"/>
              <w:numPr>
                <w:ilvl w:val="0"/>
                <w:numId w:val="1"/>
              </w:numPr>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分公司参与投标时，须提供总公司的资质证书和分公司的营业执照，并在总公司的授权范围内进行，需总公司提供授权书（格式自拟）。</w:t>
            </w:r>
          </w:p>
          <w:p w14:paraId="0687F93E">
            <w:pPr>
              <w:pStyle w:val="35"/>
              <w:numPr>
                <w:ilvl w:val="0"/>
                <w:numId w:val="1"/>
              </w:numPr>
              <w:wordWrap w:val="0"/>
              <w:adjustRightInd w:val="0"/>
              <w:snapToGrid w:val="0"/>
              <w:spacing w:line="360" w:lineRule="auto"/>
              <w:ind w:firstLine="48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因分公司不具有法人资格，其民事责任由总公司承担，须总公司出具承诺函（格式自拟）。</w:t>
            </w:r>
          </w:p>
          <w:p w14:paraId="00E73C32">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．投标人须持有行政主管部门颁发的企业资质证书。</w:t>
            </w:r>
          </w:p>
          <w:p w14:paraId="4662AC96">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．参加投标的投标人可以是单一独立法人</w:t>
            </w:r>
            <w:r>
              <w:rPr>
                <w:rFonts w:hint="eastAsia" w:asciiTheme="minorEastAsia" w:hAnsiTheme="minorEastAsia" w:eastAsiaTheme="minorEastAsia" w:cstheme="minorEastAsia"/>
                <w:color w:val="auto"/>
                <w:sz w:val="24"/>
                <w:highlight w:val="none"/>
                <w:lang w:val="en-US" w:eastAsia="zh-CN"/>
              </w:rPr>
              <w:t>或其他组织，</w:t>
            </w:r>
            <w:r>
              <w:rPr>
                <w:rFonts w:hint="eastAsia" w:asciiTheme="minorEastAsia" w:hAnsiTheme="minorEastAsia" w:eastAsiaTheme="minorEastAsia" w:cstheme="minorEastAsia"/>
                <w:color w:val="auto"/>
                <w:sz w:val="24"/>
                <w:highlight w:val="none"/>
              </w:rPr>
              <w:t>或由不超过两家独立法人</w:t>
            </w:r>
            <w:r>
              <w:rPr>
                <w:rFonts w:hint="eastAsia" w:asciiTheme="minorEastAsia" w:hAnsiTheme="minorEastAsia" w:eastAsiaTheme="minorEastAsia" w:cstheme="minorEastAsia"/>
                <w:color w:val="auto"/>
                <w:sz w:val="24"/>
                <w:highlight w:val="none"/>
                <w:lang w:val="en-US" w:eastAsia="zh-CN"/>
              </w:rPr>
              <w:t>或其他组织</w:t>
            </w:r>
            <w:r>
              <w:rPr>
                <w:rFonts w:hint="eastAsia" w:asciiTheme="minorEastAsia" w:hAnsiTheme="minorEastAsia" w:eastAsiaTheme="minorEastAsia" w:cstheme="minorEastAsia"/>
                <w:color w:val="auto"/>
                <w:sz w:val="24"/>
                <w:highlight w:val="none"/>
              </w:rPr>
              <w:t>组成的联合体（必须注明其中一家为牵头人；联合体成员中设计、施工单位分别不得超过一家），联合体各方不得再以自己的名义单独申请，也不得同时参加两个或两个以上的联合体进行本项目的投标。单一独立法人</w:t>
            </w:r>
            <w:r>
              <w:rPr>
                <w:rFonts w:hint="eastAsia" w:asciiTheme="minorEastAsia" w:hAnsiTheme="minorEastAsia" w:eastAsiaTheme="minorEastAsia" w:cstheme="minorEastAsia"/>
                <w:color w:val="auto"/>
                <w:sz w:val="24"/>
                <w:highlight w:val="none"/>
                <w:lang w:val="en-US" w:eastAsia="zh-CN"/>
              </w:rPr>
              <w:t>或其他组织</w:t>
            </w:r>
            <w:r>
              <w:rPr>
                <w:rFonts w:hint="eastAsia" w:asciiTheme="minorEastAsia" w:hAnsiTheme="minorEastAsia" w:eastAsiaTheme="minorEastAsia" w:cstheme="minorEastAsia"/>
                <w:color w:val="auto"/>
                <w:sz w:val="24"/>
                <w:highlight w:val="none"/>
              </w:rPr>
              <w:t>必须至少同时具备以下①～②资质，组成联合体投标的，联合后必须至少具备以下①～②资质，联合体牵头人必须具备①资质，由同一专业的单位组成的联合体，按照资质等级较低的单位确定资质等级：</w:t>
            </w:r>
          </w:p>
          <w:p w14:paraId="14721403">
            <w:pPr>
              <w:keepNext w:val="0"/>
              <w:keepLines w:val="0"/>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zh-CN"/>
              </w:rPr>
              <w:t>①施工资质</w:t>
            </w:r>
            <w:r>
              <w:rPr>
                <w:rFonts w:hint="eastAsia" w:asciiTheme="minorEastAsia" w:hAnsiTheme="minorEastAsia" w:eastAsiaTheme="minorEastAsia" w:cstheme="minorEastAsia"/>
                <w:color w:val="auto"/>
                <w:sz w:val="24"/>
                <w:highlight w:val="none"/>
                <w:lang w:val="en-US" w:eastAsia="zh-CN"/>
              </w:rPr>
              <w:t>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具备建设行政主管部门颁发的电力工程施工总承包叁级或及以上资质，同时</w:t>
            </w:r>
            <w:r>
              <w:rPr>
                <w:rFonts w:hint="eastAsia" w:asciiTheme="minorEastAsia" w:hAnsiTheme="minorEastAsia" w:eastAsiaTheme="minorEastAsia" w:cstheme="minorEastAsia"/>
                <w:color w:val="auto"/>
                <w:sz w:val="24"/>
                <w:highlight w:val="none"/>
                <w:lang w:val="en-US" w:eastAsia="zh-CN"/>
              </w:rPr>
              <w:t>持有国家能源局颁发的《承装(修、试)电力设施许可证》承装、承试五级或以上许可，资质须在有效期内。对应于2025年7月1日起换发的电子证照，应为承装类三级、承试类三级或以上许可资格。 【注:依据国家能源局关于做好承装(修、试)电力设施许可证换领和延续工作的通知(国能发资质(2025)44 号)。如有最新政策文件的，从其规定。】</w:t>
            </w:r>
          </w:p>
          <w:p w14:paraId="0A832A56">
            <w:pPr>
              <w:pStyle w:val="35"/>
              <w:wordWrap w:val="0"/>
              <w:adjustRightInd w:val="0"/>
              <w:snapToGrid w:val="0"/>
              <w:spacing w:line="360" w:lineRule="auto"/>
              <w:ind w:firstLine="480"/>
              <w:jc w:val="left"/>
              <w:rPr>
                <w:rFonts w:hint="eastAsia"/>
                <w:bCs/>
                <w:snapToGrid w:val="0"/>
                <w:color w:val="auto"/>
                <w:kern w:val="0"/>
                <w:sz w:val="24"/>
                <w:highlight w:val="none"/>
                <w:lang w:eastAsia="zh-CN"/>
              </w:rPr>
            </w:pPr>
            <w:r>
              <w:rPr>
                <w:rFonts w:hint="eastAsia" w:asciiTheme="minorEastAsia" w:hAnsiTheme="minorEastAsia" w:eastAsiaTheme="minorEastAsia" w:cstheme="minorEastAsia"/>
                <w:color w:val="auto"/>
                <w:sz w:val="24"/>
                <w:highlight w:val="none"/>
              </w:rPr>
              <w:t>②设计资质要求：</w:t>
            </w:r>
            <w:r>
              <w:rPr>
                <w:rFonts w:hint="eastAsia" w:asciiTheme="minorEastAsia" w:hAnsiTheme="minorEastAsia" w:eastAsiaTheme="minorEastAsia" w:cstheme="minorEastAsia"/>
                <w:color w:val="auto"/>
                <w:sz w:val="24"/>
                <w:highlight w:val="none"/>
                <w:lang w:val="en-US" w:eastAsia="zh-CN"/>
              </w:rPr>
              <w:t>具备</w:t>
            </w:r>
            <w:r>
              <w:rPr>
                <w:rFonts w:hint="eastAsia" w:asciiTheme="minorEastAsia" w:hAnsiTheme="minorEastAsia" w:eastAsiaTheme="minorEastAsia" w:cstheme="minorEastAsia"/>
                <w:color w:val="auto"/>
                <w:sz w:val="24"/>
                <w:highlight w:val="none"/>
              </w:rPr>
              <w:t>工程设计综合资质甲级或</w:t>
            </w:r>
            <w:r>
              <w:rPr>
                <w:rFonts w:hint="eastAsia"/>
                <w:bCs/>
                <w:snapToGrid w:val="0"/>
                <w:color w:val="auto"/>
                <w:kern w:val="0"/>
                <w:sz w:val="24"/>
                <w:highlight w:val="none"/>
              </w:rPr>
              <w:t>新能源设计乙级</w:t>
            </w:r>
            <w:r>
              <w:rPr>
                <w:rFonts w:hint="eastAsia"/>
                <w:bCs/>
                <w:snapToGrid w:val="0"/>
                <w:color w:val="auto"/>
                <w:kern w:val="0"/>
                <w:sz w:val="24"/>
                <w:highlight w:val="none"/>
                <w:lang w:val="en-US" w:eastAsia="zh-CN"/>
              </w:rPr>
              <w:t>（含乙级）</w:t>
            </w:r>
            <w:r>
              <w:rPr>
                <w:rFonts w:hint="eastAsia"/>
                <w:bCs/>
                <w:snapToGrid w:val="0"/>
                <w:color w:val="auto"/>
                <w:kern w:val="0"/>
                <w:sz w:val="24"/>
                <w:highlight w:val="none"/>
              </w:rPr>
              <w:t>资质</w:t>
            </w:r>
            <w:r>
              <w:rPr>
                <w:rFonts w:hint="eastAsia"/>
                <w:bCs/>
                <w:snapToGrid w:val="0"/>
                <w:color w:val="auto"/>
                <w:kern w:val="0"/>
                <w:sz w:val="24"/>
                <w:highlight w:val="none"/>
                <w:lang w:val="en-US" w:eastAsia="zh-CN"/>
              </w:rPr>
              <w:t>及以上</w:t>
            </w:r>
            <w:r>
              <w:rPr>
                <w:rFonts w:hint="eastAsia"/>
                <w:bCs/>
                <w:snapToGrid w:val="0"/>
                <w:color w:val="auto"/>
                <w:kern w:val="0"/>
                <w:sz w:val="24"/>
                <w:highlight w:val="none"/>
                <w:lang w:eastAsia="zh-CN"/>
              </w:rPr>
              <w:t>。</w:t>
            </w:r>
          </w:p>
          <w:p w14:paraId="75B31FCE">
            <w:pPr>
              <w:pStyle w:val="35"/>
              <w:wordWrap w:val="0"/>
              <w:adjustRightInd w:val="0"/>
              <w:snapToGrid w:val="0"/>
              <w:spacing w:line="360" w:lineRule="auto"/>
              <w:ind w:firstLine="48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EC95783">
            <w:pPr>
              <w:pStyle w:val="35"/>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3．相关人员要求</w:t>
            </w:r>
          </w:p>
          <w:p w14:paraId="0F1E1AE1">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3.1</w:t>
            </w:r>
            <w:r>
              <w:rPr>
                <w:rFonts w:hint="eastAsia" w:asciiTheme="minorEastAsia" w:hAnsiTheme="minorEastAsia" w:eastAsiaTheme="minorEastAsia" w:cstheme="minorEastAsia"/>
                <w:color w:val="auto"/>
                <w:sz w:val="24"/>
                <w:highlight w:val="none"/>
                <w:lang w:eastAsia="zh-CN"/>
              </w:rPr>
              <w:t>拟派项目经理为</w:t>
            </w:r>
            <w:r>
              <w:rPr>
                <w:rFonts w:hint="eastAsia" w:asciiTheme="minorEastAsia" w:hAnsiTheme="minorEastAsia" w:eastAsiaTheme="minorEastAsia" w:cstheme="minorEastAsia"/>
                <w:color w:val="auto"/>
                <w:sz w:val="24"/>
                <w:highlight w:val="none"/>
                <w:u w:val="single"/>
                <w:lang w:eastAsia="zh-CN"/>
              </w:rPr>
              <w:t>机电工程专业</w:t>
            </w:r>
            <w:r>
              <w:rPr>
                <w:rFonts w:hint="eastAsia" w:asciiTheme="minorEastAsia" w:hAnsiTheme="minorEastAsia" w:eastAsiaTheme="minorEastAsia" w:cstheme="minorEastAsia"/>
                <w:color w:val="auto"/>
                <w:sz w:val="24"/>
                <w:highlight w:val="none"/>
                <w:lang w:eastAsia="zh-CN"/>
              </w:rPr>
              <w:t>一级或二级注册建造师，其中一级注册建造师应持有国家住建部印发的有效注册证书，二级注册建造师应持有广东省住建厅核准的有效电子注册证书(在“广东省二级注册建造师、二级注册结构工程师、二级注册建筑师注册管理信息系统”中打印)。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r>
              <w:rPr>
                <w:rFonts w:hint="eastAsia" w:asciiTheme="minorEastAsia" w:hAnsiTheme="minorEastAsia" w:eastAsiaTheme="minorEastAsia" w:cstheme="minorEastAsia"/>
                <w:color w:val="auto"/>
                <w:sz w:val="24"/>
                <w:highlight w:val="none"/>
                <w:lang w:val="en-US" w:eastAsia="zh-CN"/>
              </w:rPr>
              <w:t>若为联合体投标则联合成员任意一方提供即可</w:t>
            </w:r>
            <w:r>
              <w:rPr>
                <w:rFonts w:hint="eastAsia" w:asciiTheme="minorEastAsia" w:hAnsiTheme="minorEastAsia" w:eastAsiaTheme="minorEastAsia" w:cstheme="minorEastAsia"/>
                <w:color w:val="auto"/>
                <w:sz w:val="24"/>
                <w:highlight w:val="none"/>
                <w:lang w:eastAsia="zh-CN"/>
              </w:rPr>
              <w:t>）。</w:t>
            </w:r>
          </w:p>
          <w:p w14:paraId="5A485CE9">
            <w:pPr>
              <w:pStyle w:val="7"/>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3.2．投标人拟派项目技术负责人须具备</w:t>
            </w:r>
            <w:r>
              <w:rPr>
                <w:rFonts w:hint="eastAsia" w:asciiTheme="minorEastAsia" w:hAnsiTheme="minorEastAsia" w:eastAsiaTheme="minorEastAsia" w:cstheme="minorEastAsia"/>
                <w:color w:val="auto"/>
                <w:sz w:val="24"/>
                <w:highlight w:val="none"/>
                <w:u w:val="single"/>
              </w:rPr>
              <w:t>机电类或电力类或电气类</w:t>
            </w:r>
            <w:r>
              <w:rPr>
                <w:rFonts w:hint="eastAsia" w:asciiTheme="minorEastAsia" w:hAnsiTheme="minorEastAsia" w:eastAsiaTheme="minorEastAsia" w:cstheme="minorEastAsia"/>
                <w:color w:val="auto"/>
                <w:sz w:val="24"/>
                <w:highlight w:val="none"/>
              </w:rPr>
              <w:t>相关专业</w:t>
            </w:r>
            <w:r>
              <w:rPr>
                <w:rFonts w:hint="eastAsia" w:asciiTheme="minorEastAsia" w:hAnsiTheme="minorEastAsia" w:eastAsiaTheme="minorEastAsia" w:cstheme="minorEastAsia"/>
                <w:color w:val="auto"/>
                <w:sz w:val="24"/>
                <w:highlight w:val="none"/>
                <w:u w:val="single"/>
              </w:rPr>
              <w:t>中级</w:t>
            </w:r>
            <w:r>
              <w:rPr>
                <w:rFonts w:hint="eastAsia" w:asciiTheme="minorEastAsia" w:hAnsiTheme="minorEastAsia" w:eastAsiaTheme="minorEastAsia" w:cstheme="minorEastAsia"/>
                <w:color w:val="auto"/>
                <w:sz w:val="24"/>
                <w:highlight w:val="none"/>
              </w:rPr>
              <w:t>以上(含中级)技术职称。</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若为联合体投标则联合成员任意一方提供即可</w:t>
            </w:r>
            <w:r>
              <w:rPr>
                <w:rFonts w:hint="eastAsia" w:asciiTheme="minorEastAsia" w:hAnsiTheme="minorEastAsia" w:eastAsiaTheme="minorEastAsia" w:cstheme="minorEastAsia"/>
                <w:color w:val="auto"/>
                <w:sz w:val="24"/>
                <w:highlight w:val="none"/>
                <w:lang w:eastAsia="zh-CN"/>
              </w:rPr>
              <w:t>）</w:t>
            </w:r>
          </w:p>
          <w:p w14:paraId="2920FE41">
            <w:pPr>
              <w:pStyle w:val="35"/>
              <w:wordWrap w:val="0"/>
              <w:adjustRightInd w:val="0"/>
              <w:snapToGrid w:val="0"/>
              <w:spacing w:line="360" w:lineRule="auto"/>
              <w:ind w:firstLine="48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3.3.投标人拟派项目设计负责人具有</w:t>
            </w:r>
            <w:r>
              <w:rPr>
                <w:rFonts w:hint="eastAsia" w:asciiTheme="minorEastAsia" w:hAnsiTheme="minorEastAsia" w:eastAsiaTheme="minorEastAsia" w:cstheme="minorEastAsia"/>
                <w:color w:val="auto"/>
                <w:sz w:val="24"/>
                <w:highlight w:val="none"/>
                <w:u w:val="single"/>
                <w:lang w:val="en-US" w:eastAsia="zh-CN"/>
              </w:rPr>
              <w:t>电力工程</w:t>
            </w:r>
            <w:r>
              <w:rPr>
                <w:rFonts w:hint="eastAsia" w:asciiTheme="minorEastAsia" w:hAnsiTheme="minorEastAsia" w:eastAsiaTheme="minorEastAsia" w:cstheme="minorEastAsia"/>
                <w:color w:val="auto"/>
                <w:sz w:val="24"/>
                <w:highlight w:val="none"/>
                <w:lang w:val="en-US" w:eastAsia="zh-CN"/>
              </w:rPr>
              <w:t>专业中级以上（含中级）技术职称。</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若为联合体投标则联合成员任意一方提供即可</w:t>
            </w:r>
            <w:r>
              <w:rPr>
                <w:rFonts w:hint="eastAsia" w:asciiTheme="minorEastAsia" w:hAnsiTheme="minorEastAsia" w:eastAsiaTheme="minorEastAsia" w:cstheme="minorEastAsia"/>
                <w:color w:val="auto"/>
                <w:sz w:val="24"/>
                <w:highlight w:val="none"/>
                <w:lang w:eastAsia="zh-CN"/>
              </w:rPr>
              <w:t>）。</w:t>
            </w:r>
          </w:p>
          <w:p w14:paraId="4ABE40C8">
            <w:pPr>
              <w:pStyle w:val="35"/>
              <w:wordWrap w:val="0"/>
              <w:adjustRightInd w:val="0"/>
              <w:snapToGrid w:val="0"/>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3.</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．拟派专职安全生产管理人员须具备有效安全生产考核合格证明（C证，安全生产考核合格证书或广东省建筑施工企业管理人员安全生产考核系统考核合格信息打印页），且不少于1人。</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若为联合体投标则联合成员任意一方提供即可</w:t>
            </w:r>
            <w:r>
              <w:rPr>
                <w:rFonts w:hint="eastAsia" w:asciiTheme="minorEastAsia" w:hAnsiTheme="minorEastAsia" w:eastAsiaTheme="minorEastAsia" w:cstheme="minorEastAsia"/>
                <w:color w:val="auto"/>
                <w:sz w:val="24"/>
                <w:highlight w:val="none"/>
                <w:lang w:eastAsia="zh-CN"/>
              </w:rPr>
              <w:t>）。</w:t>
            </w:r>
          </w:p>
          <w:p w14:paraId="012ADBCD">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3.5．投标人（包括组成联合体的所有成员单位）与其拟派往本项目管理机构的所有人员之间必须具备合法、唯一的劳动聘用关系。拟派人员中具备注册执业资格的，其注册单位须与投标人保持一致。</w:t>
            </w:r>
          </w:p>
          <w:p w14:paraId="7CC9CC27">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4．禁止投标条款：</w:t>
            </w:r>
          </w:p>
          <w:p w14:paraId="6C917921">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4.1．投标人不得存在下列情形之一：</w:t>
            </w:r>
          </w:p>
          <w:p w14:paraId="20B2CB13">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（1）为招标人不具有独立法人资格</w:t>
            </w:r>
            <w:r>
              <w:rPr>
                <w:rFonts w:hint="eastAsia" w:asciiTheme="minorEastAsia" w:hAnsiTheme="minorEastAsia" w:eastAsiaTheme="minorEastAsia" w:cstheme="minorEastAsia"/>
                <w:color w:val="auto"/>
                <w:szCs w:val="24"/>
                <w:highlight w:val="none"/>
                <w:lang w:val="en-US" w:eastAsia="zh-CN"/>
              </w:rPr>
              <w:t>或其他组织</w:t>
            </w:r>
            <w:r>
              <w:rPr>
                <w:rFonts w:hint="eastAsia" w:asciiTheme="minorEastAsia" w:hAnsiTheme="minorEastAsia" w:eastAsiaTheme="minorEastAsia" w:cstheme="minorEastAsia"/>
                <w:color w:val="auto"/>
                <w:szCs w:val="24"/>
                <w:highlight w:val="none"/>
              </w:rPr>
              <w:t>的附属机构（单位）；</w:t>
            </w:r>
          </w:p>
          <w:p w14:paraId="0CF5582B">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（2）为本招标项目前期准备提供咨询服务的；</w:t>
            </w:r>
          </w:p>
          <w:p w14:paraId="62BFC371">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（3）与本招标项目的其他投标人为同一个单位负责人；</w:t>
            </w:r>
          </w:p>
          <w:p w14:paraId="657E58E6">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（4）与本招标项目的其他投标人存在控股、管理关系；</w:t>
            </w:r>
          </w:p>
          <w:p w14:paraId="47EA81A2">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（5）为本招标项目的监理人；</w:t>
            </w:r>
          </w:p>
          <w:p w14:paraId="003C5657">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（6）为本招标项目的代建人；</w:t>
            </w:r>
          </w:p>
          <w:p w14:paraId="5F83D6E8">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（7）为本招标项目的招标代理机构；</w:t>
            </w:r>
          </w:p>
          <w:p w14:paraId="6B264D6E">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（8）与本招标项目的监理人或代建人或招标代理机构同为一个法定代表人；</w:t>
            </w:r>
          </w:p>
          <w:p w14:paraId="413BC969">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（9）与本招标项目的监理人或代建人或招标代理机构存在控股或参股关系；</w:t>
            </w:r>
          </w:p>
          <w:p w14:paraId="60D3AFEC">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（10）与本招标项目的监理人或代建人或招标代理机构存在相互任职或工作关系；</w:t>
            </w:r>
          </w:p>
          <w:p w14:paraId="28E83D12">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（11）被依法暂停或者取消投标资格；</w:t>
            </w:r>
          </w:p>
          <w:p w14:paraId="675F59D1">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（12）被责令停产停业、暂扣或者吊销许可证、暂扣或者吊销执照；</w:t>
            </w:r>
          </w:p>
          <w:p w14:paraId="34E70A94">
            <w:pPr>
              <w:wordWrap w:val="0"/>
              <w:adjustRightInd w:val="0"/>
              <w:snapToGrid w:val="0"/>
              <w:spacing w:line="360" w:lineRule="auto"/>
              <w:ind w:left="240" w:left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（13）进入清算程序，或被宣告破产，或其他丧失履约能力的情形；</w:t>
            </w:r>
          </w:p>
          <w:p w14:paraId="7DADBB94">
            <w:pPr>
              <w:wordWrap w:val="0"/>
              <w:adjustRightInd w:val="0"/>
              <w:snapToGrid w:val="0"/>
              <w:spacing w:line="360" w:lineRule="auto"/>
              <w:ind w:left="240" w:left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（14）在最近三年内发生重大工程质量或安全问题（以相关行业主管部门的行政处罚决定或司法机关出具的有关法律文书为准）；</w:t>
            </w:r>
          </w:p>
          <w:p w14:paraId="33833991">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（15）被“信用中国”网站（https://www.creditchina.gov.cn）发布的《法人和非法人组织公共信用信息报告》列入严重失信主体名单的。</w:t>
            </w:r>
          </w:p>
          <w:p w14:paraId="5A0A5962">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4.2．招标人拒绝以下名单中的单位参加本次投标：</w:t>
            </w:r>
          </w:p>
          <w:tbl>
            <w:tblPr>
              <w:tblStyle w:val="27"/>
              <w:tblW w:w="6915"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225"/>
              <w:gridCol w:w="3045"/>
            </w:tblGrid>
            <w:tr w14:paraId="76B9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5" w:type="dxa"/>
                  <w:noWrap/>
                  <w:vAlign w:val="center"/>
                </w:tcPr>
                <w:p w14:paraId="68F76F1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序号</w:t>
                  </w:r>
                </w:p>
              </w:tc>
              <w:tc>
                <w:tcPr>
                  <w:tcW w:w="3225" w:type="dxa"/>
                  <w:noWrap/>
                  <w:vAlign w:val="center"/>
                </w:tcPr>
                <w:p w14:paraId="7F0425E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单位名称</w:t>
                  </w:r>
                </w:p>
              </w:tc>
              <w:tc>
                <w:tcPr>
                  <w:tcW w:w="3045" w:type="dxa"/>
                  <w:noWrap/>
                  <w:vAlign w:val="center"/>
                </w:tcPr>
                <w:p w14:paraId="56DDDB0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拒绝原因</w:t>
                  </w:r>
                </w:p>
              </w:tc>
            </w:tr>
            <w:tr w14:paraId="24A0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5" w:type="dxa"/>
                  <w:noWrap/>
                  <w:vAlign w:val="center"/>
                </w:tcPr>
                <w:p w14:paraId="5E80B08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3225" w:type="dxa"/>
                  <w:noWrap/>
                  <w:vAlign w:val="center"/>
                </w:tcPr>
                <w:p w14:paraId="64A235D7">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广东兴展土地整理开发有限公司</w:t>
                  </w:r>
                </w:p>
              </w:tc>
              <w:tc>
                <w:tcPr>
                  <w:tcW w:w="3045" w:type="dxa"/>
                  <w:noWrap/>
                  <w:vAlign w:val="center"/>
                </w:tcPr>
                <w:p w14:paraId="526571A2">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为本招标项目的招标人</w:t>
                  </w:r>
                </w:p>
              </w:tc>
            </w:tr>
            <w:tr w14:paraId="7305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5" w:type="dxa"/>
                  <w:noWrap/>
                  <w:vAlign w:val="center"/>
                </w:tcPr>
                <w:p w14:paraId="182AFC3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3225" w:type="dxa"/>
                  <w:noWrap/>
                  <w:vAlign w:val="center"/>
                </w:tcPr>
                <w:p w14:paraId="38278CD6">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广东兴展土地整理开发有限公司</w:t>
                  </w:r>
                </w:p>
              </w:tc>
              <w:tc>
                <w:tcPr>
                  <w:tcW w:w="3045" w:type="dxa"/>
                  <w:noWrap/>
                  <w:vAlign w:val="center"/>
                </w:tcPr>
                <w:p w14:paraId="504EBB32">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为本招标项目的业主单位</w:t>
                  </w:r>
                </w:p>
              </w:tc>
            </w:tr>
            <w:tr w14:paraId="59F5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5" w:type="dxa"/>
                  <w:noWrap/>
                  <w:vAlign w:val="center"/>
                </w:tcPr>
                <w:p w14:paraId="0976F92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3225" w:type="dxa"/>
                  <w:noWrap/>
                  <w:vAlign w:val="center"/>
                </w:tcPr>
                <w:p w14:paraId="37CE801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广东省国际工程咨询有限公司</w:t>
                  </w:r>
                </w:p>
              </w:tc>
              <w:tc>
                <w:tcPr>
                  <w:tcW w:w="3045" w:type="dxa"/>
                  <w:noWrap/>
                  <w:vAlign w:val="center"/>
                </w:tcPr>
                <w:p w14:paraId="579ADD38">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为本招标项目的工程咨询单位</w:t>
                  </w:r>
                </w:p>
              </w:tc>
            </w:tr>
            <w:tr w14:paraId="4D90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5" w:type="dxa"/>
                  <w:noWrap/>
                  <w:vAlign w:val="center"/>
                </w:tcPr>
                <w:p w14:paraId="474F2F7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3225" w:type="dxa"/>
                  <w:noWrap/>
                  <w:vAlign w:val="center"/>
                </w:tcPr>
                <w:p w14:paraId="71F56D4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广东伟达工程咨询顾问有限公司</w:t>
                  </w:r>
                </w:p>
              </w:tc>
              <w:tc>
                <w:tcPr>
                  <w:tcW w:w="3045" w:type="dxa"/>
                  <w:noWrap/>
                  <w:vAlign w:val="center"/>
                </w:tcPr>
                <w:p w14:paraId="6B8BFB71">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为本招标项目的招标代理机构</w:t>
                  </w:r>
                </w:p>
              </w:tc>
            </w:tr>
          </w:tbl>
          <w:p w14:paraId="338E6B2F">
            <w:pPr>
              <w:pStyle w:val="36"/>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5.省外企业（包括组成联合体的所有成员单位）须按照《广东省住房和城乡建设厅关于取消省外建筑企业和人员进粤信息备案有关工作的通知》（粤建市﹝2015﹞52号）规定在“进粤企业和人员诚信信息登记平台”录入相关信息并通过数据规范检查。</w:t>
            </w:r>
          </w:p>
        </w:tc>
      </w:tr>
      <w:tr w14:paraId="31AA4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8598DD3">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18</w:t>
            </w:r>
          </w:p>
        </w:tc>
        <w:tc>
          <w:tcPr>
            <w:tcW w:w="2137" w:type="dxa"/>
            <w:tcBorders>
              <w:top w:val="single" w:color="auto" w:sz="4" w:space="0"/>
              <w:left w:val="single" w:color="auto" w:sz="4" w:space="0"/>
              <w:bottom w:val="single" w:color="auto" w:sz="4" w:space="0"/>
              <w:right w:val="single" w:color="auto" w:sz="4" w:space="0"/>
            </w:tcBorders>
            <w:noWrap/>
            <w:vAlign w:val="center"/>
          </w:tcPr>
          <w:p w14:paraId="0CADB08D">
            <w:pPr>
              <w:snapToGrid w:val="0"/>
              <w:spacing w:beforeLines="50"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rPr>
              <w:t>投标保证</w:t>
            </w:r>
          </w:p>
        </w:tc>
        <w:tc>
          <w:tcPr>
            <w:tcW w:w="7116" w:type="dxa"/>
            <w:tcBorders>
              <w:top w:val="single" w:color="auto" w:sz="4" w:space="0"/>
              <w:left w:val="single" w:color="auto" w:sz="4" w:space="0"/>
              <w:bottom w:val="single" w:color="auto" w:sz="4" w:space="0"/>
              <w:right w:val="single" w:color="auto" w:sz="4" w:space="0"/>
            </w:tcBorders>
            <w:noWrap/>
            <w:vAlign w:val="center"/>
          </w:tcPr>
          <w:p w14:paraId="4C99B696">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1．投标人须缴纳金额为人民币</w:t>
            </w:r>
            <w:r>
              <w:rPr>
                <w:rFonts w:hint="eastAsia" w:asciiTheme="minorEastAsia" w:hAnsiTheme="minorEastAsia" w:eastAsiaTheme="minorEastAsia" w:cstheme="minorEastAsia"/>
                <w:b/>
                <w:bCs/>
                <w:snapToGrid w:val="0"/>
                <w:color w:val="auto"/>
                <w:kern w:val="0"/>
                <w:szCs w:val="24"/>
                <w:highlight w:val="none"/>
                <w:u w:val="single"/>
                <w:lang w:val="en-US" w:eastAsia="zh-CN"/>
              </w:rPr>
              <w:t>10</w:t>
            </w:r>
            <w:r>
              <w:rPr>
                <w:rFonts w:hint="eastAsia" w:asciiTheme="minorEastAsia" w:hAnsiTheme="minorEastAsia" w:eastAsiaTheme="minorEastAsia" w:cstheme="minorEastAsia"/>
                <w:b/>
                <w:bCs/>
                <w:snapToGrid w:val="0"/>
                <w:color w:val="auto"/>
                <w:kern w:val="0"/>
                <w:szCs w:val="24"/>
                <w:highlight w:val="none"/>
                <w:u w:val="single"/>
              </w:rPr>
              <w:t>万元整</w:t>
            </w:r>
            <w:r>
              <w:rPr>
                <w:rFonts w:hint="eastAsia" w:asciiTheme="minorEastAsia" w:hAnsiTheme="minorEastAsia" w:eastAsiaTheme="minorEastAsia" w:cstheme="minorEastAsia"/>
                <w:snapToGrid w:val="0"/>
                <w:color w:val="auto"/>
                <w:kern w:val="0"/>
                <w:szCs w:val="24"/>
                <w:highlight w:val="none"/>
              </w:rPr>
              <w:t>的投标保证。联合体投标的，由联合体牵头人缴纳。</w:t>
            </w:r>
          </w:p>
          <w:p w14:paraId="037B2AD4">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2．投标保证的形式包括投标保证金、投标保证担保、投标保证保险三种，由投标人自主选择。</w:t>
            </w:r>
          </w:p>
          <w:p w14:paraId="1A089F3C">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采用投标保证金的，投标人在建设工程交易系统获取招标文件完毕后，即可在系统申请缴纳投标保证金，获取本次招标投标保证金缴纳账号。投标人必须于投标保证金到账截止时间（见本章“重要事项时间地点一览表”）前，从其基本账户将投标保证金转账到指定的缴纳账号。逾期到账的、从非投标人基本账户转出的，其投标无效。</w:t>
            </w:r>
          </w:p>
          <w:p w14:paraId="54C15E30">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采用投标保证担保的，投标人应提交有效的银行保函，银行保函的有效期不得短于投标有效期。投标人必须在投标保证担保截止时间（见本章“重要事项时间地点一览表”）前，使用工程建设交易系统完成网上办理电子保函。</w:t>
            </w:r>
          </w:p>
          <w:p w14:paraId="17995163">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采用投标保证保险的，投标人须在投标保证保险投保截止时间（见本章“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2F40BD72">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710E5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8269FF3">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19</w:t>
            </w:r>
          </w:p>
        </w:tc>
        <w:tc>
          <w:tcPr>
            <w:tcW w:w="2137" w:type="dxa"/>
            <w:tcBorders>
              <w:top w:val="single" w:color="auto" w:sz="4" w:space="0"/>
              <w:left w:val="single" w:color="auto" w:sz="4" w:space="0"/>
              <w:bottom w:val="single" w:color="auto" w:sz="4" w:space="0"/>
              <w:right w:val="single" w:color="auto" w:sz="4" w:space="0"/>
            </w:tcBorders>
            <w:noWrap/>
            <w:vAlign w:val="center"/>
          </w:tcPr>
          <w:p w14:paraId="37A643B5">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投标有效期</w:t>
            </w:r>
          </w:p>
        </w:tc>
        <w:tc>
          <w:tcPr>
            <w:tcW w:w="7116" w:type="dxa"/>
            <w:tcBorders>
              <w:top w:val="single" w:color="auto" w:sz="4" w:space="0"/>
              <w:left w:val="single" w:color="auto" w:sz="4" w:space="0"/>
              <w:bottom w:val="single" w:color="auto" w:sz="4" w:space="0"/>
              <w:right w:val="single" w:color="auto" w:sz="4" w:space="0"/>
            </w:tcBorders>
            <w:noWrap/>
            <w:vAlign w:val="center"/>
          </w:tcPr>
          <w:p w14:paraId="32E3D625">
            <w:pPr>
              <w:wordWrap w:val="0"/>
              <w:adjustRightInd w:val="0"/>
              <w:snapToGrid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snapToGrid w:val="0"/>
                <w:color w:val="auto"/>
                <w:kern w:val="0"/>
                <w:szCs w:val="24"/>
                <w:highlight w:val="none"/>
              </w:rPr>
              <w:t xml:space="preserve">  本次招标的投标有效期为</w:t>
            </w:r>
            <w:r>
              <w:rPr>
                <w:rFonts w:hint="eastAsia" w:asciiTheme="minorEastAsia" w:hAnsiTheme="minorEastAsia" w:eastAsiaTheme="minorEastAsia" w:cstheme="minorEastAsia"/>
                <w:snapToGrid w:val="0"/>
                <w:color w:val="auto"/>
                <w:kern w:val="0"/>
                <w:szCs w:val="24"/>
                <w:highlight w:val="none"/>
                <w:u w:val="single"/>
                <w:lang w:val="en-US" w:eastAsia="zh-CN"/>
              </w:rPr>
              <w:t xml:space="preserve"> 90 </w:t>
            </w:r>
            <w:r>
              <w:rPr>
                <w:rFonts w:hint="eastAsia" w:asciiTheme="minorEastAsia" w:hAnsiTheme="minorEastAsia" w:eastAsiaTheme="minorEastAsia" w:cstheme="minorEastAsia"/>
                <w:snapToGrid w:val="0"/>
                <w:color w:val="auto"/>
                <w:kern w:val="0"/>
                <w:szCs w:val="24"/>
                <w:highlight w:val="none"/>
              </w:rPr>
              <w:t>个日历天。</w:t>
            </w:r>
          </w:p>
        </w:tc>
      </w:tr>
      <w:tr w14:paraId="34EEF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7"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4BBF9BF">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20</w:t>
            </w:r>
          </w:p>
        </w:tc>
        <w:tc>
          <w:tcPr>
            <w:tcW w:w="2137" w:type="dxa"/>
            <w:tcBorders>
              <w:top w:val="single" w:color="auto" w:sz="4" w:space="0"/>
              <w:left w:val="single" w:color="auto" w:sz="4" w:space="0"/>
              <w:bottom w:val="single" w:color="auto" w:sz="4" w:space="0"/>
              <w:right w:val="single" w:color="auto" w:sz="4" w:space="0"/>
            </w:tcBorders>
            <w:noWrap/>
            <w:vAlign w:val="center"/>
          </w:tcPr>
          <w:p w14:paraId="13E6FDB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投标文件</w:t>
            </w:r>
          </w:p>
          <w:p w14:paraId="03481FB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组成</w:t>
            </w:r>
          </w:p>
        </w:tc>
        <w:tc>
          <w:tcPr>
            <w:tcW w:w="7116" w:type="dxa"/>
            <w:tcBorders>
              <w:top w:val="single" w:color="auto" w:sz="4" w:space="0"/>
              <w:left w:val="single" w:color="auto" w:sz="4" w:space="0"/>
              <w:bottom w:val="single" w:color="auto" w:sz="4" w:space="0"/>
              <w:right w:val="single" w:color="auto" w:sz="4" w:space="0"/>
            </w:tcBorders>
            <w:noWrap/>
            <w:vAlign w:val="center"/>
          </w:tcPr>
          <w:p w14:paraId="4F55E752">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投标标书分为一册。</w:t>
            </w:r>
          </w:p>
        </w:tc>
      </w:tr>
      <w:tr w14:paraId="33A71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B078B64">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21</w:t>
            </w:r>
          </w:p>
        </w:tc>
        <w:tc>
          <w:tcPr>
            <w:tcW w:w="2137" w:type="dxa"/>
            <w:tcBorders>
              <w:top w:val="single" w:color="auto" w:sz="4" w:space="0"/>
              <w:left w:val="single" w:color="auto" w:sz="4" w:space="0"/>
              <w:bottom w:val="single" w:color="auto" w:sz="4" w:space="0"/>
              <w:right w:val="single" w:color="auto" w:sz="4" w:space="0"/>
            </w:tcBorders>
            <w:noWrap/>
            <w:vAlign w:val="center"/>
          </w:tcPr>
          <w:p w14:paraId="09D516F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评标委员会</w:t>
            </w:r>
          </w:p>
        </w:tc>
        <w:tc>
          <w:tcPr>
            <w:tcW w:w="7116" w:type="dxa"/>
            <w:tcBorders>
              <w:top w:val="single" w:color="auto" w:sz="4" w:space="0"/>
              <w:left w:val="single" w:color="auto" w:sz="4" w:space="0"/>
              <w:bottom w:val="single" w:color="auto" w:sz="4" w:space="0"/>
              <w:right w:val="single" w:color="auto" w:sz="4" w:space="0"/>
            </w:tcBorders>
            <w:noWrap/>
            <w:vAlign w:val="center"/>
          </w:tcPr>
          <w:p w14:paraId="2E41DB38">
            <w:pPr>
              <w:wordWrap w:val="0"/>
              <w:adjustRightInd w:val="0"/>
              <w:snapToGrid w:val="0"/>
              <w:spacing w:line="360" w:lineRule="auto"/>
              <w:ind w:firstLine="24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snapToGrid w:val="0"/>
                <w:color w:val="auto"/>
                <w:kern w:val="0"/>
                <w:szCs w:val="24"/>
                <w:highlight w:val="none"/>
              </w:rPr>
              <w:t>评标委员会由</w:t>
            </w:r>
            <w:r>
              <w:rPr>
                <w:rFonts w:hint="eastAsia" w:asciiTheme="minorEastAsia" w:hAnsiTheme="minorEastAsia" w:eastAsiaTheme="minorEastAsia" w:cstheme="minorEastAsia"/>
                <w:snapToGrid w:val="0"/>
                <w:color w:val="auto"/>
                <w:kern w:val="0"/>
                <w:szCs w:val="24"/>
                <w:highlight w:val="none"/>
                <w:lang w:val="en-US" w:eastAsia="zh-CN"/>
              </w:rPr>
              <w:t>5</w:t>
            </w:r>
            <w:r>
              <w:rPr>
                <w:rFonts w:hint="eastAsia" w:asciiTheme="minorEastAsia" w:hAnsiTheme="minorEastAsia" w:eastAsiaTheme="minorEastAsia" w:cstheme="minorEastAsia"/>
                <w:snapToGrid w:val="0"/>
                <w:color w:val="auto"/>
                <w:kern w:val="0"/>
                <w:szCs w:val="24"/>
                <w:highlight w:val="none"/>
              </w:rPr>
              <w:t>人组成，其中招标人代表0人，专家</w:t>
            </w:r>
            <w:r>
              <w:rPr>
                <w:rFonts w:hint="eastAsia" w:asciiTheme="minorEastAsia" w:hAnsiTheme="minorEastAsia" w:eastAsiaTheme="minorEastAsia" w:cstheme="minorEastAsia"/>
                <w:snapToGrid w:val="0"/>
                <w:color w:val="auto"/>
                <w:kern w:val="0"/>
                <w:szCs w:val="24"/>
                <w:highlight w:val="none"/>
                <w:lang w:val="en-US" w:eastAsia="zh-CN"/>
              </w:rPr>
              <w:t>5</w:t>
            </w:r>
            <w:r>
              <w:rPr>
                <w:rFonts w:hint="eastAsia" w:asciiTheme="minorEastAsia" w:hAnsiTheme="minorEastAsia" w:eastAsiaTheme="minorEastAsia" w:cstheme="minorEastAsia"/>
                <w:snapToGrid w:val="0"/>
                <w:color w:val="auto"/>
                <w:kern w:val="0"/>
                <w:szCs w:val="24"/>
                <w:highlight w:val="none"/>
              </w:rPr>
              <w:t>人。专家从广东省综合评标评审专家库－韶关区域中随机抽取，其中技术类专家</w:t>
            </w:r>
            <w:r>
              <w:rPr>
                <w:rFonts w:hint="eastAsia" w:asciiTheme="minorEastAsia" w:hAnsiTheme="minorEastAsia" w:eastAsiaTheme="minorEastAsia" w:cstheme="minorEastAsia"/>
                <w:snapToGrid w:val="0"/>
                <w:color w:val="auto"/>
                <w:kern w:val="0"/>
                <w:szCs w:val="24"/>
                <w:highlight w:val="none"/>
                <w:lang w:val="en-US" w:eastAsia="zh-CN"/>
              </w:rPr>
              <w:t>3</w:t>
            </w:r>
            <w:r>
              <w:rPr>
                <w:rFonts w:hint="eastAsia" w:asciiTheme="minorEastAsia" w:hAnsiTheme="minorEastAsia" w:eastAsiaTheme="minorEastAsia" w:cstheme="minorEastAsia"/>
                <w:snapToGrid w:val="0"/>
                <w:color w:val="auto"/>
                <w:kern w:val="0"/>
                <w:szCs w:val="24"/>
                <w:highlight w:val="none"/>
              </w:rPr>
              <w:t>人，经济类专家2人。</w:t>
            </w:r>
          </w:p>
        </w:tc>
      </w:tr>
      <w:tr w14:paraId="6B369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3519BEA">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22</w:t>
            </w:r>
          </w:p>
        </w:tc>
        <w:tc>
          <w:tcPr>
            <w:tcW w:w="2137" w:type="dxa"/>
            <w:tcBorders>
              <w:top w:val="single" w:color="auto" w:sz="4" w:space="0"/>
              <w:left w:val="single" w:color="auto" w:sz="4" w:space="0"/>
              <w:bottom w:val="single" w:color="auto" w:sz="4" w:space="0"/>
              <w:right w:val="single" w:color="auto" w:sz="4" w:space="0"/>
            </w:tcBorders>
            <w:noWrap/>
            <w:vAlign w:val="center"/>
          </w:tcPr>
          <w:p w14:paraId="77E398B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评标方法</w:t>
            </w:r>
          </w:p>
        </w:tc>
        <w:tc>
          <w:tcPr>
            <w:tcW w:w="7116" w:type="dxa"/>
            <w:tcBorders>
              <w:top w:val="single" w:color="auto" w:sz="4" w:space="0"/>
              <w:left w:val="single" w:color="auto" w:sz="4" w:space="0"/>
              <w:bottom w:val="single" w:color="auto" w:sz="4" w:space="0"/>
              <w:right w:val="single" w:color="auto" w:sz="4" w:space="0"/>
            </w:tcBorders>
            <w:noWrap/>
            <w:vAlign w:val="center"/>
          </w:tcPr>
          <w:p w14:paraId="558E5C3A">
            <w:pPr>
              <w:wordWrap w:val="0"/>
              <w:adjustRightInd w:val="0"/>
              <w:snapToGrid w:val="0"/>
              <w:spacing w:line="240" w:lineRule="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综合评估法</w:t>
            </w:r>
          </w:p>
        </w:tc>
      </w:tr>
      <w:tr w14:paraId="4A695D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B67E8F3">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w:t>
            </w:r>
          </w:p>
        </w:tc>
        <w:tc>
          <w:tcPr>
            <w:tcW w:w="2137" w:type="dxa"/>
            <w:tcBorders>
              <w:top w:val="single" w:color="auto" w:sz="4" w:space="0"/>
              <w:left w:val="single" w:color="auto" w:sz="4" w:space="0"/>
              <w:bottom w:val="single" w:color="auto" w:sz="4" w:space="0"/>
              <w:right w:val="single" w:color="auto" w:sz="4" w:space="0"/>
            </w:tcBorders>
            <w:noWrap/>
            <w:vAlign w:val="center"/>
          </w:tcPr>
          <w:p w14:paraId="2B2378B3">
            <w:pPr>
              <w:pStyle w:val="32"/>
              <w:spacing w:line="24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安全文明施工</w:t>
            </w:r>
          </w:p>
        </w:tc>
        <w:tc>
          <w:tcPr>
            <w:tcW w:w="7116" w:type="dxa"/>
            <w:tcBorders>
              <w:top w:val="single" w:color="auto" w:sz="4" w:space="0"/>
              <w:left w:val="single" w:color="auto" w:sz="4" w:space="0"/>
              <w:bottom w:val="single" w:color="auto" w:sz="4" w:space="0"/>
              <w:right w:val="single" w:color="auto" w:sz="4" w:space="0"/>
            </w:tcBorders>
            <w:noWrap/>
            <w:vAlign w:val="center"/>
          </w:tcPr>
          <w:p w14:paraId="06D5A340">
            <w:pPr>
              <w:pStyle w:val="32"/>
              <w:spacing w:line="240" w:lineRule="auto"/>
              <w:ind w:firstLine="240" w:firstLineChars="10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达到国家、省、市有关标准</w:t>
            </w:r>
          </w:p>
        </w:tc>
      </w:tr>
      <w:tr w14:paraId="4D7A6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2D73984">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w:t>
            </w:r>
          </w:p>
        </w:tc>
        <w:tc>
          <w:tcPr>
            <w:tcW w:w="2137" w:type="dxa"/>
            <w:tcBorders>
              <w:top w:val="single" w:color="auto" w:sz="4" w:space="0"/>
              <w:left w:val="single" w:color="auto" w:sz="4" w:space="0"/>
              <w:bottom w:val="single" w:color="auto" w:sz="4" w:space="0"/>
              <w:right w:val="single" w:color="auto" w:sz="4" w:space="0"/>
            </w:tcBorders>
            <w:noWrap/>
            <w:vAlign w:val="center"/>
          </w:tcPr>
          <w:p w14:paraId="71BFB749">
            <w:pPr>
              <w:pStyle w:val="32"/>
              <w:spacing w:line="24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房屋建筑工程</w:t>
            </w:r>
          </w:p>
          <w:p w14:paraId="18F594FE">
            <w:pPr>
              <w:pStyle w:val="32"/>
              <w:spacing w:line="24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绿色建筑标准</w:t>
            </w:r>
          </w:p>
        </w:tc>
        <w:tc>
          <w:tcPr>
            <w:tcW w:w="7116" w:type="dxa"/>
            <w:tcBorders>
              <w:top w:val="single" w:color="auto" w:sz="4" w:space="0"/>
              <w:left w:val="single" w:color="auto" w:sz="4" w:space="0"/>
              <w:bottom w:val="single" w:color="auto" w:sz="4" w:space="0"/>
              <w:right w:val="single" w:color="auto" w:sz="4" w:space="0"/>
            </w:tcBorders>
            <w:noWrap/>
            <w:vAlign w:val="center"/>
          </w:tcPr>
          <w:p w14:paraId="69798C6E">
            <w:pPr>
              <w:pStyle w:val="32"/>
              <w:spacing w:line="240" w:lineRule="auto"/>
              <w:ind w:firstLine="240" w:firstLineChars="10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本招标项目不纳入绿色建筑实施范围。</w:t>
            </w:r>
          </w:p>
        </w:tc>
      </w:tr>
      <w:tr w14:paraId="4044B4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241A6C6">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w:t>
            </w:r>
          </w:p>
        </w:tc>
        <w:tc>
          <w:tcPr>
            <w:tcW w:w="2137" w:type="dxa"/>
            <w:tcBorders>
              <w:top w:val="single" w:color="auto" w:sz="4" w:space="0"/>
              <w:left w:val="single" w:color="auto" w:sz="4" w:space="0"/>
              <w:bottom w:val="single" w:color="auto" w:sz="4" w:space="0"/>
              <w:right w:val="single" w:color="auto" w:sz="4" w:space="0"/>
            </w:tcBorders>
            <w:noWrap/>
            <w:vAlign w:val="center"/>
          </w:tcPr>
          <w:p w14:paraId="22171AA4">
            <w:pPr>
              <w:pStyle w:val="32"/>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Cs w:val="24"/>
                <w:highlight w:val="none"/>
              </w:rPr>
              <w:t>工程款支付</w:t>
            </w:r>
          </w:p>
        </w:tc>
        <w:tc>
          <w:tcPr>
            <w:tcW w:w="7116" w:type="dxa"/>
            <w:tcBorders>
              <w:top w:val="single" w:color="auto" w:sz="4" w:space="0"/>
              <w:left w:val="single" w:color="auto" w:sz="4" w:space="0"/>
              <w:bottom w:val="single" w:color="auto" w:sz="4" w:space="0"/>
              <w:right w:val="single" w:color="auto" w:sz="4" w:space="0"/>
            </w:tcBorders>
            <w:noWrap/>
            <w:vAlign w:val="center"/>
          </w:tcPr>
          <w:p w14:paraId="2CF778F0">
            <w:pPr>
              <w:pStyle w:val="32"/>
              <w:spacing w:line="240" w:lineRule="auto"/>
              <w:ind w:firstLine="240" w:firstLineChars="1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Cs w:val="24"/>
                <w:highlight w:val="none"/>
              </w:rPr>
              <w:t>详见本招标文件“2-4、工程付款办法”</w:t>
            </w:r>
          </w:p>
        </w:tc>
      </w:tr>
      <w:tr w14:paraId="780575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52"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2D45866">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26</w:t>
            </w:r>
          </w:p>
        </w:tc>
        <w:tc>
          <w:tcPr>
            <w:tcW w:w="2137" w:type="dxa"/>
            <w:tcBorders>
              <w:top w:val="single" w:color="auto" w:sz="4" w:space="0"/>
              <w:left w:val="single" w:color="auto" w:sz="4" w:space="0"/>
              <w:bottom w:val="single" w:color="auto" w:sz="4" w:space="0"/>
              <w:right w:val="single" w:color="auto" w:sz="4" w:space="0"/>
            </w:tcBorders>
            <w:noWrap/>
            <w:vAlign w:val="center"/>
          </w:tcPr>
          <w:p w14:paraId="6AD31F59">
            <w:pPr>
              <w:pStyle w:val="32"/>
              <w:spacing w:line="240" w:lineRule="auto"/>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Cs w:val="24"/>
                <w:highlight w:val="none"/>
              </w:rPr>
              <w:t>工程质量保证金</w:t>
            </w:r>
          </w:p>
        </w:tc>
        <w:tc>
          <w:tcPr>
            <w:tcW w:w="7116" w:type="dxa"/>
            <w:tcBorders>
              <w:top w:val="single" w:color="auto" w:sz="4" w:space="0"/>
              <w:left w:val="single" w:color="auto" w:sz="4" w:space="0"/>
              <w:bottom w:val="single" w:color="auto" w:sz="4" w:space="0"/>
              <w:right w:val="single" w:color="auto" w:sz="4" w:space="0"/>
            </w:tcBorders>
            <w:noWrap/>
            <w:vAlign w:val="center"/>
          </w:tcPr>
          <w:p w14:paraId="298AE5C9">
            <w:pPr>
              <w:pStyle w:val="32"/>
              <w:spacing w:line="240" w:lineRule="auto"/>
              <w:ind w:firstLine="240" w:firstLineChars="1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Cs w:val="24"/>
                <w:highlight w:val="none"/>
              </w:rPr>
              <w:t>工程质量保证金总金额为结算价的3%，从工程竣工验收合格之日起计满</w:t>
            </w:r>
            <w:r>
              <w:rPr>
                <w:rFonts w:hint="eastAsia" w:asciiTheme="minorEastAsia" w:hAnsiTheme="minorEastAsia" w:eastAsiaTheme="minorEastAsia" w:cstheme="minorEastAsia"/>
                <w:color w:val="auto"/>
                <w:szCs w:val="24"/>
                <w:highlight w:val="none"/>
                <w:lang w:val="en-US" w:eastAsia="zh-CN"/>
              </w:rPr>
              <w:t>1</w:t>
            </w:r>
            <w:r>
              <w:rPr>
                <w:rFonts w:hint="eastAsia" w:asciiTheme="minorEastAsia" w:hAnsiTheme="minorEastAsia" w:eastAsiaTheme="minorEastAsia" w:cstheme="minorEastAsia"/>
                <w:color w:val="auto"/>
                <w:szCs w:val="24"/>
                <w:highlight w:val="none"/>
              </w:rPr>
              <w:t>年。</w:t>
            </w:r>
          </w:p>
        </w:tc>
      </w:tr>
      <w:tr w14:paraId="64E6F6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E25109B">
            <w:pPr>
              <w:pStyle w:val="32"/>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27</w:t>
            </w:r>
          </w:p>
        </w:tc>
        <w:tc>
          <w:tcPr>
            <w:tcW w:w="2137" w:type="dxa"/>
            <w:tcBorders>
              <w:top w:val="single" w:color="auto" w:sz="4" w:space="0"/>
              <w:left w:val="single" w:color="auto" w:sz="4" w:space="0"/>
              <w:bottom w:val="single" w:color="auto" w:sz="4" w:space="0"/>
              <w:right w:val="single" w:color="auto" w:sz="4" w:space="0"/>
            </w:tcBorders>
            <w:noWrap/>
            <w:vAlign w:val="center"/>
          </w:tcPr>
          <w:p w14:paraId="08EBD855">
            <w:pPr>
              <w:snapToGrid w:val="0"/>
              <w:spacing w:beforeLines="50" w:line="360" w:lineRule="auto"/>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招标代理服务</w:t>
            </w:r>
            <w:r>
              <w:rPr>
                <w:rFonts w:hint="eastAsia" w:asciiTheme="minorEastAsia" w:hAnsiTheme="minorEastAsia" w:eastAsiaTheme="minorEastAsia" w:cstheme="minorEastAsia"/>
                <w:snapToGrid w:val="0"/>
                <w:color w:val="auto"/>
                <w:kern w:val="0"/>
                <w:szCs w:val="24"/>
                <w:highlight w:val="none"/>
                <w:lang w:val="en-US" w:eastAsia="zh-CN"/>
              </w:rPr>
              <w:t>费及评标专家酬劳</w:t>
            </w:r>
          </w:p>
        </w:tc>
        <w:tc>
          <w:tcPr>
            <w:tcW w:w="7116" w:type="dxa"/>
            <w:tcBorders>
              <w:top w:val="single" w:color="auto" w:sz="4" w:space="0"/>
              <w:left w:val="single" w:color="auto" w:sz="4" w:space="0"/>
              <w:bottom w:val="single" w:color="auto" w:sz="4" w:space="0"/>
              <w:right w:val="single" w:color="auto" w:sz="4" w:space="0"/>
            </w:tcBorders>
            <w:noWrap/>
            <w:vAlign w:val="center"/>
          </w:tcPr>
          <w:p w14:paraId="1E5A806C">
            <w:pPr>
              <w:adjustRightInd w:val="0"/>
              <w:snapToGrid w:val="0"/>
              <w:spacing w:line="360" w:lineRule="auto"/>
              <w:ind w:firstLine="480" w:firstLineChars="200"/>
              <w:jc w:val="left"/>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本项目的招标代理费和评标专家酬劳由中标人支付，该费用不再另行报价，由投标人在投标报价时综合考虑在内。招标代理服务费参照《招标代理服务收费管理暂行办法》（计价格[2002]1980号），以中标价为计费基数计算。评标专家酬劳包括食宿费用、交通费、专家评审劳务费等（该费用由招标代理机构垫付），中标人在领取中标通知书前须向招标代理机构一次性支付招标代理费和评标专家酬劳后方可领取中标通知书。</w:t>
            </w:r>
          </w:p>
        </w:tc>
      </w:tr>
      <w:tr w14:paraId="79197C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A81D4A8">
            <w:pPr>
              <w:wordWrap w:val="0"/>
              <w:adjustRightInd w:val="0"/>
              <w:snapToGrid w:val="0"/>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28</w:t>
            </w:r>
          </w:p>
        </w:tc>
        <w:tc>
          <w:tcPr>
            <w:tcW w:w="2137" w:type="dxa"/>
            <w:tcBorders>
              <w:top w:val="single" w:color="auto" w:sz="4" w:space="0"/>
              <w:left w:val="single" w:color="auto" w:sz="4" w:space="0"/>
              <w:bottom w:val="single" w:color="auto" w:sz="4" w:space="0"/>
              <w:right w:val="single" w:color="auto" w:sz="4" w:space="0"/>
            </w:tcBorders>
            <w:noWrap/>
            <w:vAlign w:val="center"/>
          </w:tcPr>
          <w:p w14:paraId="691D6BA9">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招标人</w:t>
            </w:r>
          </w:p>
          <w:p w14:paraId="5FF5C056">
            <w:pPr>
              <w:wordWrap w:val="0"/>
              <w:adjustRightInd w:val="0"/>
              <w:snapToGrid w:val="0"/>
              <w:spacing w:line="360" w:lineRule="auto"/>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联系方式</w:t>
            </w:r>
          </w:p>
        </w:tc>
        <w:tc>
          <w:tcPr>
            <w:tcW w:w="7116" w:type="dxa"/>
            <w:tcBorders>
              <w:top w:val="single" w:color="auto" w:sz="4" w:space="0"/>
              <w:left w:val="single" w:color="auto" w:sz="4" w:space="0"/>
              <w:bottom w:val="single" w:color="auto" w:sz="4" w:space="0"/>
              <w:right w:val="single" w:color="auto" w:sz="4" w:space="0"/>
            </w:tcBorders>
            <w:noWrap/>
            <w:vAlign w:val="center"/>
          </w:tcPr>
          <w:p w14:paraId="65F3D21A">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rPr>
              <w:t>单位名称：</w:t>
            </w:r>
            <w:r>
              <w:rPr>
                <w:rFonts w:hint="eastAsia" w:asciiTheme="minorEastAsia" w:hAnsiTheme="minorEastAsia" w:eastAsiaTheme="minorEastAsia" w:cstheme="minorEastAsia"/>
                <w:snapToGrid w:val="0"/>
                <w:color w:val="auto"/>
                <w:kern w:val="0"/>
                <w:szCs w:val="24"/>
                <w:highlight w:val="none"/>
                <w:lang w:eastAsia="zh-CN"/>
              </w:rPr>
              <w:t>广东兴展土地整理开发有限公司</w:t>
            </w:r>
          </w:p>
          <w:p w14:paraId="60310D94">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rPr>
              <w:t>办公地址：</w:t>
            </w:r>
            <w:r>
              <w:rPr>
                <w:rFonts w:hint="eastAsia" w:asciiTheme="minorEastAsia" w:hAnsiTheme="minorEastAsia" w:eastAsiaTheme="minorEastAsia" w:cstheme="minorEastAsia"/>
                <w:snapToGrid w:val="0"/>
                <w:color w:val="auto"/>
                <w:kern w:val="0"/>
                <w:szCs w:val="24"/>
                <w:highlight w:val="none"/>
                <w:lang w:eastAsia="zh-CN"/>
              </w:rPr>
              <w:t>始兴县顿岗镇围下村535国道旁顿岗镇产业发展中心(3号楼)二楼限办公场所使用)</w:t>
            </w:r>
          </w:p>
          <w:p w14:paraId="53C057C4">
            <w:pPr>
              <w:wordWrap w:val="0"/>
              <w:adjustRightInd w:val="0"/>
              <w:snapToGrid w:val="0"/>
              <w:spacing w:line="360" w:lineRule="auto"/>
              <w:jc w:val="left"/>
              <w:rPr>
                <w:rFonts w:hint="default" w:asciiTheme="minorEastAsia" w:hAnsiTheme="minorEastAsia" w:eastAsiaTheme="minorEastAsia" w:cstheme="minorEastAsia"/>
                <w:snapToGrid w:val="0"/>
                <w:color w:val="auto"/>
                <w:kern w:val="0"/>
                <w:szCs w:val="24"/>
                <w:highlight w:val="none"/>
                <w:lang w:val="en-US" w:eastAsia="zh-CN"/>
              </w:rPr>
            </w:pPr>
            <w:r>
              <w:rPr>
                <w:rFonts w:hint="eastAsia" w:asciiTheme="minorEastAsia" w:hAnsiTheme="minorEastAsia" w:eastAsiaTheme="minorEastAsia" w:cstheme="minorEastAsia"/>
                <w:snapToGrid w:val="0"/>
                <w:color w:val="auto"/>
                <w:kern w:val="0"/>
                <w:szCs w:val="24"/>
                <w:highlight w:val="none"/>
              </w:rPr>
              <w:t>联系人（部门）：</w:t>
            </w:r>
            <w:r>
              <w:rPr>
                <w:rFonts w:hint="eastAsia" w:asciiTheme="minorEastAsia" w:hAnsiTheme="minorEastAsia" w:eastAsiaTheme="minorEastAsia" w:cstheme="minorEastAsia"/>
                <w:snapToGrid w:val="0"/>
                <w:color w:val="auto"/>
                <w:kern w:val="0"/>
                <w:szCs w:val="24"/>
                <w:highlight w:val="none"/>
                <w:lang w:val="en-US" w:eastAsia="zh-CN"/>
              </w:rPr>
              <w:t>邓工</w:t>
            </w:r>
          </w:p>
          <w:p w14:paraId="45173AF8">
            <w:pPr>
              <w:wordWrap w:val="0"/>
              <w:adjustRightInd w:val="0"/>
              <w:snapToGrid w:val="0"/>
              <w:spacing w:line="360" w:lineRule="auto"/>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联系电话：0751-</w:t>
            </w:r>
            <w:r>
              <w:rPr>
                <w:rFonts w:hint="eastAsia" w:asciiTheme="minorEastAsia" w:hAnsiTheme="minorEastAsia" w:eastAsiaTheme="minorEastAsia" w:cstheme="minorEastAsia"/>
                <w:snapToGrid w:val="0"/>
                <w:color w:val="auto"/>
                <w:kern w:val="0"/>
                <w:szCs w:val="24"/>
                <w:highlight w:val="none"/>
                <w:lang w:val="en-US" w:eastAsia="zh-CN"/>
              </w:rPr>
              <w:t>6973382</w:t>
            </w:r>
          </w:p>
        </w:tc>
      </w:tr>
      <w:tr w14:paraId="7D40D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96"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2FF6720">
            <w:pPr>
              <w:wordWrap w:val="0"/>
              <w:adjustRightInd w:val="0"/>
              <w:snapToGrid w:val="0"/>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29</w:t>
            </w:r>
          </w:p>
        </w:tc>
        <w:tc>
          <w:tcPr>
            <w:tcW w:w="2137" w:type="dxa"/>
            <w:tcBorders>
              <w:top w:val="single" w:color="auto" w:sz="4" w:space="0"/>
              <w:left w:val="single" w:color="auto" w:sz="4" w:space="0"/>
              <w:bottom w:val="single" w:color="auto" w:sz="4" w:space="0"/>
              <w:right w:val="single" w:color="auto" w:sz="4" w:space="0"/>
            </w:tcBorders>
            <w:noWrap/>
            <w:vAlign w:val="center"/>
          </w:tcPr>
          <w:p w14:paraId="7F542256">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招标代理机构</w:t>
            </w:r>
          </w:p>
          <w:p w14:paraId="3840CE6C">
            <w:pPr>
              <w:wordWrap w:val="0"/>
              <w:adjustRightInd w:val="0"/>
              <w:snapToGrid w:val="0"/>
              <w:spacing w:line="360" w:lineRule="auto"/>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联系方式</w:t>
            </w:r>
          </w:p>
        </w:tc>
        <w:tc>
          <w:tcPr>
            <w:tcW w:w="7116" w:type="dxa"/>
            <w:tcBorders>
              <w:top w:val="single" w:color="auto" w:sz="4" w:space="0"/>
              <w:left w:val="single" w:color="auto" w:sz="4" w:space="0"/>
              <w:bottom w:val="single" w:color="auto" w:sz="4" w:space="0"/>
              <w:right w:val="single" w:color="auto" w:sz="4" w:space="0"/>
            </w:tcBorders>
            <w:noWrap/>
            <w:vAlign w:val="center"/>
          </w:tcPr>
          <w:p w14:paraId="4224526F">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rPr>
              <w:t>单位名称：</w:t>
            </w:r>
            <w:r>
              <w:rPr>
                <w:rFonts w:hint="eastAsia" w:asciiTheme="minorEastAsia" w:hAnsiTheme="minorEastAsia" w:eastAsiaTheme="minorEastAsia" w:cstheme="minorEastAsia"/>
                <w:snapToGrid w:val="0"/>
                <w:color w:val="auto"/>
                <w:kern w:val="0"/>
                <w:szCs w:val="24"/>
                <w:highlight w:val="none"/>
                <w:lang w:eastAsia="zh-CN"/>
              </w:rPr>
              <w:t>广东伟达工程咨询顾问有限公司</w:t>
            </w:r>
          </w:p>
          <w:p w14:paraId="25638A3C">
            <w:pPr>
              <w:wordWrap w:val="0"/>
              <w:adjustRightInd w:val="0"/>
              <w:snapToGrid w:val="0"/>
              <w:spacing w:line="360" w:lineRule="auto"/>
              <w:jc w:val="left"/>
              <w:rPr>
                <w:rFonts w:hint="default" w:asciiTheme="minorEastAsia" w:hAnsiTheme="minorEastAsia" w:eastAsiaTheme="minorEastAsia" w:cstheme="minorEastAsia"/>
                <w:snapToGrid w:val="0"/>
                <w:color w:val="auto"/>
                <w:kern w:val="0"/>
                <w:szCs w:val="24"/>
                <w:highlight w:val="none"/>
                <w:lang w:val="en-US" w:eastAsia="zh-CN"/>
              </w:rPr>
            </w:pPr>
            <w:r>
              <w:rPr>
                <w:rFonts w:hint="eastAsia" w:asciiTheme="minorEastAsia" w:hAnsiTheme="minorEastAsia" w:eastAsiaTheme="minorEastAsia" w:cstheme="minorEastAsia"/>
                <w:snapToGrid w:val="0"/>
                <w:color w:val="auto"/>
                <w:kern w:val="0"/>
                <w:szCs w:val="24"/>
                <w:highlight w:val="none"/>
              </w:rPr>
              <w:t>办公地址：</w:t>
            </w:r>
            <w:r>
              <w:rPr>
                <w:rFonts w:hint="eastAsia" w:asciiTheme="minorEastAsia" w:hAnsiTheme="minorEastAsia" w:eastAsiaTheme="minorEastAsia" w:cstheme="minorEastAsia"/>
                <w:snapToGrid w:val="0"/>
                <w:color w:val="auto"/>
                <w:kern w:val="0"/>
                <w:szCs w:val="24"/>
                <w:highlight w:val="none"/>
                <w:lang w:val="en-US" w:eastAsia="zh-CN"/>
              </w:rPr>
              <w:t>韶关市武江区惠民北路268号铠昊商务中心710室</w:t>
            </w:r>
            <w:bookmarkStart w:id="373" w:name="_GoBack"/>
            <w:bookmarkEnd w:id="373"/>
          </w:p>
          <w:p w14:paraId="479EEC21">
            <w:pPr>
              <w:wordWrap w:val="0"/>
              <w:adjustRightInd w:val="0"/>
              <w:snapToGrid w:val="0"/>
              <w:spacing w:line="360" w:lineRule="auto"/>
              <w:jc w:val="left"/>
              <w:rPr>
                <w:rFonts w:hint="default" w:asciiTheme="minorEastAsia" w:hAnsiTheme="minorEastAsia" w:eastAsiaTheme="minorEastAsia" w:cstheme="minorEastAsia"/>
                <w:snapToGrid w:val="0"/>
                <w:color w:val="auto"/>
                <w:kern w:val="0"/>
                <w:szCs w:val="24"/>
                <w:highlight w:val="none"/>
                <w:lang w:val="en-US" w:eastAsia="zh-CN"/>
              </w:rPr>
            </w:pPr>
            <w:r>
              <w:rPr>
                <w:rFonts w:hint="eastAsia" w:asciiTheme="minorEastAsia" w:hAnsiTheme="minorEastAsia" w:eastAsiaTheme="minorEastAsia" w:cstheme="minorEastAsia"/>
                <w:snapToGrid w:val="0"/>
                <w:color w:val="auto"/>
                <w:kern w:val="0"/>
                <w:szCs w:val="24"/>
                <w:highlight w:val="none"/>
              </w:rPr>
              <w:t>联系人：</w:t>
            </w:r>
            <w:r>
              <w:rPr>
                <w:rFonts w:hint="eastAsia" w:asciiTheme="minorEastAsia" w:hAnsiTheme="minorEastAsia" w:eastAsiaTheme="minorEastAsia" w:cstheme="minorEastAsia"/>
                <w:snapToGrid w:val="0"/>
                <w:color w:val="auto"/>
                <w:kern w:val="0"/>
                <w:szCs w:val="24"/>
                <w:highlight w:val="none"/>
                <w:lang w:val="en-US" w:eastAsia="zh-CN"/>
              </w:rPr>
              <w:t>安杰</w:t>
            </w:r>
          </w:p>
          <w:p w14:paraId="3472ADF9">
            <w:pPr>
              <w:wordWrap w:val="0"/>
              <w:adjustRightInd w:val="0"/>
              <w:snapToGrid w:val="0"/>
              <w:spacing w:line="360" w:lineRule="auto"/>
              <w:jc w:val="left"/>
              <w:rPr>
                <w:rFonts w:hint="default"/>
                <w:color w:val="auto"/>
                <w:lang w:val="en-US" w:eastAsia="zh-CN"/>
              </w:rPr>
            </w:pPr>
            <w:r>
              <w:rPr>
                <w:rFonts w:hint="eastAsia" w:asciiTheme="minorEastAsia" w:hAnsiTheme="minorEastAsia" w:eastAsiaTheme="minorEastAsia" w:cstheme="minorEastAsia"/>
                <w:snapToGrid w:val="0"/>
                <w:color w:val="auto"/>
                <w:kern w:val="0"/>
                <w:szCs w:val="24"/>
                <w:highlight w:val="none"/>
              </w:rPr>
              <w:t>联系电话：</w:t>
            </w:r>
            <w:r>
              <w:rPr>
                <w:rFonts w:hint="eastAsia" w:asciiTheme="minorEastAsia" w:hAnsiTheme="minorEastAsia" w:eastAsiaTheme="minorEastAsia" w:cstheme="minorEastAsia"/>
                <w:snapToGrid w:val="0"/>
                <w:color w:val="auto"/>
                <w:kern w:val="0"/>
                <w:szCs w:val="24"/>
                <w:highlight w:val="none"/>
                <w:lang w:val="en-US" w:eastAsia="zh-CN"/>
              </w:rPr>
              <w:t>0751-8919333</w:t>
            </w:r>
          </w:p>
        </w:tc>
      </w:tr>
      <w:tr w14:paraId="13E3A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92443D5">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snapToGrid w:val="0"/>
                <w:color w:val="auto"/>
                <w:kern w:val="0"/>
                <w:szCs w:val="24"/>
                <w:highlight w:val="none"/>
              </w:rPr>
              <w:t>3</w:t>
            </w:r>
            <w:r>
              <w:rPr>
                <w:rFonts w:hint="eastAsia" w:asciiTheme="minorEastAsia" w:hAnsiTheme="minorEastAsia" w:eastAsiaTheme="minorEastAsia" w:cstheme="minorEastAsia"/>
                <w:snapToGrid w:val="0"/>
                <w:color w:val="auto"/>
                <w:kern w:val="0"/>
                <w:szCs w:val="24"/>
                <w:highlight w:val="none"/>
                <w:lang w:val="en-US" w:eastAsia="zh-CN"/>
              </w:rPr>
              <w:t>0</w:t>
            </w:r>
          </w:p>
        </w:tc>
        <w:tc>
          <w:tcPr>
            <w:tcW w:w="2137" w:type="dxa"/>
            <w:tcBorders>
              <w:top w:val="single" w:color="auto" w:sz="4" w:space="0"/>
              <w:left w:val="single" w:color="auto" w:sz="4" w:space="0"/>
              <w:bottom w:val="single" w:color="auto" w:sz="4" w:space="0"/>
              <w:right w:val="single" w:color="auto" w:sz="4" w:space="0"/>
            </w:tcBorders>
            <w:noWrap/>
            <w:vAlign w:val="center"/>
          </w:tcPr>
          <w:p w14:paraId="65F70FA1">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交易场所</w:t>
            </w:r>
          </w:p>
          <w:p w14:paraId="4B6DE0FA">
            <w:pPr>
              <w:wordWrap w:val="0"/>
              <w:adjustRightInd w:val="0"/>
              <w:snapToGrid w:val="0"/>
              <w:spacing w:line="360" w:lineRule="auto"/>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联系方式</w:t>
            </w:r>
          </w:p>
        </w:tc>
        <w:tc>
          <w:tcPr>
            <w:tcW w:w="7116" w:type="dxa"/>
            <w:tcBorders>
              <w:top w:val="single" w:color="auto" w:sz="4" w:space="0"/>
              <w:left w:val="single" w:color="auto" w:sz="4" w:space="0"/>
              <w:bottom w:val="single" w:color="auto" w:sz="4" w:space="0"/>
              <w:right w:val="single" w:color="auto" w:sz="4" w:space="0"/>
            </w:tcBorders>
            <w:noWrap/>
            <w:vAlign w:val="center"/>
          </w:tcPr>
          <w:p w14:paraId="3E233E8E">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单位名称：韶关市公共资源交易中心</w:t>
            </w:r>
          </w:p>
          <w:p w14:paraId="6065CF93">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val="zh-CN"/>
              </w:rPr>
            </w:pPr>
            <w:r>
              <w:rPr>
                <w:rFonts w:hint="eastAsia" w:asciiTheme="minorEastAsia" w:hAnsiTheme="minorEastAsia" w:eastAsiaTheme="minorEastAsia" w:cstheme="minorEastAsia"/>
                <w:snapToGrid w:val="0"/>
                <w:color w:val="auto"/>
                <w:kern w:val="0"/>
                <w:szCs w:val="24"/>
                <w:highlight w:val="none"/>
              </w:rPr>
              <w:t>办公地址：</w:t>
            </w:r>
            <w:r>
              <w:rPr>
                <w:rFonts w:hint="eastAsia" w:asciiTheme="minorEastAsia" w:hAnsiTheme="minorEastAsia" w:eastAsiaTheme="minorEastAsia" w:cstheme="minorEastAsia"/>
                <w:snapToGrid w:val="0"/>
                <w:color w:val="auto"/>
                <w:kern w:val="0"/>
                <w:szCs w:val="24"/>
                <w:highlight w:val="none"/>
                <w:lang w:val="zh-CN"/>
              </w:rPr>
              <w:t>始兴县永安大道中79号行政服务大楼四楼</w:t>
            </w:r>
          </w:p>
          <w:p w14:paraId="4F537460">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联系人（部门）：</w:t>
            </w:r>
            <w:r>
              <w:rPr>
                <w:rFonts w:hint="eastAsia" w:asciiTheme="minorEastAsia" w:hAnsiTheme="minorEastAsia" w:eastAsiaTheme="minorEastAsia" w:cstheme="minorEastAsia"/>
                <w:snapToGrid w:val="0"/>
                <w:color w:val="auto"/>
                <w:kern w:val="0"/>
                <w:szCs w:val="24"/>
                <w:highlight w:val="none"/>
                <w:lang w:val="zh-CN"/>
              </w:rPr>
              <w:t>邓工</w:t>
            </w:r>
          </w:p>
          <w:p w14:paraId="2850253A">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 xml:space="preserve">联系电话： </w:t>
            </w:r>
            <w:r>
              <w:rPr>
                <w:rFonts w:hint="eastAsia" w:asciiTheme="minorEastAsia" w:hAnsiTheme="minorEastAsia" w:eastAsiaTheme="minorEastAsia" w:cstheme="minorEastAsia"/>
                <w:snapToGrid w:val="0"/>
                <w:color w:val="auto"/>
                <w:kern w:val="0"/>
                <w:szCs w:val="24"/>
                <w:highlight w:val="none"/>
                <w:lang w:val="zh-CN"/>
              </w:rPr>
              <w:t>0751-3315236</w:t>
            </w:r>
          </w:p>
        </w:tc>
      </w:tr>
      <w:tr w14:paraId="2CA736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6DBE9C7">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lang w:val="en-US" w:eastAsia="zh-CN"/>
              </w:rPr>
              <w:t>31</w:t>
            </w:r>
          </w:p>
        </w:tc>
        <w:tc>
          <w:tcPr>
            <w:tcW w:w="2137" w:type="dxa"/>
            <w:tcBorders>
              <w:top w:val="single" w:color="auto" w:sz="4" w:space="0"/>
              <w:left w:val="single" w:color="auto" w:sz="4" w:space="0"/>
              <w:bottom w:val="single" w:color="auto" w:sz="4" w:space="0"/>
              <w:right w:val="single" w:color="auto" w:sz="4" w:space="0"/>
            </w:tcBorders>
            <w:noWrap/>
            <w:vAlign w:val="center"/>
          </w:tcPr>
          <w:p w14:paraId="44306BAA">
            <w:pPr>
              <w:wordWrap w:val="0"/>
              <w:adjustRightInd w:val="0"/>
              <w:snapToGrid w:val="0"/>
              <w:spacing w:line="400" w:lineRule="exact"/>
              <w:jc w:val="center"/>
              <w:rPr>
                <w:snapToGrid w:val="0"/>
                <w:color w:val="auto"/>
                <w:kern w:val="0"/>
                <w:highlight w:val="none"/>
              </w:rPr>
            </w:pPr>
            <w:r>
              <w:rPr>
                <w:rFonts w:hint="eastAsia"/>
                <w:snapToGrid w:val="0"/>
                <w:color w:val="auto"/>
                <w:kern w:val="0"/>
                <w:highlight w:val="none"/>
              </w:rPr>
              <w:t>行政监督部门</w:t>
            </w:r>
          </w:p>
          <w:p w14:paraId="51BCE2A9">
            <w:pPr>
              <w:wordWrap w:val="0"/>
              <w:adjustRightInd w:val="0"/>
              <w:snapToGrid w:val="0"/>
              <w:spacing w:line="400" w:lineRule="exact"/>
              <w:jc w:val="center"/>
              <w:rPr>
                <w:rFonts w:hint="eastAsia" w:asciiTheme="minorEastAsia" w:hAnsiTheme="minorEastAsia" w:eastAsiaTheme="minorEastAsia" w:cstheme="minorEastAsia"/>
                <w:snapToGrid w:val="0"/>
                <w:color w:val="auto"/>
                <w:kern w:val="0"/>
                <w:szCs w:val="24"/>
                <w:highlight w:val="none"/>
              </w:rPr>
            </w:pPr>
            <w:r>
              <w:rPr>
                <w:rFonts w:hint="eastAsia"/>
                <w:snapToGrid w:val="0"/>
                <w:color w:val="auto"/>
                <w:kern w:val="0"/>
                <w:highlight w:val="none"/>
              </w:rPr>
              <w:t>联系方式</w:t>
            </w:r>
          </w:p>
        </w:tc>
        <w:tc>
          <w:tcPr>
            <w:tcW w:w="7116" w:type="dxa"/>
            <w:tcBorders>
              <w:top w:val="single" w:color="auto" w:sz="4" w:space="0"/>
              <w:left w:val="single" w:color="auto" w:sz="4" w:space="0"/>
              <w:bottom w:val="single" w:color="auto" w:sz="4" w:space="0"/>
              <w:right w:val="single" w:color="auto" w:sz="4" w:space="0"/>
            </w:tcBorders>
            <w:noWrap/>
            <w:vAlign w:val="center"/>
          </w:tcPr>
          <w:p w14:paraId="61C28869">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val="en-US" w:eastAsia="zh-CN"/>
              </w:rPr>
            </w:pPr>
            <w:r>
              <w:rPr>
                <w:rFonts w:hint="eastAsia" w:asciiTheme="minorEastAsia" w:hAnsiTheme="minorEastAsia" w:eastAsiaTheme="minorEastAsia" w:cstheme="minorEastAsia"/>
                <w:snapToGrid w:val="0"/>
                <w:color w:val="auto"/>
                <w:kern w:val="0"/>
                <w:szCs w:val="24"/>
                <w:highlight w:val="none"/>
                <w:lang w:val="en-US" w:eastAsia="zh-CN"/>
              </w:rPr>
              <w:t>单位名称：</w:t>
            </w:r>
            <w:r>
              <w:rPr>
                <w:rFonts w:hint="eastAsia" w:asciiTheme="minorEastAsia" w:hAnsiTheme="minorEastAsia" w:eastAsiaTheme="minorEastAsia" w:cstheme="minorEastAsia"/>
                <w:snapToGrid w:val="0"/>
                <w:color w:val="auto"/>
                <w:kern w:val="0"/>
                <w:szCs w:val="24"/>
                <w:highlight w:val="none"/>
                <w:lang w:eastAsia="zh-CN"/>
              </w:rPr>
              <w:t>始兴县住房和城乡建设管理局</w:t>
            </w:r>
          </w:p>
          <w:p w14:paraId="08C33CD4">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val="en-US" w:eastAsia="zh-CN"/>
              </w:rPr>
            </w:pPr>
            <w:r>
              <w:rPr>
                <w:rFonts w:hint="eastAsia" w:asciiTheme="minorEastAsia" w:hAnsiTheme="minorEastAsia" w:eastAsiaTheme="minorEastAsia" w:cstheme="minorEastAsia"/>
                <w:snapToGrid w:val="0"/>
                <w:color w:val="auto"/>
                <w:kern w:val="0"/>
                <w:szCs w:val="24"/>
                <w:highlight w:val="none"/>
                <w:lang w:val="en-US" w:eastAsia="zh-CN"/>
              </w:rPr>
              <w:t xml:space="preserve">办公地址：始兴县太平镇沿江北路1号 </w:t>
            </w:r>
          </w:p>
          <w:p w14:paraId="0BBAE8C6">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val="en-US" w:eastAsia="zh-CN"/>
              </w:rPr>
            </w:pPr>
            <w:r>
              <w:rPr>
                <w:rFonts w:hint="eastAsia" w:asciiTheme="minorEastAsia" w:hAnsiTheme="minorEastAsia" w:eastAsiaTheme="minorEastAsia" w:cstheme="minorEastAsia"/>
                <w:snapToGrid w:val="0"/>
                <w:color w:val="auto"/>
                <w:kern w:val="0"/>
                <w:szCs w:val="24"/>
                <w:highlight w:val="none"/>
                <w:lang w:val="en-US" w:eastAsia="zh-CN"/>
              </w:rPr>
              <w:t>联系人（部门）：建管股</w:t>
            </w:r>
          </w:p>
          <w:p w14:paraId="0CE6F6F5">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lang w:val="en-US" w:eastAsia="zh-CN"/>
              </w:rPr>
              <w:t xml:space="preserve">联系电话：0751-3315107 </w:t>
            </w:r>
          </w:p>
        </w:tc>
      </w:tr>
      <w:bookmarkEnd w:id="4"/>
    </w:tbl>
    <w:p w14:paraId="31257FFE">
      <w:pPr>
        <w:pStyle w:val="4"/>
        <w:wordWrap w:val="0"/>
        <w:autoSpaceDE/>
        <w:autoSpaceDN/>
        <w:snapToGrid w:val="0"/>
        <w:spacing w:after="260" w:line="440" w:lineRule="exact"/>
        <w:jc w:val="both"/>
        <w:rPr>
          <w:rFonts w:hint="eastAsia" w:asciiTheme="minorEastAsia" w:hAnsiTheme="minorEastAsia" w:eastAsiaTheme="minorEastAsia" w:cstheme="minorEastAsia"/>
          <w:b/>
          <w:color w:val="auto"/>
          <w:kern w:val="2"/>
          <w:highlight w:val="none"/>
        </w:rPr>
      </w:pPr>
      <w:bookmarkStart w:id="5" w:name="_Toc122859103"/>
      <w:bookmarkStart w:id="6" w:name="_Toc122769943"/>
      <w:bookmarkStart w:id="7" w:name="_Toc122671103"/>
      <w:r>
        <w:rPr>
          <w:rFonts w:hint="eastAsia" w:asciiTheme="minorEastAsia" w:hAnsiTheme="minorEastAsia" w:eastAsiaTheme="minorEastAsia" w:cstheme="minorEastAsia"/>
          <w:b/>
          <w:color w:val="auto"/>
          <w:kern w:val="2"/>
          <w:highlight w:val="none"/>
        </w:rPr>
        <w:br w:type="page"/>
      </w:r>
      <w:bookmarkEnd w:id="5"/>
      <w:bookmarkEnd w:id="6"/>
      <w:bookmarkEnd w:id="7"/>
      <w:bookmarkStart w:id="8" w:name="_Toc16386"/>
      <w:r>
        <w:rPr>
          <w:rFonts w:hint="eastAsia" w:asciiTheme="minorEastAsia" w:hAnsiTheme="minorEastAsia" w:eastAsiaTheme="minorEastAsia" w:cstheme="minorEastAsia"/>
          <w:b/>
          <w:color w:val="auto"/>
          <w:kern w:val="2"/>
          <w:szCs w:val="24"/>
          <w:highlight w:val="none"/>
        </w:rPr>
        <w:t>第二节</w:t>
      </w:r>
      <w:r>
        <w:rPr>
          <w:rFonts w:hint="eastAsia" w:asciiTheme="minorEastAsia" w:hAnsiTheme="minorEastAsia" w:eastAsiaTheme="minorEastAsia" w:cstheme="minorEastAsia"/>
          <w:b/>
          <w:color w:val="auto"/>
          <w:kern w:val="2"/>
          <w:szCs w:val="24"/>
          <w:highlight w:val="none"/>
          <w:lang w:val="en-US" w:eastAsia="zh-CN"/>
        </w:rPr>
        <w:t xml:space="preserve"> </w:t>
      </w:r>
      <w:r>
        <w:rPr>
          <w:rFonts w:hint="eastAsia" w:asciiTheme="minorEastAsia" w:hAnsiTheme="minorEastAsia" w:eastAsiaTheme="minorEastAsia" w:cstheme="minorEastAsia"/>
          <w:b/>
          <w:color w:val="auto"/>
          <w:kern w:val="2"/>
          <w:szCs w:val="24"/>
          <w:highlight w:val="none"/>
        </w:rPr>
        <w:t>重要事项时间地点一览表.</w:t>
      </w:r>
      <w:bookmarkEnd w:id="8"/>
    </w:p>
    <w:tbl>
      <w:tblPr>
        <w:tblStyle w:val="27"/>
        <w:tblW w:w="9679"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03"/>
        <w:gridCol w:w="1606"/>
        <w:gridCol w:w="7570"/>
      </w:tblGrid>
      <w:tr w14:paraId="613B4F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E1BD18C">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281C7971">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招标公告</w:t>
            </w:r>
          </w:p>
          <w:p w14:paraId="2215D110">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发布时间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4D5F8448">
            <w:pPr>
              <w:pStyle w:val="35"/>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17</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18</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30</w:t>
            </w:r>
            <w:r>
              <w:rPr>
                <w:rFonts w:hint="eastAsia" w:asciiTheme="minorEastAsia" w:hAnsiTheme="minorEastAsia" w:eastAsiaTheme="minorEastAsia" w:cstheme="minorEastAsia"/>
                <w:snapToGrid w:val="0"/>
                <w:color w:val="auto"/>
                <w:kern w:val="0"/>
                <w:sz w:val="24"/>
                <w:highlight w:val="none"/>
                <w:u w:val="none"/>
              </w:rPr>
              <w:t>分</w:t>
            </w:r>
          </w:p>
        </w:tc>
      </w:tr>
      <w:tr w14:paraId="71773C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82"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503C2B43">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2</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59C05ABE">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获取招标文件截止时间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64E09849">
            <w:pPr>
              <w:pStyle w:val="35"/>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11</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7</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30</w:t>
            </w:r>
            <w:r>
              <w:rPr>
                <w:rFonts w:hint="eastAsia" w:asciiTheme="minorEastAsia" w:hAnsiTheme="minorEastAsia" w:eastAsiaTheme="minorEastAsia" w:cstheme="minorEastAsia"/>
                <w:snapToGrid w:val="0"/>
                <w:color w:val="auto"/>
                <w:kern w:val="0"/>
                <w:sz w:val="24"/>
                <w:highlight w:val="none"/>
                <w:u w:val="none"/>
              </w:rPr>
              <w:t>分</w:t>
            </w:r>
          </w:p>
        </w:tc>
      </w:tr>
      <w:tr w14:paraId="690FA1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81"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614B2595">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3</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4D816FB4">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网上提问</w:t>
            </w:r>
          </w:p>
          <w:p w14:paraId="10272DA1">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7207EE40">
            <w:pPr>
              <w:pStyle w:val="35"/>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28</w:t>
            </w:r>
            <w:r>
              <w:rPr>
                <w:rFonts w:hint="eastAsia" w:asciiTheme="minorEastAsia" w:hAnsiTheme="minorEastAsia" w:eastAsiaTheme="minorEastAsia" w:cstheme="minorEastAsia"/>
                <w:snapToGrid w:val="0"/>
                <w:color w:val="auto"/>
                <w:kern w:val="0"/>
                <w:sz w:val="24"/>
                <w:highlight w:val="none"/>
                <w:u w:val="none"/>
                <w:lang w:val="en-US" w:eastAsia="zh-CN"/>
              </w:rPr>
              <w:t xml:space="preserve">日16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00 </w:t>
            </w:r>
            <w:r>
              <w:rPr>
                <w:rFonts w:hint="eastAsia" w:asciiTheme="minorEastAsia" w:hAnsiTheme="minorEastAsia" w:eastAsiaTheme="minorEastAsia" w:cstheme="minorEastAsia"/>
                <w:snapToGrid w:val="0"/>
                <w:color w:val="auto"/>
                <w:kern w:val="0"/>
                <w:sz w:val="24"/>
                <w:highlight w:val="none"/>
                <w:u w:val="none"/>
              </w:rPr>
              <w:t>分</w:t>
            </w:r>
          </w:p>
        </w:tc>
      </w:tr>
      <w:tr w14:paraId="058488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8"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653AE883">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4</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632EF053">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网上答疑</w:t>
            </w:r>
          </w:p>
          <w:p w14:paraId="50033366">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33C01249">
            <w:pPr>
              <w:pStyle w:val="35"/>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28</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none"/>
              </w:rPr>
              <w:t xml:space="preserve">16时30分至 </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31</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none"/>
              </w:rPr>
              <w:t>16时00分</w:t>
            </w:r>
          </w:p>
        </w:tc>
      </w:tr>
      <w:tr w14:paraId="30C2F5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58"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5A41A1C2">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5</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7C665FC0">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投标保证缴</w:t>
            </w:r>
          </w:p>
          <w:p w14:paraId="2A590863">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纳截止时间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37A5B9AB">
            <w:pPr>
              <w:pStyle w:val="35"/>
              <w:wordWrap w:val="0"/>
              <w:adjustRightInd w:val="0"/>
              <w:snapToGrid w:val="0"/>
              <w:spacing w:line="400" w:lineRule="exact"/>
              <w:ind w:firstLine="240" w:firstLineChars="100"/>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投标保证金到账截止时间：</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11</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6</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30</w:t>
            </w:r>
            <w:r>
              <w:rPr>
                <w:rFonts w:hint="eastAsia" w:asciiTheme="minorEastAsia" w:hAnsiTheme="minorEastAsia" w:eastAsiaTheme="minorEastAsia" w:cstheme="minorEastAsia"/>
                <w:snapToGrid w:val="0"/>
                <w:color w:val="auto"/>
                <w:kern w:val="0"/>
                <w:sz w:val="24"/>
                <w:highlight w:val="none"/>
                <w:u w:val="none"/>
              </w:rPr>
              <w:t>分；</w:t>
            </w:r>
          </w:p>
          <w:p w14:paraId="1202AF3D">
            <w:pPr>
              <w:pStyle w:val="35"/>
              <w:wordWrap w:val="0"/>
              <w:adjustRightInd w:val="0"/>
              <w:snapToGrid w:val="0"/>
              <w:spacing w:line="400" w:lineRule="exact"/>
              <w:ind w:firstLine="240" w:firstLineChars="100"/>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投标保证担保上传截止时间：</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11</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6</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30</w:t>
            </w:r>
            <w:r>
              <w:rPr>
                <w:rFonts w:hint="eastAsia" w:asciiTheme="minorEastAsia" w:hAnsiTheme="minorEastAsia" w:eastAsiaTheme="minorEastAsia" w:cstheme="minorEastAsia"/>
                <w:snapToGrid w:val="0"/>
                <w:color w:val="auto"/>
                <w:kern w:val="0"/>
                <w:sz w:val="24"/>
                <w:highlight w:val="none"/>
                <w:u w:val="none"/>
              </w:rPr>
              <w:t>分；</w:t>
            </w:r>
          </w:p>
          <w:p w14:paraId="6A24F0E1">
            <w:pPr>
              <w:pStyle w:val="23"/>
              <w:wordWrap w:val="0"/>
              <w:adjustRightInd w:val="0"/>
              <w:snapToGrid w:val="0"/>
              <w:spacing w:line="400" w:lineRule="exact"/>
              <w:ind w:firstLine="240" w:firstLineChars="100"/>
              <w:rPr>
                <w:rFonts w:hint="eastAsia" w:asciiTheme="minorEastAsia" w:hAnsiTheme="minorEastAsia" w:eastAsiaTheme="minorEastAsia" w:cstheme="minorEastAsia"/>
                <w:snapToGrid w:val="0"/>
                <w:color w:val="auto"/>
                <w:kern w:val="0"/>
                <w:szCs w:val="24"/>
                <w:highlight w:val="none"/>
                <w:u w:val="none"/>
              </w:rPr>
            </w:pPr>
            <w:r>
              <w:rPr>
                <w:rFonts w:hint="eastAsia" w:asciiTheme="minorEastAsia" w:hAnsiTheme="minorEastAsia" w:eastAsiaTheme="minorEastAsia" w:cstheme="minorEastAsia"/>
                <w:snapToGrid w:val="0"/>
                <w:color w:val="auto"/>
                <w:kern w:val="0"/>
                <w:szCs w:val="24"/>
                <w:highlight w:val="none"/>
                <w:u w:val="none"/>
              </w:rPr>
              <w:t>投标保证保险投保截止时间：</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11</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6</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30</w:t>
            </w:r>
            <w:r>
              <w:rPr>
                <w:rFonts w:hint="eastAsia" w:asciiTheme="minorEastAsia" w:hAnsiTheme="minorEastAsia" w:eastAsiaTheme="minorEastAsia" w:cstheme="minorEastAsia"/>
                <w:snapToGrid w:val="0"/>
                <w:color w:val="auto"/>
                <w:kern w:val="0"/>
                <w:sz w:val="24"/>
                <w:highlight w:val="none"/>
                <w:u w:val="none"/>
              </w:rPr>
              <w:t>分</w:t>
            </w:r>
            <w:r>
              <w:rPr>
                <w:rFonts w:hint="eastAsia" w:asciiTheme="minorEastAsia" w:hAnsiTheme="minorEastAsia" w:eastAsiaTheme="minorEastAsia" w:cstheme="minorEastAsia"/>
                <w:snapToGrid w:val="0"/>
                <w:color w:val="auto"/>
                <w:kern w:val="0"/>
                <w:szCs w:val="24"/>
                <w:highlight w:val="none"/>
                <w:u w:val="none"/>
              </w:rPr>
              <w:t>。</w:t>
            </w:r>
          </w:p>
        </w:tc>
      </w:tr>
      <w:tr w14:paraId="546E95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79"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020FB147">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6</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09787606">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电子投标</w:t>
            </w:r>
          </w:p>
          <w:p w14:paraId="5071D5AF">
            <w:pPr>
              <w:pStyle w:val="35"/>
              <w:wordWrap w:val="0"/>
              <w:adjustRightInd w:val="0"/>
              <w:snapToGrid w:val="0"/>
              <w:spacing w:line="360" w:lineRule="exact"/>
              <w:jc w:val="center"/>
              <w:rPr>
                <w:rFonts w:hint="eastAsia" w:asciiTheme="minorEastAsia" w:hAnsiTheme="minorEastAsia" w:eastAsiaTheme="minorEastAsia" w:cstheme="minorEastAsia"/>
                <w:strike/>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B3FF62C">
            <w:pPr>
              <w:pStyle w:val="23"/>
              <w:wordWrap w:val="0"/>
              <w:adjustRightInd w:val="0"/>
              <w:snapToGrid w:val="0"/>
              <w:spacing w:line="400" w:lineRule="exact"/>
              <w:ind w:firstLine="120" w:firstLineChars="50"/>
              <w:jc w:val="left"/>
              <w:rPr>
                <w:rFonts w:hint="eastAsia" w:asciiTheme="minorEastAsia" w:hAnsiTheme="minorEastAsia" w:eastAsiaTheme="minorEastAsia" w:cstheme="minorEastAsia"/>
                <w:snapToGrid w:val="0"/>
                <w:color w:val="auto"/>
                <w:kern w:val="0"/>
                <w:szCs w:val="24"/>
                <w:highlight w:val="none"/>
                <w:u w:val="none"/>
              </w:rPr>
            </w:pP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11</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7</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30</w:t>
            </w:r>
            <w:r>
              <w:rPr>
                <w:rFonts w:hint="eastAsia" w:asciiTheme="minorEastAsia" w:hAnsiTheme="minorEastAsia" w:eastAsiaTheme="minorEastAsia" w:cstheme="minorEastAsia"/>
                <w:snapToGrid w:val="0"/>
                <w:color w:val="auto"/>
                <w:kern w:val="0"/>
                <w:sz w:val="24"/>
                <w:highlight w:val="none"/>
                <w:u w:val="none"/>
              </w:rPr>
              <w:t>分</w:t>
            </w:r>
          </w:p>
        </w:tc>
      </w:tr>
      <w:tr w14:paraId="333A4A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62"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5F5A6049">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7</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4806C5E3">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投标相关资料（如有）递交时间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2172820F">
            <w:pPr>
              <w:pStyle w:val="23"/>
              <w:wordWrap w:val="0"/>
              <w:adjustRightInd w:val="0"/>
              <w:snapToGrid w:val="0"/>
              <w:spacing w:line="400" w:lineRule="exact"/>
              <w:jc w:val="left"/>
              <w:rPr>
                <w:rFonts w:hint="eastAsia" w:asciiTheme="minorEastAsia" w:hAnsiTheme="minorEastAsia" w:eastAsiaTheme="minorEastAsia" w:cstheme="minorEastAsia"/>
                <w:snapToGrid w:val="0"/>
                <w:color w:val="auto"/>
                <w:kern w:val="0"/>
                <w:szCs w:val="24"/>
                <w:highlight w:val="none"/>
                <w:u w:val="none"/>
              </w:rPr>
            </w:pPr>
            <w:r>
              <w:rPr>
                <w:rFonts w:hint="eastAsia" w:asciiTheme="minorEastAsia" w:hAnsiTheme="minorEastAsia" w:eastAsiaTheme="minorEastAsia" w:cstheme="minorEastAsia"/>
                <w:snapToGrid w:val="0"/>
                <w:color w:val="auto"/>
                <w:kern w:val="0"/>
                <w:szCs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11</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7</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00</w:t>
            </w:r>
            <w:r>
              <w:rPr>
                <w:rFonts w:hint="eastAsia" w:asciiTheme="minorEastAsia" w:hAnsiTheme="minorEastAsia" w:eastAsiaTheme="minorEastAsia" w:cstheme="minorEastAsia"/>
                <w:snapToGrid w:val="0"/>
                <w:color w:val="auto"/>
                <w:kern w:val="0"/>
                <w:sz w:val="24"/>
                <w:highlight w:val="none"/>
                <w:u w:val="none"/>
              </w:rPr>
              <w:t>分</w:t>
            </w:r>
            <w:r>
              <w:rPr>
                <w:rFonts w:hint="eastAsia" w:asciiTheme="minorEastAsia" w:hAnsiTheme="minorEastAsia" w:eastAsiaTheme="minorEastAsia" w:cstheme="minorEastAsia"/>
                <w:snapToGrid w:val="0"/>
                <w:color w:val="auto"/>
                <w:kern w:val="0"/>
                <w:szCs w:val="24"/>
                <w:highlight w:val="none"/>
                <w:u w:val="none"/>
              </w:rPr>
              <w:t>至</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11</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7</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30</w:t>
            </w:r>
            <w:r>
              <w:rPr>
                <w:rFonts w:hint="eastAsia" w:asciiTheme="minorEastAsia" w:hAnsiTheme="minorEastAsia" w:eastAsiaTheme="minorEastAsia" w:cstheme="minorEastAsia"/>
                <w:snapToGrid w:val="0"/>
                <w:color w:val="auto"/>
                <w:kern w:val="0"/>
                <w:sz w:val="24"/>
                <w:highlight w:val="none"/>
                <w:u w:val="none"/>
              </w:rPr>
              <w:t>分</w:t>
            </w:r>
          </w:p>
        </w:tc>
      </w:tr>
      <w:tr w14:paraId="15F004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50"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FAA8F8E">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8</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333E3242">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投标相关资料（如有）递交地点</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73E968B3">
            <w:pPr>
              <w:pStyle w:val="35"/>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递交场所：韶关市公共资源交易中心始兴分中心，</w:t>
            </w:r>
          </w:p>
          <w:p w14:paraId="70A37B9D">
            <w:pPr>
              <w:pStyle w:val="35"/>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地址：始兴县永安大道中79号行政服务大楼四楼。</w:t>
            </w:r>
          </w:p>
        </w:tc>
      </w:tr>
      <w:tr w14:paraId="2EB5CD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6"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203ABC26">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9</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365CEC3C">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开标时间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379ACEE">
            <w:pPr>
              <w:pStyle w:val="23"/>
              <w:wordWrap w:val="0"/>
              <w:adjustRightInd w:val="0"/>
              <w:snapToGrid w:val="0"/>
              <w:spacing w:line="400" w:lineRule="exact"/>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 w:val="24"/>
                <w:highlight w:val="none"/>
                <w:u w:val="single"/>
                <w:lang w:val="en-US" w:eastAsia="zh-CN"/>
              </w:rPr>
              <w:t>2025</w:t>
            </w:r>
            <w:r>
              <w:rPr>
                <w:rFonts w:hint="eastAsia" w:asciiTheme="minorEastAsia" w:hAnsiTheme="minorEastAsia" w:eastAsiaTheme="minorEastAsia" w:cstheme="minorEastAsia"/>
                <w:snapToGrid w:val="0"/>
                <w:color w:val="auto"/>
                <w:kern w:val="0"/>
                <w:sz w:val="24"/>
                <w:highlight w:val="none"/>
                <w:u w:val="none"/>
                <w:lang w:val="en-US" w:eastAsia="zh-CN"/>
              </w:rPr>
              <w:t>年</w:t>
            </w:r>
            <w:r>
              <w:rPr>
                <w:rFonts w:hint="eastAsia" w:asciiTheme="minorEastAsia" w:hAnsiTheme="minorEastAsia" w:eastAsiaTheme="minorEastAsia" w:cstheme="minorEastAsia"/>
                <w:snapToGrid w:val="0"/>
                <w:color w:val="auto"/>
                <w:kern w:val="0"/>
                <w:sz w:val="24"/>
                <w:highlight w:val="none"/>
                <w:u w:val="single"/>
                <w:lang w:val="en-US" w:eastAsia="zh-CN"/>
              </w:rPr>
              <w:t>11</w:t>
            </w:r>
            <w:r>
              <w:rPr>
                <w:rFonts w:hint="eastAsia" w:asciiTheme="minorEastAsia" w:hAnsiTheme="minorEastAsia" w:eastAsiaTheme="minorEastAsia" w:cstheme="minorEastAsia"/>
                <w:snapToGrid w:val="0"/>
                <w:color w:val="auto"/>
                <w:kern w:val="0"/>
                <w:sz w:val="24"/>
                <w:highlight w:val="none"/>
                <w:u w:val="none"/>
                <w:lang w:val="en-US" w:eastAsia="zh-CN"/>
              </w:rPr>
              <w:t>月</w:t>
            </w:r>
            <w:r>
              <w:rPr>
                <w:rFonts w:hint="eastAsia" w:asciiTheme="minorEastAsia" w:hAnsiTheme="minorEastAsia" w:eastAsiaTheme="minorEastAsia" w:cstheme="minorEastAsia"/>
                <w:snapToGrid w:val="0"/>
                <w:color w:val="auto"/>
                <w:kern w:val="0"/>
                <w:sz w:val="24"/>
                <w:highlight w:val="none"/>
                <w:u w:val="single"/>
                <w:lang w:val="en-US" w:eastAsia="zh-CN"/>
              </w:rPr>
              <w:t>7</w:t>
            </w:r>
            <w:r>
              <w:rPr>
                <w:rFonts w:hint="eastAsia" w:asciiTheme="minorEastAsia" w:hAnsiTheme="minorEastAsia" w:eastAsiaTheme="minorEastAsia" w:cstheme="minorEastAsia"/>
                <w:snapToGrid w:val="0"/>
                <w:color w:val="auto"/>
                <w:kern w:val="0"/>
                <w:sz w:val="24"/>
                <w:highlight w:val="none"/>
                <w:u w:val="none"/>
                <w:lang w:val="en-US" w:eastAsia="zh-CN"/>
              </w:rPr>
              <w:t>日</w:t>
            </w:r>
            <w:r>
              <w:rPr>
                <w:rFonts w:hint="eastAsia" w:asciiTheme="minorEastAsia" w:hAnsiTheme="minorEastAsia" w:eastAsiaTheme="minorEastAsia" w:cstheme="minorEastAsia"/>
                <w:snapToGrid w:val="0"/>
                <w:color w:val="auto"/>
                <w:kern w:val="0"/>
                <w:sz w:val="24"/>
                <w:highlight w:val="none"/>
                <w:u w:val="single"/>
                <w:lang w:val="en-US" w:eastAsia="zh-CN"/>
              </w:rPr>
              <w:t>10</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single"/>
                <w:lang w:val="en-US" w:eastAsia="zh-CN"/>
              </w:rPr>
              <w:t>30</w:t>
            </w:r>
            <w:r>
              <w:rPr>
                <w:rFonts w:hint="eastAsia" w:asciiTheme="minorEastAsia" w:hAnsiTheme="minorEastAsia" w:eastAsiaTheme="minorEastAsia" w:cstheme="minorEastAsia"/>
                <w:snapToGrid w:val="0"/>
                <w:color w:val="auto"/>
                <w:kern w:val="0"/>
                <w:sz w:val="24"/>
                <w:highlight w:val="none"/>
                <w:u w:val="none"/>
              </w:rPr>
              <w:t>分</w:t>
            </w:r>
          </w:p>
        </w:tc>
      </w:tr>
      <w:tr w14:paraId="015F67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61"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A878150">
            <w:pPr>
              <w:pStyle w:val="35"/>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10</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740D9AD5">
            <w:pPr>
              <w:pStyle w:val="35"/>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开标地点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38B8B2E1">
            <w:pPr>
              <w:pStyle w:val="35"/>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开标场所：韶关市公共资源交易中心始兴分中心，</w:t>
            </w:r>
          </w:p>
          <w:p w14:paraId="649BBE2E">
            <w:pPr>
              <w:pStyle w:val="35"/>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地址：始兴县永安大道中79号行政服务大楼四楼。 </w:t>
            </w:r>
          </w:p>
        </w:tc>
      </w:tr>
      <w:tr w14:paraId="7A2FAC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07"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62ED85FD">
            <w:pPr>
              <w:pStyle w:val="35"/>
              <w:widowControl/>
              <w:snapToGrid w:val="0"/>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11</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6BC75CCF">
            <w:pPr>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备注</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162FD23">
            <w:pPr>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投标人应按有关要求办理数字证书（CA）和企业入库、获取招标文件、资料文件及招标答疑书等。若由于投标人自身原因未能及时取得上述资料的，由此发生的任何责任由投标人自行承担。</w:t>
            </w:r>
          </w:p>
        </w:tc>
      </w:tr>
    </w:tbl>
    <w:p w14:paraId="171245CA">
      <w:pPr>
        <w:pStyle w:val="33"/>
        <w:keepNext/>
        <w:keepLines/>
        <w:tabs>
          <w:tab w:val="left" w:pos="885"/>
        </w:tabs>
        <w:ind w:left="885" w:hanging="885"/>
        <w:jc w:val="center"/>
        <w:outlineLvl w:val="1"/>
        <w:rPr>
          <w:rFonts w:hint="eastAsia" w:asciiTheme="minorEastAsia" w:hAnsiTheme="minorEastAsia" w:eastAsiaTheme="minorEastAsia" w:cstheme="minorEastAsia"/>
          <w:b/>
          <w:color w:val="auto"/>
          <w:kern w:val="44"/>
          <w:sz w:val="36"/>
          <w:szCs w:val="36"/>
          <w:highlight w:val="none"/>
        </w:rPr>
      </w:pPr>
      <w:r>
        <w:rPr>
          <w:rFonts w:hint="eastAsia" w:asciiTheme="minorEastAsia" w:hAnsiTheme="minorEastAsia" w:eastAsiaTheme="minorEastAsia" w:cstheme="minorEastAsia"/>
          <w:color w:val="auto"/>
          <w:sz w:val="24"/>
          <w:highlight w:val="none"/>
        </w:rPr>
        <w:br w:type="page"/>
      </w:r>
      <w:bookmarkStart w:id="9" w:name="_Hlt69669159"/>
      <w:bookmarkEnd w:id="9"/>
      <w:bookmarkStart w:id="10" w:name="_Toc4383"/>
      <w:bookmarkStart w:id="11" w:name="_Hlt69698705"/>
      <w:bookmarkStart w:id="12" w:name="_Hlt69698754"/>
      <w:r>
        <w:rPr>
          <w:rFonts w:hint="eastAsia" w:asciiTheme="minorEastAsia" w:hAnsiTheme="minorEastAsia" w:eastAsiaTheme="minorEastAsia" w:cstheme="minorEastAsia"/>
          <w:b/>
          <w:color w:val="auto"/>
          <w:sz w:val="36"/>
          <w:szCs w:val="36"/>
          <w:highlight w:val="none"/>
        </w:rPr>
        <w:t>第</w:t>
      </w:r>
      <w:r>
        <w:rPr>
          <w:rFonts w:hint="eastAsia" w:asciiTheme="minorEastAsia" w:hAnsiTheme="minorEastAsia" w:eastAsiaTheme="minorEastAsia" w:cstheme="minorEastAsia"/>
          <w:b/>
          <w:color w:val="auto"/>
          <w:kern w:val="44"/>
          <w:sz w:val="36"/>
          <w:szCs w:val="36"/>
          <w:highlight w:val="none"/>
        </w:rPr>
        <w:t>三节</w:t>
      </w:r>
      <w:bookmarkStart w:id="13" w:name="_Hlt87793819"/>
      <w:bookmarkEnd w:id="13"/>
      <w:r>
        <w:rPr>
          <w:rFonts w:hint="eastAsia" w:asciiTheme="minorEastAsia" w:hAnsiTheme="minorEastAsia" w:eastAsiaTheme="minorEastAsia" w:cstheme="minorEastAsia"/>
          <w:b/>
          <w:color w:val="auto"/>
          <w:kern w:val="44"/>
          <w:sz w:val="36"/>
          <w:szCs w:val="36"/>
          <w:highlight w:val="none"/>
        </w:rPr>
        <w:t xml:space="preserve"> 投标须知正文</w:t>
      </w:r>
      <w:bookmarkEnd w:id="10"/>
    </w:p>
    <w:bookmarkEnd w:id="11"/>
    <w:bookmarkEnd w:id="12"/>
    <w:p w14:paraId="01AA315E">
      <w:pPr>
        <w:pStyle w:val="7"/>
        <w:spacing w:line="400" w:lineRule="exact"/>
        <w:rPr>
          <w:rFonts w:hint="eastAsia" w:asciiTheme="minorEastAsia" w:hAnsiTheme="minorEastAsia" w:eastAsiaTheme="minorEastAsia" w:cstheme="minorEastAsia"/>
          <w:color w:val="auto"/>
          <w:sz w:val="24"/>
          <w:szCs w:val="28"/>
          <w:highlight w:val="none"/>
          <w:u w:val="single"/>
        </w:rPr>
      </w:pPr>
    </w:p>
    <w:p w14:paraId="5ABAE056">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 w:val="24"/>
          <w:szCs w:val="24"/>
          <w:highlight w:val="none"/>
        </w:rPr>
      </w:pPr>
      <w:r>
        <w:rPr>
          <w:rFonts w:hint="eastAsia" w:ascii="宋体" w:hAnsi="宋体" w:eastAsia="宋体" w:cs="宋体"/>
          <w:color w:val="auto"/>
          <w:sz w:val="24"/>
          <w:szCs w:val="24"/>
          <w:u w:val="single"/>
          <w:lang w:val="en-US" w:eastAsia="zh-CN"/>
        </w:rPr>
        <w:t>始</w:t>
      </w:r>
      <w:r>
        <w:rPr>
          <w:rFonts w:ascii="宋体" w:hAnsi="宋体" w:eastAsia="宋体" w:cs="宋体"/>
          <w:color w:val="auto"/>
          <w:sz w:val="24"/>
          <w:szCs w:val="24"/>
          <w:u w:val="single"/>
        </w:rPr>
        <w:t>兴县顿岗镇全域土地综合整治（乡村空间“三提三化”）项目光伏项目</w:t>
      </w:r>
      <w:r>
        <w:rPr>
          <w:rFonts w:hint="eastAsia" w:asciiTheme="minorEastAsia" w:hAnsiTheme="minorEastAsia" w:eastAsiaTheme="minorEastAsia" w:cstheme="minorEastAsia"/>
          <w:snapToGrid w:val="0"/>
          <w:color w:val="auto"/>
          <w:kern w:val="0"/>
          <w:szCs w:val="24"/>
          <w:highlight w:val="none"/>
        </w:rPr>
        <w:t>经</w:t>
      </w:r>
      <w:r>
        <w:rPr>
          <w:rFonts w:hint="eastAsia" w:asciiTheme="minorEastAsia" w:hAnsiTheme="minorEastAsia" w:eastAsiaTheme="minorEastAsia" w:cstheme="minorEastAsia"/>
          <w:snapToGrid w:val="0"/>
          <w:color w:val="auto"/>
          <w:kern w:val="0"/>
          <w:highlight w:val="none"/>
          <w:u w:val="single"/>
          <w:lang w:eastAsia="zh-CN"/>
        </w:rPr>
        <w:t>始兴县发展和改革局</w:t>
      </w:r>
      <w:r>
        <w:rPr>
          <w:rFonts w:hint="eastAsia" w:asciiTheme="minorEastAsia" w:hAnsiTheme="minorEastAsia" w:eastAsiaTheme="minorEastAsia" w:cstheme="minorEastAsia"/>
          <w:snapToGrid w:val="0"/>
          <w:color w:val="auto"/>
          <w:kern w:val="0"/>
          <w:szCs w:val="24"/>
          <w:highlight w:val="none"/>
          <w:u w:val="single"/>
        </w:rPr>
        <w:t>以</w:t>
      </w:r>
      <w:r>
        <w:rPr>
          <w:rFonts w:hint="eastAsia" w:asciiTheme="minorEastAsia" w:hAnsiTheme="minorEastAsia" w:eastAsiaTheme="minorEastAsia" w:cstheme="minorEastAsia"/>
          <w:snapToGrid w:val="0"/>
          <w:color w:val="auto"/>
          <w:kern w:val="0"/>
          <w:sz w:val="24"/>
          <w:szCs w:val="24"/>
          <w:highlight w:val="none"/>
          <w:u w:val="single"/>
        </w:rPr>
        <w:t xml:space="preserve"> 广东省企业投资项目备案证 </w:t>
      </w:r>
      <w:r>
        <w:rPr>
          <w:rFonts w:hint="eastAsia" w:asciiTheme="minorEastAsia" w:hAnsiTheme="minorEastAsia" w:eastAsiaTheme="minorEastAsia" w:cstheme="minorEastAsia"/>
          <w:snapToGrid w:val="0"/>
          <w:color w:val="auto"/>
          <w:kern w:val="0"/>
          <w:sz w:val="24"/>
          <w:szCs w:val="24"/>
          <w:highlight w:val="none"/>
        </w:rPr>
        <w:t>批准建设，项目代码为</w:t>
      </w:r>
      <w:r>
        <w:rPr>
          <w:rFonts w:hint="eastAsia" w:asciiTheme="minorEastAsia" w:hAnsiTheme="minorEastAsia" w:eastAsiaTheme="minorEastAsia" w:cstheme="minorEastAsia"/>
          <w:color w:val="auto"/>
          <w:kern w:val="0"/>
          <w:sz w:val="24"/>
          <w:highlight w:val="none"/>
          <w:u w:val="single"/>
          <w:lang w:eastAsia="zh-CN"/>
        </w:rPr>
        <w:t>2508-440222-04-01-307369</w:t>
      </w:r>
      <w:r>
        <w:rPr>
          <w:rFonts w:hint="eastAsia" w:asciiTheme="minorEastAsia" w:hAnsiTheme="minorEastAsia" w:eastAsiaTheme="minorEastAsia" w:cstheme="minorEastAsia"/>
          <w:snapToGrid w:val="0"/>
          <w:color w:val="auto"/>
          <w:kern w:val="0"/>
          <w:sz w:val="24"/>
          <w:szCs w:val="24"/>
          <w:highlight w:val="none"/>
        </w:rPr>
        <w:t>。本工程项目业主为</w:t>
      </w:r>
      <w:r>
        <w:rPr>
          <w:rFonts w:hint="eastAsia" w:asciiTheme="minorEastAsia" w:hAnsiTheme="minorEastAsia" w:eastAsiaTheme="minorEastAsia" w:cstheme="minorEastAsia"/>
          <w:color w:val="auto"/>
          <w:kern w:val="0"/>
          <w:sz w:val="24"/>
          <w:highlight w:val="none"/>
          <w:u w:val="single"/>
          <w:lang w:eastAsia="zh-CN"/>
        </w:rPr>
        <w:t>广东兴展土地整理开发有限公司</w:t>
      </w:r>
      <w:r>
        <w:rPr>
          <w:rFonts w:hint="eastAsia" w:asciiTheme="minorEastAsia" w:hAnsiTheme="minorEastAsia" w:eastAsiaTheme="minorEastAsia" w:cstheme="minorEastAsia"/>
          <w:snapToGrid w:val="0"/>
          <w:color w:val="auto"/>
          <w:kern w:val="0"/>
          <w:sz w:val="24"/>
          <w:szCs w:val="24"/>
          <w:highlight w:val="none"/>
        </w:rPr>
        <w:t>，建设资金来自</w:t>
      </w:r>
      <w:r>
        <w:rPr>
          <w:rFonts w:hint="eastAsia" w:asciiTheme="minorEastAsia" w:hAnsiTheme="minorEastAsia" w:eastAsiaTheme="minorEastAsia" w:cstheme="minorEastAsia"/>
          <w:snapToGrid w:val="0"/>
          <w:color w:val="auto"/>
          <w:kern w:val="0"/>
          <w:sz w:val="24"/>
          <w:szCs w:val="24"/>
          <w:highlight w:val="none"/>
          <w:u w:val="single"/>
        </w:rPr>
        <w:t xml:space="preserve">企业自筹资金 </w:t>
      </w:r>
      <w:r>
        <w:rPr>
          <w:rFonts w:hint="eastAsia" w:asciiTheme="minorEastAsia" w:hAnsiTheme="minorEastAsia" w:eastAsiaTheme="minorEastAsia" w:cstheme="minorEastAsia"/>
          <w:snapToGrid w:val="0"/>
          <w:color w:val="auto"/>
          <w:kern w:val="0"/>
          <w:sz w:val="24"/>
          <w:szCs w:val="24"/>
          <w:highlight w:val="none"/>
        </w:rPr>
        <w:t>，出资比例为</w:t>
      </w:r>
      <w:r>
        <w:rPr>
          <w:rFonts w:hint="eastAsia" w:asciiTheme="minorEastAsia" w:hAnsiTheme="minorEastAsia" w:eastAsiaTheme="minorEastAsia" w:cstheme="minorEastAsia"/>
          <w:snapToGrid w:val="0"/>
          <w:color w:val="auto"/>
          <w:kern w:val="0"/>
          <w:sz w:val="24"/>
          <w:szCs w:val="24"/>
          <w:highlight w:val="none"/>
          <w:u w:val="single"/>
        </w:rPr>
        <w:t>100%</w:t>
      </w:r>
      <w:r>
        <w:rPr>
          <w:rFonts w:hint="eastAsia" w:asciiTheme="minorEastAsia" w:hAnsiTheme="minorEastAsia" w:eastAsiaTheme="minorEastAsia" w:cstheme="minorEastAsia"/>
          <w:snapToGrid w:val="0"/>
          <w:color w:val="auto"/>
          <w:kern w:val="0"/>
          <w:sz w:val="24"/>
          <w:szCs w:val="24"/>
          <w:highlight w:val="none"/>
        </w:rPr>
        <w:t>，招标人为</w:t>
      </w:r>
      <w:r>
        <w:rPr>
          <w:rFonts w:hint="eastAsia" w:asciiTheme="minorEastAsia" w:hAnsiTheme="minorEastAsia" w:eastAsiaTheme="minorEastAsia" w:cstheme="minorEastAsia"/>
          <w:snapToGrid w:val="0"/>
          <w:color w:val="auto"/>
          <w:kern w:val="0"/>
          <w:sz w:val="24"/>
          <w:szCs w:val="24"/>
          <w:highlight w:val="none"/>
          <w:u w:val="single"/>
          <w:lang w:eastAsia="zh-CN"/>
        </w:rPr>
        <w:t>广东兴展土地整理开发有限公司</w:t>
      </w:r>
      <w:r>
        <w:rPr>
          <w:rFonts w:hint="eastAsia" w:asciiTheme="minorEastAsia" w:hAnsiTheme="minorEastAsia" w:eastAsiaTheme="minorEastAsia" w:cstheme="minorEastAsia"/>
          <w:snapToGrid w:val="0"/>
          <w:color w:val="auto"/>
          <w:kern w:val="0"/>
          <w:sz w:val="24"/>
          <w:szCs w:val="24"/>
          <w:highlight w:val="none"/>
        </w:rPr>
        <w:t>，招标代理机构为</w:t>
      </w:r>
      <w:r>
        <w:rPr>
          <w:rFonts w:hint="eastAsia" w:asciiTheme="minorEastAsia" w:hAnsiTheme="minorEastAsia" w:eastAsiaTheme="minorEastAsia" w:cstheme="minorEastAsia"/>
          <w:snapToGrid w:val="0"/>
          <w:color w:val="auto"/>
          <w:kern w:val="0"/>
          <w:sz w:val="24"/>
          <w:szCs w:val="24"/>
          <w:highlight w:val="none"/>
          <w:u w:val="single"/>
          <w:lang w:eastAsia="zh-CN"/>
        </w:rPr>
        <w:t>广东伟达工程咨询顾问有限公司</w:t>
      </w:r>
      <w:r>
        <w:rPr>
          <w:rFonts w:hint="eastAsia" w:asciiTheme="minorEastAsia" w:hAnsiTheme="minorEastAsia" w:eastAsiaTheme="minorEastAsia" w:cstheme="minorEastAsia"/>
          <w:snapToGrid w:val="0"/>
          <w:color w:val="auto"/>
          <w:kern w:val="0"/>
          <w:sz w:val="24"/>
          <w:szCs w:val="24"/>
          <w:highlight w:val="none"/>
        </w:rPr>
        <w:t>。项目已具备招标条件，现对该项目的</w:t>
      </w:r>
      <w:r>
        <w:rPr>
          <w:rFonts w:hint="eastAsia" w:asciiTheme="minorEastAsia" w:hAnsiTheme="minorEastAsia" w:eastAsiaTheme="minorEastAsia" w:cstheme="minorEastAsia"/>
          <w:snapToGrid w:val="0"/>
          <w:color w:val="auto"/>
          <w:kern w:val="0"/>
          <w:sz w:val="24"/>
          <w:szCs w:val="24"/>
          <w:highlight w:val="none"/>
          <w:u w:val="single"/>
          <w:lang w:val="en-US" w:eastAsia="zh-CN"/>
        </w:rPr>
        <w:t>设计</w:t>
      </w:r>
      <w:r>
        <w:rPr>
          <w:rFonts w:hint="eastAsia" w:asciiTheme="minorEastAsia" w:hAnsiTheme="minorEastAsia" w:eastAsiaTheme="minorEastAsia" w:cstheme="minorEastAsia"/>
          <w:color w:val="auto"/>
          <w:kern w:val="0"/>
          <w:sz w:val="24"/>
          <w:highlight w:val="none"/>
          <w:u w:val="single"/>
        </w:rPr>
        <w:t>施工总承包</w:t>
      </w:r>
      <w:r>
        <w:rPr>
          <w:rFonts w:hint="eastAsia" w:asciiTheme="minorEastAsia" w:hAnsiTheme="minorEastAsia" w:eastAsiaTheme="minorEastAsia" w:cstheme="minorEastAsia"/>
          <w:snapToGrid w:val="0"/>
          <w:color w:val="auto"/>
          <w:kern w:val="0"/>
          <w:sz w:val="24"/>
          <w:szCs w:val="24"/>
          <w:highlight w:val="none"/>
        </w:rPr>
        <w:t>进行公开招标。</w:t>
      </w:r>
    </w:p>
    <w:p w14:paraId="6ACAF18C">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p>
    <w:p w14:paraId="59DE1429">
      <w:pPr>
        <w:pStyle w:val="34"/>
        <w:keepNext/>
        <w:keepLines/>
        <w:ind w:firstLine="480"/>
        <w:jc w:val="both"/>
        <w:rPr>
          <w:rFonts w:hint="eastAsia" w:asciiTheme="minorEastAsia" w:hAnsiTheme="minorEastAsia" w:eastAsiaTheme="minorEastAsia" w:cstheme="minorEastAsia"/>
          <w:b/>
          <w:bCs/>
          <w:snapToGrid w:val="0"/>
          <w:color w:val="auto"/>
          <w:highlight w:val="none"/>
        </w:rPr>
      </w:pPr>
      <w:bookmarkStart w:id="14" w:name="_Hlt74474735"/>
      <w:bookmarkEnd w:id="14"/>
      <w:bookmarkStart w:id="15" w:name="_Hlt78795222"/>
      <w:bookmarkEnd w:id="15"/>
      <w:bookmarkStart w:id="16" w:name="_Hlt109358474"/>
      <w:bookmarkEnd w:id="16"/>
      <w:bookmarkStart w:id="17" w:name="_Hlt87948285"/>
      <w:bookmarkEnd w:id="17"/>
      <w:bookmarkStart w:id="18" w:name="_Hlt119991399"/>
      <w:bookmarkEnd w:id="18"/>
      <w:bookmarkStart w:id="19" w:name="_Toc6702"/>
      <w:bookmarkStart w:id="20" w:name="_Toc4081"/>
      <w:bookmarkStart w:id="21" w:name="_Toc24563"/>
      <w:bookmarkStart w:id="22" w:name="_Toc31976"/>
      <w:bookmarkStart w:id="23" w:name="_Toc23054"/>
      <w:bookmarkStart w:id="24" w:name="_Toc25252"/>
      <w:bookmarkStart w:id="25" w:name="_Toc18453"/>
      <w:bookmarkStart w:id="26" w:name="_Toc574"/>
      <w:bookmarkStart w:id="27" w:name="_Toc30732"/>
      <w:r>
        <w:rPr>
          <w:rFonts w:hint="eastAsia" w:asciiTheme="minorEastAsia" w:hAnsiTheme="minorEastAsia" w:eastAsiaTheme="minorEastAsia" w:cstheme="minorEastAsia"/>
          <w:b/>
          <w:color w:val="auto"/>
          <w:kern w:val="2"/>
          <w:highlight w:val="none"/>
        </w:rPr>
        <w:t>1</w:t>
      </w:r>
      <w:r>
        <w:rPr>
          <w:rFonts w:hint="eastAsia" w:asciiTheme="minorEastAsia" w:hAnsiTheme="minorEastAsia" w:eastAsiaTheme="minorEastAsia" w:cstheme="minorEastAsia"/>
          <w:b/>
          <w:color w:val="auto"/>
          <w:kern w:val="2"/>
          <w:highlight w:val="none"/>
          <w:lang w:val="en-US" w:eastAsia="zh-CN"/>
        </w:rPr>
        <w:t>.</w:t>
      </w:r>
      <w:r>
        <w:rPr>
          <w:rFonts w:hint="eastAsia" w:asciiTheme="minorEastAsia" w:hAnsiTheme="minorEastAsia" w:eastAsiaTheme="minorEastAsia" w:cstheme="minorEastAsia"/>
          <w:b/>
          <w:color w:val="auto"/>
          <w:kern w:val="2"/>
          <w:highlight w:val="none"/>
        </w:rPr>
        <w:t>工程概况综合说明</w:t>
      </w:r>
      <w:bookmarkEnd w:id="19"/>
      <w:bookmarkEnd w:id="20"/>
      <w:bookmarkEnd w:id="21"/>
      <w:bookmarkEnd w:id="22"/>
      <w:bookmarkEnd w:id="23"/>
      <w:bookmarkEnd w:id="24"/>
      <w:bookmarkEnd w:id="25"/>
      <w:bookmarkEnd w:id="26"/>
      <w:bookmarkEnd w:id="27"/>
    </w:p>
    <w:p w14:paraId="10EC1CF3">
      <w:pPr>
        <w:pStyle w:val="35"/>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1.1</w:t>
      </w:r>
      <w:r>
        <w:rPr>
          <w:rFonts w:hint="eastAsia" w:asciiTheme="minorEastAsia" w:hAnsiTheme="minorEastAsia" w:eastAsiaTheme="minorEastAsia" w:cstheme="minorEastAsia"/>
          <w:color w:val="auto"/>
          <w:sz w:val="24"/>
          <w:highlight w:val="none"/>
        </w:rPr>
        <w:t xml:space="preserve"> 工程概况</w:t>
      </w:r>
    </w:p>
    <w:p w14:paraId="1992A5DE">
      <w:pPr>
        <w:pStyle w:val="35"/>
        <w:wordWrap w:val="0"/>
        <w:adjustRightInd w:val="0"/>
        <w:snapToGrid w:val="0"/>
        <w:spacing w:line="360" w:lineRule="auto"/>
        <w:ind w:firstLine="480"/>
        <w:jc w:val="left"/>
        <w:rPr>
          <w:rFonts w:hint="eastAsia" w:asciiTheme="minorEastAsia" w:hAnsiTheme="minorEastAsia" w:eastAsiaTheme="minorEastAsia" w:cstheme="minorEastAsia"/>
          <w:color w:val="auto"/>
          <w:sz w:val="24"/>
          <w:szCs w:val="18"/>
          <w:highlight w:val="none"/>
          <w:u w:val="single"/>
          <w:lang w:eastAsia="zh-CN"/>
        </w:rPr>
      </w:pPr>
      <w:r>
        <w:rPr>
          <w:rFonts w:hint="eastAsia" w:asciiTheme="minorEastAsia" w:hAnsiTheme="minorEastAsia" w:eastAsiaTheme="minorEastAsia" w:cstheme="minorEastAsia"/>
          <w:b/>
          <w:bCs/>
          <w:color w:val="auto"/>
          <w:sz w:val="24"/>
          <w:highlight w:val="none"/>
        </w:rPr>
        <w:t>1.1.1</w:t>
      </w:r>
      <w:r>
        <w:rPr>
          <w:rFonts w:hint="eastAsia" w:asciiTheme="minorEastAsia" w:hAnsiTheme="minorEastAsia" w:eastAsiaTheme="minorEastAsia" w:cstheme="minorEastAsia"/>
          <w:color w:val="auto"/>
          <w:sz w:val="24"/>
          <w:highlight w:val="none"/>
        </w:rPr>
        <w:t xml:space="preserve"> 建设地点：</w:t>
      </w:r>
      <w:r>
        <w:rPr>
          <w:rFonts w:hint="eastAsia" w:asciiTheme="minorEastAsia" w:hAnsiTheme="minorEastAsia" w:eastAsiaTheme="minorEastAsia" w:cstheme="minorEastAsia"/>
          <w:snapToGrid w:val="0"/>
          <w:color w:val="auto"/>
          <w:kern w:val="0"/>
          <w:sz w:val="24"/>
          <w:highlight w:val="none"/>
          <w:u w:val="single"/>
          <w:lang w:eastAsia="zh-CN"/>
        </w:rPr>
        <w:t>始兴县顿岗镇全域土地综合整治项目区域内</w:t>
      </w:r>
    </w:p>
    <w:p w14:paraId="50186313">
      <w:pPr>
        <w:pStyle w:val="35"/>
        <w:wordWrap w:val="0"/>
        <w:adjustRightInd w:val="0"/>
        <w:snapToGrid w:val="0"/>
        <w:spacing w:line="360" w:lineRule="auto"/>
        <w:ind w:firstLine="480"/>
        <w:jc w:val="left"/>
        <w:rPr>
          <w:rFonts w:hint="eastAsia" w:asciiTheme="minorEastAsia" w:hAnsiTheme="minorEastAsia" w:eastAsiaTheme="minorEastAsia" w:cstheme="minorEastAsia"/>
          <w:b w:val="0"/>
          <w:bCs w:val="0"/>
          <w:color w:val="auto"/>
          <w:sz w:val="24"/>
          <w:szCs w:val="24"/>
          <w:highlight w:val="none"/>
          <w:u w:val="single"/>
          <w:lang w:val="en-US" w:eastAsia="zh-CN"/>
        </w:rPr>
      </w:pPr>
      <w:r>
        <w:rPr>
          <w:rFonts w:hint="eastAsia" w:asciiTheme="minorEastAsia" w:hAnsiTheme="minorEastAsia" w:eastAsiaTheme="minorEastAsia" w:cstheme="minorEastAsia"/>
          <w:b/>
          <w:bCs/>
          <w:color w:val="auto"/>
          <w:sz w:val="24"/>
          <w:szCs w:val="24"/>
          <w:highlight w:val="none"/>
          <w:lang w:val="en-US" w:eastAsia="zh-CN"/>
        </w:rPr>
        <w:t>1.1.2</w:t>
      </w:r>
      <w:r>
        <w:rPr>
          <w:rFonts w:hint="eastAsia" w:asciiTheme="minorEastAsia" w:hAnsiTheme="minorEastAsia" w:eastAsiaTheme="minorEastAsia" w:cstheme="minorEastAsia"/>
          <w:b w:val="0"/>
          <w:bCs w:val="0"/>
          <w:color w:val="auto"/>
          <w:sz w:val="24"/>
          <w:szCs w:val="24"/>
          <w:highlight w:val="none"/>
        </w:rPr>
        <w:t>建设内容和规模：</w:t>
      </w:r>
      <w:r>
        <w:rPr>
          <w:rFonts w:hint="eastAsia" w:asciiTheme="minorEastAsia" w:hAnsiTheme="minorEastAsia" w:eastAsiaTheme="minorEastAsia" w:cstheme="minorEastAsia"/>
          <w:b w:val="0"/>
          <w:bCs w:val="0"/>
          <w:color w:val="auto"/>
          <w:sz w:val="24"/>
          <w:szCs w:val="24"/>
          <w:highlight w:val="none"/>
          <w:u w:val="single"/>
          <w:lang w:val="en-US" w:eastAsia="zh-CN"/>
        </w:rPr>
        <w:t>光伏3.6MW及附属设施；3台容量设计分别为630kVA、1250kVA、1600kVA的箱变及附属设施；储能柜260kWh以及160kw充电桩一台（一拖四）及周所村未来社区地块一1-17栋相关永电工程。</w:t>
      </w:r>
    </w:p>
    <w:p w14:paraId="5B9D0E14">
      <w:pPr>
        <w:widowControl/>
        <w:spacing w:line="360" w:lineRule="auto"/>
        <w:ind w:left="511" w:leftChars="213"/>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szCs w:val="24"/>
          <w:highlight w:val="none"/>
        </w:rPr>
        <w:t>1.1.</w:t>
      </w:r>
      <w:r>
        <w:rPr>
          <w:rFonts w:hint="eastAsia" w:asciiTheme="minorEastAsia" w:hAnsiTheme="minorEastAsia" w:eastAsiaTheme="minorEastAsia" w:cstheme="minorEastAsia"/>
          <w:b/>
          <w:bCs/>
          <w:color w:val="auto"/>
          <w:szCs w:val="24"/>
          <w:highlight w:val="none"/>
          <w:lang w:val="en-US" w:eastAsia="zh-CN"/>
        </w:rPr>
        <w:t>3</w:t>
      </w:r>
      <w:r>
        <w:rPr>
          <w:rFonts w:hint="eastAsia" w:asciiTheme="minorEastAsia" w:hAnsiTheme="minorEastAsia" w:eastAsiaTheme="minorEastAsia" w:cstheme="minorEastAsia"/>
          <w:color w:val="auto"/>
          <w:szCs w:val="24"/>
          <w:highlight w:val="none"/>
        </w:rPr>
        <w:t>项目总投资：</w:t>
      </w:r>
      <w:bookmarkStart w:id="28" w:name="_Toc20999"/>
      <w:r>
        <w:rPr>
          <w:rFonts w:hint="eastAsia" w:asciiTheme="minorEastAsia" w:hAnsiTheme="minorEastAsia" w:eastAsiaTheme="minorEastAsia" w:cstheme="minorEastAsia"/>
          <w:color w:val="auto"/>
          <w:szCs w:val="24"/>
          <w:highlight w:val="none"/>
          <w:u w:val="single"/>
          <w:lang w:eastAsia="zh-CN"/>
        </w:rPr>
        <w:t>工程总投资</w:t>
      </w:r>
      <w:r>
        <w:rPr>
          <w:rFonts w:hint="eastAsia" w:asciiTheme="minorEastAsia" w:hAnsiTheme="minorEastAsia" w:eastAsiaTheme="minorEastAsia" w:cstheme="minorEastAsia"/>
          <w:color w:val="auto"/>
          <w:szCs w:val="24"/>
          <w:highlight w:val="none"/>
          <w:u w:val="single"/>
          <w:lang w:val="en-US" w:eastAsia="zh-CN"/>
        </w:rPr>
        <w:t>约1525万元</w:t>
      </w:r>
      <w:r>
        <w:rPr>
          <w:rFonts w:hint="eastAsia" w:asciiTheme="minorEastAsia" w:hAnsiTheme="minorEastAsia" w:eastAsiaTheme="minorEastAsia" w:cstheme="minorEastAsia"/>
          <w:color w:val="auto"/>
          <w:szCs w:val="24"/>
          <w:highlight w:val="none"/>
          <w:u w:val="single"/>
          <w:lang w:eastAsia="zh-CN"/>
        </w:rPr>
        <w:t>。</w:t>
      </w:r>
    </w:p>
    <w:p w14:paraId="2A25A40B">
      <w:pPr>
        <w:widowControl/>
        <w:spacing w:line="360" w:lineRule="auto"/>
        <w:ind w:left="511" w:leftChars="213"/>
        <w:rPr>
          <w:rFonts w:hint="eastAsia" w:asciiTheme="minorEastAsia" w:hAnsiTheme="minorEastAsia" w:eastAsiaTheme="minorEastAsia" w:cstheme="minorEastAsia"/>
          <w:snapToGrid w:val="0"/>
          <w:color w:val="auto"/>
          <w:kern w:val="0"/>
          <w:highlight w:val="none"/>
          <w:u w:val="single"/>
          <w:lang w:eastAsia="zh-CN"/>
        </w:rPr>
      </w:pPr>
      <w:r>
        <w:rPr>
          <w:rFonts w:hint="eastAsia" w:asciiTheme="minorEastAsia" w:hAnsiTheme="minorEastAsia" w:eastAsiaTheme="minorEastAsia" w:cstheme="minorEastAsia"/>
          <w:b/>
          <w:bCs/>
          <w:snapToGrid w:val="0"/>
          <w:color w:val="auto"/>
          <w:kern w:val="0"/>
          <w:highlight w:val="none"/>
        </w:rPr>
        <w:t>1.2</w:t>
      </w:r>
      <w:r>
        <w:rPr>
          <w:rFonts w:hint="eastAsia" w:asciiTheme="minorEastAsia" w:hAnsiTheme="minorEastAsia" w:eastAsiaTheme="minorEastAsia" w:cstheme="minorEastAsia"/>
          <w:snapToGrid w:val="0"/>
          <w:color w:val="auto"/>
          <w:kern w:val="0"/>
          <w:highlight w:val="none"/>
        </w:rPr>
        <w:t xml:space="preserve"> 标段划分：</w:t>
      </w:r>
      <w:bookmarkEnd w:id="28"/>
      <w:r>
        <w:rPr>
          <w:rFonts w:hint="eastAsia" w:asciiTheme="minorEastAsia" w:hAnsiTheme="minorEastAsia" w:eastAsiaTheme="minorEastAsia" w:cstheme="minorEastAsia"/>
          <w:snapToGrid w:val="0"/>
          <w:color w:val="auto"/>
          <w:kern w:val="0"/>
          <w:szCs w:val="24"/>
          <w:highlight w:val="none"/>
          <w:u w:val="single"/>
          <w:lang w:eastAsia="zh-CN"/>
        </w:rPr>
        <w:t>本招标项目不划分标段。</w:t>
      </w:r>
    </w:p>
    <w:p w14:paraId="181C6D3A">
      <w:pPr>
        <w:pStyle w:val="32"/>
        <w:ind w:firstLine="482"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1.3</w:t>
      </w:r>
      <w:r>
        <w:rPr>
          <w:rFonts w:hint="eastAsia" w:asciiTheme="minorEastAsia" w:hAnsiTheme="minorEastAsia" w:eastAsiaTheme="minorEastAsia" w:cstheme="minorEastAsia"/>
          <w:color w:val="auto"/>
          <w:szCs w:val="24"/>
          <w:highlight w:val="none"/>
        </w:rPr>
        <w:t xml:space="preserve"> 投标费用：</w:t>
      </w:r>
      <w:r>
        <w:rPr>
          <w:rFonts w:hint="eastAsia" w:asciiTheme="minorEastAsia" w:hAnsiTheme="minorEastAsia" w:eastAsiaTheme="minorEastAsia" w:cstheme="minorEastAsia"/>
          <w:color w:val="auto"/>
          <w:szCs w:val="24"/>
          <w:highlight w:val="none"/>
          <w:u w:val="single"/>
        </w:rPr>
        <w:t>投标人应承担所有准备和参加投标的相关费用，不论投标结果如何，招标人均无义务和责任承担这些费用</w:t>
      </w:r>
      <w:r>
        <w:rPr>
          <w:rFonts w:hint="eastAsia" w:asciiTheme="minorEastAsia" w:hAnsiTheme="minorEastAsia" w:eastAsiaTheme="minorEastAsia" w:cstheme="minorEastAsia"/>
          <w:color w:val="auto"/>
          <w:szCs w:val="24"/>
          <w:highlight w:val="none"/>
        </w:rPr>
        <w:t>。</w:t>
      </w:r>
      <w:bookmarkStart w:id="29" w:name="_Toc106184808"/>
    </w:p>
    <w:p w14:paraId="46891648">
      <w:pPr>
        <w:pStyle w:val="34"/>
        <w:keepNext/>
        <w:keepLines/>
        <w:ind w:firstLine="480"/>
        <w:jc w:val="both"/>
        <w:rPr>
          <w:rFonts w:hint="eastAsia" w:asciiTheme="minorEastAsia" w:hAnsiTheme="minorEastAsia" w:eastAsiaTheme="minorEastAsia" w:cstheme="minorEastAsia"/>
          <w:b/>
          <w:color w:val="auto"/>
          <w:kern w:val="2"/>
          <w:highlight w:val="none"/>
        </w:rPr>
      </w:pPr>
      <w:bookmarkStart w:id="30" w:name="_Toc17359"/>
      <w:bookmarkStart w:id="31" w:name="_Toc11326"/>
      <w:bookmarkStart w:id="32" w:name="_Toc22550"/>
      <w:bookmarkStart w:id="33" w:name="_Toc7700"/>
      <w:bookmarkStart w:id="34" w:name="_Toc12190"/>
      <w:bookmarkStart w:id="35" w:name="_Toc32400"/>
      <w:bookmarkStart w:id="36" w:name="_Toc121"/>
      <w:bookmarkStart w:id="37" w:name="_Toc18851"/>
      <w:bookmarkStart w:id="38" w:name="_Toc14958"/>
      <w:r>
        <w:rPr>
          <w:rFonts w:hint="eastAsia" w:asciiTheme="minorEastAsia" w:hAnsiTheme="minorEastAsia" w:eastAsiaTheme="minorEastAsia" w:cstheme="minorEastAsia"/>
          <w:b/>
          <w:color w:val="auto"/>
          <w:kern w:val="2"/>
          <w:highlight w:val="none"/>
        </w:rPr>
        <w:t>2</w:t>
      </w:r>
      <w:r>
        <w:rPr>
          <w:rFonts w:hint="eastAsia" w:asciiTheme="minorEastAsia" w:hAnsiTheme="minorEastAsia" w:eastAsiaTheme="minorEastAsia" w:cstheme="minorEastAsia"/>
          <w:b/>
          <w:color w:val="auto"/>
          <w:kern w:val="2"/>
          <w:highlight w:val="none"/>
          <w:lang w:val="en-US" w:eastAsia="zh-CN"/>
        </w:rPr>
        <w:t>.</w:t>
      </w:r>
      <w:r>
        <w:rPr>
          <w:rFonts w:hint="eastAsia" w:asciiTheme="minorEastAsia" w:hAnsiTheme="minorEastAsia" w:eastAsiaTheme="minorEastAsia" w:cstheme="minorEastAsia"/>
          <w:b/>
          <w:color w:val="auto"/>
          <w:kern w:val="2"/>
          <w:highlight w:val="none"/>
        </w:rPr>
        <w:t>招标范围</w:t>
      </w:r>
      <w:bookmarkEnd w:id="29"/>
      <w:bookmarkEnd w:id="30"/>
      <w:bookmarkEnd w:id="31"/>
      <w:bookmarkEnd w:id="32"/>
      <w:bookmarkEnd w:id="33"/>
      <w:bookmarkEnd w:id="34"/>
      <w:bookmarkEnd w:id="35"/>
      <w:bookmarkEnd w:id="36"/>
      <w:bookmarkEnd w:id="37"/>
      <w:bookmarkEnd w:id="38"/>
    </w:p>
    <w:p w14:paraId="12D33BE7">
      <w:pPr>
        <w:pStyle w:val="32"/>
        <w:ind w:firstLine="482" w:firstLineChars="200"/>
        <w:jc w:val="left"/>
        <w:rPr>
          <w:rFonts w:hint="eastAsia" w:asciiTheme="minorEastAsia" w:hAnsiTheme="minorEastAsia" w:eastAsiaTheme="minorEastAsia" w:cstheme="minorEastAsia"/>
          <w:snapToGrid w:val="0"/>
          <w:color w:val="auto"/>
          <w:kern w:val="0"/>
          <w:highlight w:val="none"/>
        </w:rPr>
      </w:pPr>
      <w:bookmarkStart w:id="39" w:name="_Hlt91408212"/>
      <w:bookmarkEnd w:id="39"/>
      <w:r>
        <w:rPr>
          <w:rFonts w:hint="eastAsia" w:asciiTheme="minorEastAsia" w:hAnsiTheme="minorEastAsia" w:eastAsiaTheme="minorEastAsia" w:cstheme="minorEastAsia"/>
          <w:b/>
          <w:bCs/>
          <w:color w:val="auto"/>
          <w:sz w:val="24"/>
          <w:szCs w:val="24"/>
          <w:highlight w:val="none"/>
        </w:rPr>
        <w:t>2.1</w:t>
      </w:r>
      <w:r>
        <w:rPr>
          <w:rFonts w:hint="eastAsia" w:asciiTheme="minorEastAsia" w:hAnsiTheme="minorEastAsia" w:eastAsiaTheme="minorEastAsia" w:cstheme="minorEastAsia"/>
          <w:color w:val="auto"/>
          <w:sz w:val="24"/>
          <w:szCs w:val="24"/>
          <w:highlight w:val="none"/>
        </w:rPr>
        <w:t>招标范围：</w:t>
      </w:r>
      <w:bookmarkStart w:id="40" w:name="_Toc1366"/>
      <w:bookmarkStart w:id="41" w:name="_Toc26845"/>
      <w:bookmarkStart w:id="42" w:name="_Toc708"/>
      <w:bookmarkStart w:id="43" w:name="_Toc32739"/>
      <w:bookmarkStart w:id="44" w:name="_Toc2350"/>
      <w:bookmarkStart w:id="45" w:name="_Toc27886"/>
      <w:bookmarkStart w:id="46" w:name="_Toc2217"/>
      <w:bookmarkStart w:id="47" w:name="_Toc21803"/>
      <w:r>
        <w:rPr>
          <w:rFonts w:hint="eastAsia" w:asciiTheme="minorEastAsia" w:hAnsiTheme="minorEastAsia" w:eastAsiaTheme="minorEastAsia" w:cstheme="minorEastAsia"/>
          <w:snapToGrid w:val="0"/>
          <w:color w:val="auto"/>
          <w:kern w:val="0"/>
          <w:highlight w:val="none"/>
        </w:rPr>
        <w:t>本工程所涉及的内容包括但不限于以下（1）和（2）：</w:t>
      </w:r>
    </w:p>
    <w:p w14:paraId="1D8D7BC6">
      <w:pPr>
        <w:pStyle w:val="32"/>
        <w:ind w:firstLine="240" w:firstLineChars="100"/>
        <w:jc w:val="left"/>
        <w:rPr>
          <w:rFonts w:hint="eastAsia" w:asciiTheme="minorEastAsia" w:hAnsiTheme="minorEastAsia" w:eastAsiaTheme="minorEastAsia" w:cstheme="minorEastAsia"/>
          <w:snapToGrid w:val="0"/>
          <w:color w:val="auto"/>
          <w:kern w:val="0"/>
          <w:highlight w:val="none"/>
          <w:lang w:eastAsia="zh-CN"/>
        </w:rPr>
      </w:pPr>
      <w:r>
        <w:rPr>
          <w:rFonts w:hint="eastAsia" w:asciiTheme="minorEastAsia" w:hAnsiTheme="minorEastAsia" w:eastAsiaTheme="minorEastAsia" w:cstheme="minorEastAsia"/>
          <w:snapToGrid w:val="0"/>
          <w:color w:val="auto"/>
          <w:kern w:val="0"/>
          <w:highlight w:val="none"/>
          <w:lang w:eastAsia="zh-CN"/>
        </w:rPr>
        <w:t>（</w:t>
      </w:r>
      <w:r>
        <w:rPr>
          <w:rFonts w:hint="eastAsia" w:asciiTheme="minorEastAsia" w:hAnsiTheme="minorEastAsia" w:eastAsiaTheme="minorEastAsia" w:cstheme="minorEastAsia"/>
          <w:snapToGrid w:val="0"/>
          <w:color w:val="auto"/>
          <w:kern w:val="0"/>
          <w:highlight w:val="none"/>
          <w:lang w:val="en-US" w:eastAsia="zh-CN"/>
        </w:rPr>
        <w:t>1</w:t>
      </w:r>
      <w:r>
        <w:rPr>
          <w:rFonts w:hint="eastAsia" w:asciiTheme="minorEastAsia" w:hAnsiTheme="minorEastAsia" w:eastAsiaTheme="minorEastAsia" w:cstheme="minorEastAsia"/>
          <w:snapToGrid w:val="0"/>
          <w:color w:val="auto"/>
          <w:kern w:val="0"/>
          <w:highlight w:val="none"/>
          <w:lang w:eastAsia="zh-CN"/>
        </w:rPr>
        <w:t>）设计部分：本项目的设计范围：确保项目顺利实施的规划、报建、施工等所需的所有建安工程等设计文件。包括：施工图设计、施工图审查、验收过程中的设计指导及配合阶段验收等。</w:t>
      </w:r>
    </w:p>
    <w:p w14:paraId="798000B5">
      <w:pPr>
        <w:pStyle w:val="32"/>
        <w:ind w:firstLine="240" w:firstLineChars="100"/>
        <w:jc w:val="left"/>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（2）施工部分：设计文件及工程量清单范围内的所有工程及配套工程、设施等的施工。</w:t>
      </w:r>
    </w:p>
    <w:p w14:paraId="26A08C9E">
      <w:pPr>
        <w:pStyle w:val="34"/>
        <w:keepNext/>
        <w:keepLines/>
        <w:ind w:firstLine="480"/>
        <w:jc w:val="both"/>
        <w:rPr>
          <w:rFonts w:hint="eastAsia" w:asciiTheme="minorEastAsia" w:hAnsiTheme="minorEastAsia" w:eastAsiaTheme="minorEastAsia" w:cstheme="minorEastAsia"/>
          <w:b/>
          <w:color w:val="auto"/>
          <w:kern w:val="2"/>
          <w:szCs w:val="22"/>
          <w:highlight w:val="none"/>
        </w:rPr>
      </w:pPr>
      <w:bookmarkStart w:id="48" w:name="_Toc18179"/>
      <w:r>
        <w:rPr>
          <w:rFonts w:hint="eastAsia" w:asciiTheme="minorEastAsia" w:hAnsiTheme="minorEastAsia" w:eastAsiaTheme="minorEastAsia" w:cstheme="minorEastAsia"/>
          <w:b/>
          <w:color w:val="auto"/>
          <w:kern w:val="2"/>
          <w:szCs w:val="22"/>
          <w:highlight w:val="none"/>
        </w:rPr>
        <w:t>3</w:t>
      </w:r>
      <w:bookmarkStart w:id="49" w:name="_Hlt66187826"/>
      <w:bookmarkEnd w:id="49"/>
      <w:r>
        <w:rPr>
          <w:rFonts w:hint="eastAsia" w:asciiTheme="minorEastAsia" w:hAnsiTheme="minorEastAsia" w:eastAsiaTheme="minorEastAsia" w:cstheme="minorEastAsia"/>
          <w:b/>
          <w:color w:val="auto"/>
          <w:kern w:val="2"/>
          <w:szCs w:val="22"/>
          <w:highlight w:val="none"/>
          <w:lang w:val="en-US" w:eastAsia="zh-CN"/>
        </w:rPr>
        <w:t>.</w:t>
      </w:r>
      <w:r>
        <w:rPr>
          <w:rFonts w:hint="eastAsia" w:asciiTheme="minorEastAsia" w:hAnsiTheme="minorEastAsia" w:eastAsiaTheme="minorEastAsia" w:cstheme="minorEastAsia"/>
          <w:b/>
          <w:color w:val="auto"/>
          <w:kern w:val="2"/>
          <w:szCs w:val="22"/>
          <w:highlight w:val="none"/>
        </w:rPr>
        <w:t>工期</w:t>
      </w:r>
      <w:bookmarkEnd w:id="40"/>
      <w:bookmarkEnd w:id="41"/>
      <w:bookmarkEnd w:id="42"/>
      <w:bookmarkEnd w:id="43"/>
      <w:bookmarkEnd w:id="44"/>
      <w:bookmarkEnd w:id="45"/>
      <w:bookmarkEnd w:id="46"/>
      <w:bookmarkEnd w:id="47"/>
      <w:bookmarkEnd w:id="48"/>
    </w:p>
    <w:p w14:paraId="5947A721">
      <w:pPr>
        <w:pStyle w:val="32"/>
        <w:ind w:firstLine="482"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highlight w:val="none"/>
        </w:rPr>
        <w:t>3.1</w:t>
      </w:r>
      <w:r>
        <w:rPr>
          <w:rFonts w:hint="eastAsia" w:asciiTheme="minorEastAsia" w:hAnsiTheme="minorEastAsia" w:eastAsiaTheme="minorEastAsia" w:cstheme="minorEastAsia"/>
          <w:color w:val="auto"/>
          <w:highlight w:val="none"/>
        </w:rPr>
        <w:t xml:space="preserve"> 本工程工期为：</w:t>
      </w:r>
      <w:r>
        <w:rPr>
          <w:rFonts w:hint="eastAsia" w:asciiTheme="minorEastAsia" w:hAnsiTheme="minorEastAsia" w:eastAsiaTheme="minorEastAsia" w:cstheme="minorEastAsia"/>
          <w:color w:val="auto"/>
          <w:kern w:val="0"/>
          <w:highlight w:val="none"/>
          <w:lang w:val="en-US" w:eastAsia="zh-CN"/>
        </w:rPr>
        <w:t>110</w:t>
      </w:r>
      <w:r>
        <w:rPr>
          <w:rFonts w:hint="eastAsia" w:asciiTheme="minorEastAsia" w:hAnsiTheme="minorEastAsia" w:eastAsiaTheme="minorEastAsia" w:cstheme="minorEastAsia"/>
          <w:color w:val="auto"/>
          <w:kern w:val="0"/>
          <w:highlight w:val="none"/>
          <w:lang w:eastAsia="zh-CN"/>
        </w:rPr>
        <w:t>日历天【其中：设计工期</w:t>
      </w:r>
      <w:r>
        <w:rPr>
          <w:rFonts w:hint="eastAsia" w:asciiTheme="minorEastAsia" w:hAnsiTheme="minorEastAsia" w:eastAsiaTheme="minorEastAsia" w:cstheme="minorEastAsia"/>
          <w:color w:val="auto"/>
          <w:kern w:val="0"/>
          <w:highlight w:val="none"/>
          <w:lang w:val="en-US" w:eastAsia="zh-CN"/>
        </w:rPr>
        <w:t>20</w:t>
      </w:r>
      <w:r>
        <w:rPr>
          <w:rFonts w:hint="eastAsia" w:asciiTheme="minorEastAsia" w:hAnsiTheme="minorEastAsia" w:eastAsiaTheme="minorEastAsia" w:cstheme="minorEastAsia"/>
          <w:color w:val="auto"/>
          <w:kern w:val="0"/>
          <w:highlight w:val="none"/>
          <w:lang w:eastAsia="zh-CN"/>
        </w:rPr>
        <w:t>日历天、施工工期</w:t>
      </w:r>
      <w:r>
        <w:rPr>
          <w:rFonts w:hint="eastAsia" w:asciiTheme="minorEastAsia" w:hAnsiTheme="minorEastAsia" w:eastAsiaTheme="minorEastAsia" w:cstheme="minorEastAsia"/>
          <w:color w:val="auto"/>
          <w:kern w:val="0"/>
          <w:highlight w:val="none"/>
          <w:lang w:val="en-US" w:eastAsia="zh-CN"/>
        </w:rPr>
        <w:t>90</w:t>
      </w:r>
      <w:r>
        <w:rPr>
          <w:rFonts w:hint="eastAsia" w:asciiTheme="minorEastAsia" w:hAnsiTheme="minorEastAsia" w:eastAsiaTheme="minorEastAsia" w:cstheme="minorEastAsia"/>
          <w:color w:val="auto"/>
          <w:kern w:val="0"/>
          <w:highlight w:val="none"/>
          <w:lang w:eastAsia="zh-CN"/>
        </w:rPr>
        <w:t>日历天】，</w:t>
      </w:r>
      <w:r>
        <w:rPr>
          <w:rFonts w:hint="eastAsia" w:asciiTheme="minorEastAsia" w:hAnsiTheme="minorEastAsia" w:eastAsiaTheme="minorEastAsia" w:cstheme="minorEastAsia"/>
          <w:color w:val="auto"/>
          <w:kern w:val="0"/>
          <w:highlight w:val="none"/>
        </w:rPr>
        <w:t>中标人必须在所要求的工期内完成全部工程。</w:t>
      </w:r>
    </w:p>
    <w:p w14:paraId="70883EF8">
      <w:pPr>
        <w:pStyle w:val="32"/>
        <w:ind w:firstLine="482" w:firstLineChars="200"/>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b/>
          <w:color w:val="auto"/>
          <w:kern w:val="44"/>
          <w:highlight w:val="none"/>
        </w:rPr>
        <w:t>3.</w:t>
      </w:r>
      <w:r>
        <w:rPr>
          <w:rFonts w:hint="eastAsia" w:asciiTheme="minorEastAsia" w:hAnsiTheme="minorEastAsia" w:eastAsiaTheme="minorEastAsia" w:cstheme="minorEastAsia"/>
          <w:b/>
          <w:color w:val="auto"/>
          <w:kern w:val="44"/>
          <w:highlight w:val="none"/>
          <w:lang w:val="en-US" w:eastAsia="zh-CN"/>
        </w:rPr>
        <w:t>2</w:t>
      </w:r>
      <w:r>
        <w:rPr>
          <w:rFonts w:hint="eastAsia" w:asciiTheme="minorEastAsia" w:hAnsiTheme="minorEastAsia" w:eastAsiaTheme="minorEastAsia" w:cstheme="minorEastAsia"/>
          <w:color w:val="auto"/>
          <w:highlight w:val="none"/>
        </w:rPr>
        <w:t>设计工期自</w:t>
      </w:r>
      <w:r>
        <w:rPr>
          <w:rFonts w:hint="eastAsia" w:asciiTheme="minorEastAsia" w:hAnsiTheme="minorEastAsia" w:eastAsiaTheme="minorEastAsia" w:cstheme="minorEastAsia"/>
          <w:color w:val="auto"/>
          <w:szCs w:val="24"/>
          <w:highlight w:val="none"/>
        </w:rPr>
        <w:t>中标通知书发出之日</w:t>
      </w:r>
      <w:r>
        <w:rPr>
          <w:rFonts w:hint="eastAsia" w:asciiTheme="minorEastAsia" w:hAnsiTheme="minorEastAsia" w:eastAsiaTheme="minorEastAsia" w:cstheme="minorEastAsia"/>
          <w:color w:val="auto"/>
          <w:highlight w:val="none"/>
        </w:rPr>
        <w:t>起计算，至提交符合招标人及审图机构要求的施工图设计文件以及符合要求的施工图预算之日止</w:t>
      </w:r>
      <w:r>
        <w:rPr>
          <w:rFonts w:hint="eastAsia" w:asciiTheme="minorEastAsia" w:hAnsiTheme="minorEastAsia" w:eastAsiaTheme="minorEastAsia" w:cstheme="minorEastAsia"/>
          <w:color w:val="auto"/>
          <w:highlight w:val="none"/>
          <w:lang w:val="zh-CN"/>
        </w:rPr>
        <w:t>。</w:t>
      </w:r>
    </w:p>
    <w:p w14:paraId="7C53E1A4">
      <w:pPr>
        <w:pStyle w:val="32"/>
        <w:ind w:firstLine="48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color w:val="auto"/>
          <w:highlight w:val="none"/>
        </w:rPr>
        <w:t>3</w:t>
      </w:r>
      <w:r>
        <w:rPr>
          <w:rFonts w:hint="eastAsia" w:asciiTheme="minorEastAsia" w:hAnsiTheme="minorEastAsia" w:eastAsiaTheme="minorEastAsia" w:cstheme="minorEastAsia"/>
          <w:b/>
          <w:bCs/>
          <w:color w:val="auto"/>
          <w:highlight w:val="none"/>
          <w:lang w:val="zh-CN"/>
        </w:rPr>
        <w:t>.</w:t>
      </w:r>
      <w:r>
        <w:rPr>
          <w:rFonts w:hint="eastAsia" w:asciiTheme="minorEastAsia" w:hAnsiTheme="minorEastAsia" w:eastAsiaTheme="minorEastAsia" w:cstheme="minorEastAsia"/>
          <w:b/>
          <w:bCs/>
          <w:color w:val="auto"/>
          <w:highlight w:val="none"/>
          <w:lang w:val="en-US" w:eastAsia="zh-CN"/>
        </w:rPr>
        <w:t>3</w:t>
      </w:r>
      <w:r>
        <w:rPr>
          <w:rFonts w:hint="eastAsia" w:asciiTheme="minorEastAsia" w:hAnsiTheme="minorEastAsia" w:eastAsiaTheme="minorEastAsia" w:cstheme="minorEastAsia"/>
          <w:color w:val="auto"/>
          <w:highlight w:val="none"/>
          <w:lang w:val="zh-CN"/>
        </w:rPr>
        <w:t xml:space="preserve"> 施工工期从开工令签发之日起计，至竣工验收之日止。</w:t>
      </w:r>
      <w:bookmarkStart w:id="50" w:name="_Toc11872"/>
    </w:p>
    <w:p w14:paraId="0D552480">
      <w:pPr>
        <w:pStyle w:val="34"/>
        <w:keepNext/>
        <w:keepLines/>
        <w:ind w:firstLine="482" w:firstLineChars="200"/>
        <w:jc w:val="both"/>
        <w:rPr>
          <w:rFonts w:hint="eastAsia" w:asciiTheme="minorEastAsia" w:hAnsiTheme="minorEastAsia" w:eastAsiaTheme="minorEastAsia" w:cstheme="minorEastAsia"/>
          <w:b/>
          <w:color w:val="auto"/>
          <w:kern w:val="2"/>
          <w:szCs w:val="24"/>
          <w:highlight w:val="none"/>
        </w:rPr>
      </w:pPr>
      <w:bookmarkStart w:id="51" w:name="_Toc19644"/>
      <w:bookmarkStart w:id="52" w:name="_Toc30034"/>
      <w:bookmarkStart w:id="53" w:name="_Toc13379"/>
      <w:bookmarkStart w:id="54" w:name="_Toc24539"/>
      <w:bookmarkStart w:id="55" w:name="_Toc14790"/>
      <w:bookmarkStart w:id="56" w:name="_Toc3312"/>
      <w:bookmarkStart w:id="57" w:name="_Toc2499"/>
      <w:bookmarkStart w:id="58" w:name="_Toc1889"/>
      <w:r>
        <w:rPr>
          <w:rFonts w:hint="eastAsia" w:asciiTheme="minorEastAsia" w:hAnsiTheme="minorEastAsia" w:eastAsiaTheme="minorEastAsia" w:cstheme="minorEastAsia"/>
          <w:b/>
          <w:color w:val="auto"/>
          <w:kern w:val="2"/>
          <w:highlight w:val="none"/>
        </w:rPr>
        <w:t>4</w:t>
      </w:r>
      <w:r>
        <w:rPr>
          <w:rFonts w:hint="eastAsia" w:asciiTheme="minorEastAsia" w:hAnsiTheme="minorEastAsia" w:eastAsiaTheme="minorEastAsia" w:cstheme="minorEastAsia"/>
          <w:b/>
          <w:color w:val="auto"/>
          <w:kern w:val="2"/>
          <w:highlight w:val="none"/>
          <w:lang w:val="en-US" w:eastAsia="zh-CN"/>
        </w:rPr>
        <w:t>.</w:t>
      </w:r>
      <w:r>
        <w:rPr>
          <w:rFonts w:hint="eastAsia" w:asciiTheme="minorEastAsia" w:hAnsiTheme="minorEastAsia" w:eastAsiaTheme="minorEastAsia" w:cstheme="minorEastAsia"/>
          <w:b/>
          <w:color w:val="auto"/>
          <w:kern w:val="2"/>
          <w:highlight w:val="none"/>
        </w:rPr>
        <w:t>投标人资质及条件要求</w:t>
      </w:r>
      <w:bookmarkEnd w:id="50"/>
      <w:bookmarkEnd w:id="51"/>
      <w:bookmarkEnd w:id="52"/>
      <w:bookmarkEnd w:id="53"/>
      <w:bookmarkEnd w:id="54"/>
      <w:bookmarkEnd w:id="55"/>
      <w:bookmarkEnd w:id="56"/>
      <w:bookmarkEnd w:id="57"/>
      <w:bookmarkEnd w:id="58"/>
      <w:bookmarkStart w:id="59" w:name="_Hlt74496495"/>
      <w:bookmarkEnd w:id="59"/>
    </w:p>
    <w:p w14:paraId="366881C6">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bookmarkStart w:id="60" w:name="_Toc2707"/>
      <w:bookmarkStart w:id="61" w:name="_Toc3094"/>
      <w:bookmarkStart w:id="62" w:name="_Toc18979"/>
      <w:bookmarkStart w:id="63" w:name="_Toc17645"/>
      <w:bookmarkStart w:id="64" w:name="_Toc3588"/>
      <w:bookmarkStart w:id="65" w:name="_Toc8294"/>
      <w:bookmarkStart w:id="66" w:name="_Toc20378"/>
      <w:bookmarkStart w:id="67" w:name="_Toc24391"/>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1．本次招标</w:t>
      </w:r>
      <w:r>
        <w:rPr>
          <w:rFonts w:hint="eastAsia" w:asciiTheme="minorEastAsia" w:hAnsiTheme="minorEastAsia" w:eastAsiaTheme="minorEastAsia" w:cstheme="minorEastAsia"/>
          <w:color w:val="auto"/>
          <w:sz w:val="24"/>
          <w:highlight w:val="none"/>
          <w:u w:val="single"/>
        </w:rPr>
        <w:t>接受</w:t>
      </w:r>
      <w:r>
        <w:rPr>
          <w:rFonts w:hint="eastAsia" w:asciiTheme="minorEastAsia" w:hAnsiTheme="minorEastAsia" w:eastAsiaTheme="minorEastAsia" w:cstheme="minorEastAsia"/>
          <w:color w:val="auto"/>
          <w:sz w:val="24"/>
          <w:highlight w:val="none"/>
        </w:rPr>
        <w:t>联合体投标，联合体以一个投标人的身份共同投标。</w:t>
      </w:r>
    </w:p>
    <w:p w14:paraId="665BC3CC">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1.1．联合体成员数量不超过</w:t>
      </w:r>
      <w:r>
        <w:rPr>
          <w:rFonts w:hint="eastAsia" w:asciiTheme="minorEastAsia" w:hAnsiTheme="minorEastAsia" w:eastAsiaTheme="minorEastAsia" w:cstheme="minorEastAsia"/>
          <w:color w:val="auto"/>
          <w:sz w:val="24"/>
          <w:highlight w:val="none"/>
          <w:u w:val="single"/>
        </w:rPr>
        <w:t>2</w:t>
      </w:r>
      <w:r>
        <w:rPr>
          <w:rFonts w:hint="eastAsia" w:asciiTheme="minorEastAsia" w:hAnsiTheme="minorEastAsia" w:eastAsiaTheme="minorEastAsia" w:cstheme="minorEastAsia"/>
          <w:color w:val="auto"/>
          <w:sz w:val="24"/>
          <w:highlight w:val="none"/>
        </w:rPr>
        <w:t>个。</w:t>
      </w:r>
    </w:p>
    <w:p w14:paraId="17C6AB35">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1.2．联合体各方应按招标文件提供的格式签订联合体协议书，明确联合体牵头人和各方权利义务，并承诺就中标项目向招标人承担连带责任。《联合体协议书》作为投标文件的组成部分向招标人提交。</w:t>
      </w:r>
    </w:p>
    <w:p w14:paraId="4C4F2516">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1.3．联合体成员单位均应具备拟承担的工作内容（以《联合体协议书》的约定为准）所规定的资格条件。若同一工作内容由两个或两个以上单位共同承担，该项工作内容按照资质等级较低的单位确定联合体资质等级。</w:t>
      </w:r>
    </w:p>
    <w:p w14:paraId="7537656F">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1.4．联合体各方不得再以自己名义单独或参加其他联合体在本招标项目中投标，否则各相关投标均无效。</w:t>
      </w:r>
    </w:p>
    <w:p w14:paraId="5817765E">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Cs w:val="24"/>
          <w:highlight w:val="none"/>
        </w:rPr>
        <w:t>2.资质要求</w:t>
      </w:r>
    </w:p>
    <w:p w14:paraId="0BCE3347">
      <w:pPr>
        <w:pStyle w:val="35"/>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2.1．投标人须具备独立法人</w:t>
      </w:r>
      <w:r>
        <w:rPr>
          <w:rFonts w:hint="eastAsia" w:asciiTheme="minorEastAsia" w:hAnsiTheme="minorEastAsia" w:eastAsiaTheme="minorEastAsia" w:cstheme="minorEastAsia"/>
          <w:color w:val="auto"/>
          <w:sz w:val="24"/>
          <w:highlight w:val="none"/>
          <w:lang w:val="en-US" w:eastAsia="zh-CN"/>
        </w:rPr>
        <w:t>或其他组织资格</w:t>
      </w:r>
      <w:r>
        <w:rPr>
          <w:rFonts w:hint="eastAsia" w:asciiTheme="minorEastAsia" w:hAnsiTheme="minorEastAsia" w:eastAsiaTheme="minorEastAsia" w:cstheme="minorEastAsia"/>
          <w:color w:val="auto"/>
          <w:sz w:val="24"/>
          <w:highlight w:val="none"/>
        </w:rPr>
        <w:t>，按国家法律经营。</w:t>
      </w:r>
    </w:p>
    <w:p w14:paraId="378F7154">
      <w:pPr>
        <w:pStyle w:val="35"/>
        <w:wordWrap w:val="0"/>
        <w:adjustRightInd w:val="0"/>
        <w:snapToGrid w:val="0"/>
        <w:spacing w:line="360" w:lineRule="auto"/>
        <w:ind w:firstLine="48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4.2.2分公司投标时，需同时满足以下条件：</w:t>
      </w:r>
    </w:p>
    <w:p w14:paraId="700AE143">
      <w:pPr>
        <w:pStyle w:val="35"/>
        <w:numPr>
          <w:ilvl w:val="0"/>
          <w:numId w:val="0"/>
        </w:numPr>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（1）分公司参与投标时，须提供总公司的资质证书和分公司的营业执照，并在总公司的授权范围内进行，需总公司提供授权书（格式自拟）。</w:t>
      </w:r>
    </w:p>
    <w:p w14:paraId="24E6BD70">
      <w:pPr>
        <w:pStyle w:val="35"/>
        <w:numPr>
          <w:ilvl w:val="0"/>
          <w:numId w:val="0"/>
        </w:numPr>
        <w:wordWrap w:val="0"/>
        <w:adjustRightInd w:val="0"/>
        <w:snapToGrid w:val="0"/>
        <w:spacing w:line="360" w:lineRule="auto"/>
        <w:ind w:firstLine="480" w:firstLineChars="20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（2）因分公司不具有法人资格，其民事责任由总公司承担，须总公司出具承诺函（格式自拟）。</w:t>
      </w:r>
    </w:p>
    <w:p w14:paraId="3581C196">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．投标人须持有行政主管部门颁发的企业资质证书。</w:t>
      </w:r>
    </w:p>
    <w:p w14:paraId="1774858C">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．参加投标的投标人可以是单一独立法人</w:t>
      </w:r>
      <w:r>
        <w:rPr>
          <w:rFonts w:hint="eastAsia" w:asciiTheme="minorEastAsia" w:hAnsiTheme="minorEastAsia" w:eastAsiaTheme="minorEastAsia" w:cstheme="minorEastAsia"/>
          <w:color w:val="auto"/>
          <w:sz w:val="24"/>
          <w:highlight w:val="none"/>
          <w:lang w:val="en-US" w:eastAsia="zh-CN"/>
        </w:rPr>
        <w:t>或其他组织，</w:t>
      </w:r>
      <w:r>
        <w:rPr>
          <w:rFonts w:hint="eastAsia" w:asciiTheme="minorEastAsia" w:hAnsiTheme="minorEastAsia" w:eastAsiaTheme="minorEastAsia" w:cstheme="minorEastAsia"/>
          <w:color w:val="auto"/>
          <w:sz w:val="24"/>
          <w:highlight w:val="none"/>
        </w:rPr>
        <w:t>或由不超过两家独立法人</w:t>
      </w:r>
      <w:r>
        <w:rPr>
          <w:rFonts w:hint="eastAsia" w:asciiTheme="minorEastAsia" w:hAnsiTheme="minorEastAsia" w:eastAsiaTheme="minorEastAsia" w:cstheme="minorEastAsia"/>
          <w:color w:val="auto"/>
          <w:sz w:val="24"/>
          <w:highlight w:val="none"/>
          <w:lang w:val="en-US" w:eastAsia="zh-CN"/>
        </w:rPr>
        <w:t>或其他组织</w:t>
      </w:r>
      <w:r>
        <w:rPr>
          <w:rFonts w:hint="eastAsia" w:asciiTheme="minorEastAsia" w:hAnsiTheme="minorEastAsia" w:eastAsiaTheme="minorEastAsia" w:cstheme="minorEastAsia"/>
          <w:color w:val="auto"/>
          <w:sz w:val="24"/>
          <w:highlight w:val="none"/>
        </w:rPr>
        <w:t>组成的联合体（必须注明其中一家为牵头人；联合体成员中设计、施工单位分别不得超过一家），联合体各方不得再以自己的名义单独申请，也不得同时参加两个或两个以上的联合体进行本项目的投标。单一独立法人</w:t>
      </w:r>
      <w:r>
        <w:rPr>
          <w:rFonts w:hint="eastAsia" w:asciiTheme="minorEastAsia" w:hAnsiTheme="minorEastAsia" w:eastAsiaTheme="minorEastAsia" w:cstheme="minorEastAsia"/>
          <w:color w:val="auto"/>
          <w:sz w:val="24"/>
          <w:highlight w:val="none"/>
          <w:lang w:val="en-US" w:eastAsia="zh-CN"/>
        </w:rPr>
        <w:t>或其他组织</w:t>
      </w:r>
      <w:r>
        <w:rPr>
          <w:rFonts w:hint="eastAsia" w:asciiTheme="minorEastAsia" w:hAnsiTheme="minorEastAsia" w:eastAsiaTheme="minorEastAsia" w:cstheme="minorEastAsia"/>
          <w:color w:val="auto"/>
          <w:sz w:val="24"/>
          <w:highlight w:val="none"/>
        </w:rPr>
        <w:t>必须至少同时具备以下①～②资质，组成联合体投标的，联合后必须至少具备以下①～②资质，联合体牵头人必须具备①资质，由同一专业的单位组成的联合体，按照资质等级较低的单位确定资质等级：</w:t>
      </w:r>
    </w:p>
    <w:p w14:paraId="239C0C12">
      <w:pPr>
        <w:keepNext w:val="0"/>
        <w:keepLines w:val="0"/>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zh-CN"/>
        </w:rPr>
        <w:t>①施工资质</w:t>
      </w:r>
      <w:r>
        <w:rPr>
          <w:rFonts w:hint="eastAsia" w:asciiTheme="minorEastAsia" w:hAnsiTheme="minorEastAsia" w:eastAsiaTheme="minorEastAsia" w:cstheme="minorEastAsia"/>
          <w:color w:val="auto"/>
          <w:sz w:val="24"/>
          <w:highlight w:val="none"/>
          <w:lang w:val="en-US" w:eastAsia="zh-CN"/>
        </w:rPr>
        <w:t>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具备建设行政主管部门颁发的电力工程施工总承包叁级或及以上资质，同时</w:t>
      </w:r>
      <w:r>
        <w:rPr>
          <w:rFonts w:hint="eastAsia" w:asciiTheme="minorEastAsia" w:hAnsiTheme="minorEastAsia" w:eastAsiaTheme="minorEastAsia" w:cstheme="minorEastAsia"/>
          <w:color w:val="auto"/>
          <w:sz w:val="24"/>
          <w:highlight w:val="none"/>
          <w:lang w:val="en-US" w:eastAsia="zh-CN"/>
        </w:rPr>
        <w:t>持有国家能源局颁发的《承装(修、试)电力设施许可证》承装、承试五级或以上许可，资质须在有效期内。对应于2025年7月1日起换发的电子证照，应为承装类三级、承试类三级或以上许可资格。 【注:依据国家能源局关于做好承装(修、试)电力设施许可证换领和延续工作的通知(国能发资质(2025)44 号)。如有最新政策文件的，从其规定。】</w:t>
      </w:r>
    </w:p>
    <w:p w14:paraId="77BDEB71">
      <w:pPr>
        <w:pStyle w:val="35"/>
        <w:wordWrap w:val="0"/>
        <w:adjustRightInd w:val="0"/>
        <w:snapToGrid w:val="0"/>
        <w:spacing w:line="360" w:lineRule="auto"/>
        <w:ind w:firstLine="480"/>
        <w:jc w:val="left"/>
        <w:rPr>
          <w:rFonts w:hint="eastAsia"/>
          <w:bCs/>
          <w:snapToGrid w:val="0"/>
          <w:color w:val="auto"/>
          <w:kern w:val="0"/>
          <w:sz w:val="24"/>
          <w:highlight w:val="none"/>
          <w:lang w:eastAsia="zh-CN"/>
        </w:rPr>
      </w:pPr>
      <w:r>
        <w:rPr>
          <w:rFonts w:hint="eastAsia" w:asciiTheme="minorEastAsia" w:hAnsiTheme="minorEastAsia" w:eastAsiaTheme="minorEastAsia" w:cstheme="minorEastAsia"/>
          <w:color w:val="auto"/>
          <w:sz w:val="24"/>
          <w:highlight w:val="none"/>
        </w:rPr>
        <w:t>②设计资质要求：</w:t>
      </w:r>
      <w:r>
        <w:rPr>
          <w:rFonts w:hint="eastAsia" w:asciiTheme="minorEastAsia" w:hAnsiTheme="minorEastAsia" w:eastAsiaTheme="minorEastAsia" w:cstheme="minorEastAsia"/>
          <w:color w:val="auto"/>
          <w:sz w:val="24"/>
          <w:highlight w:val="none"/>
          <w:lang w:val="en-US" w:eastAsia="zh-CN"/>
        </w:rPr>
        <w:t>具备</w:t>
      </w:r>
      <w:r>
        <w:rPr>
          <w:rFonts w:hint="eastAsia" w:asciiTheme="minorEastAsia" w:hAnsiTheme="minorEastAsia" w:eastAsiaTheme="minorEastAsia" w:cstheme="minorEastAsia"/>
          <w:color w:val="auto"/>
          <w:sz w:val="24"/>
          <w:highlight w:val="none"/>
        </w:rPr>
        <w:t>工程设计综合资质甲级或</w:t>
      </w:r>
      <w:r>
        <w:rPr>
          <w:rFonts w:hint="eastAsia"/>
          <w:bCs/>
          <w:snapToGrid w:val="0"/>
          <w:color w:val="auto"/>
          <w:kern w:val="0"/>
          <w:sz w:val="24"/>
          <w:highlight w:val="none"/>
        </w:rPr>
        <w:t>新能源设计乙级</w:t>
      </w:r>
      <w:r>
        <w:rPr>
          <w:rFonts w:hint="eastAsia"/>
          <w:bCs/>
          <w:snapToGrid w:val="0"/>
          <w:color w:val="auto"/>
          <w:kern w:val="0"/>
          <w:sz w:val="24"/>
          <w:highlight w:val="none"/>
          <w:lang w:val="en-US" w:eastAsia="zh-CN"/>
        </w:rPr>
        <w:t>（含乙级）</w:t>
      </w:r>
      <w:r>
        <w:rPr>
          <w:rFonts w:hint="eastAsia"/>
          <w:bCs/>
          <w:snapToGrid w:val="0"/>
          <w:color w:val="auto"/>
          <w:kern w:val="0"/>
          <w:sz w:val="24"/>
          <w:highlight w:val="none"/>
        </w:rPr>
        <w:t>资质</w:t>
      </w:r>
      <w:r>
        <w:rPr>
          <w:rFonts w:hint="eastAsia"/>
          <w:bCs/>
          <w:snapToGrid w:val="0"/>
          <w:color w:val="auto"/>
          <w:kern w:val="0"/>
          <w:sz w:val="24"/>
          <w:highlight w:val="none"/>
          <w:lang w:val="en-US" w:eastAsia="zh-CN"/>
        </w:rPr>
        <w:t>及以上</w:t>
      </w:r>
      <w:r>
        <w:rPr>
          <w:rFonts w:hint="eastAsia"/>
          <w:bCs/>
          <w:snapToGrid w:val="0"/>
          <w:color w:val="auto"/>
          <w:kern w:val="0"/>
          <w:sz w:val="24"/>
          <w:highlight w:val="none"/>
          <w:lang w:eastAsia="zh-CN"/>
        </w:rPr>
        <w:t>。</w:t>
      </w:r>
    </w:p>
    <w:p w14:paraId="64197BE9">
      <w:pPr>
        <w:pStyle w:val="35"/>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3．相关人员要求</w:t>
      </w:r>
    </w:p>
    <w:p w14:paraId="1965B739">
      <w:pPr>
        <w:pStyle w:val="35"/>
        <w:wordWrap w:val="0"/>
        <w:adjustRightInd w:val="0"/>
        <w:snapToGrid w:val="0"/>
        <w:spacing w:line="360" w:lineRule="auto"/>
        <w:ind w:firstLine="480" w:firstLineChars="200"/>
        <w:jc w:val="left"/>
        <w:rPr>
          <w:rFonts w:hint="eastAsia" w:asciiTheme="minorEastAsia" w:hAnsiTheme="minorEastAsia" w:eastAsiaTheme="minorEastAsia" w:cstheme="minorEastAsia"/>
          <w:b w:val="0"/>
          <w:bCs w:val="0"/>
          <w:color w:val="auto"/>
          <w:sz w:val="24"/>
          <w:highlight w:val="none"/>
        </w:rPr>
      </w:pPr>
      <w:r>
        <w:rPr>
          <w:rFonts w:hint="eastAsia" w:asciiTheme="minorEastAsia" w:hAnsiTheme="minorEastAsia" w:eastAsiaTheme="minorEastAsia" w:cstheme="minorEastAsia"/>
          <w:color w:val="auto"/>
          <w:sz w:val="24"/>
          <w:highlight w:val="none"/>
        </w:rPr>
        <w:t>3.1</w:t>
      </w:r>
      <w:r>
        <w:rPr>
          <w:rFonts w:hint="eastAsia" w:asciiTheme="minorEastAsia" w:hAnsiTheme="minorEastAsia" w:eastAsiaTheme="minorEastAsia" w:cstheme="minorEastAsia"/>
          <w:color w:val="auto"/>
          <w:sz w:val="24"/>
          <w:highlight w:val="none"/>
          <w:lang w:eastAsia="zh-CN"/>
        </w:rPr>
        <w:t>拟派项目经理为</w:t>
      </w:r>
      <w:r>
        <w:rPr>
          <w:rFonts w:hint="eastAsia" w:asciiTheme="minorEastAsia" w:hAnsiTheme="minorEastAsia" w:eastAsiaTheme="minorEastAsia" w:cstheme="minorEastAsia"/>
          <w:color w:val="auto"/>
          <w:sz w:val="24"/>
          <w:highlight w:val="none"/>
          <w:u w:val="single"/>
          <w:lang w:eastAsia="zh-CN"/>
        </w:rPr>
        <w:t>机电工程专业</w:t>
      </w:r>
      <w:r>
        <w:rPr>
          <w:rFonts w:hint="eastAsia" w:asciiTheme="minorEastAsia" w:hAnsiTheme="minorEastAsia" w:eastAsiaTheme="minorEastAsia" w:cstheme="minorEastAsia"/>
          <w:color w:val="auto"/>
          <w:sz w:val="24"/>
          <w:highlight w:val="none"/>
          <w:lang w:eastAsia="zh-CN"/>
        </w:rPr>
        <w:t>一级或二级注册建造师，其中一级注册建造师应持有国家住建部印发的有效注册证书，二级注册建造师应持有广东省住建厅核准的有效电子注册证书(在“广东省二级注册建造师、二级注册结构工程师、二级注册建筑师注册管理信息系统”中打印)。同时均须具备有效安全生产考核合格证明(B证，安全生产考核合格证书或“广东省建筑施工企业管理人员安全生产考核信息系统”考核合格信息打印页)，</w:t>
      </w:r>
      <w:r>
        <w:rPr>
          <w:rFonts w:hint="eastAsia" w:asciiTheme="minorEastAsia" w:hAnsiTheme="minorEastAsia" w:eastAsiaTheme="minorEastAsia" w:cstheme="minorEastAsia"/>
          <w:b/>
          <w:bCs/>
          <w:color w:val="auto"/>
          <w:sz w:val="24"/>
          <w:highlight w:val="none"/>
          <w:lang w:eastAsia="zh-CN"/>
        </w:rPr>
        <w:t>且未担任其他在施(包括已中标未开工、已开工未竣工)建设工程项目的项目经理。</w:t>
      </w:r>
      <w:r>
        <w:rPr>
          <w:rFonts w:hint="eastAsia" w:asciiTheme="minorEastAsia" w:hAnsiTheme="minorEastAsia" w:eastAsiaTheme="minorEastAsia" w:cstheme="minorEastAsia"/>
          <w:b w:val="0"/>
          <w:bCs w:val="0"/>
          <w:color w:val="auto"/>
          <w:sz w:val="24"/>
          <w:highlight w:val="none"/>
          <w:lang w:eastAsia="zh-CN"/>
        </w:rPr>
        <w:t>（若为联合体投标则联合成员任意一方提供即可）</w:t>
      </w:r>
    </w:p>
    <w:p w14:paraId="6E91E2AE">
      <w:pPr>
        <w:pStyle w:val="35"/>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3.2．投标人拟派项目技术负责人须具备</w:t>
      </w:r>
      <w:r>
        <w:rPr>
          <w:rFonts w:hint="eastAsia" w:asciiTheme="minorEastAsia" w:hAnsiTheme="minorEastAsia" w:eastAsiaTheme="minorEastAsia" w:cstheme="minorEastAsia"/>
          <w:color w:val="auto"/>
          <w:sz w:val="24"/>
          <w:highlight w:val="none"/>
          <w:u w:val="single"/>
        </w:rPr>
        <w:t>机电类或电力类或电气类</w:t>
      </w:r>
      <w:r>
        <w:rPr>
          <w:rFonts w:hint="eastAsia" w:asciiTheme="minorEastAsia" w:hAnsiTheme="minorEastAsia" w:eastAsiaTheme="minorEastAsia" w:cstheme="minorEastAsia"/>
          <w:color w:val="auto"/>
          <w:sz w:val="24"/>
          <w:highlight w:val="none"/>
        </w:rPr>
        <w:t>相关专业</w:t>
      </w:r>
      <w:r>
        <w:rPr>
          <w:rFonts w:hint="eastAsia" w:asciiTheme="minorEastAsia" w:hAnsiTheme="minorEastAsia" w:eastAsiaTheme="minorEastAsia" w:cstheme="minorEastAsia"/>
          <w:color w:val="auto"/>
          <w:sz w:val="24"/>
          <w:highlight w:val="none"/>
          <w:u w:val="single"/>
        </w:rPr>
        <w:t>中级</w:t>
      </w:r>
      <w:r>
        <w:rPr>
          <w:rFonts w:hint="eastAsia" w:asciiTheme="minorEastAsia" w:hAnsiTheme="minorEastAsia" w:eastAsiaTheme="minorEastAsia" w:cstheme="minorEastAsia"/>
          <w:color w:val="auto"/>
          <w:sz w:val="24"/>
          <w:highlight w:val="none"/>
        </w:rPr>
        <w:t>以上(含中级)技术职称。（若为联合体投标则联合成员任意一方提供即可）</w:t>
      </w:r>
    </w:p>
    <w:p w14:paraId="36A000CF">
      <w:pPr>
        <w:pStyle w:val="35"/>
        <w:wordWrap w:val="0"/>
        <w:adjustRightInd w:val="0"/>
        <w:snapToGrid w:val="0"/>
        <w:spacing w:line="360" w:lineRule="auto"/>
        <w:ind w:firstLine="48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4.3.3.投标人拟派项目设计负责人具有</w:t>
      </w:r>
      <w:r>
        <w:rPr>
          <w:rFonts w:hint="eastAsia" w:asciiTheme="minorEastAsia" w:hAnsiTheme="minorEastAsia" w:eastAsiaTheme="minorEastAsia" w:cstheme="minorEastAsia"/>
          <w:color w:val="auto"/>
          <w:sz w:val="24"/>
          <w:highlight w:val="none"/>
          <w:u w:val="single"/>
          <w:lang w:val="en-US" w:eastAsia="zh-CN"/>
        </w:rPr>
        <w:t>电力工程</w:t>
      </w:r>
      <w:r>
        <w:rPr>
          <w:rFonts w:hint="eastAsia" w:asciiTheme="minorEastAsia" w:hAnsiTheme="minorEastAsia" w:eastAsiaTheme="minorEastAsia" w:cstheme="minorEastAsia"/>
          <w:color w:val="auto"/>
          <w:sz w:val="24"/>
          <w:highlight w:val="none"/>
          <w:lang w:val="en-US" w:eastAsia="zh-CN"/>
        </w:rPr>
        <w:t>专业中级以上（含中级）技术职称。（若为联合体投标则联合成员任意一方提供即可）</w:t>
      </w:r>
    </w:p>
    <w:p w14:paraId="44A028D1">
      <w:pPr>
        <w:pStyle w:val="35"/>
        <w:wordWrap w:val="0"/>
        <w:adjustRightInd w:val="0"/>
        <w:snapToGrid w:val="0"/>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3.</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拟派专职安全生产管理人员须具备有效安全生产考核合格证明（C证，安全生产考核合格证书或广东省建筑施工企业管理人员安全生产考核系统考核合格信息打印页），且不少于1人。（若为联合体投标则联合成员任意一方提供即可）</w:t>
      </w:r>
    </w:p>
    <w:p w14:paraId="36C09462">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Cs w:val="24"/>
          <w:highlight w:val="none"/>
        </w:rPr>
        <w:t>3.5．投标人（包括组成联合体的所有成员单位）与其拟派往本项目管理机构的所有人员之间必须具备合法、唯一的劳动聘用关系。拟派人员中具备注册执业资格的，其注册单位须与投标人保持一致。</w:t>
      </w:r>
    </w:p>
    <w:p w14:paraId="19EC7B84">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Cs w:val="24"/>
          <w:highlight w:val="none"/>
        </w:rPr>
        <w:t>4．禁止投标条款：</w:t>
      </w:r>
    </w:p>
    <w:p w14:paraId="317A7B38">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Cs w:val="24"/>
          <w:highlight w:val="none"/>
        </w:rPr>
        <w:t>4.1．投标人不得存在下列情形之一：</w:t>
      </w:r>
    </w:p>
    <w:p w14:paraId="17F29B3A">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（1）为招标人不具有独立法人</w:t>
      </w:r>
      <w:r>
        <w:rPr>
          <w:rFonts w:hint="eastAsia" w:asciiTheme="minorEastAsia" w:hAnsiTheme="minorEastAsia" w:eastAsiaTheme="minorEastAsia" w:cstheme="minorEastAsia"/>
          <w:color w:val="auto"/>
          <w:szCs w:val="24"/>
          <w:highlight w:val="none"/>
          <w:lang w:val="en-US" w:eastAsia="zh-CN"/>
        </w:rPr>
        <w:t>或其他组织</w:t>
      </w:r>
      <w:r>
        <w:rPr>
          <w:rFonts w:hint="eastAsia" w:asciiTheme="minorEastAsia" w:hAnsiTheme="minorEastAsia" w:eastAsiaTheme="minorEastAsia" w:cstheme="minorEastAsia"/>
          <w:color w:val="auto"/>
          <w:szCs w:val="24"/>
          <w:highlight w:val="none"/>
        </w:rPr>
        <w:t>资格的附属机构（单位）；</w:t>
      </w:r>
    </w:p>
    <w:p w14:paraId="110E6F34">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（2）为本招标项目前期准备提供咨询服务的；</w:t>
      </w:r>
    </w:p>
    <w:p w14:paraId="54719ADE">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（3）与本招标项目的其他投标人为同一个单位负责人；</w:t>
      </w:r>
    </w:p>
    <w:p w14:paraId="20748C1E">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（4）与本招标项目的其他投标人存在控股、管理关系；</w:t>
      </w:r>
    </w:p>
    <w:p w14:paraId="3FD60688">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（5）为本招标项目的监理人；</w:t>
      </w:r>
    </w:p>
    <w:p w14:paraId="26F808AC">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（6）为本招标项目的代建人；</w:t>
      </w:r>
    </w:p>
    <w:p w14:paraId="6AEA5505">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（7）为本招标项目的招标代理机构；</w:t>
      </w:r>
    </w:p>
    <w:p w14:paraId="1CA9635D">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（8）与本招标项目的监理人或代建人或招标代理机构同为一个法定代表人；</w:t>
      </w:r>
    </w:p>
    <w:p w14:paraId="21044D8B">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（9）与本招标项目的监理人或代建人或招标代理机构存在控股或参股关系；</w:t>
      </w:r>
    </w:p>
    <w:p w14:paraId="06781C49">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（10）与本招标项目的监理人或代建人或招标代理机构存在相互任职或工作关系；</w:t>
      </w:r>
    </w:p>
    <w:p w14:paraId="24B1D2E7">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（11）被依法暂停或者取消投标资格；</w:t>
      </w:r>
    </w:p>
    <w:p w14:paraId="580663F5">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（12）被责令停产停业、暂扣或者吊销许可证、暂扣或者吊销执照；</w:t>
      </w:r>
    </w:p>
    <w:p w14:paraId="4B5DC6E9">
      <w:pPr>
        <w:wordWrap w:val="0"/>
        <w:adjustRightInd w:val="0"/>
        <w:snapToGrid w:val="0"/>
        <w:spacing w:line="360" w:lineRule="auto"/>
        <w:ind w:left="240" w:left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（13）进入清算程序，或被宣告破产，或其他丧失履约能力的情形；</w:t>
      </w:r>
    </w:p>
    <w:p w14:paraId="7B05B0B7">
      <w:pPr>
        <w:wordWrap w:val="0"/>
        <w:adjustRightInd w:val="0"/>
        <w:snapToGrid w:val="0"/>
        <w:spacing w:line="360" w:lineRule="auto"/>
        <w:ind w:left="240" w:left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（14）在最近三年内发生重大工程质量或安全问题（以相关行业主管部门的行政处罚决定或司法机关出具的有关法律文书为准）；</w:t>
      </w:r>
    </w:p>
    <w:p w14:paraId="3902F8E7">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（15）被“信用中国”网站（https://www.creditchina.gov.cn）发布的《法人和非法人组织公共信用信息报告》列入严重失信主体名单的。</w:t>
      </w:r>
    </w:p>
    <w:p w14:paraId="2BA7F1C9">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Cs w:val="24"/>
          <w:highlight w:val="none"/>
        </w:rPr>
        <w:t>4.2．招标人拒绝以下名单中的单位参加本次投标：</w:t>
      </w:r>
    </w:p>
    <w:tbl>
      <w:tblPr>
        <w:tblStyle w:val="27"/>
        <w:tblW w:w="8518"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973"/>
        <w:gridCol w:w="3751"/>
      </w:tblGrid>
      <w:tr w14:paraId="1C86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51A89D83">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3973" w:type="dxa"/>
            <w:noWrap/>
            <w:vAlign w:val="center"/>
          </w:tcPr>
          <w:p w14:paraId="5D29AC28">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单位名称</w:t>
            </w:r>
          </w:p>
        </w:tc>
        <w:tc>
          <w:tcPr>
            <w:tcW w:w="3751" w:type="dxa"/>
            <w:noWrap/>
            <w:vAlign w:val="center"/>
          </w:tcPr>
          <w:p w14:paraId="72305F61">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拒绝原因</w:t>
            </w:r>
          </w:p>
        </w:tc>
      </w:tr>
      <w:tr w14:paraId="7B53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2E601690">
            <w:pPr>
              <w:wordWrap w:val="0"/>
              <w:adjustRightInd w:val="0"/>
              <w:snapToGrid w:val="0"/>
              <w:spacing w:line="24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3973" w:type="dxa"/>
            <w:noWrap/>
            <w:vAlign w:val="center"/>
          </w:tcPr>
          <w:p w14:paraId="438E05B0">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广东兴展土地整理开发有限公司</w:t>
            </w:r>
          </w:p>
        </w:tc>
        <w:tc>
          <w:tcPr>
            <w:tcW w:w="3751" w:type="dxa"/>
            <w:noWrap/>
            <w:vAlign w:val="center"/>
          </w:tcPr>
          <w:p w14:paraId="5DCF2C7C">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为本招标项目的招标人</w:t>
            </w:r>
          </w:p>
        </w:tc>
      </w:tr>
      <w:tr w14:paraId="19D5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2A8F4EE9">
            <w:pPr>
              <w:wordWrap w:val="0"/>
              <w:adjustRightInd w:val="0"/>
              <w:snapToGrid w:val="0"/>
              <w:spacing w:line="24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3973" w:type="dxa"/>
            <w:noWrap/>
            <w:vAlign w:val="center"/>
          </w:tcPr>
          <w:p w14:paraId="57FA2E56">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广东兴展土地整理开发有限公司</w:t>
            </w:r>
          </w:p>
        </w:tc>
        <w:tc>
          <w:tcPr>
            <w:tcW w:w="3751" w:type="dxa"/>
            <w:noWrap/>
            <w:vAlign w:val="center"/>
          </w:tcPr>
          <w:p w14:paraId="58C82901">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为本招标项目的业主单位</w:t>
            </w:r>
          </w:p>
        </w:tc>
      </w:tr>
      <w:tr w14:paraId="2EF9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597AD685">
            <w:pPr>
              <w:wordWrap w:val="0"/>
              <w:adjustRightInd w:val="0"/>
              <w:snapToGrid w:val="0"/>
              <w:spacing w:line="24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3973" w:type="dxa"/>
            <w:noWrap/>
            <w:vAlign w:val="center"/>
          </w:tcPr>
          <w:p w14:paraId="00EAD442">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广东省国际工程咨询有限公司</w:t>
            </w:r>
          </w:p>
        </w:tc>
        <w:tc>
          <w:tcPr>
            <w:tcW w:w="3751" w:type="dxa"/>
            <w:noWrap/>
            <w:vAlign w:val="center"/>
          </w:tcPr>
          <w:p w14:paraId="069E5273">
            <w:pPr>
              <w:wordWrap w:val="0"/>
              <w:adjustRightInd w:val="0"/>
              <w:snapToGrid w:val="0"/>
              <w:spacing w:line="240" w:lineRule="auto"/>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为本招标项目的工程咨询单位</w:t>
            </w:r>
          </w:p>
        </w:tc>
      </w:tr>
      <w:tr w14:paraId="6B8E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4" w:type="dxa"/>
            <w:noWrap/>
            <w:vAlign w:val="center"/>
          </w:tcPr>
          <w:p w14:paraId="6B126FED">
            <w:pPr>
              <w:wordWrap w:val="0"/>
              <w:adjustRightInd w:val="0"/>
              <w:snapToGrid w:val="0"/>
              <w:spacing w:line="24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p>
        </w:tc>
        <w:tc>
          <w:tcPr>
            <w:tcW w:w="3973" w:type="dxa"/>
            <w:noWrap/>
            <w:vAlign w:val="center"/>
          </w:tcPr>
          <w:p w14:paraId="54CD949C">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广东伟达工程咨询顾问有限公司</w:t>
            </w:r>
          </w:p>
        </w:tc>
        <w:tc>
          <w:tcPr>
            <w:tcW w:w="3751" w:type="dxa"/>
            <w:noWrap/>
            <w:vAlign w:val="center"/>
          </w:tcPr>
          <w:p w14:paraId="1813617A">
            <w:pPr>
              <w:wordWrap w:val="0"/>
              <w:adjustRightInd w:val="0"/>
              <w:snapToGrid w:val="0"/>
              <w:spacing w:line="24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为本招标项目的招标代理机构</w:t>
            </w:r>
          </w:p>
        </w:tc>
      </w:tr>
    </w:tbl>
    <w:p w14:paraId="6BB09E14">
      <w:pPr>
        <w:pStyle w:val="34"/>
        <w:keepNext/>
        <w:keepLines/>
        <w:ind w:firstLine="480" w:firstLineChars="200"/>
        <w:jc w:val="both"/>
        <w:rPr>
          <w:rFonts w:hint="eastAsia" w:asciiTheme="minorEastAsia" w:hAnsiTheme="minorEastAsia" w:eastAsiaTheme="minorEastAsia" w:cstheme="minorEastAsia"/>
          <w:color w:val="auto"/>
          <w:sz w:val="24"/>
          <w:szCs w:val="24"/>
          <w:highlight w:val="none"/>
        </w:rPr>
      </w:pPr>
      <w:bookmarkStart w:id="68" w:name="_Toc13945"/>
      <w:bookmarkStart w:id="69" w:name="_Toc3481"/>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szCs w:val="24"/>
          <w:highlight w:val="none"/>
        </w:rPr>
        <w:t>5.省外企业（包括组成联合体的所有成员单位）须按照《广东省住房和城乡建设厅关于取消省外建筑企业和人员进粤信息备案有关工作的通知》（粤建市﹝2015﹞52号）规定在“进粤企业和人员诚信信息登记平台”录入相关信息并通过数据规范检查。</w:t>
      </w:r>
      <w:bookmarkEnd w:id="68"/>
      <w:bookmarkEnd w:id="69"/>
    </w:p>
    <w:p w14:paraId="4ED14747">
      <w:pPr>
        <w:pStyle w:val="34"/>
        <w:keepNext/>
        <w:keepLines/>
        <w:ind w:firstLine="482" w:firstLineChars="200"/>
        <w:jc w:val="both"/>
        <w:rPr>
          <w:rFonts w:hint="eastAsia" w:asciiTheme="minorEastAsia" w:hAnsiTheme="minorEastAsia" w:eastAsiaTheme="minorEastAsia" w:cstheme="minorEastAsia"/>
          <w:b/>
          <w:color w:val="auto"/>
          <w:kern w:val="2"/>
          <w:highlight w:val="none"/>
        </w:rPr>
      </w:pPr>
      <w:bookmarkStart w:id="70" w:name="_Toc9951"/>
      <w:r>
        <w:rPr>
          <w:rFonts w:hint="eastAsia" w:asciiTheme="minorEastAsia" w:hAnsiTheme="minorEastAsia" w:eastAsiaTheme="minorEastAsia" w:cstheme="minorEastAsia"/>
          <w:b/>
          <w:color w:val="auto"/>
          <w:kern w:val="2"/>
          <w:highlight w:val="none"/>
        </w:rPr>
        <w:t>5</w:t>
      </w:r>
      <w:r>
        <w:rPr>
          <w:rFonts w:hint="eastAsia" w:asciiTheme="minorEastAsia" w:hAnsiTheme="minorEastAsia" w:eastAsiaTheme="minorEastAsia" w:cstheme="minorEastAsia"/>
          <w:b/>
          <w:color w:val="auto"/>
          <w:kern w:val="2"/>
          <w:highlight w:val="none"/>
          <w:lang w:val="en-US" w:eastAsia="zh-CN"/>
        </w:rPr>
        <w:t>.</w:t>
      </w:r>
      <w:r>
        <w:rPr>
          <w:rFonts w:hint="eastAsia" w:asciiTheme="minorEastAsia" w:hAnsiTheme="minorEastAsia" w:eastAsiaTheme="minorEastAsia" w:cstheme="minorEastAsia"/>
          <w:b/>
          <w:color w:val="auto"/>
          <w:kern w:val="2"/>
          <w:highlight w:val="none"/>
        </w:rPr>
        <w:t>工程招标内容及要求</w:t>
      </w:r>
      <w:bookmarkEnd w:id="60"/>
      <w:bookmarkEnd w:id="61"/>
      <w:bookmarkEnd w:id="62"/>
      <w:bookmarkEnd w:id="63"/>
      <w:bookmarkEnd w:id="64"/>
      <w:bookmarkEnd w:id="65"/>
      <w:bookmarkEnd w:id="66"/>
      <w:bookmarkEnd w:id="67"/>
      <w:bookmarkEnd w:id="70"/>
    </w:p>
    <w:p w14:paraId="0DBACFF1">
      <w:pPr>
        <w:pStyle w:val="41"/>
        <w:widowControl/>
        <w:spacing w:line="360" w:lineRule="auto"/>
        <w:ind w:firstLine="480"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color w:val="auto"/>
          <w:sz w:val="24"/>
          <w:szCs w:val="21"/>
          <w:highlight w:val="none"/>
        </w:rPr>
        <w:t>设计阶段包括所有相关报建、报批、施工设计文件、施工图设计、施工图预算（不单独计收预算编制费用）及施工配合、后续设计服务工作等；</w:t>
      </w:r>
    </w:p>
    <w:p w14:paraId="4F4A372E">
      <w:pPr>
        <w:pStyle w:val="41"/>
        <w:widowControl/>
        <w:spacing w:line="360" w:lineRule="auto"/>
        <w:ind w:firstLine="480" w:firstLineChars="200"/>
        <w:jc w:val="left"/>
        <w:rPr>
          <w:rFonts w:hint="eastAsia" w:asciiTheme="minorEastAsia" w:hAnsiTheme="minorEastAsia" w:eastAsiaTheme="minorEastAsia" w:cstheme="minorEastAsia"/>
          <w:b/>
          <w:bCs/>
          <w:snapToGrid w:val="0"/>
          <w:color w:val="auto"/>
          <w:kern w:val="0"/>
          <w:highlight w:val="none"/>
        </w:rPr>
      </w:pPr>
      <w:r>
        <w:rPr>
          <w:rFonts w:hint="eastAsia" w:asciiTheme="minorEastAsia" w:hAnsiTheme="minorEastAsia" w:eastAsiaTheme="minorEastAsia" w:cstheme="minorEastAsia"/>
          <w:color w:val="auto"/>
          <w:sz w:val="24"/>
          <w:szCs w:val="21"/>
          <w:highlight w:val="none"/>
        </w:rPr>
        <w:t>施工包括施工图设计文件及工程量清单范围内的所有工程及配套设施等的施工及配合阶段验收、档案整理、保修期维护等总承包范围工作。</w:t>
      </w:r>
    </w:p>
    <w:p w14:paraId="531FF4BD">
      <w:pPr>
        <w:adjustRightInd w:val="0"/>
        <w:snapToGrid w:val="0"/>
        <w:spacing w:line="360" w:lineRule="auto"/>
        <w:ind w:firstLine="482" w:firstLineChars="20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5.1本次设计工程的内容及要求：</w:t>
      </w:r>
    </w:p>
    <w:p w14:paraId="7E9E5406">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5.5.1</w:t>
      </w:r>
      <w:r>
        <w:rPr>
          <w:rFonts w:hint="eastAsia" w:asciiTheme="minorEastAsia" w:hAnsiTheme="minorEastAsia" w:eastAsiaTheme="minorEastAsia" w:cstheme="minorEastAsia"/>
          <w:snapToGrid w:val="0"/>
          <w:color w:val="auto"/>
          <w:kern w:val="0"/>
          <w:szCs w:val="24"/>
          <w:highlight w:val="none"/>
        </w:rPr>
        <w:t>本次设计工程的内容及要求：</w:t>
      </w:r>
    </w:p>
    <w:p w14:paraId="3E410BBE">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5.1.1.1</w:t>
      </w:r>
      <w:r>
        <w:rPr>
          <w:rFonts w:hint="eastAsia" w:asciiTheme="minorEastAsia" w:hAnsiTheme="minorEastAsia" w:eastAsiaTheme="minorEastAsia" w:cstheme="minorEastAsia"/>
          <w:color w:val="auto"/>
          <w:sz w:val="24"/>
          <w:szCs w:val="21"/>
          <w:highlight w:val="none"/>
        </w:rPr>
        <w:t>本项目设计包括工程所有专业及其配套设施工程和其他工程等所有招标范围工程项目报建、报批、施工设计文件</w:t>
      </w:r>
      <w:r>
        <w:rPr>
          <w:rFonts w:hint="eastAsia" w:asciiTheme="minorEastAsia" w:hAnsiTheme="minorEastAsia" w:eastAsiaTheme="minorEastAsia" w:cstheme="minorEastAsia"/>
          <w:color w:val="auto"/>
          <w:sz w:val="24"/>
          <w:szCs w:val="21"/>
          <w:highlight w:val="none"/>
          <w:lang w:eastAsia="zh-CN"/>
        </w:rPr>
        <w:t>。包括：初步设计及概算、施工图设计、施工图审查、验收过程中的设计指导及配合阶段验收等（具体详见本项目可行性研究报告）。</w:t>
      </w:r>
    </w:p>
    <w:p w14:paraId="0ED7F49C">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5.1.1.2</w:t>
      </w:r>
      <w:r>
        <w:rPr>
          <w:rFonts w:hint="eastAsia" w:asciiTheme="minorEastAsia" w:hAnsiTheme="minorEastAsia" w:eastAsiaTheme="minorEastAsia" w:cstheme="minorEastAsia"/>
          <w:color w:val="auto"/>
          <w:sz w:val="24"/>
          <w:szCs w:val="21"/>
          <w:highlight w:val="none"/>
        </w:rPr>
        <w:t>本工程各个阶段的设计成果必须经招标人及有关审批部门同意后方可进行下一工序的设计工作，若招标人或有关审批部门在审批过程中提出的设计修改或变更，中标人必须无条件进行修改或变更，招标人不再支付由此而增加的设计费用。本工程施工图设计必须先经招标人确认才能送审，并经招标人委托的有资质的审图机构审查合格。若招标人或审图机构在审查过程中提出的设计修改或变更，中标人必须无条件进行修改或优化设计，招标人不再支付由此而增加的设计费用。</w:t>
      </w:r>
    </w:p>
    <w:p w14:paraId="738DF895">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5.1.1.3</w:t>
      </w:r>
      <w:r>
        <w:rPr>
          <w:rFonts w:hint="eastAsia" w:asciiTheme="minorEastAsia" w:hAnsiTheme="minorEastAsia" w:eastAsiaTheme="minorEastAsia" w:cstheme="minorEastAsia"/>
          <w:color w:val="auto"/>
          <w:sz w:val="24"/>
          <w:szCs w:val="21"/>
          <w:highlight w:val="none"/>
        </w:rPr>
        <w:t>本工程设计要求的质量标准：符合现行的国家及地方的有关设计规范等，且必须通过有关部门的审查及经有资质的审图机构审查合格。</w:t>
      </w:r>
    </w:p>
    <w:p w14:paraId="7BC17075">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5.2</w:t>
      </w:r>
      <w:r>
        <w:rPr>
          <w:rFonts w:hint="eastAsia" w:asciiTheme="minorEastAsia" w:hAnsiTheme="minorEastAsia" w:eastAsiaTheme="minorEastAsia" w:cstheme="minorEastAsia"/>
          <w:color w:val="auto"/>
          <w:sz w:val="24"/>
          <w:szCs w:val="21"/>
          <w:highlight w:val="none"/>
        </w:rPr>
        <w:t>设计承包内容：中标人按合同约定、招标文件内容要求、法律法规及国家强制性标准要求提供完整的设计文件及建设期间的服务等内容。</w:t>
      </w:r>
    </w:p>
    <w:p w14:paraId="7503598C">
      <w:pPr>
        <w:pStyle w:val="41"/>
        <w:widowControl/>
        <w:spacing w:line="360" w:lineRule="auto"/>
        <w:ind w:firstLine="480"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color w:val="auto"/>
          <w:sz w:val="24"/>
          <w:szCs w:val="21"/>
          <w:highlight w:val="none"/>
        </w:rPr>
        <w:t>施工图设计文件（含施工图预算）12套、施工图预算（含工程量清单）5套。提供的所有资料均含电子版（含CAD及PDF文件格式）。</w:t>
      </w:r>
    </w:p>
    <w:p w14:paraId="2D9261A5">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5.3</w:t>
      </w:r>
      <w:r>
        <w:rPr>
          <w:rFonts w:hint="eastAsia" w:asciiTheme="minorEastAsia" w:hAnsiTheme="minorEastAsia" w:eastAsiaTheme="minorEastAsia" w:cstheme="minorEastAsia"/>
          <w:color w:val="auto"/>
          <w:sz w:val="24"/>
          <w:szCs w:val="21"/>
          <w:highlight w:val="none"/>
        </w:rPr>
        <w:t xml:space="preserve"> 施工期间若遇到工程变更、突发事件或不可预见的事件等情况，中标人接到建设单位或监理单位通知后应当立即到达施工现场，研究并及时处理问题。</w:t>
      </w:r>
    </w:p>
    <w:p w14:paraId="58F50357">
      <w:pPr>
        <w:pStyle w:val="41"/>
        <w:widowControl/>
        <w:spacing w:line="360" w:lineRule="auto"/>
        <w:ind w:firstLine="482" w:firstLineChars="200"/>
        <w:jc w:val="left"/>
        <w:rPr>
          <w:rFonts w:hint="eastAsia" w:asciiTheme="minorEastAsia" w:hAnsiTheme="minorEastAsia" w:eastAsiaTheme="minorEastAsia" w:cstheme="minorEastAsia"/>
          <w:b/>
          <w:bCs/>
          <w:color w:val="auto"/>
          <w:sz w:val="24"/>
          <w:szCs w:val="21"/>
          <w:highlight w:val="none"/>
        </w:rPr>
      </w:pPr>
      <w:r>
        <w:rPr>
          <w:rFonts w:hint="eastAsia" w:asciiTheme="minorEastAsia" w:hAnsiTheme="minorEastAsia" w:eastAsiaTheme="minorEastAsia" w:cstheme="minorEastAsia"/>
          <w:b/>
          <w:bCs/>
          <w:color w:val="auto"/>
          <w:sz w:val="24"/>
          <w:szCs w:val="21"/>
          <w:highlight w:val="none"/>
        </w:rPr>
        <w:t>5.5关于设计深度的要求</w:t>
      </w:r>
    </w:p>
    <w:p w14:paraId="629938F3">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5.5.1</w:t>
      </w:r>
      <w:r>
        <w:rPr>
          <w:rFonts w:hint="eastAsia" w:asciiTheme="minorEastAsia" w:hAnsiTheme="minorEastAsia" w:eastAsiaTheme="minorEastAsia" w:cstheme="minorEastAsia"/>
          <w:color w:val="auto"/>
          <w:sz w:val="24"/>
          <w:szCs w:val="21"/>
          <w:highlight w:val="none"/>
        </w:rPr>
        <w:t>按现行的设计文件深度规定等有关技术标准、设计规范（标准）要求。</w:t>
      </w:r>
    </w:p>
    <w:p w14:paraId="0FA2F9C2">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5.5.2</w:t>
      </w:r>
      <w:r>
        <w:rPr>
          <w:rFonts w:hint="eastAsia" w:asciiTheme="minorEastAsia" w:hAnsiTheme="minorEastAsia" w:eastAsiaTheme="minorEastAsia" w:cstheme="minorEastAsia"/>
          <w:color w:val="auto"/>
          <w:sz w:val="24"/>
          <w:szCs w:val="21"/>
          <w:highlight w:val="none"/>
        </w:rPr>
        <w:t>各专业设计应同步进行，中标人应指定总体中标人统筹布局，做好各项设施的协调和衔接、位置预留，不得留待施工中临时变更。</w:t>
      </w:r>
    </w:p>
    <w:p w14:paraId="13C3A785">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5.5.3</w:t>
      </w:r>
      <w:r>
        <w:rPr>
          <w:rFonts w:hint="eastAsia" w:asciiTheme="minorEastAsia" w:hAnsiTheme="minorEastAsia" w:eastAsiaTheme="minorEastAsia" w:cstheme="minorEastAsia"/>
          <w:color w:val="auto"/>
          <w:sz w:val="24"/>
          <w:szCs w:val="21"/>
          <w:highlight w:val="none"/>
        </w:rPr>
        <w:t>对技术复杂或造价、规模较大的主要分项工程应作方案比较。</w:t>
      </w:r>
    </w:p>
    <w:p w14:paraId="46A2706B">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5.5.4</w:t>
      </w:r>
      <w:r>
        <w:rPr>
          <w:rFonts w:hint="eastAsia" w:asciiTheme="minorEastAsia" w:hAnsiTheme="minorEastAsia" w:eastAsiaTheme="minorEastAsia" w:cstheme="minorEastAsia"/>
          <w:color w:val="auto"/>
          <w:sz w:val="24"/>
          <w:szCs w:val="21"/>
          <w:highlight w:val="none"/>
        </w:rPr>
        <w:t>施工图设计文件的深度，应当满足设备材料采购，非标准设备制作和施工的需要，并注明建设工程合理使用年限。</w:t>
      </w:r>
    </w:p>
    <w:p w14:paraId="660EF884">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5.5.5</w:t>
      </w:r>
      <w:r>
        <w:rPr>
          <w:rFonts w:hint="eastAsia" w:asciiTheme="minorEastAsia" w:hAnsiTheme="minorEastAsia" w:eastAsiaTheme="minorEastAsia" w:cstheme="minorEastAsia"/>
          <w:color w:val="auto"/>
          <w:sz w:val="24"/>
          <w:szCs w:val="21"/>
          <w:highlight w:val="none"/>
        </w:rPr>
        <w:t>相关的配套外部接口方案均需取得政府主管部门或规划部门认可。</w:t>
      </w:r>
    </w:p>
    <w:p w14:paraId="6B8DEEBC">
      <w:pPr>
        <w:pStyle w:val="41"/>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5.5.6</w:t>
      </w:r>
      <w:r>
        <w:rPr>
          <w:rFonts w:hint="eastAsia" w:asciiTheme="minorEastAsia" w:hAnsiTheme="minorEastAsia" w:eastAsiaTheme="minorEastAsia" w:cstheme="minorEastAsia"/>
          <w:color w:val="auto"/>
          <w:sz w:val="24"/>
          <w:szCs w:val="21"/>
          <w:highlight w:val="none"/>
        </w:rPr>
        <w:t>施工图设计文件应考虑交通维护、临时施工便道、危大工程、对周边建筑物的影响等因素，并提供相应的设计方案及计算书（可另册装订），以指导现场施工及过程评审。</w:t>
      </w:r>
    </w:p>
    <w:p w14:paraId="6FB85944">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5.6</w:t>
      </w:r>
      <w:r>
        <w:rPr>
          <w:rFonts w:hint="eastAsia" w:asciiTheme="minorEastAsia" w:hAnsiTheme="minorEastAsia" w:eastAsiaTheme="minorEastAsia" w:cstheme="minorEastAsia"/>
          <w:b/>
          <w:bCs/>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rPr>
        <w:t>设计后期配合施工工作</w:t>
      </w:r>
    </w:p>
    <w:p w14:paraId="6C69C94B">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5.6.1</w:t>
      </w:r>
      <w:r>
        <w:rPr>
          <w:rFonts w:hint="eastAsia" w:asciiTheme="minorEastAsia" w:hAnsiTheme="minorEastAsia" w:eastAsiaTheme="minorEastAsia" w:cstheme="minorEastAsia"/>
          <w:b/>
          <w:bCs/>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rPr>
        <w:t>施工图设计完成并经有关单位审查后，才能进入施工阶段，设计单位必须按投标文件的承诺至少派1名参与并熟悉本项目设计、有现场处理经验的设计代表驻现场以配合，建设管理单位不另外支付配合施工费用。</w:t>
      </w:r>
    </w:p>
    <w:p w14:paraId="4A2658FE">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5.7</w:t>
      </w:r>
      <w:r>
        <w:rPr>
          <w:rFonts w:hint="eastAsia" w:asciiTheme="minorEastAsia" w:hAnsiTheme="minorEastAsia" w:eastAsiaTheme="minorEastAsia" w:cstheme="minorEastAsia"/>
          <w:snapToGrid w:val="0"/>
          <w:color w:val="auto"/>
          <w:kern w:val="0"/>
          <w:szCs w:val="24"/>
          <w:highlight w:val="none"/>
        </w:rPr>
        <w:t>限额设计要求：</w:t>
      </w:r>
    </w:p>
    <w:p w14:paraId="6EF949FA">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5.7.1</w:t>
      </w:r>
      <w:r>
        <w:rPr>
          <w:rFonts w:hint="eastAsia" w:asciiTheme="minorEastAsia" w:hAnsiTheme="minorEastAsia" w:eastAsiaTheme="minorEastAsia" w:cstheme="minorEastAsia"/>
          <w:snapToGrid w:val="0"/>
          <w:color w:val="auto"/>
          <w:kern w:val="0"/>
          <w:szCs w:val="24"/>
          <w:highlight w:val="none"/>
        </w:rPr>
        <w:t>施工图预算中的建安工程费预算价不得超过经发改部门审定的概算建安工程费</w:t>
      </w:r>
      <w:r>
        <w:rPr>
          <w:rFonts w:hint="eastAsia" w:asciiTheme="minorEastAsia" w:hAnsiTheme="minorEastAsia" w:eastAsiaTheme="minorEastAsia" w:cstheme="minorEastAsia"/>
          <w:color w:val="auto"/>
          <w:szCs w:val="24"/>
          <w:highlight w:val="none"/>
        </w:rPr>
        <w:t>且不得超过建安工程费的中标价</w:t>
      </w:r>
      <w:r>
        <w:rPr>
          <w:rFonts w:hint="eastAsia" w:asciiTheme="minorEastAsia" w:hAnsiTheme="minorEastAsia" w:eastAsiaTheme="minorEastAsia" w:cstheme="minorEastAsia"/>
          <w:snapToGrid w:val="0"/>
          <w:color w:val="auto"/>
          <w:kern w:val="0"/>
          <w:szCs w:val="24"/>
          <w:highlight w:val="none"/>
        </w:rPr>
        <w:t>。</w:t>
      </w:r>
    </w:p>
    <w:p w14:paraId="55114261">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5.7.2</w:t>
      </w:r>
      <w:r>
        <w:rPr>
          <w:rFonts w:hint="eastAsia" w:asciiTheme="minorEastAsia" w:hAnsiTheme="minorEastAsia" w:eastAsiaTheme="minorEastAsia" w:cstheme="minorEastAsia"/>
          <w:snapToGrid w:val="0"/>
          <w:color w:val="auto"/>
          <w:kern w:val="0"/>
          <w:szCs w:val="24"/>
          <w:highlight w:val="none"/>
        </w:rPr>
        <w:t>中标人在提交设计施工图时必须同时提交施工图预算。施工图预算作为中标人自我核算是否符合限额设计要求的依据。若造价咨询单位按施工图编制或审核的建安工程费高于5.7.1条规定时，中标人必须无条件对施工图进行修改，直至满足限额设计要求，</w:t>
      </w:r>
      <w:r>
        <w:rPr>
          <w:rFonts w:hint="eastAsia" w:asciiTheme="minorEastAsia" w:hAnsiTheme="minorEastAsia" w:eastAsiaTheme="minorEastAsia" w:cstheme="minorEastAsia"/>
          <w:color w:val="auto"/>
          <w:szCs w:val="24"/>
          <w:highlight w:val="none"/>
        </w:rPr>
        <w:t>不另行增加设计费</w:t>
      </w:r>
      <w:r>
        <w:rPr>
          <w:rFonts w:hint="eastAsia" w:asciiTheme="minorEastAsia" w:hAnsiTheme="minorEastAsia" w:eastAsiaTheme="minorEastAsia" w:cstheme="minorEastAsia"/>
          <w:snapToGrid w:val="0"/>
          <w:color w:val="auto"/>
          <w:kern w:val="0"/>
          <w:szCs w:val="24"/>
          <w:highlight w:val="none"/>
        </w:rPr>
        <w:t>。</w:t>
      </w:r>
    </w:p>
    <w:p w14:paraId="08C1F46B">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5.7.3</w:t>
      </w:r>
      <w:r>
        <w:rPr>
          <w:rFonts w:hint="eastAsia" w:asciiTheme="minorEastAsia" w:hAnsiTheme="minorEastAsia" w:eastAsiaTheme="minorEastAsia" w:cstheme="minorEastAsia"/>
          <w:snapToGrid w:val="0"/>
          <w:color w:val="auto"/>
          <w:kern w:val="0"/>
          <w:szCs w:val="24"/>
          <w:highlight w:val="none"/>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w:t>
      </w:r>
    </w:p>
    <w:p w14:paraId="26D79B1F">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5.8</w:t>
      </w:r>
      <w:r>
        <w:rPr>
          <w:rFonts w:hint="eastAsia" w:asciiTheme="minorEastAsia" w:hAnsiTheme="minorEastAsia" w:eastAsiaTheme="minorEastAsia" w:cstheme="minorEastAsia"/>
          <w:snapToGrid w:val="0"/>
          <w:color w:val="auto"/>
          <w:kern w:val="0"/>
          <w:szCs w:val="24"/>
          <w:highlight w:val="none"/>
        </w:rPr>
        <w:t>设计时需要考虑与周边环境相结合。</w:t>
      </w:r>
    </w:p>
    <w:p w14:paraId="11BD106F">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5.9</w:t>
      </w:r>
      <w:r>
        <w:rPr>
          <w:rFonts w:hint="eastAsia" w:asciiTheme="minorEastAsia" w:hAnsiTheme="minorEastAsia" w:eastAsiaTheme="minorEastAsia" w:cstheme="minorEastAsia"/>
          <w:snapToGrid w:val="0"/>
          <w:color w:val="auto"/>
          <w:kern w:val="0"/>
          <w:szCs w:val="24"/>
          <w:highlight w:val="none"/>
        </w:rPr>
        <w:t>凡参加本次招标的投标人被视为已充分认识和理解了任何与本工程有关的影响事项和困难等情况。</w:t>
      </w:r>
    </w:p>
    <w:p w14:paraId="37430909">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5.10</w:t>
      </w:r>
      <w:r>
        <w:rPr>
          <w:rFonts w:hint="eastAsia" w:asciiTheme="minorEastAsia" w:hAnsiTheme="minorEastAsia" w:eastAsiaTheme="minorEastAsia" w:cstheme="minorEastAsia"/>
          <w:snapToGrid w:val="0"/>
          <w:color w:val="auto"/>
          <w:kern w:val="0"/>
          <w:szCs w:val="24"/>
          <w:highlight w:val="none"/>
        </w:rPr>
        <w:t>工程技术要求：本工程须严格以国家和广东省的有关施工技术规范及现行标准为依据</w:t>
      </w:r>
      <w:bookmarkStart w:id="71" w:name="_Hlt74496021"/>
      <w:bookmarkEnd w:id="71"/>
      <w:r>
        <w:rPr>
          <w:rFonts w:hint="eastAsia" w:asciiTheme="minorEastAsia" w:hAnsiTheme="minorEastAsia" w:eastAsiaTheme="minorEastAsia" w:cstheme="minorEastAsia"/>
          <w:snapToGrid w:val="0"/>
          <w:color w:val="auto"/>
          <w:kern w:val="0"/>
          <w:szCs w:val="24"/>
          <w:highlight w:val="none"/>
        </w:rPr>
        <w:t>，工程必须达到合格标准，如工程未达到合格标准，中标人则按合同价款的1%向招标人缴纳质量违约金，返修费用由中标人承担，同时，招标人有权就因此造成的损失向中标人索赔。招标人有权提请建设行政主管部门对其作不良行为记录，有权给予中标人履约评价为不合格，同时招标人有权拒绝中标人3年内参加招标人其它工程的投标。</w:t>
      </w:r>
    </w:p>
    <w:p w14:paraId="7098B4AC">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5.11</w:t>
      </w:r>
      <w:r>
        <w:rPr>
          <w:rFonts w:hint="eastAsia" w:asciiTheme="minorEastAsia" w:hAnsiTheme="minorEastAsia" w:eastAsiaTheme="minorEastAsia" w:cstheme="minorEastAsia"/>
          <w:snapToGrid w:val="0"/>
          <w:color w:val="auto"/>
          <w:kern w:val="0"/>
          <w:szCs w:val="24"/>
          <w:highlight w:val="none"/>
        </w:rPr>
        <w:t xml:space="preserve"> 中标人在施工中如果工程质量不符合设计要求和有关规定，招标人或监理单位要求停工和返工的必须立即执行，并由中标人承担由此产生的各种费用，工期不予顺延。</w:t>
      </w:r>
    </w:p>
    <w:p w14:paraId="77642BF7">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 xml:space="preserve">5.12 </w:t>
      </w:r>
      <w:r>
        <w:rPr>
          <w:rFonts w:hint="eastAsia" w:asciiTheme="minorEastAsia" w:hAnsiTheme="minorEastAsia" w:eastAsiaTheme="minorEastAsia" w:cstheme="minorEastAsia"/>
          <w:snapToGrid w:val="0"/>
          <w:color w:val="auto"/>
          <w:kern w:val="0"/>
          <w:szCs w:val="24"/>
          <w:highlight w:val="none"/>
        </w:rPr>
        <w:t>保修期限按中华人民共和国国务院令第279号文《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5F6EFBF4">
      <w:pPr>
        <w:adjustRightInd w:val="0"/>
        <w:snapToGrid w:val="0"/>
        <w:spacing w:line="360" w:lineRule="auto"/>
        <w:ind w:firstLine="482"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snapToGrid w:val="0"/>
          <w:color w:val="auto"/>
          <w:kern w:val="0"/>
          <w:szCs w:val="24"/>
          <w:highlight w:val="none"/>
        </w:rPr>
        <w:t xml:space="preserve">5.13 </w:t>
      </w:r>
      <w:r>
        <w:rPr>
          <w:rFonts w:hint="eastAsia" w:asciiTheme="minorEastAsia" w:hAnsiTheme="minorEastAsia" w:eastAsiaTheme="minorEastAsia" w:cstheme="minorEastAsia"/>
          <w:snapToGrid w:val="0"/>
          <w:color w:val="auto"/>
          <w:kern w:val="0"/>
          <w:szCs w:val="24"/>
          <w:highlight w:val="none"/>
        </w:rPr>
        <w:t>工程使用的主要材料质量要求：不低于国家规范及强制标准所列的要求。主要材料必须先提供样板或相关资料给招标人、业主同意确定其规格、型号、颜色、等级等，</w:t>
      </w:r>
      <w:r>
        <w:rPr>
          <w:rFonts w:hint="eastAsia" w:asciiTheme="minorEastAsia" w:hAnsiTheme="minorEastAsia" w:eastAsiaTheme="minorEastAsia" w:cstheme="minorEastAsia"/>
          <w:snapToGrid w:val="0"/>
          <w:color w:val="auto"/>
          <w:kern w:val="0"/>
          <w:szCs w:val="24"/>
          <w:highlight w:val="none"/>
          <w:lang w:val="zh-CN"/>
        </w:rPr>
        <w:t>并经检测部门检测合格</w:t>
      </w:r>
      <w:r>
        <w:rPr>
          <w:rFonts w:hint="eastAsia" w:asciiTheme="minorEastAsia" w:hAnsiTheme="minorEastAsia" w:eastAsiaTheme="minorEastAsia" w:cstheme="minorEastAsia"/>
          <w:snapToGrid w:val="0"/>
          <w:color w:val="auto"/>
          <w:kern w:val="0"/>
          <w:szCs w:val="24"/>
          <w:highlight w:val="none"/>
        </w:rPr>
        <w:t>方可使用，所有材料必须使用合格产品。</w:t>
      </w:r>
      <w:bookmarkStart w:id="72" w:name="_Hlt69356505"/>
      <w:bookmarkEnd w:id="72"/>
      <w:bookmarkStart w:id="73" w:name="_Hlt111690342"/>
      <w:bookmarkEnd w:id="73"/>
      <w:bookmarkStart w:id="74" w:name="_Hlt74496537"/>
      <w:bookmarkEnd w:id="74"/>
      <w:bookmarkStart w:id="75" w:name="_Hlt120502666"/>
      <w:bookmarkEnd w:id="75"/>
      <w:bookmarkStart w:id="76" w:name="_Hlt74493474"/>
      <w:bookmarkEnd w:id="76"/>
      <w:bookmarkStart w:id="77" w:name="_Hlt69699204"/>
      <w:bookmarkEnd w:id="77"/>
      <w:bookmarkStart w:id="78" w:name="_Hlt121563076"/>
      <w:bookmarkEnd w:id="78"/>
      <w:bookmarkStart w:id="79" w:name="_Hlt88974078"/>
      <w:bookmarkEnd w:id="79"/>
    </w:p>
    <w:p w14:paraId="3EC1D498">
      <w:pPr>
        <w:pStyle w:val="34"/>
        <w:keepNext/>
        <w:keepLines/>
        <w:ind w:firstLine="480"/>
        <w:jc w:val="both"/>
        <w:rPr>
          <w:rFonts w:hint="eastAsia" w:asciiTheme="minorEastAsia" w:hAnsiTheme="minorEastAsia" w:eastAsiaTheme="minorEastAsia" w:cstheme="minorEastAsia"/>
          <w:b/>
          <w:color w:val="auto"/>
          <w:kern w:val="2"/>
          <w:highlight w:val="none"/>
        </w:rPr>
      </w:pPr>
      <w:bookmarkStart w:id="80" w:name="_Toc24793"/>
      <w:bookmarkStart w:id="81" w:name="_Toc12765"/>
      <w:bookmarkStart w:id="82" w:name="_Toc16432"/>
      <w:bookmarkStart w:id="83" w:name="_Toc19911"/>
      <w:bookmarkStart w:id="84" w:name="_Toc12891"/>
      <w:bookmarkStart w:id="85" w:name="_Toc3193"/>
      <w:bookmarkStart w:id="86" w:name="_Toc10812"/>
      <w:bookmarkStart w:id="87" w:name="_Toc17958"/>
      <w:bookmarkStart w:id="88" w:name="_Toc20827"/>
      <w:r>
        <w:rPr>
          <w:rFonts w:hint="eastAsia" w:asciiTheme="minorEastAsia" w:hAnsiTheme="minorEastAsia" w:eastAsiaTheme="minorEastAsia" w:cstheme="minorEastAsia"/>
          <w:b/>
          <w:color w:val="auto"/>
          <w:kern w:val="2"/>
          <w:highlight w:val="none"/>
        </w:rPr>
        <w:t>6</w:t>
      </w:r>
      <w:r>
        <w:rPr>
          <w:rFonts w:hint="eastAsia" w:asciiTheme="minorEastAsia" w:hAnsiTheme="minorEastAsia" w:eastAsiaTheme="minorEastAsia" w:cstheme="minorEastAsia"/>
          <w:b/>
          <w:color w:val="auto"/>
          <w:kern w:val="2"/>
          <w:highlight w:val="none"/>
          <w:lang w:val="en-US" w:eastAsia="zh-CN"/>
        </w:rPr>
        <w:t>.</w:t>
      </w:r>
      <w:r>
        <w:rPr>
          <w:rFonts w:hint="eastAsia" w:asciiTheme="minorEastAsia" w:hAnsiTheme="minorEastAsia" w:eastAsiaTheme="minorEastAsia" w:cstheme="minorEastAsia"/>
          <w:b/>
          <w:color w:val="auto"/>
          <w:kern w:val="2"/>
          <w:highlight w:val="none"/>
        </w:rPr>
        <w:t>招标工程施工条件及现场踏勘</w:t>
      </w:r>
      <w:bookmarkEnd w:id="80"/>
      <w:bookmarkEnd w:id="81"/>
      <w:bookmarkEnd w:id="82"/>
      <w:bookmarkEnd w:id="83"/>
      <w:bookmarkEnd w:id="84"/>
      <w:bookmarkEnd w:id="85"/>
      <w:bookmarkEnd w:id="86"/>
      <w:bookmarkEnd w:id="87"/>
      <w:bookmarkEnd w:id="88"/>
    </w:p>
    <w:p w14:paraId="100DD465">
      <w:pPr>
        <w:pStyle w:val="42"/>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6.1本工程招标人仅在征地红线范围内提供场地，其他一切场地费用由中标人自行负责（含临时道路）。</w:t>
      </w:r>
    </w:p>
    <w:p w14:paraId="0212C687">
      <w:pPr>
        <w:wordWrap w:val="0"/>
        <w:adjustRightInd w:val="0"/>
        <w:snapToGrid w:val="0"/>
        <w:spacing w:line="360" w:lineRule="auto"/>
        <w:ind w:firstLine="360" w:firstLineChars="150"/>
        <w:rPr>
          <w:rFonts w:hint="eastAsia" w:asciiTheme="minorEastAsia" w:hAnsiTheme="minorEastAsia" w:eastAsiaTheme="minorEastAsia" w:cstheme="minorEastAsia"/>
          <w:b/>
          <w:bCs/>
          <w:snapToGrid w:val="0"/>
          <w:color w:val="auto"/>
          <w:kern w:val="0"/>
          <w:szCs w:val="24"/>
          <w:highlight w:val="none"/>
          <w:u w:val="none"/>
        </w:rPr>
      </w:pPr>
      <w:r>
        <w:rPr>
          <w:rFonts w:hint="eastAsia" w:asciiTheme="minorEastAsia" w:hAnsiTheme="minorEastAsia" w:eastAsiaTheme="minorEastAsia" w:cstheme="minorEastAsia"/>
          <w:color w:val="auto"/>
          <w:highlight w:val="none"/>
          <w:u w:val="none"/>
        </w:rPr>
        <w:t xml:space="preserve"> 6.2 </w:t>
      </w:r>
      <w:r>
        <w:rPr>
          <w:rFonts w:hint="eastAsia" w:asciiTheme="minorEastAsia" w:hAnsiTheme="minorEastAsia" w:eastAsiaTheme="minorEastAsia" w:cstheme="minorEastAsia"/>
          <w:color w:val="auto"/>
          <w:szCs w:val="24"/>
          <w:highlight w:val="none"/>
          <w:u w:val="none"/>
        </w:rPr>
        <w:t>施工用水：招标人协调，</w:t>
      </w:r>
      <w:r>
        <w:rPr>
          <w:rFonts w:hint="eastAsia" w:asciiTheme="minorEastAsia" w:hAnsiTheme="minorEastAsia" w:eastAsiaTheme="minorEastAsia" w:cstheme="minorEastAsia"/>
          <w:snapToGrid w:val="0"/>
          <w:color w:val="auto"/>
          <w:kern w:val="0"/>
          <w:szCs w:val="24"/>
          <w:highlight w:val="none"/>
          <w:u w:val="none"/>
        </w:rPr>
        <w:t>施工用水及水源由中标人自行解决，费用含在投标报价中，不另计</w:t>
      </w:r>
      <w:r>
        <w:rPr>
          <w:rFonts w:hint="eastAsia" w:asciiTheme="minorEastAsia" w:hAnsiTheme="minorEastAsia" w:eastAsiaTheme="minorEastAsia" w:cstheme="minorEastAsia"/>
          <w:color w:val="auto"/>
          <w:kern w:val="0"/>
          <w:szCs w:val="24"/>
          <w:highlight w:val="none"/>
          <w:u w:val="none"/>
        </w:rPr>
        <w:t>。</w:t>
      </w:r>
    </w:p>
    <w:p w14:paraId="68129A3A">
      <w:pPr>
        <w:wordWrap w:val="0"/>
        <w:adjustRightInd w:val="0"/>
        <w:snapToGrid w:val="0"/>
        <w:spacing w:line="360" w:lineRule="auto"/>
        <w:ind w:firstLine="480" w:firstLineChars="200"/>
        <w:rPr>
          <w:rFonts w:hint="eastAsia" w:asciiTheme="minorEastAsia" w:hAnsiTheme="minorEastAsia" w:eastAsiaTheme="minorEastAsia" w:cstheme="minorEastAsia"/>
          <w:b/>
          <w:bCs/>
          <w:snapToGrid w:val="0"/>
          <w:color w:val="auto"/>
          <w:kern w:val="0"/>
          <w:szCs w:val="24"/>
          <w:highlight w:val="none"/>
          <w:u w:val="none"/>
        </w:rPr>
      </w:pPr>
      <w:r>
        <w:rPr>
          <w:rFonts w:hint="eastAsia" w:asciiTheme="minorEastAsia" w:hAnsiTheme="minorEastAsia" w:eastAsiaTheme="minorEastAsia" w:cstheme="minorEastAsia"/>
          <w:color w:val="auto"/>
          <w:highlight w:val="none"/>
          <w:u w:val="none"/>
        </w:rPr>
        <w:t xml:space="preserve">6.3 </w:t>
      </w:r>
      <w:r>
        <w:rPr>
          <w:rFonts w:hint="eastAsia" w:asciiTheme="minorEastAsia" w:hAnsiTheme="minorEastAsia" w:eastAsiaTheme="minorEastAsia" w:cstheme="minorEastAsia"/>
          <w:color w:val="auto"/>
          <w:szCs w:val="24"/>
          <w:highlight w:val="none"/>
          <w:u w:val="none"/>
        </w:rPr>
        <w:t>施工用电：招标人协调，</w:t>
      </w:r>
      <w:r>
        <w:rPr>
          <w:rFonts w:hint="eastAsia" w:asciiTheme="minorEastAsia" w:hAnsiTheme="minorEastAsia" w:eastAsiaTheme="minorEastAsia" w:cstheme="minorEastAsia"/>
          <w:snapToGrid w:val="0"/>
          <w:color w:val="auto"/>
          <w:kern w:val="0"/>
          <w:szCs w:val="24"/>
          <w:highlight w:val="none"/>
          <w:u w:val="none"/>
        </w:rPr>
        <w:t>施工用电及电源由中标人自行解决，费用含在投标报价中，不另计</w:t>
      </w:r>
      <w:r>
        <w:rPr>
          <w:rFonts w:hint="eastAsia" w:asciiTheme="minorEastAsia" w:hAnsiTheme="minorEastAsia" w:eastAsiaTheme="minorEastAsia" w:cstheme="minorEastAsia"/>
          <w:color w:val="auto"/>
          <w:kern w:val="0"/>
          <w:szCs w:val="24"/>
          <w:highlight w:val="none"/>
          <w:u w:val="none"/>
        </w:rPr>
        <w:t>。</w:t>
      </w:r>
    </w:p>
    <w:p w14:paraId="7DB14713">
      <w:pPr>
        <w:pStyle w:val="3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none"/>
        </w:rPr>
        <w:t xml:space="preserve">    6.4</w:t>
      </w:r>
      <w:r>
        <w:rPr>
          <w:rFonts w:hint="eastAsia" w:asciiTheme="minorEastAsia" w:hAnsiTheme="minorEastAsia" w:eastAsiaTheme="minorEastAsia" w:cstheme="minorEastAsia"/>
          <w:color w:val="auto"/>
          <w:szCs w:val="22"/>
          <w:highlight w:val="none"/>
          <w:u w:val="none"/>
        </w:rPr>
        <w:t>施工用水、用电由中标人负责报装并接入施工红线范围，</w:t>
      </w:r>
      <w:r>
        <w:rPr>
          <w:rFonts w:hint="eastAsia" w:asciiTheme="minorEastAsia" w:hAnsiTheme="minorEastAsia" w:eastAsiaTheme="minorEastAsia" w:cstheme="minorEastAsia"/>
          <w:color w:val="auto"/>
          <w:highlight w:val="none"/>
          <w:u w:val="none"/>
        </w:rPr>
        <w:t>并由中标人负责购置及安装满足施工所需的临时用电变压器、水表、电表，其水、电费按工程所在地</w:t>
      </w:r>
      <w:r>
        <w:rPr>
          <w:rFonts w:hint="eastAsia" w:asciiTheme="minorEastAsia" w:hAnsiTheme="minorEastAsia" w:eastAsiaTheme="minorEastAsia" w:cstheme="minorEastAsia"/>
          <w:color w:val="auto"/>
          <w:highlight w:val="none"/>
          <w:u w:val="none"/>
          <w:lang w:val="en-US" w:eastAsia="zh-CN"/>
        </w:rPr>
        <w:t>始兴县</w:t>
      </w:r>
      <w:r>
        <w:rPr>
          <w:rFonts w:hint="eastAsia" w:asciiTheme="minorEastAsia" w:hAnsiTheme="minorEastAsia" w:eastAsiaTheme="minorEastAsia" w:cstheme="minorEastAsia"/>
          <w:color w:val="auto"/>
          <w:highlight w:val="none"/>
          <w:u w:val="none"/>
        </w:rPr>
        <w:t>基建工程水、电计费标准计算并由中标人缴纳，相关线路、管路费用及安装费用</w:t>
      </w:r>
      <w:r>
        <w:rPr>
          <w:rFonts w:hint="eastAsia" w:asciiTheme="minorEastAsia" w:hAnsiTheme="minorEastAsia" w:eastAsiaTheme="minorEastAsia" w:cstheme="minorEastAsia"/>
          <w:color w:val="auto"/>
          <w:highlight w:val="none"/>
        </w:rPr>
        <w:t>以及购置及安装临时用电变压器的费用由中标人自行承担。</w:t>
      </w:r>
    </w:p>
    <w:p w14:paraId="7CDE72FE">
      <w:pPr>
        <w:pStyle w:val="3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6.5招标人不集中现场踏勘，但会在招标文件及有关设计文件中明确告知招标工程的具体位置和周边环境，并在现场设置足以识别的标识或提供足以表明工程具体位置的文字或图片。投标人需要了解现场情况的，可自行进行现场踏勘。</w:t>
      </w:r>
    </w:p>
    <w:p w14:paraId="72B59789">
      <w:pPr>
        <w:pStyle w:val="3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6.6在现场踏勘过程中，投标人应确保自身安全，投标人如果发生人身伤亡、财物或其他损失，法律法规有规定的按有关规定处理，没有规定的由投标人自行负责。</w:t>
      </w:r>
    </w:p>
    <w:p w14:paraId="7962FB18">
      <w:pPr>
        <w:pStyle w:val="32"/>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6.7现场踏勘期间的交通、食宿由投标人自行安排，费用自理。</w:t>
      </w:r>
    </w:p>
    <w:p w14:paraId="744CFD33">
      <w:pPr>
        <w:pStyle w:val="34"/>
        <w:keepNext/>
        <w:keepLines/>
        <w:ind w:firstLine="480"/>
        <w:jc w:val="both"/>
        <w:rPr>
          <w:rFonts w:hint="eastAsia" w:asciiTheme="minorEastAsia" w:hAnsiTheme="minorEastAsia" w:eastAsiaTheme="minorEastAsia" w:cstheme="minorEastAsia"/>
          <w:b/>
          <w:bCs/>
          <w:color w:val="auto"/>
          <w:sz w:val="28"/>
          <w:szCs w:val="28"/>
          <w:highlight w:val="none"/>
        </w:rPr>
      </w:pPr>
      <w:bookmarkStart w:id="89" w:name="_Toc22484"/>
      <w:bookmarkStart w:id="90" w:name="_Toc23962"/>
      <w:bookmarkStart w:id="91" w:name="_Toc17548"/>
      <w:bookmarkStart w:id="92" w:name="_Toc5795"/>
      <w:bookmarkStart w:id="93" w:name="_Toc8518"/>
      <w:bookmarkStart w:id="94" w:name="_Toc25942"/>
      <w:bookmarkStart w:id="95" w:name="_Toc3294"/>
      <w:bookmarkStart w:id="96" w:name="_Toc3397"/>
      <w:bookmarkStart w:id="97" w:name="_Toc27595"/>
      <w:r>
        <w:rPr>
          <w:rFonts w:hint="eastAsia" w:asciiTheme="minorEastAsia" w:hAnsiTheme="minorEastAsia" w:eastAsiaTheme="minorEastAsia" w:cstheme="minorEastAsia"/>
          <w:b/>
          <w:color w:val="auto"/>
          <w:kern w:val="2"/>
          <w:highlight w:val="none"/>
        </w:rPr>
        <w:t>7</w:t>
      </w:r>
      <w:bookmarkStart w:id="98" w:name="_Toc488220856"/>
      <w:bookmarkStart w:id="99" w:name="_Toc371968705"/>
      <w:r>
        <w:rPr>
          <w:rFonts w:hint="eastAsia" w:asciiTheme="minorEastAsia" w:hAnsiTheme="minorEastAsia" w:eastAsiaTheme="minorEastAsia" w:cstheme="minorEastAsia"/>
          <w:b/>
          <w:color w:val="auto"/>
          <w:kern w:val="2"/>
          <w:highlight w:val="none"/>
          <w:lang w:val="en-US" w:eastAsia="zh-CN"/>
        </w:rPr>
        <w:t>.</w:t>
      </w:r>
      <w:r>
        <w:rPr>
          <w:rFonts w:hint="eastAsia" w:asciiTheme="minorEastAsia" w:hAnsiTheme="minorEastAsia" w:eastAsiaTheme="minorEastAsia" w:cstheme="minorEastAsia"/>
          <w:b/>
          <w:color w:val="auto"/>
          <w:kern w:val="2"/>
          <w:highlight w:val="none"/>
        </w:rPr>
        <w:t>其他招标说明</w:t>
      </w:r>
      <w:bookmarkEnd w:id="89"/>
      <w:bookmarkEnd w:id="90"/>
      <w:bookmarkEnd w:id="91"/>
      <w:bookmarkEnd w:id="92"/>
      <w:bookmarkEnd w:id="93"/>
      <w:bookmarkEnd w:id="94"/>
      <w:bookmarkEnd w:id="95"/>
      <w:bookmarkEnd w:id="96"/>
      <w:bookmarkEnd w:id="97"/>
      <w:bookmarkEnd w:id="98"/>
    </w:p>
    <w:bookmarkEnd w:id="99"/>
    <w:p w14:paraId="1105D473">
      <w:pPr>
        <w:pStyle w:val="4"/>
        <w:wordWrap w:val="0"/>
        <w:autoSpaceDE/>
        <w:autoSpaceDN/>
        <w:snapToGrid w:val="0"/>
        <w:spacing w:line="440" w:lineRule="exact"/>
        <w:ind w:firstLine="480"/>
        <w:jc w:val="both"/>
        <w:rPr>
          <w:rFonts w:hint="eastAsia" w:asciiTheme="minorEastAsia" w:hAnsiTheme="minorEastAsia" w:eastAsiaTheme="minorEastAsia" w:cstheme="minorEastAsia"/>
          <w:b/>
          <w:snapToGrid w:val="0"/>
          <w:color w:val="auto"/>
          <w:szCs w:val="24"/>
          <w:highlight w:val="none"/>
        </w:rPr>
      </w:pPr>
      <w:bookmarkStart w:id="100" w:name="_Toc28014"/>
      <w:bookmarkStart w:id="101" w:name="_Toc10210"/>
      <w:bookmarkStart w:id="102" w:name="_Toc12714"/>
      <w:bookmarkStart w:id="103" w:name="_Toc4887"/>
      <w:r>
        <w:rPr>
          <w:rFonts w:hint="eastAsia" w:asciiTheme="minorEastAsia" w:hAnsiTheme="minorEastAsia" w:eastAsiaTheme="minorEastAsia" w:cstheme="minorEastAsia"/>
          <w:b/>
          <w:snapToGrid w:val="0"/>
          <w:color w:val="auto"/>
          <w:szCs w:val="24"/>
          <w:highlight w:val="none"/>
        </w:rPr>
        <w:t>7.1．</w:t>
      </w:r>
      <w:r>
        <w:rPr>
          <w:rStyle w:val="29"/>
          <w:rFonts w:hint="eastAsia" w:asciiTheme="minorEastAsia" w:hAnsiTheme="minorEastAsia" w:eastAsiaTheme="minorEastAsia" w:cstheme="minorEastAsia"/>
          <w:color w:val="auto"/>
          <w:szCs w:val="24"/>
          <w:highlight w:val="none"/>
          <w:shd w:val="clear" w:color="auto" w:fill="FFFFFF"/>
        </w:rPr>
        <w:t>获取招标文件</w:t>
      </w:r>
      <w:bookmarkEnd w:id="100"/>
      <w:bookmarkEnd w:id="101"/>
      <w:bookmarkEnd w:id="102"/>
      <w:bookmarkEnd w:id="103"/>
    </w:p>
    <w:p w14:paraId="0C15F3B6">
      <w:pPr>
        <w:pStyle w:val="24"/>
        <w:widowControl w:val="0"/>
        <w:wordWrap w:val="0"/>
        <w:adjustRightInd w:val="0"/>
        <w:snapToGrid w:val="0"/>
        <w:spacing w:beforeAutospacing="0" w:afterAutospacing="0" w:line="440" w:lineRule="exact"/>
        <w:ind w:firstLine="482" w:firstLineChars="200"/>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b/>
          <w:bCs/>
          <w:snapToGrid w:val="0"/>
          <w:color w:val="auto"/>
          <w:highlight w:val="none"/>
        </w:rPr>
        <w:t>7.1.1</w:t>
      </w:r>
      <w:r>
        <w:rPr>
          <w:rFonts w:hint="eastAsia" w:asciiTheme="minorEastAsia" w:hAnsiTheme="minorEastAsia" w:eastAsiaTheme="minorEastAsia" w:cstheme="minorEastAsia"/>
          <w:snapToGrid w:val="0"/>
          <w:color w:val="auto"/>
          <w:highlight w:val="none"/>
        </w:rPr>
        <w:t>本次招标实行电子投标。</w:t>
      </w:r>
      <w:r>
        <w:rPr>
          <w:rFonts w:hint="eastAsia" w:asciiTheme="minorEastAsia" w:hAnsiTheme="minorEastAsia" w:eastAsiaTheme="minorEastAsia" w:cstheme="minorEastAsia"/>
          <w:color w:val="auto"/>
          <w:highlight w:val="none"/>
          <w:shd w:val="clear" w:color="auto" w:fill="FFFFFF"/>
        </w:rPr>
        <w:t>本项目招标文件随招标公告一并在</w:t>
      </w:r>
      <w:r>
        <w:rPr>
          <w:rFonts w:hint="eastAsia" w:asciiTheme="minorEastAsia" w:hAnsiTheme="minorEastAsia" w:eastAsiaTheme="minorEastAsia" w:cstheme="minorEastAsia"/>
          <w:bCs/>
          <w:snapToGrid w:val="0"/>
          <w:color w:val="auto"/>
          <w:highlight w:val="none"/>
        </w:rPr>
        <w:t>广东省招标投标监管网(https://www.gdzwfw.gov.cn/ztbjg-portal/#/index)、</w:t>
      </w:r>
      <w:r>
        <w:rPr>
          <w:rFonts w:hint="eastAsia" w:asciiTheme="minorEastAsia" w:hAnsiTheme="minorEastAsia" w:eastAsiaTheme="minorEastAsia" w:cstheme="minorEastAsia"/>
          <w:color w:val="auto"/>
          <w:highlight w:val="none"/>
          <w:shd w:val="clear" w:color="auto" w:fill="FFFFFF"/>
        </w:rPr>
        <w:t>全国公共资源交易平台（广东省·韶关市）（https://ygp.gdzwfw.gov.cn/ggzy-portal/#/440200/index）网站发布。招标文件一经在交易平台发布，视为发送投标人，招标文件及相关附件由投标人自行在交易平台网站下载。招标文件获取</w:t>
      </w:r>
      <w:r>
        <w:rPr>
          <w:rFonts w:hint="eastAsia" w:asciiTheme="minorEastAsia" w:hAnsiTheme="minorEastAsia" w:eastAsiaTheme="minorEastAsia" w:cstheme="minorEastAsia"/>
          <w:snapToGrid w:val="0"/>
          <w:color w:val="auto"/>
          <w:highlight w:val="none"/>
        </w:rPr>
        <w:t>期间</w:t>
      </w:r>
      <w:r>
        <w:rPr>
          <w:rFonts w:hint="eastAsia" w:asciiTheme="minorEastAsia" w:hAnsiTheme="minorEastAsia" w:eastAsiaTheme="minorEastAsia" w:cstheme="minorEastAsia"/>
          <w:color w:val="auto"/>
          <w:highlight w:val="none"/>
          <w:shd w:val="clear" w:color="auto" w:fill="FFFFFF"/>
        </w:rPr>
        <w:t>（</w:t>
      </w:r>
      <w:r>
        <w:rPr>
          <w:rFonts w:hint="eastAsia" w:asciiTheme="minorEastAsia" w:hAnsiTheme="minorEastAsia" w:eastAsiaTheme="minorEastAsia" w:cstheme="minorEastAsia"/>
          <w:snapToGrid w:val="0"/>
          <w:color w:val="auto"/>
          <w:highlight w:val="none"/>
        </w:rPr>
        <w:t>见本章第二节“重要事项时间地点一览表”，招标文件获取期间与招标公告发布时间一致</w:t>
      </w:r>
      <w:r>
        <w:rPr>
          <w:rFonts w:hint="eastAsia" w:asciiTheme="minorEastAsia" w:hAnsiTheme="minorEastAsia" w:eastAsiaTheme="minorEastAsia" w:cstheme="minorEastAsia"/>
          <w:color w:val="auto"/>
          <w:highlight w:val="none"/>
          <w:shd w:val="clear" w:color="auto" w:fill="FFFFFF"/>
        </w:rPr>
        <w:t>），投标人须登录全国公共资源交易平台（广东省·韶关市）（https://ygp.gdzwfw.gov.cn/ggzy-portal/#/440200/index）</w:t>
      </w:r>
      <w:r>
        <w:rPr>
          <w:rFonts w:hint="eastAsia" w:asciiTheme="minorEastAsia" w:hAnsiTheme="minorEastAsia" w:eastAsiaTheme="minorEastAsia" w:cstheme="minorEastAsia"/>
          <w:snapToGrid w:val="0"/>
          <w:color w:val="auto"/>
          <w:highlight w:val="none"/>
        </w:rPr>
        <w:t>下载</w:t>
      </w:r>
      <w:r>
        <w:rPr>
          <w:rFonts w:hint="eastAsia" w:asciiTheme="minorEastAsia" w:hAnsiTheme="minorEastAsia" w:eastAsiaTheme="minorEastAsia" w:cstheme="minorEastAsia"/>
          <w:color w:val="auto"/>
          <w:highlight w:val="none"/>
          <w:shd w:val="clear" w:color="auto" w:fill="FFFFFF"/>
        </w:rPr>
        <w:t>招标文件及相关附件，并于电子投标截止时间（</w:t>
      </w:r>
      <w:r>
        <w:rPr>
          <w:rFonts w:hint="eastAsia" w:asciiTheme="minorEastAsia" w:hAnsiTheme="minorEastAsia" w:eastAsiaTheme="minorEastAsia" w:cstheme="minorEastAsia"/>
          <w:snapToGrid w:val="0"/>
          <w:color w:val="auto"/>
          <w:highlight w:val="none"/>
        </w:rPr>
        <w:t>见本章第二节“重要事项时间地点一览表”</w:t>
      </w:r>
      <w:r>
        <w:rPr>
          <w:rFonts w:hint="eastAsia" w:asciiTheme="minorEastAsia" w:hAnsiTheme="minorEastAsia" w:eastAsiaTheme="minorEastAsia" w:cstheme="minorEastAsia"/>
          <w:color w:val="auto"/>
          <w:highlight w:val="none"/>
          <w:shd w:val="clear" w:color="auto" w:fill="FFFFFF"/>
        </w:rPr>
        <w:t>）前完成电子投标。投标人可登录全国公共资源交易平台（广东省·韶关市）（https://ygp.gdzwfw.gov.cn/ggzy-portal/#/440200/index），在【服务指南】栏目中下载《韶关市公共资源建设工程交易系统-投标人操作指南（电子评标）》，了解网上获取招标文件操作流程。技术咨询电话：18819797080/0751-8379671 伍先生，业务咨询电话：0751-8633211、8633071。</w:t>
      </w:r>
    </w:p>
    <w:p w14:paraId="79303D19">
      <w:pPr>
        <w:pStyle w:val="35"/>
        <w:wordWrap w:val="0"/>
        <w:adjustRightInd w:val="0"/>
        <w:snapToGrid w:val="0"/>
        <w:spacing w:line="440" w:lineRule="exact"/>
        <w:ind w:firstLine="480"/>
        <w:jc w:val="left"/>
        <w:rPr>
          <w:rFonts w:hint="eastAsia" w:asciiTheme="minorEastAsia" w:hAnsiTheme="minorEastAsia" w:eastAsiaTheme="minorEastAsia" w:cstheme="minorEastAsia"/>
          <w:color w:val="auto"/>
          <w:sz w:val="24"/>
          <w:highlight w:val="none"/>
          <w:shd w:val="clear" w:color="auto" w:fill="FFFFFF"/>
        </w:rPr>
      </w:pPr>
      <w:r>
        <w:rPr>
          <w:rFonts w:hint="eastAsia" w:asciiTheme="minorEastAsia" w:hAnsiTheme="minorEastAsia" w:eastAsiaTheme="minorEastAsia" w:cstheme="minorEastAsia"/>
          <w:b/>
          <w:bCs/>
          <w:snapToGrid w:val="0"/>
          <w:color w:val="auto"/>
          <w:kern w:val="0"/>
          <w:sz w:val="24"/>
          <w:highlight w:val="none"/>
        </w:rPr>
        <w:t xml:space="preserve">7.1.2 </w:t>
      </w:r>
      <w:r>
        <w:rPr>
          <w:rFonts w:hint="eastAsia" w:asciiTheme="minorEastAsia" w:hAnsiTheme="minorEastAsia" w:eastAsiaTheme="minorEastAsia" w:cstheme="minorEastAsia"/>
          <w:color w:val="auto"/>
          <w:sz w:val="24"/>
          <w:highlight w:val="none"/>
          <w:shd w:val="clear" w:color="auto" w:fill="FFFFFF"/>
        </w:rPr>
        <w:t>只有申领了数字证书（CA）、“粤企签”或GDCA/SZCA/NETCA等符合法律法规规定的电子印章，并在交易平台中完成企业信息数据入库的投标人，方可在交易平台获取招标文件和电子投标。</w:t>
      </w:r>
    </w:p>
    <w:p w14:paraId="6D5C345A">
      <w:pPr>
        <w:pStyle w:val="35"/>
        <w:wordWrap w:val="0"/>
        <w:adjustRightInd w:val="0"/>
        <w:snapToGrid w:val="0"/>
        <w:spacing w:line="440" w:lineRule="exact"/>
        <w:ind w:firstLine="480"/>
        <w:jc w:val="left"/>
        <w:rPr>
          <w:rFonts w:hint="eastAsia" w:asciiTheme="minorEastAsia" w:hAnsiTheme="minorEastAsia" w:eastAsiaTheme="minorEastAsia" w:cstheme="minorEastAsia"/>
          <w:color w:val="auto"/>
          <w:sz w:val="24"/>
          <w:highlight w:val="none"/>
          <w:shd w:val="clear" w:color="auto" w:fill="FFFFFF"/>
        </w:rPr>
      </w:pPr>
      <w:r>
        <w:rPr>
          <w:rFonts w:hint="eastAsia" w:asciiTheme="minorEastAsia" w:hAnsiTheme="minorEastAsia" w:eastAsiaTheme="minorEastAsia" w:cstheme="minorEastAsia"/>
          <w:color w:val="auto"/>
          <w:sz w:val="24"/>
          <w:highlight w:val="none"/>
          <w:shd w:val="clear" w:color="auto" w:fill="FFFFFF"/>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68274B02">
      <w:pPr>
        <w:pStyle w:val="35"/>
        <w:wordWrap w:val="0"/>
        <w:adjustRightInd w:val="0"/>
        <w:snapToGrid w:val="0"/>
        <w:spacing w:line="440" w:lineRule="exact"/>
        <w:ind w:firstLine="48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color w:val="auto"/>
          <w:sz w:val="24"/>
          <w:highlight w:val="none"/>
          <w:shd w:val="clear" w:color="auto" w:fill="FFFFFF"/>
        </w:rPr>
        <w:t>已入库企业有关信息（如单位名称、基本账号、资质、人员等）发生变化的，须及时在交易平台进行相应变更。投标人未及时变更信息而造成的损失和后果，由投标人自行承担。</w:t>
      </w:r>
    </w:p>
    <w:p w14:paraId="61C26FD7">
      <w:pPr>
        <w:tabs>
          <w:tab w:val="left" w:pos="7020"/>
        </w:tabs>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shd w:val="clear" w:color="auto" w:fill="FFFFFF"/>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asciiTheme="minorEastAsia" w:hAnsiTheme="minorEastAsia" w:eastAsiaTheme="minorEastAsia" w:cstheme="minorEastAsia"/>
          <w:snapToGrid w:val="0"/>
          <w:color w:val="auto"/>
          <w:szCs w:val="24"/>
          <w:highlight w:val="none"/>
        </w:rPr>
        <w:t>。</w:t>
      </w:r>
    </w:p>
    <w:p w14:paraId="54C5841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2"/>
          <w:highlight w:val="none"/>
        </w:rPr>
        <w:t>7.2</w:t>
      </w:r>
      <w:r>
        <w:rPr>
          <w:rFonts w:hint="eastAsia" w:asciiTheme="minorEastAsia" w:hAnsiTheme="minorEastAsia" w:eastAsiaTheme="minorEastAsia" w:cstheme="minorEastAsia"/>
          <w:color w:val="auto"/>
          <w:highlight w:val="none"/>
        </w:rPr>
        <w:t>招标人（或招标代理机构）对投标人的失误不负任何责任，投标人应指定一名投标事务负责人（即授权委托人），专门负责跟踪、签收、阅读和理解招标文件及随后收到的有关资料，向招标人（或招标代理机构）发出疑问，检查投标文件，协助有关人员尽力克服各种投标失误。投标事务负责人（即授权委托人）如有更换，投标人应及时向招标人（或招标代理机构）提交授权委托书。</w:t>
      </w:r>
    </w:p>
    <w:p w14:paraId="2761B23E">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7.3 招标人对招标文件所作的答疑（或修改）公告，构成招标文件的组成部分。</w:t>
      </w:r>
    </w:p>
    <w:p w14:paraId="78D64906">
      <w:pPr>
        <w:pStyle w:val="34"/>
        <w:keepNext/>
        <w:keepLines/>
        <w:ind w:firstLine="480"/>
        <w:jc w:val="both"/>
        <w:rPr>
          <w:rFonts w:hint="eastAsia" w:asciiTheme="minorEastAsia" w:hAnsiTheme="minorEastAsia" w:eastAsiaTheme="minorEastAsia" w:cstheme="minorEastAsia"/>
          <w:b/>
          <w:color w:val="auto"/>
          <w:kern w:val="2"/>
          <w:highlight w:val="none"/>
        </w:rPr>
      </w:pPr>
      <w:bookmarkStart w:id="104" w:name="_Toc20975"/>
      <w:bookmarkStart w:id="105" w:name="_Toc30148"/>
      <w:r>
        <w:rPr>
          <w:rFonts w:hint="eastAsia" w:asciiTheme="minorEastAsia" w:hAnsiTheme="minorEastAsia" w:eastAsiaTheme="minorEastAsia" w:cstheme="minorEastAsia"/>
          <w:b/>
          <w:color w:val="auto"/>
          <w:kern w:val="2"/>
          <w:highlight w:val="none"/>
        </w:rPr>
        <w:t>8</w:t>
      </w:r>
      <w:r>
        <w:rPr>
          <w:rFonts w:hint="eastAsia" w:asciiTheme="minorEastAsia" w:hAnsiTheme="minorEastAsia" w:eastAsiaTheme="minorEastAsia" w:cstheme="minorEastAsia"/>
          <w:b/>
          <w:color w:val="auto"/>
          <w:kern w:val="2"/>
          <w:highlight w:val="none"/>
          <w:lang w:val="en-US" w:eastAsia="zh-CN"/>
        </w:rPr>
        <w:t>.</w:t>
      </w:r>
      <w:r>
        <w:rPr>
          <w:rFonts w:hint="eastAsia" w:asciiTheme="minorEastAsia" w:hAnsiTheme="minorEastAsia" w:eastAsiaTheme="minorEastAsia" w:cstheme="minorEastAsia"/>
          <w:b/>
          <w:color w:val="auto"/>
          <w:kern w:val="2"/>
          <w:highlight w:val="none"/>
        </w:rPr>
        <w:t>招标答疑</w:t>
      </w:r>
      <w:bookmarkEnd w:id="104"/>
      <w:bookmarkEnd w:id="105"/>
      <w:bookmarkStart w:id="106" w:name="_Hlt74496410"/>
      <w:bookmarkEnd w:id="106"/>
    </w:p>
    <w:p w14:paraId="03DA96BB">
      <w:pPr>
        <w:pStyle w:val="32"/>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8.1招标人不集中组织答疑，实行网上答疑。</w:t>
      </w:r>
      <w:r>
        <w:rPr>
          <w:rFonts w:hint="eastAsia" w:asciiTheme="minorEastAsia" w:hAnsiTheme="minorEastAsia" w:eastAsiaTheme="minorEastAsia" w:cstheme="minorEastAsia"/>
          <w:snapToGrid w:val="0"/>
          <w:color w:val="auto"/>
          <w:kern w:val="0"/>
          <w:highlight w:val="none"/>
        </w:rPr>
        <w:t>投标人若对招标文件有疑问</w:t>
      </w:r>
      <w:r>
        <w:rPr>
          <w:rFonts w:hint="eastAsia" w:asciiTheme="minorEastAsia" w:hAnsiTheme="minorEastAsia" w:eastAsiaTheme="minorEastAsia" w:cstheme="minorEastAsia"/>
          <w:color w:val="auto"/>
          <w:highlight w:val="none"/>
        </w:rPr>
        <w:t>应在提问截止时间（</w:t>
      </w:r>
      <w:r>
        <w:rPr>
          <w:rFonts w:hint="eastAsia" w:asciiTheme="minorEastAsia" w:hAnsiTheme="minorEastAsia" w:eastAsiaTheme="minorEastAsia" w:cstheme="minorEastAsia"/>
          <w:snapToGrid w:val="0"/>
          <w:color w:val="auto"/>
          <w:kern w:val="0"/>
          <w:szCs w:val="24"/>
          <w:highlight w:val="none"/>
        </w:rPr>
        <w:t>见本章第二节“重要事项时间地点一览表”</w:t>
      </w:r>
      <w:r>
        <w:rPr>
          <w:rFonts w:hint="eastAsia" w:asciiTheme="minorEastAsia" w:hAnsiTheme="minorEastAsia" w:eastAsiaTheme="minorEastAsia" w:cstheme="minorEastAsia"/>
          <w:color w:val="auto"/>
          <w:highlight w:val="none"/>
        </w:rPr>
        <w:t>）前在交易平台提出问题。未在指定时间前、未采用指定方式提出的，招标人不予受理。</w:t>
      </w:r>
    </w:p>
    <w:p w14:paraId="2C3C6BA8">
      <w:pPr>
        <w:pStyle w:val="32"/>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8.2 </w:t>
      </w:r>
      <w:r>
        <w:rPr>
          <w:rFonts w:hint="eastAsia" w:asciiTheme="minorEastAsia" w:hAnsiTheme="minorEastAsia" w:eastAsiaTheme="minorEastAsia" w:cstheme="minorEastAsia"/>
          <w:snapToGrid w:val="0"/>
          <w:color w:val="auto"/>
          <w:kern w:val="0"/>
          <w:highlight w:val="none"/>
        </w:rPr>
        <w:t>招标人在提问截止时间（</w:t>
      </w:r>
      <w:r>
        <w:rPr>
          <w:rFonts w:hint="eastAsia" w:asciiTheme="minorEastAsia" w:hAnsiTheme="minorEastAsia" w:eastAsiaTheme="minorEastAsia" w:cstheme="minorEastAsia"/>
          <w:snapToGrid w:val="0"/>
          <w:color w:val="auto"/>
          <w:kern w:val="0"/>
          <w:szCs w:val="24"/>
          <w:highlight w:val="none"/>
        </w:rPr>
        <w:t>见本章第二节“重要事项时间地点一览表”</w:t>
      </w:r>
      <w:r>
        <w:rPr>
          <w:rFonts w:hint="eastAsia" w:asciiTheme="minorEastAsia" w:hAnsiTheme="minorEastAsia" w:eastAsiaTheme="minorEastAsia" w:cstheme="minorEastAsia"/>
          <w:snapToGrid w:val="0"/>
          <w:color w:val="auto"/>
          <w:kern w:val="0"/>
          <w:highlight w:val="none"/>
        </w:rPr>
        <w:t>）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6520BF48">
      <w:pPr>
        <w:pStyle w:val="32"/>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8.3 答疑书（</w:t>
      </w:r>
      <w:r>
        <w:rPr>
          <w:rFonts w:hint="eastAsia" w:asciiTheme="minorEastAsia" w:hAnsiTheme="minorEastAsia" w:eastAsiaTheme="minorEastAsia" w:cstheme="minorEastAsia"/>
          <w:snapToGrid w:val="0"/>
          <w:color w:val="auto"/>
          <w:kern w:val="0"/>
          <w:highlight w:val="none"/>
        </w:rPr>
        <w:t>或修改</w:t>
      </w:r>
      <w:r>
        <w:rPr>
          <w:rFonts w:hint="eastAsia" w:asciiTheme="minorEastAsia" w:hAnsiTheme="minorEastAsia" w:eastAsiaTheme="minorEastAsia" w:cstheme="minorEastAsia"/>
          <w:color w:val="auto"/>
          <w:highlight w:val="none"/>
        </w:rPr>
        <w:t>）对招标文件的修改或补充内容作为招标文件的组成部分，具有约束作用。招标文件的澄清、修改、补充等内容均以答疑书（</w:t>
      </w:r>
      <w:r>
        <w:rPr>
          <w:rFonts w:hint="eastAsia" w:asciiTheme="minorEastAsia" w:hAnsiTheme="minorEastAsia" w:eastAsiaTheme="minorEastAsia" w:cstheme="minorEastAsia"/>
          <w:snapToGrid w:val="0"/>
          <w:color w:val="auto"/>
          <w:kern w:val="0"/>
          <w:highlight w:val="none"/>
        </w:rPr>
        <w:t>或修改</w:t>
      </w:r>
      <w:r>
        <w:rPr>
          <w:rFonts w:hint="eastAsia" w:asciiTheme="minorEastAsia" w:hAnsiTheme="minorEastAsia" w:eastAsiaTheme="minorEastAsia" w:cstheme="minorEastAsia"/>
          <w:color w:val="auto"/>
          <w:highlight w:val="none"/>
        </w:rPr>
        <w:t>）中明确的内容为准。当招标文件、招标文件的澄清、修改、补充等文件在同一内容的表述上不一致时，以最后发出的答疑书（</w:t>
      </w:r>
      <w:r>
        <w:rPr>
          <w:rFonts w:hint="eastAsia" w:asciiTheme="minorEastAsia" w:hAnsiTheme="minorEastAsia" w:eastAsiaTheme="minorEastAsia" w:cstheme="minorEastAsia"/>
          <w:snapToGrid w:val="0"/>
          <w:color w:val="auto"/>
          <w:kern w:val="0"/>
          <w:highlight w:val="none"/>
        </w:rPr>
        <w:t>或修改</w:t>
      </w:r>
      <w:r>
        <w:rPr>
          <w:rFonts w:hint="eastAsia" w:asciiTheme="minorEastAsia" w:hAnsiTheme="minorEastAsia" w:eastAsiaTheme="minorEastAsia" w:cstheme="minorEastAsia"/>
          <w:color w:val="auto"/>
          <w:highlight w:val="none"/>
        </w:rPr>
        <w:t>）为准。</w:t>
      </w:r>
    </w:p>
    <w:p w14:paraId="1A5307C6">
      <w:pPr>
        <w:pStyle w:val="32"/>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8.4 投标人在规定的时间内未对招标文件提出澄清或疑问的，招标人将视其为无异议。对招标文件中描述有歧义或前后不一致的地方，评标委员会有权进行评判，但对同一条款的评判应适用于每个投标人。</w:t>
      </w:r>
    </w:p>
    <w:p w14:paraId="1675C1B4">
      <w:pPr>
        <w:pStyle w:val="32"/>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8.5 招标人向投标人提供的资料和数据，是招标人现有的能使投标人利用的资料。投标人对招标人提供的招标文件所作出的推论、解释和结论，招标人概不负责；投标人由于对招标文件的任何推论和误解以及招标人对有关问题的口头解释所造成的后果，均由投标人自行负责。</w:t>
      </w:r>
    </w:p>
    <w:p w14:paraId="7FED8B21">
      <w:pPr>
        <w:pStyle w:val="34"/>
        <w:keepNext/>
        <w:keepLines/>
        <w:ind w:firstLine="480"/>
        <w:jc w:val="both"/>
        <w:rPr>
          <w:rFonts w:hint="eastAsia" w:asciiTheme="minorEastAsia" w:hAnsiTheme="minorEastAsia" w:eastAsiaTheme="minorEastAsia" w:cstheme="minorEastAsia"/>
          <w:b/>
          <w:color w:val="auto"/>
          <w:kern w:val="2"/>
          <w:highlight w:val="none"/>
        </w:rPr>
      </w:pPr>
      <w:bookmarkStart w:id="107" w:name="_Hlt92513715"/>
      <w:bookmarkEnd w:id="107"/>
      <w:bookmarkStart w:id="108" w:name="_Hlt92513711"/>
      <w:bookmarkEnd w:id="108"/>
      <w:bookmarkStart w:id="109" w:name="_Hlt69699188"/>
      <w:bookmarkEnd w:id="109"/>
      <w:bookmarkStart w:id="110" w:name="_Toc6958"/>
      <w:bookmarkStart w:id="111" w:name="_Toc25532"/>
      <w:bookmarkStart w:id="112" w:name="_Toc30627"/>
      <w:bookmarkStart w:id="113" w:name="_Toc15195"/>
      <w:bookmarkStart w:id="114" w:name="_Toc20643"/>
      <w:bookmarkStart w:id="115" w:name="_Toc8032"/>
      <w:bookmarkStart w:id="116" w:name="_Toc11301"/>
      <w:bookmarkStart w:id="117" w:name="_Toc31064"/>
      <w:bookmarkStart w:id="118" w:name="_Toc28777"/>
      <w:r>
        <w:rPr>
          <w:rFonts w:hint="eastAsia" w:asciiTheme="minorEastAsia" w:hAnsiTheme="minorEastAsia" w:eastAsiaTheme="minorEastAsia" w:cstheme="minorEastAsia"/>
          <w:b/>
          <w:color w:val="auto"/>
          <w:kern w:val="2"/>
          <w:highlight w:val="none"/>
        </w:rPr>
        <w:t>9</w:t>
      </w:r>
      <w:r>
        <w:rPr>
          <w:rFonts w:hint="eastAsia" w:asciiTheme="minorEastAsia" w:hAnsiTheme="minorEastAsia" w:eastAsiaTheme="minorEastAsia" w:cstheme="minorEastAsia"/>
          <w:b/>
          <w:color w:val="auto"/>
          <w:kern w:val="2"/>
          <w:highlight w:val="none"/>
          <w:lang w:val="en-US" w:eastAsia="zh-CN"/>
        </w:rPr>
        <w:t>.</w:t>
      </w:r>
      <w:r>
        <w:rPr>
          <w:rFonts w:hint="eastAsia" w:asciiTheme="minorEastAsia" w:hAnsiTheme="minorEastAsia" w:eastAsiaTheme="minorEastAsia" w:cstheme="minorEastAsia"/>
          <w:b/>
          <w:color w:val="auto"/>
          <w:kern w:val="2"/>
          <w:highlight w:val="none"/>
        </w:rPr>
        <w:t>投标报价的编制</w:t>
      </w:r>
      <w:bookmarkEnd w:id="110"/>
      <w:bookmarkEnd w:id="111"/>
      <w:bookmarkEnd w:id="112"/>
      <w:bookmarkEnd w:id="113"/>
      <w:bookmarkEnd w:id="114"/>
      <w:bookmarkEnd w:id="115"/>
      <w:bookmarkEnd w:id="116"/>
      <w:bookmarkEnd w:id="117"/>
      <w:bookmarkEnd w:id="118"/>
      <w:bookmarkStart w:id="119" w:name="_Hlt74498519"/>
      <w:bookmarkEnd w:id="119"/>
    </w:p>
    <w:p w14:paraId="4DA546D3">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b/>
          <w:bCs/>
          <w:color w:val="auto"/>
          <w:highlight w:val="none"/>
          <w:lang w:val="en-US" w:eastAsia="zh-CN"/>
        </w:rPr>
        <w:t>9.1.本项目采用费率报价，结算时按招标文件和合同约定的有关结算原则计算。在最高投标限价（费率为100%）以下（不含本身）有效报价，且不低于成本。投标费率小于85%（不含本身）的须在报价文件中附成本分析报告，未提供成本分析报告即为不响应采购文件要求，作否决投标处理。充分说明单价和费用的组成、降低成本的合理措施及在其他工程中应用过的经验等，否则视为原则性不响应招标文件要求，作否决投标处理。</w:t>
      </w:r>
    </w:p>
    <w:p w14:paraId="7FEAA962">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9.2.本项目为招标项目，暂定招标金额是预计量，预计金额用于招标完毕后签订合同（即暂定价合同），仅作为招标时相关费用收取支付依据。项目施工图经评审通过后，投标人（如联合投标的，由牵头人）在5个工作日内将编制的施工图预算送建设单位审核，建设单位委托第三方造价咨询单位审定的建安工程分部分项工程量清单对应的综合单价即为结算基准单价作为结算价的计价单价。</w:t>
      </w:r>
    </w:p>
    <w:p w14:paraId="20ECDFCD">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9.3.投标人的投标报价应考虑完成招标文件中招标内容及工程的技术要求及设备参数要求所规定的所有工程及设备的费用，并承担结算原则中规定的一切风险，还应考虑工程预算书的编制费、报建和施工时应由施工单位承担的一切费用、工程一切检测费用、工程有关档案和影像等整理或制作及向相关部门交取的费用。</w:t>
      </w:r>
    </w:p>
    <w:p w14:paraId="3A240B78">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9.4.投标人投标报价的编制依据：</w:t>
      </w:r>
    </w:p>
    <w:p w14:paraId="2E7997F7">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（1）《工程勘察设计收费管理规定》（计价格[2002]10号）；《建设工程工程量清单计价规范》（GB50500—2013）、《光伏发电工程工程量清单计价规范》。</w:t>
      </w:r>
    </w:p>
    <w:p w14:paraId="45B88C88">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当广东省综合定额子目缺项时，可参考套用最新的电力定额编制。</w:t>
      </w:r>
    </w:p>
    <w:p w14:paraId="0CB3CCCE">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（3）材料、设备价格按项目预算编制期间当地造价部门发布的信息价（若韶关市未发布信息参考广东省内同类地区信息价）计入（信息价缺价的通过市场询价方式或厂家报价确定）。</w:t>
      </w:r>
    </w:p>
    <w:p w14:paraId="3088125E">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（4）税金费用执行《关于全面推开营业税改征增值税试点的通知》（财税[2016]36号）及国家最新税收政策，采用一般纳税人计税方法计列增值税。</w:t>
      </w:r>
    </w:p>
    <w:p w14:paraId="69BA1901">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（5）企业定额；</w:t>
      </w:r>
    </w:p>
    <w:p w14:paraId="52BE4181">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（6）招标文件及其答疑（或修改）公告；</w:t>
      </w:r>
    </w:p>
    <w:p w14:paraId="4C75FAD3">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（7）施工图及相关资料；</w:t>
      </w:r>
    </w:p>
    <w:p w14:paraId="401796D7">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（8）施工现场情况、工程特点及常规施工方案；</w:t>
      </w:r>
    </w:p>
    <w:p w14:paraId="2FD924C9">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（9）与建设项目相关的标准、规范、技术资料。</w:t>
      </w:r>
    </w:p>
    <w:p w14:paraId="6B3E7CF0">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9.5.投标人在投标时，必须考虑工程保险费，在项目实施前应办理相关保险。</w:t>
      </w:r>
    </w:p>
    <w:p w14:paraId="1C383904">
      <w:pPr>
        <w:pStyle w:val="32"/>
        <w:ind w:firstLine="56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9.6.投标人在投标报价时，自行考虑高温补贴费、施工视频监控系统费用，专业分包的总包服务及配合费，预算（含工程量清单编制费）等，并承担相应风险，结算时不另行计取。</w:t>
      </w:r>
    </w:p>
    <w:p w14:paraId="757C84C3">
      <w:pPr>
        <w:pStyle w:val="34"/>
        <w:keepNext/>
        <w:keepLines/>
        <w:ind w:firstLine="480"/>
        <w:jc w:val="both"/>
        <w:rPr>
          <w:rFonts w:hint="eastAsia" w:asciiTheme="minorEastAsia" w:hAnsiTheme="minorEastAsia" w:eastAsiaTheme="minorEastAsia" w:cstheme="minorEastAsia"/>
          <w:b/>
          <w:color w:val="auto"/>
          <w:szCs w:val="24"/>
          <w:highlight w:val="none"/>
        </w:rPr>
      </w:pPr>
      <w:bookmarkStart w:id="120" w:name="_Toc2575"/>
      <w:r>
        <w:rPr>
          <w:rFonts w:hint="eastAsia" w:asciiTheme="minorEastAsia" w:hAnsiTheme="minorEastAsia" w:eastAsiaTheme="minorEastAsia" w:cstheme="minorEastAsia"/>
          <w:b/>
          <w:color w:val="auto"/>
          <w:szCs w:val="24"/>
          <w:highlight w:val="none"/>
        </w:rPr>
        <w:t>10</w:t>
      </w:r>
      <w:r>
        <w:rPr>
          <w:rFonts w:hint="eastAsia" w:asciiTheme="minorEastAsia" w:hAnsiTheme="minorEastAsia" w:eastAsiaTheme="minorEastAsia" w:cstheme="minorEastAsia"/>
          <w:b/>
          <w:color w:val="auto"/>
          <w:szCs w:val="24"/>
          <w:highlight w:val="none"/>
          <w:lang w:val="en-US" w:eastAsia="zh-CN"/>
        </w:rPr>
        <w:t>.</w:t>
      </w:r>
      <w:r>
        <w:rPr>
          <w:rFonts w:hint="eastAsia" w:asciiTheme="minorEastAsia" w:hAnsiTheme="minorEastAsia" w:eastAsiaTheme="minorEastAsia" w:cstheme="minorEastAsia"/>
          <w:b/>
          <w:color w:val="auto"/>
          <w:szCs w:val="24"/>
          <w:highlight w:val="none"/>
        </w:rPr>
        <w:t>最高</w:t>
      </w:r>
      <w:r>
        <w:rPr>
          <w:rFonts w:hint="eastAsia" w:asciiTheme="minorEastAsia" w:hAnsiTheme="minorEastAsia" w:eastAsiaTheme="minorEastAsia" w:cstheme="minorEastAsia"/>
          <w:b/>
          <w:color w:val="auto"/>
          <w:kern w:val="2"/>
          <w:highlight w:val="none"/>
        </w:rPr>
        <w:t>投标</w:t>
      </w:r>
      <w:r>
        <w:rPr>
          <w:rFonts w:hint="eastAsia" w:asciiTheme="minorEastAsia" w:hAnsiTheme="minorEastAsia" w:eastAsiaTheme="minorEastAsia" w:cstheme="minorEastAsia"/>
          <w:b/>
          <w:color w:val="auto"/>
          <w:szCs w:val="24"/>
          <w:highlight w:val="none"/>
        </w:rPr>
        <w:t>限价的确定</w:t>
      </w:r>
      <w:bookmarkEnd w:id="120"/>
      <w:bookmarkStart w:id="121" w:name="_Hlt121629839"/>
      <w:bookmarkStart w:id="122" w:name="_Hlt69335617"/>
    </w:p>
    <w:p w14:paraId="7C0FBD31">
      <w:pPr>
        <w:spacing w:line="360" w:lineRule="auto"/>
        <w:ind w:firstLine="560"/>
        <w:rPr>
          <w:rFonts w:hint="eastAsia" w:asciiTheme="minorEastAsia" w:hAnsiTheme="minorEastAsia" w:eastAsiaTheme="minorEastAsia" w:cstheme="minorEastAsia"/>
          <w:color w:val="auto"/>
          <w:highlight w:val="none"/>
        </w:rPr>
      </w:pPr>
      <w:bookmarkStart w:id="123" w:name="_Toc13350"/>
      <w:bookmarkStart w:id="124" w:name="_Toc5483"/>
      <w:bookmarkStart w:id="125" w:name="_Toc24510"/>
      <w:bookmarkStart w:id="126" w:name="_Toc32578"/>
      <w:bookmarkStart w:id="127" w:name="_Toc4604"/>
      <w:bookmarkStart w:id="128" w:name="_Toc7307"/>
      <w:bookmarkStart w:id="129" w:name="_Toc29734"/>
      <w:bookmarkStart w:id="130" w:name="_Toc15152"/>
      <w:r>
        <w:rPr>
          <w:rFonts w:hint="eastAsia" w:asciiTheme="minorEastAsia" w:hAnsiTheme="minorEastAsia" w:eastAsiaTheme="minorEastAsia" w:cstheme="minorEastAsia"/>
          <w:color w:val="auto"/>
          <w:szCs w:val="24"/>
          <w:highlight w:val="none"/>
          <w:lang w:eastAsia="zh-CN"/>
        </w:rPr>
        <w:t>本项目最高投标限</w:t>
      </w:r>
      <w:r>
        <w:rPr>
          <w:rFonts w:hint="eastAsia" w:asciiTheme="minorEastAsia" w:hAnsiTheme="minorEastAsia" w:eastAsiaTheme="minorEastAsia" w:cstheme="minorEastAsia"/>
          <w:color w:val="auto"/>
          <w:highlight w:val="none"/>
          <w:lang w:eastAsia="zh-CN"/>
        </w:rPr>
        <w:t>价为人民币（大写）：</w:t>
      </w:r>
      <w:r>
        <w:rPr>
          <w:rFonts w:hint="eastAsia" w:asciiTheme="minorEastAsia" w:hAnsiTheme="minorEastAsia" w:eastAsiaTheme="minorEastAsia" w:cstheme="minorEastAsia"/>
          <w:color w:val="auto"/>
          <w:highlight w:val="none"/>
          <w:lang w:val="en-US" w:eastAsia="zh-CN"/>
        </w:rPr>
        <w:t>壹仟伍佰贰拾伍万元整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152500</w:t>
      </w:r>
      <w:r>
        <w:rPr>
          <w:rFonts w:hint="eastAsia" w:asciiTheme="minorEastAsia" w:hAnsiTheme="minorEastAsia" w:eastAsiaTheme="minorEastAsia" w:cstheme="minorEastAsia"/>
          <w:color w:val="auto"/>
          <w:highlight w:val="none"/>
          <w:lang w:eastAsia="zh-CN"/>
        </w:rPr>
        <w:t>00.00元）</w:t>
      </w:r>
      <w:r>
        <w:rPr>
          <w:rFonts w:hint="eastAsia" w:asciiTheme="minorEastAsia" w:hAnsiTheme="minorEastAsia" w:eastAsiaTheme="minorEastAsia" w:cstheme="minorEastAsia"/>
          <w:color w:val="auto"/>
          <w:highlight w:val="none"/>
          <w:lang w:val="en-US" w:eastAsia="zh-CN"/>
        </w:rPr>
        <w:t>。</w:t>
      </w:r>
      <w:r>
        <w:rPr>
          <w:rFonts w:hint="eastAsia" w:asciiTheme="minorEastAsia" w:hAnsiTheme="minorEastAsia" w:eastAsiaTheme="minorEastAsia" w:cstheme="minorEastAsia"/>
          <w:color w:val="auto"/>
          <w:highlight w:val="none"/>
        </w:rPr>
        <w:t>具体详见下表：</w:t>
      </w:r>
    </w:p>
    <w:tbl>
      <w:tblPr>
        <w:tblStyle w:val="27"/>
        <w:tblW w:w="100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8"/>
        <w:gridCol w:w="2371"/>
        <w:gridCol w:w="970"/>
        <w:gridCol w:w="1500"/>
        <w:gridCol w:w="1455"/>
        <w:gridCol w:w="3043"/>
      </w:tblGrid>
      <w:tr w14:paraId="5B91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678" w:type="dxa"/>
            <w:noWrap w:val="0"/>
            <w:vAlign w:val="center"/>
          </w:tcPr>
          <w:p w14:paraId="177CAC65">
            <w:pPr>
              <w:spacing w:line="360" w:lineRule="exact"/>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序号</w:t>
            </w:r>
          </w:p>
        </w:tc>
        <w:tc>
          <w:tcPr>
            <w:tcW w:w="2371" w:type="dxa"/>
            <w:noWrap w:val="0"/>
            <w:vAlign w:val="center"/>
          </w:tcPr>
          <w:p w14:paraId="7B8F2A87">
            <w:pPr>
              <w:pStyle w:val="5"/>
              <w:jc w:val="center"/>
              <w:rPr>
                <w:rFonts w:hint="eastAsia" w:hAnsi="宋体" w:cs="宋体"/>
                <w:b w:val="0"/>
                <w:bCs w:val="0"/>
                <w:color w:val="auto"/>
                <w:kern w:val="1"/>
                <w:sz w:val="21"/>
                <w:szCs w:val="21"/>
                <w:highlight w:val="none"/>
                <w:lang w:val="en-US" w:eastAsia="zh-CN"/>
              </w:rPr>
            </w:pPr>
            <w:r>
              <w:rPr>
                <w:rFonts w:hint="eastAsia" w:ascii="宋体" w:hAnsi="宋体" w:eastAsia="宋体" w:cs="宋体"/>
                <w:color w:val="auto"/>
                <w:kern w:val="1"/>
                <w:sz w:val="21"/>
                <w:szCs w:val="21"/>
                <w:highlight w:val="none"/>
              </w:rPr>
              <w:t>项目名称</w:t>
            </w:r>
          </w:p>
        </w:tc>
        <w:tc>
          <w:tcPr>
            <w:tcW w:w="2470" w:type="dxa"/>
            <w:gridSpan w:val="2"/>
            <w:noWrap w:val="0"/>
            <w:vAlign w:val="center"/>
          </w:tcPr>
          <w:p w14:paraId="45236702">
            <w:pPr>
              <w:spacing w:line="360" w:lineRule="exact"/>
              <w:jc w:val="center"/>
              <w:rPr>
                <w:rFonts w:hint="eastAsia" w:hAnsi="宋体" w:eastAsia="宋体" w:cs="宋体"/>
                <w:b w:val="0"/>
                <w:bCs w:val="0"/>
                <w:color w:val="auto"/>
                <w:kern w:val="1"/>
                <w:sz w:val="21"/>
                <w:szCs w:val="21"/>
                <w:highlight w:val="none"/>
                <w:lang w:val="en-US" w:eastAsia="zh-CN"/>
              </w:rPr>
            </w:pPr>
            <w:r>
              <w:rPr>
                <w:rFonts w:hint="eastAsia" w:hAnsi="宋体" w:eastAsia="宋体" w:cs="宋体"/>
                <w:b w:val="0"/>
                <w:bCs w:val="0"/>
                <w:color w:val="auto"/>
                <w:kern w:val="1"/>
                <w:sz w:val="21"/>
                <w:szCs w:val="21"/>
                <w:highlight w:val="none"/>
                <w:lang w:val="en-US" w:eastAsia="zh-CN"/>
              </w:rPr>
              <w:t>招标金额</w:t>
            </w:r>
          </w:p>
          <w:p w14:paraId="4DF71A57">
            <w:pPr>
              <w:pStyle w:val="5"/>
              <w:jc w:val="center"/>
              <w:rPr>
                <w:rFonts w:hint="default"/>
                <w:color w:val="auto"/>
                <w:sz w:val="21"/>
                <w:szCs w:val="21"/>
                <w:lang w:val="en-US" w:eastAsia="zh-CN"/>
              </w:rPr>
            </w:pPr>
            <w:bookmarkStart w:id="131" w:name="_Toc24771"/>
            <w:bookmarkStart w:id="132" w:name="_Toc2498"/>
            <w:r>
              <w:rPr>
                <w:rFonts w:hint="eastAsia" w:hAnsi="宋体" w:cs="宋体"/>
                <w:b w:val="0"/>
                <w:bCs w:val="0"/>
                <w:color w:val="auto"/>
                <w:kern w:val="1"/>
                <w:sz w:val="21"/>
                <w:szCs w:val="21"/>
                <w:highlight w:val="none"/>
                <w:lang w:val="en-US" w:eastAsia="zh-CN"/>
              </w:rPr>
              <w:t>（元）</w:t>
            </w:r>
            <w:bookmarkEnd w:id="131"/>
            <w:bookmarkEnd w:id="132"/>
          </w:p>
        </w:tc>
        <w:tc>
          <w:tcPr>
            <w:tcW w:w="1455" w:type="dxa"/>
            <w:noWrap w:val="0"/>
            <w:vAlign w:val="center"/>
          </w:tcPr>
          <w:p w14:paraId="5F51CED8">
            <w:pPr>
              <w:spacing w:line="360" w:lineRule="exact"/>
              <w:jc w:val="center"/>
              <w:rPr>
                <w:rFonts w:hint="eastAsia" w:ascii="宋体" w:hAnsi="宋体" w:eastAsia="宋体" w:cs="宋体"/>
                <w:color w:val="auto"/>
                <w:kern w:val="1"/>
                <w:sz w:val="21"/>
                <w:szCs w:val="21"/>
                <w:highlight w:val="none"/>
              </w:rPr>
            </w:pPr>
            <w:r>
              <w:rPr>
                <w:rFonts w:hint="eastAsia" w:hAnsi="宋体" w:eastAsia="宋体" w:cs="宋体"/>
                <w:b w:val="0"/>
                <w:bCs w:val="0"/>
                <w:color w:val="auto"/>
                <w:kern w:val="1"/>
                <w:sz w:val="21"/>
                <w:szCs w:val="21"/>
                <w:highlight w:val="none"/>
                <w:lang w:val="en-US" w:eastAsia="zh-CN"/>
              </w:rPr>
              <w:t>最高报价费率</w:t>
            </w:r>
          </w:p>
        </w:tc>
        <w:tc>
          <w:tcPr>
            <w:tcW w:w="3043" w:type="dxa"/>
            <w:noWrap w:val="0"/>
            <w:vAlign w:val="center"/>
          </w:tcPr>
          <w:p w14:paraId="00B143D1">
            <w:pPr>
              <w:spacing w:line="360" w:lineRule="exact"/>
              <w:jc w:val="center"/>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rPr>
              <w:t>交货时间/工期/服务期限</w:t>
            </w:r>
          </w:p>
        </w:tc>
      </w:tr>
      <w:tr w14:paraId="0FF04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9" w:hRule="atLeast"/>
          <w:jc w:val="center"/>
        </w:trPr>
        <w:tc>
          <w:tcPr>
            <w:tcW w:w="678" w:type="dxa"/>
            <w:vMerge w:val="restart"/>
            <w:noWrap w:val="0"/>
            <w:vAlign w:val="center"/>
          </w:tcPr>
          <w:p w14:paraId="06BB0361">
            <w:pPr>
              <w:spacing w:line="400" w:lineRule="exact"/>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w:t>
            </w:r>
          </w:p>
        </w:tc>
        <w:tc>
          <w:tcPr>
            <w:tcW w:w="2371" w:type="dxa"/>
            <w:vMerge w:val="restart"/>
            <w:noWrap w:val="0"/>
            <w:vAlign w:val="center"/>
          </w:tcPr>
          <w:p w14:paraId="2CB6FA4A">
            <w:pPr>
              <w:spacing w:line="400" w:lineRule="exact"/>
              <w:jc w:val="center"/>
              <w:rPr>
                <w:rFonts w:hint="eastAsia" w:ascii="宋体" w:hAnsi="宋体" w:eastAsia="宋体" w:cs="宋体"/>
                <w:color w:val="auto"/>
                <w:kern w:val="1"/>
                <w:sz w:val="21"/>
                <w:szCs w:val="21"/>
                <w:highlight w:val="none"/>
              </w:rPr>
            </w:pPr>
            <w:r>
              <w:rPr>
                <w:rFonts w:hint="eastAsia" w:asciiTheme="minorEastAsia" w:hAnsiTheme="minorEastAsia" w:eastAsiaTheme="minorEastAsia" w:cstheme="minorEastAsia"/>
                <w:color w:val="auto"/>
                <w:sz w:val="21"/>
                <w:szCs w:val="21"/>
                <w:highlight w:val="none"/>
                <w:lang w:eastAsia="zh-CN"/>
              </w:rPr>
              <w:t>始兴县顿岗镇全域土地综合整治（乡村空间“三提三化”）项目光伏项目（一期）设计施工总承包</w:t>
            </w:r>
          </w:p>
        </w:tc>
        <w:tc>
          <w:tcPr>
            <w:tcW w:w="970" w:type="dxa"/>
            <w:noWrap w:val="0"/>
            <w:vAlign w:val="center"/>
          </w:tcPr>
          <w:p w14:paraId="224A48BF">
            <w:pPr>
              <w:spacing w:line="400" w:lineRule="exact"/>
              <w:jc w:val="center"/>
              <w:rPr>
                <w:rFonts w:hint="eastAsia"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建安费</w:t>
            </w:r>
          </w:p>
        </w:tc>
        <w:tc>
          <w:tcPr>
            <w:tcW w:w="1500" w:type="dxa"/>
            <w:noWrap w:val="0"/>
            <w:vAlign w:val="center"/>
          </w:tcPr>
          <w:p w14:paraId="119C73F7">
            <w:pPr>
              <w:spacing w:line="400" w:lineRule="exact"/>
              <w:jc w:val="center"/>
              <w:rPr>
                <w:rFonts w:hint="default"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15000000.00</w:t>
            </w:r>
          </w:p>
        </w:tc>
        <w:tc>
          <w:tcPr>
            <w:tcW w:w="1455" w:type="dxa"/>
            <w:noWrap w:val="0"/>
            <w:vAlign w:val="center"/>
          </w:tcPr>
          <w:p w14:paraId="34893EB8">
            <w:pPr>
              <w:spacing w:line="360" w:lineRule="auto"/>
              <w:jc w:val="center"/>
              <w:rPr>
                <w:rFonts w:hint="default" w:ascii="宋体" w:hAnsi="宋体" w:eastAsia="宋体" w:cs="宋体"/>
                <w:color w:val="auto"/>
                <w:kern w:val="1"/>
                <w:sz w:val="21"/>
                <w:szCs w:val="21"/>
                <w:highlight w:val="none"/>
                <w:lang w:val="en-US" w:eastAsia="zh-CN"/>
              </w:rPr>
            </w:pPr>
            <w:r>
              <w:rPr>
                <w:rFonts w:hint="eastAsia" w:hAnsi="宋体" w:eastAsia="宋体" w:cs="宋体"/>
                <w:color w:val="auto"/>
                <w:kern w:val="1"/>
                <w:sz w:val="21"/>
                <w:szCs w:val="21"/>
                <w:u w:val="none"/>
                <w:lang w:val="en-US" w:eastAsia="zh-CN"/>
              </w:rPr>
              <w:t>100</w:t>
            </w:r>
            <w:r>
              <w:rPr>
                <w:rFonts w:hint="eastAsia" w:ascii="宋体" w:hAnsi="宋体" w:eastAsia="宋体" w:cs="宋体"/>
                <w:color w:val="auto"/>
                <w:kern w:val="1"/>
                <w:sz w:val="21"/>
                <w:szCs w:val="21"/>
                <w:u w:val="none"/>
              </w:rPr>
              <w:t>%</w:t>
            </w:r>
          </w:p>
        </w:tc>
        <w:tc>
          <w:tcPr>
            <w:tcW w:w="3043" w:type="dxa"/>
            <w:vMerge w:val="restart"/>
            <w:noWrap w:val="0"/>
            <w:vAlign w:val="center"/>
          </w:tcPr>
          <w:p w14:paraId="09B35777">
            <w:pPr>
              <w:spacing w:line="360" w:lineRule="exact"/>
              <w:jc w:val="left"/>
              <w:rPr>
                <w:rFonts w:hint="eastAsia" w:ascii="宋体" w:hAnsi="宋体" w:eastAsia="宋体" w:cs="宋体"/>
                <w:color w:val="auto"/>
                <w:kern w:val="1"/>
                <w:sz w:val="21"/>
                <w:szCs w:val="21"/>
                <w:highlight w:val="none"/>
              </w:rPr>
            </w:pPr>
            <w:r>
              <w:rPr>
                <w:rFonts w:hint="eastAsia" w:asciiTheme="minorEastAsia" w:hAnsiTheme="minorEastAsia" w:eastAsiaTheme="minorEastAsia" w:cstheme="minorEastAsia"/>
                <w:color w:val="auto"/>
                <w:sz w:val="21"/>
                <w:szCs w:val="21"/>
              </w:rPr>
              <w:t>在项目计划工期内竣工并移交整个工程（具体项目的工期以下达的任务通知书为准，实际开竣工日期分别以开工报告、竣工报告为准）</w:t>
            </w:r>
          </w:p>
        </w:tc>
      </w:tr>
      <w:tr w14:paraId="3CFA2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9" w:hRule="atLeast"/>
          <w:jc w:val="center"/>
        </w:trPr>
        <w:tc>
          <w:tcPr>
            <w:tcW w:w="678" w:type="dxa"/>
            <w:vMerge w:val="continue"/>
            <w:noWrap w:val="0"/>
            <w:vAlign w:val="center"/>
          </w:tcPr>
          <w:p w14:paraId="6646BB8D">
            <w:pPr>
              <w:spacing w:line="400" w:lineRule="exact"/>
              <w:jc w:val="center"/>
              <w:rPr>
                <w:rFonts w:hint="eastAsia" w:ascii="宋体" w:hAnsi="宋体" w:eastAsia="宋体" w:cs="宋体"/>
                <w:color w:val="auto"/>
                <w:kern w:val="1"/>
                <w:sz w:val="21"/>
                <w:szCs w:val="21"/>
                <w:highlight w:val="none"/>
              </w:rPr>
            </w:pPr>
          </w:p>
        </w:tc>
        <w:tc>
          <w:tcPr>
            <w:tcW w:w="2371" w:type="dxa"/>
            <w:vMerge w:val="continue"/>
            <w:noWrap w:val="0"/>
            <w:vAlign w:val="center"/>
          </w:tcPr>
          <w:p w14:paraId="0E532B90">
            <w:pPr>
              <w:spacing w:line="400" w:lineRule="exact"/>
              <w:jc w:val="center"/>
              <w:rPr>
                <w:rFonts w:hint="eastAsia" w:asciiTheme="minorEastAsia" w:hAnsiTheme="minorEastAsia" w:eastAsiaTheme="minorEastAsia" w:cstheme="minorEastAsia"/>
                <w:color w:val="auto"/>
                <w:sz w:val="21"/>
                <w:szCs w:val="21"/>
                <w:highlight w:val="none"/>
                <w:lang w:eastAsia="zh-CN"/>
              </w:rPr>
            </w:pPr>
          </w:p>
        </w:tc>
        <w:tc>
          <w:tcPr>
            <w:tcW w:w="970" w:type="dxa"/>
            <w:noWrap w:val="0"/>
            <w:vAlign w:val="center"/>
          </w:tcPr>
          <w:p w14:paraId="33AB5A9A">
            <w:pPr>
              <w:spacing w:line="400" w:lineRule="exact"/>
              <w:jc w:val="center"/>
              <w:rPr>
                <w:rFonts w:hint="eastAsia"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设计费</w:t>
            </w:r>
          </w:p>
        </w:tc>
        <w:tc>
          <w:tcPr>
            <w:tcW w:w="1500" w:type="dxa"/>
            <w:noWrap w:val="0"/>
            <w:vAlign w:val="center"/>
          </w:tcPr>
          <w:p w14:paraId="1C8098E2">
            <w:pPr>
              <w:spacing w:line="400" w:lineRule="exact"/>
              <w:jc w:val="center"/>
              <w:rPr>
                <w:rFonts w:hint="default"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250000.00</w:t>
            </w:r>
          </w:p>
        </w:tc>
        <w:tc>
          <w:tcPr>
            <w:tcW w:w="1455" w:type="dxa"/>
            <w:noWrap w:val="0"/>
            <w:vAlign w:val="center"/>
          </w:tcPr>
          <w:p w14:paraId="142321EF">
            <w:pPr>
              <w:spacing w:line="360" w:lineRule="auto"/>
              <w:jc w:val="center"/>
              <w:rPr>
                <w:rFonts w:hint="eastAsia" w:hAnsi="宋体" w:eastAsia="宋体" w:cs="宋体"/>
                <w:color w:val="auto"/>
                <w:kern w:val="1"/>
                <w:sz w:val="21"/>
                <w:szCs w:val="21"/>
                <w:highlight w:val="none"/>
                <w:lang w:val="en-US" w:eastAsia="zh-CN"/>
              </w:rPr>
            </w:pPr>
            <w:r>
              <w:rPr>
                <w:rFonts w:hint="eastAsia" w:hAnsi="宋体" w:eastAsia="宋体" w:cs="宋体"/>
                <w:color w:val="auto"/>
                <w:kern w:val="1"/>
                <w:sz w:val="21"/>
                <w:szCs w:val="21"/>
                <w:u w:val="none"/>
                <w:lang w:val="en-US" w:eastAsia="zh-CN"/>
              </w:rPr>
              <w:t>100</w:t>
            </w:r>
            <w:r>
              <w:rPr>
                <w:rFonts w:hint="eastAsia" w:ascii="宋体" w:hAnsi="宋体" w:eastAsia="宋体" w:cs="宋体"/>
                <w:color w:val="auto"/>
                <w:kern w:val="1"/>
                <w:sz w:val="21"/>
                <w:szCs w:val="21"/>
                <w:u w:val="none"/>
              </w:rPr>
              <w:t>%</w:t>
            </w:r>
          </w:p>
        </w:tc>
        <w:tc>
          <w:tcPr>
            <w:tcW w:w="3043" w:type="dxa"/>
            <w:vMerge w:val="continue"/>
            <w:noWrap w:val="0"/>
            <w:vAlign w:val="center"/>
          </w:tcPr>
          <w:p w14:paraId="527DB2E9">
            <w:pPr>
              <w:spacing w:line="360" w:lineRule="exact"/>
              <w:jc w:val="left"/>
              <w:rPr>
                <w:rFonts w:hint="eastAsia" w:asciiTheme="minorEastAsia" w:hAnsiTheme="minorEastAsia" w:eastAsiaTheme="minorEastAsia" w:cstheme="minorEastAsia"/>
                <w:color w:val="auto"/>
                <w:sz w:val="21"/>
                <w:szCs w:val="21"/>
              </w:rPr>
            </w:pPr>
          </w:p>
        </w:tc>
      </w:tr>
      <w:tr w14:paraId="555AB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9" w:hRule="atLeast"/>
          <w:jc w:val="center"/>
        </w:trPr>
        <w:tc>
          <w:tcPr>
            <w:tcW w:w="678" w:type="dxa"/>
            <w:noWrap w:val="0"/>
            <w:vAlign w:val="center"/>
          </w:tcPr>
          <w:p w14:paraId="3E251B40">
            <w:pPr>
              <w:spacing w:line="400" w:lineRule="exact"/>
              <w:jc w:val="center"/>
              <w:rPr>
                <w:rFonts w:hint="eastAsia" w:ascii="宋体" w:hAnsi="宋体" w:eastAsia="宋体" w:cs="宋体"/>
                <w:color w:val="auto"/>
                <w:kern w:val="1"/>
                <w:sz w:val="21"/>
                <w:szCs w:val="21"/>
                <w:highlight w:val="none"/>
                <w:lang w:val="en-US" w:eastAsia="zh-CN"/>
              </w:rPr>
            </w:pPr>
            <w:r>
              <w:rPr>
                <w:rFonts w:hint="eastAsia" w:hAnsi="宋体" w:eastAsia="宋体" w:cs="宋体"/>
                <w:color w:val="auto"/>
                <w:kern w:val="1"/>
                <w:sz w:val="21"/>
                <w:szCs w:val="21"/>
                <w:highlight w:val="none"/>
                <w:lang w:val="en-US" w:eastAsia="zh-CN"/>
              </w:rPr>
              <w:t>2</w:t>
            </w:r>
          </w:p>
        </w:tc>
        <w:tc>
          <w:tcPr>
            <w:tcW w:w="3341" w:type="dxa"/>
            <w:gridSpan w:val="2"/>
            <w:noWrap w:val="0"/>
            <w:vAlign w:val="center"/>
          </w:tcPr>
          <w:p w14:paraId="2D917427">
            <w:pPr>
              <w:spacing w:line="400" w:lineRule="exact"/>
              <w:jc w:val="center"/>
              <w:rPr>
                <w:rFonts w:hint="default"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合计</w:t>
            </w:r>
          </w:p>
        </w:tc>
        <w:tc>
          <w:tcPr>
            <w:tcW w:w="1500" w:type="dxa"/>
            <w:noWrap w:val="0"/>
            <w:vAlign w:val="center"/>
          </w:tcPr>
          <w:p w14:paraId="019CC93E">
            <w:pPr>
              <w:spacing w:line="400" w:lineRule="exact"/>
              <w:jc w:val="center"/>
              <w:rPr>
                <w:rFonts w:hint="default"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15250000.00</w:t>
            </w:r>
          </w:p>
        </w:tc>
        <w:tc>
          <w:tcPr>
            <w:tcW w:w="1455" w:type="dxa"/>
            <w:noWrap w:val="0"/>
            <w:vAlign w:val="center"/>
          </w:tcPr>
          <w:p w14:paraId="77931262">
            <w:pPr>
              <w:snapToGrid w:val="0"/>
              <w:spacing w:line="400" w:lineRule="exact"/>
              <w:jc w:val="center"/>
              <w:rPr>
                <w:rFonts w:hint="default" w:hAnsi="宋体" w:eastAsia="宋体" w:cs="宋体"/>
                <w:color w:val="auto"/>
                <w:kern w:val="1"/>
                <w:sz w:val="21"/>
                <w:szCs w:val="21"/>
                <w:highlight w:val="none"/>
                <w:lang w:val="en-US" w:eastAsia="zh-CN"/>
              </w:rPr>
            </w:pPr>
            <w:r>
              <w:rPr>
                <w:rFonts w:hint="eastAsia" w:hAnsi="宋体" w:eastAsia="宋体" w:cs="宋体"/>
                <w:color w:val="auto"/>
                <w:kern w:val="1"/>
                <w:sz w:val="21"/>
                <w:szCs w:val="21"/>
                <w:highlight w:val="none"/>
                <w:lang w:val="en-US" w:eastAsia="zh-CN"/>
              </w:rPr>
              <w:t>/</w:t>
            </w:r>
          </w:p>
        </w:tc>
        <w:tc>
          <w:tcPr>
            <w:tcW w:w="3043" w:type="dxa"/>
            <w:vMerge w:val="continue"/>
            <w:noWrap w:val="0"/>
            <w:vAlign w:val="center"/>
          </w:tcPr>
          <w:p w14:paraId="48B86B22">
            <w:pPr>
              <w:spacing w:line="360" w:lineRule="exact"/>
              <w:jc w:val="left"/>
              <w:rPr>
                <w:rFonts w:hint="eastAsia" w:asciiTheme="minorEastAsia" w:hAnsiTheme="minorEastAsia" w:eastAsiaTheme="minorEastAsia" w:cstheme="minorEastAsia"/>
                <w:color w:val="auto"/>
                <w:sz w:val="21"/>
                <w:szCs w:val="21"/>
              </w:rPr>
            </w:pPr>
          </w:p>
        </w:tc>
      </w:tr>
    </w:tbl>
    <w:p w14:paraId="00406CC9">
      <w:pPr>
        <w:bidi w:val="0"/>
        <w:rPr>
          <w:rFonts w:hint="eastAsia"/>
          <w:color w:val="auto"/>
        </w:rPr>
      </w:pPr>
    </w:p>
    <w:p w14:paraId="4655DF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Times New Roman"/>
          <w:b/>
          <w:bCs w:val="0"/>
          <w:color w:val="auto"/>
          <w:szCs w:val="21"/>
          <w:highlight w:val="none"/>
          <w:lang w:val="en-US" w:eastAsia="zh-CN"/>
        </w:rPr>
      </w:pPr>
      <w:r>
        <w:rPr>
          <w:rFonts w:hint="eastAsia" w:ascii="宋体" w:hAnsi="宋体" w:eastAsia="宋体" w:cs="Times New Roman"/>
          <w:b/>
          <w:bCs w:val="0"/>
          <w:color w:val="auto"/>
          <w:szCs w:val="21"/>
          <w:highlight w:val="none"/>
          <w:lang w:val="en-US" w:eastAsia="zh-CN"/>
        </w:rPr>
        <w:t>备注：</w:t>
      </w:r>
    </w:p>
    <w:p w14:paraId="22422C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1）招标所列招标金额是预计量。预计量是采购需求预测数据，仅作为招标预估规模供投标人参考，并不代表招标人对采购量的承诺，最终以实际结果为准。部分标段可能出现协议期内少于预计需求的情况，请潜在投标人在知悉并接受相关条件的情况下参与本项目的投标，投标则视为知悉和认可招标人的上述安排，并愿意遵守。</w:t>
      </w:r>
    </w:p>
    <w:p w14:paraId="5B674A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2）投标报价已充分考虑图纸审查费、预算（含工程量清单）编制费、现场踏勘费、高温补贴费、施工视频监控系统、专业分包及总包的服务费、设计代表驻场配合费、设计优化及修改增加的费用等招标文件已明确规定不再另行单独计取的各项费用并承担责任及风险。</w:t>
      </w:r>
    </w:p>
    <w:p w14:paraId="2D47128C">
      <w:pPr>
        <w:rPr>
          <w:rFonts w:hint="eastAsia" w:asciiTheme="minorEastAsia" w:hAnsiTheme="minorEastAsia" w:eastAsiaTheme="minorEastAsia" w:cstheme="minorEastAsia"/>
          <w:color w:val="auto"/>
          <w:szCs w:val="24"/>
          <w:highlight w:val="none"/>
        </w:rPr>
      </w:pPr>
    </w:p>
    <w:p w14:paraId="5A6B4C68">
      <w:pPr>
        <w:pStyle w:val="34"/>
        <w:keepNext/>
        <w:keepLines/>
        <w:ind w:firstLine="480"/>
        <w:jc w:val="both"/>
        <w:rPr>
          <w:rFonts w:hint="eastAsia" w:asciiTheme="minorEastAsia" w:hAnsiTheme="minorEastAsia" w:eastAsiaTheme="minorEastAsia" w:cstheme="minorEastAsia"/>
          <w:b/>
          <w:color w:val="auto"/>
          <w:szCs w:val="22"/>
          <w:highlight w:val="none"/>
        </w:rPr>
      </w:pPr>
      <w:bookmarkStart w:id="133" w:name="_Toc24848"/>
      <w:bookmarkStart w:id="134" w:name="_Toc13878"/>
      <w:r>
        <w:rPr>
          <w:rFonts w:hint="eastAsia" w:asciiTheme="minorEastAsia" w:hAnsiTheme="minorEastAsia" w:eastAsiaTheme="minorEastAsia" w:cstheme="minorEastAsia"/>
          <w:b/>
          <w:color w:val="auto"/>
          <w:szCs w:val="22"/>
          <w:highlight w:val="none"/>
        </w:rPr>
        <w:t>1</w:t>
      </w:r>
      <w:r>
        <w:rPr>
          <w:rFonts w:hint="eastAsia" w:asciiTheme="minorEastAsia" w:hAnsiTheme="minorEastAsia" w:eastAsiaTheme="minorEastAsia" w:cstheme="minorEastAsia"/>
          <w:b/>
          <w:color w:val="auto"/>
          <w:szCs w:val="22"/>
          <w:highlight w:val="none"/>
          <w:lang w:val="en-US" w:eastAsia="zh-CN"/>
        </w:rPr>
        <w:t>0.1</w:t>
      </w:r>
      <w:r>
        <w:rPr>
          <w:rFonts w:hint="eastAsia" w:asciiTheme="minorEastAsia" w:hAnsiTheme="minorEastAsia" w:eastAsiaTheme="minorEastAsia" w:cstheme="minorEastAsia"/>
          <w:b/>
          <w:color w:val="auto"/>
          <w:kern w:val="2"/>
          <w:highlight w:val="none"/>
        </w:rPr>
        <w:t>投标</w:t>
      </w:r>
      <w:r>
        <w:rPr>
          <w:rFonts w:hint="eastAsia" w:asciiTheme="minorEastAsia" w:hAnsiTheme="minorEastAsia" w:eastAsiaTheme="minorEastAsia" w:cstheme="minorEastAsia"/>
          <w:b/>
          <w:color w:val="auto"/>
          <w:szCs w:val="22"/>
          <w:highlight w:val="none"/>
        </w:rPr>
        <w:t>文件的编制</w:t>
      </w:r>
      <w:bookmarkStart w:id="135" w:name="_Hlt69332370"/>
      <w:bookmarkEnd w:id="135"/>
      <w:bookmarkStart w:id="136" w:name="_Hlt69208262"/>
      <w:bookmarkEnd w:id="136"/>
      <w:r>
        <w:rPr>
          <w:rFonts w:hint="eastAsia" w:asciiTheme="minorEastAsia" w:hAnsiTheme="minorEastAsia" w:eastAsiaTheme="minorEastAsia" w:cstheme="minorEastAsia"/>
          <w:b/>
          <w:color w:val="auto"/>
          <w:szCs w:val="22"/>
          <w:highlight w:val="none"/>
        </w:rPr>
        <w:t>要求</w:t>
      </w:r>
      <w:bookmarkEnd w:id="123"/>
      <w:bookmarkEnd w:id="124"/>
      <w:bookmarkEnd w:id="125"/>
      <w:bookmarkEnd w:id="126"/>
      <w:bookmarkEnd w:id="127"/>
      <w:bookmarkEnd w:id="128"/>
      <w:bookmarkEnd w:id="129"/>
      <w:bookmarkEnd w:id="130"/>
      <w:bookmarkEnd w:id="133"/>
      <w:bookmarkEnd w:id="134"/>
    </w:p>
    <w:bookmarkEnd w:id="121"/>
    <w:bookmarkEnd w:id="122"/>
    <w:p w14:paraId="75B4A759">
      <w:pPr>
        <w:wordWrap w:val="0"/>
        <w:adjustRightInd w:val="0"/>
        <w:snapToGrid w:val="0"/>
        <w:spacing w:line="480" w:lineRule="exact"/>
        <w:ind w:firstLine="482" w:firstLineChars="200"/>
        <w:rPr>
          <w:rFonts w:hint="eastAsia" w:ascii="宋体" w:hAnsi="宋体" w:eastAsia="宋体" w:cs="宋体"/>
          <w:b/>
          <w:snapToGrid w:val="0"/>
          <w:color w:val="auto"/>
          <w:highlight w:val="none"/>
        </w:rPr>
      </w:pPr>
      <w:bookmarkStart w:id="137" w:name="_Hlt74497202"/>
      <w:bookmarkEnd w:id="137"/>
      <w:bookmarkStart w:id="138" w:name="_Hlt78768224"/>
      <w:bookmarkEnd w:id="138"/>
      <w:bookmarkStart w:id="139" w:name="_Hlt74495594"/>
      <w:bookmarkEnd w:id="139"/>
      <w:bookmarkStart w:id="140" w:name="_Toc12753"/>
      <w:r>
        <w:rPr>
          <w:rFonts w:hint="eastAsia" w:ascii="宋体" w:hAnsi="宋体" w:eastAsia="宋体" w:cs="宋体"/>
          <w:b/>
          <w:bCs/>
          <w:snapToGrid w:val="0"/>
          <w:color w:val="auto"/>
          <w:highlight w:val="none"/>
          <w:lang w:val="en-US" w:eastAsia="zh-CN"/>
        </w:rPr>
        <w:t>10</w:t>
      </w:r>
      <w:r>
        <w:rPr>
          <w:rFonts w:hint="eastAsia" w:ascii="宋体" w:hAnsi="宋体" w:eastAsia="宋体" w:cs="宋体"/>
          <w:b/>
          <w:bCs/>
          <w:snapToGrid w:val="0"/>
          <w:color w:val="auto"/>
          <w:highlight w:val="none"/>
        </w:rPr>
        <w:t>.1</w:t>
      </w:r>
      <w:r>
        <w:rPr>
          <w:rFonts w:hint="eastAsia" w:ascii="宋体" w:hAnsi="宋体" w:eastAsia="宋体" w:cs="宋体"/>
          <w:bCs/>
          <w:snapToGrid w:val="0"/>
          <w:color w:val="auto"/>
          <w:highlight w:val="none"/>
        </w:rPr>
        <w:t xml:space="preserve"> 一般要求</w:t>
      </w:r>
      <w:bookmarkEnd w:id="140"/>
    </w:p>
    <w:p w14:paraId="3AC8D940">
      <w:pPr>
        <w:pStyle w:val="10"/>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投标文件应按第六章 投标文件格式规定的内容，投标人提交的投标文件应当使用招标文件所提供的投标文件全部格式。</w:t>
      </w:r>
    </w:p>
    <w:p w14:paraId="68DDCF74">
      <w:pPr>
        <w:pStyle w:val="10"/>
        <w:wordWrap w:val="0"/>
        <w:adjustRightInd w:val="0"/>
        <w:snapToGrid w:val="0"/>
        <w:spacing w:line="480" w:lineRule="exact"/>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w:t>
      </w:r>
      <w:bookmarkStart w:id="141" w:name="_Hlt74496890"/>
      <w:bookmarkEnd w:id="141"/>
      <w:r>
        <w:rPr>
          <w:rFonts w:hint="eastAsia" w:ascii="宋体" w:hAnsi="宋体" w:eastAsia="宋体" w:cs="宋体"/>
          <w:snapToGrid w:val="0"/>
          <w:color w:val="auto"/>
          <w:kern w:val="0"/>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6C11C2BB">
      <w:pPr>
        <w:pStyle w:val="10"/>
        <w:wordWrap w:val="0"/>
        <w:adjustRightInd w:val="0"/>
        <w:snapToGrid w:val="0"/>
        <w:spacing w:line="480" w:lineRule="exact"/>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.1.2</w:t>
      </w:r>
      <w:r>
        <w:rPr>
          <w:rFonts w:hint="eastAsia" w:ascii="宋体" w:hAnsi="宋体" w:eastAsia="宋体" w:cs="宋体"/>
          <w:snapToGrid w:val="0"/>
          <w:color w:val="auto"/>
          <w:kern w:val="0"/>
          <w:highlight w:val="none"/>
        </w:rPr>
        <w:t xml:space="preserve"> 投标文件全部采用电子文档，投标文件所附证书证件均为原件扫描件</w:t>
      </w:r>
      <w:r>
        <w:rPr>
          <w:rFonts w:hint="eastAsia" w:hAnsi="宋体" w:eastAsia="宋体" w:cs="宋体"/>
          <w:snapToGrid w:val="0"/>
          <w:color w:val="auto"/>
          <w:kern w:val="0"/>
          <w:highlight w:val="none"/>
          <w:lang w:eastAsia="zh-CN"/>
        </w:rPr>
        <w:t>（</w:t>
      </w:r>
      <w:r>
        <w:rPr>
          <w:rFonts w:hint="eastAsia" w:hAnsi="宋体" w:eastAsia="宋体" w:cs="宋体"/>
          <w:snapToGrid w:val="0"/>
          <w:color w:val="auto"/>
          <w:kern w:val="0"/>
          <w:highlight w:val="none"/>
          <w:lang w:val="en-US" w:eastAsia="zh-CN"/>
        </w:rPr>
        <w:t>若以分公司名义投标，则所附证书证件原件扫描件可以由总公司或分公司任意一方提供均为有效），</w:t>
      </w:r>
      <w:r>
        <w:rPr>
          <w:rFonts w:hint="eastAsia" w:ascii="宋体" w:hAnsi="宋体" w:eastAsia="宋体" w:cs="宋体"/>
          <w:snapToGrid w:val="0"/>
          <w:color w:val="auto"/>
          <w:kern w:val="0"/>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6F5F4EEB">
      <w:pPr>
        <w:pStyle w:val="10"/>
        <w:wordWrap w:val="0"/>
        <w:adjustRightInd w:val="0"/>
        <w:snapToGrid w:val="0"/>
        <w:spacing w:line="480" w:lineRule="exact"/>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.1.3</w:t>
      </w:r>
      <w:r>
        <w:rPr>
          <w:rFonts w:hint="eastAsia" w:ascii="宋体" w:hAnsi="宋体" w:eastAsia="宋体" w:cs="宋体"/>
          <w:snapToGrid w:val="0"/>
          <w:color w:val="auto"/>
          <w:kern w:val="0"/>
          <w:highlight w:val="none"/>
        </w:rPr>
        <w:t xml:space="preserve"> 投标文件需按以下要求签字、盖章：</w:t>
      </w:r>
    </w:p>
    <w:p w14:paraId="62B1FB9F">
      <w:pPr>
        <w:pStyle w:val="10"/>
        <w:wordWrap w:val="0"/>
        <w:adjustRightInd w:val="0"/>
        <w:snapToGrid w:val="0"/>
        <w:spacing w:line="480" w:lineRule="exact"/>
        <w:ind w:firstLineChars="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电子投标文件：</w:t>
      </w:r>
    </w:p>
    <w:p w14:paraId="71204660">
      <w:pPr>
        <w:pStyle w:val="10"/>
        <w:wordWrap w:val="0"/>
        <w:adjustRightInd w:val="0"/>
        <w:snapToGrid w:val="0"/>
        <w:spacing w:line="480" w:lineRule="exact"/>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.1.3.1</w:t>
      </w:r>
      <w:r>
        <w:rPr>
          <w:rFonts w:hint="eastAsia" w:ascii="宋体" w:hAnsi="宋体" w:eastAsia="宋体" w:cs="宋体"/>
          <w:snapToGrid w:val="0"/>
          <w:color w:val="auto"/>
          <w:kern w:val="0"/>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3A86FC75">
      <w:pPr>
        <w:pStyle w:val="10"/>
        <w:wordWrap w:val="0"/>
        <w:adjustRightInd w:val="0"/>
        <w:snapToGrid w:val="0"/>
        <w:spacing w:line="480" w:lineRule="exact"/>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.1.3.2</w:t>
      </w:r>
      <w:r>
        <w:rPr>
          <w:rFonts w:hint="eastAsia" w:ascii="宋体" w:hAnsi="宋体" w:eastAsia="宋体" w:cs="宋体"/>
          <w:snapToGrid w:val="0"/>
          <w:color w:val="auto"/>
          <w:kern w:val="0"/>
          <w:highlight w:val="none"/>
        </w:rPr>
        <w:t xml:space="preserve"> 投标文件封套、封面、组成内容中凡要求录入投标人名称且注明“盖单位章”处盖单位法人公章（电子印章）</w:t>
      </w:r>
    </w:p>
    <w:p w14:paraId="2E38C32F">
      <w:pPr>
        <w:pStyle w:val="10"/>
        <w:wordWrap w:val="0"/>
        <w:adjustRightInd w:val="0"/>
        <w:snapToGrid w:val="0"/>
        <w:spacing w:line="480" w:lineRule="exact"/>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.1.3.3</w:t>
      </w:r>
      <w:r>
        <w:rPr>
          <w:rFonts w:hint="eastAsia" w:ascii="宋体" w:hAnsi="宋体" w:eastAsia="宋体" w:cs="宋体"/>
          <w:snapToGrid w:val="0"/>
          <w:color w:val="auto"/>
          <w:kern w:val="0"/>
          <w:highlight w:val="none"/>
        </w:rPr>
        <w:t xml:space="preserve"> 投标文件的签字均为签字人本人亲笔署名或签章（电子印章），其余部分的扫描件无须另行签字、盖章。</w:t>
      </w:r>
    </w:p>
    <w:p w14:paraId="4CA2CC5F">
      <w:pPr>
        <w:wordWrap w:val="0"/>
        <w:adjustRightInd w:val="0"/>
        <w:snapToGrid w:val="0"/>
        <w:spacing w:line="48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w:t>
      </w:r>
      <w:r>
        <w:rPr>
          <w:rFonts w:hint="eastAsia" w:ascii="宋体" w:hAnsi="宋体" w:eastAsia="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 xml:space="preserve">.1.3.4 </w:t>
      </w:r>
      <w:r>
        <w:rPr>
          <w:rFonts w:hint="eastAsia" w:ascii="宋体" w:hAnsi="宋体" w:eastAsia="宋体" w:cs="宋体"/>
          <w:snapToGrid w:val="0"/>
          <w:color w:val="auto"/>
          <w:kern w:val="0"/>
          <w:highlight w:val="none"/>
        </w:rPr>
        <w:t>联合体投标的，除《联合体协议书》外，由联合体牵头人按以上要求签字（电子印章）、盖章（电子印章）即可。</w:t>
      </w:r>
    </w:p>
    <w:p w14:paraId="618E98B6">
      <w:pPr>
        <w:wordWrap w:val="0"/>
        <w:adjustRightInd w:val="0"/>
        <w:snapToGrid w:val="0"/>
        <w:spacing w:line="48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w:t>
      </w:r>
      <w:r>
        <w:rPr>
          <w:rFonts w:hint="eastAsia" w:ascii="宋体" w:hAnsi="宋体" w:eastAsia="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.1.3.</w:t>
      </w:r>
      <w:r>
        <w:rPr>
          <w:rFonts w:hint="eastAsia" w:hAnsi="宋体" w:eastAsia="宋体" w:cs="宋体"/>
          <w:b/>
          <w:bCs/>
          <w:snapToGrid w:val="0"/>
          <w:color w:val="auto"/>
          <w:kern w:val="0"/>
          <w:highlight w:val="none"/>
          <w:lang w:val="en-US" w:eastAsia="zh-CN"/>
        </w:rPr>
        <w:t>5</w:t>
      </w:r>
      <w:r>
        <w:rPr>
          <w:rFonts w:hint="eastAsia" w:ascii="宋体" w:hAnsi="宋体" w:eastAsia="宋体" w:cs="宋体"/>
          <w:b/>
          <w:bCs/>
          <w:snapToGrid w:val="0"/>
          <w:color w:val="auto"/>
          <w:kern w:val="0"/>
          <w:highlight w:val="none"/>
        </w:rPr>
        <w:t xml:space="preserve"> </w:t>
      </w:r>
      <w:r>
        <w:rPr>
          <w:rFonts w:hint="eastAsia" w:hAnsi="宋体" w:eastAsia="宋体" w:cs="宋体"/>
          <w:snapToGrid w:val="0"/>
          <w:color w:val="auto"/>
          <w:kern w:val="0"/>
          <w:highlight w:val="none"/>
          <w:lang w:val="en-US" w:eastAsia="zh-CN"/>
        </w:rPr>
        <w:t>分公司名义</w:t>
      </w:r>
      <w:r>
        <w:rPr>
          <w:rFonts w:hint="eastAsia" w:ascii="宋体" w:hAnsi="宋体" w:eastAsia="宋体" w:cs="宋体"/>
          <w:snapToGrid w:val="0"/>
          <w:color w:val="auto"/>
          <w:kern w:val="0"/>
          <w:highlight w:val="none"/>
        </w:rPr>
        <w:t>投标的，除</w:t>
      </w:r>
      <w:r>
        <w:rPr>
          <w:rFonts w:hint="eastAsia" w:hAnsi="宋体" w:eastAsia="宋体" w:cs="宋体"/>
          <w:snapToGrid w:val="0"/>
          <w:color w:val="auto"/>
          <w:kern w:val="0"/>
          <w:highlight w:val="none"/>
          <w:lang w:eastAsia="zh-CN"/>
        </w:rPr>
        <w:t>《</w:t>
      </w:r>
      <w:r>
        <w:rPr>
          <w:rFonts w:hint="eastAsia" w:hAnsi="宋体" w:eastAsia="宋体" w:cs="宋体"/>
          <w:snapToGrid w:val="0"/>
          <w:color w:val="auto"/>
          <w:kern w:val="0"/>
          <w:highlight w:val="none"/>
          <w:lang w:val="en-US" w:eastAsia="zh-CN"/>
        </w:rPr>
        <w:t>授权书》</w:t>
      </w:r>
      <w:r>
        <w:rPr>
          <w:rFonts w:hint="eastAsia" w:ascii="宋体" w:hAnsi="宋体" w:eastAsia="宋体" w:cs="宋体"/>
          <w:snapToGrid w:val="0"/>
          <w:color w:val="auto"/>
          <w:kern w:val="0"/>
          <w:highlight w:val="none"/>
        </w:rPr>
        <w:t>《</w:t>
      </w:r>
      <w:r>
        <w:rPr>
          <w:rFonts w:hint="eastAsia" w:hAnsi="宋体" w:eastAsia="宋体" w:cs="宋体"/>
          <w:snapToGrid w:val="0"/>
          <w:color w:val="auto"/>
          <w:kern w:val="0"/>
          <w:highlight w:val="none"/>
          <w:lang w:val="en-US" w:eastAsia="zh-CN"/>
        </w:rPr>
        <w:t>承诺函</w:t>
      </w:r>
      <w:r>
        <w:rPr>
          <w:rFonts w:hint="eastAsia" w:ascii="宋体" w:hAnsi="宋体" w:eastAsia="宋体" w:cs="宋体"/>
          <w:snapToGrid w:val="0"/>
          <w:color w:val="auto"/>
          <w:kern w:val="0"/>
          <w:highlight w:val="none"/>
        </w:rPr>
        <w:t>》</w:t>
      </w:r>
      <w:r>
        <w:rPr>
          <w:rFonts w:hint="eastAsia" w:hAnsi="宋体" w:eastAsia="宋体" w:cs="宋体"/>
          <w:snapToGrid w:val="0"/>
          <w:color w:val="auto"/>
          <w:kern w:val="0"/>
          <w:highlight w:val="none"/>
          <w:lang w:val="en-US" w:eastAsia="zh-CN"/>
        </w:rPr>
        <w:t>须总公司签字或盖章外，其他资料均由分公司</w:t>
      </w:r>
      <w:r>
        <w:rPr>
          <w:rFonts w:hint="eastAsia" w:ascii="宋体" w:hAnsi="宋体" w:eastAsia="宋体" w:cs="宋体"/>
          <w:snapToGrid w:val="0"/>
          <w:color w:val="auto"/>
          <w:kern w:val="0"/>
          <w:highlight w:val="none"/>
        </w:rPr>
        <w:t>按以上要求签字（电子印章）、盖章（电子印章）即可。</w:t>
      </w:r>
    </w:p>
    <w:p w14:paraId="67DC968D">
      <w:pPr>
        <w:wordWrap w:val="0"/>
        <w:adjustRightInd w:val="0"/>
        <w:snapToGrid w:val="0"/>
        <w:spacing w:line="480" w:lineRule="exact"/>
        <w:ind w:firstLine="482" w:firstLineChars="200"/>
        <w:rPr>
          <w:rFonts w:hint="eastAsia" w:ascii="宋体" w:hAnsi="宋体" w:eastAsia="宋体" w:cs="宋体"/>
          <w:b/>
          <w:snapToGrid w:val="0"/>
          <w:color w:val="auto"/>
          <w:highlight w:val="none"/>
        </w:rPr>
      </w:pPr>
      <w:bookmarkStart w:id="142" w:name="_Toc274313880"/>
      <w:bookmarkStart w:id="143" w:name="_Toc9028"/>
      <w:bookmarkStart w:id="144" w:name="_Toc257031159"/>
      <w:r>
        <w:rPr>
          <w:rFonts w:hint="eastAsia" w:ascii="宋体" w:hAnsi="宋体" w:eastAsia="宋体" w:cs="宋体"/>
          <w:b/>
          <w:bCs/>
          <w:snapToGrid w:val="0"/>
          <w:color w:val="auto"/>
          <w:highlight w:val="none"/>
        </w:rPr>
        <w:t>1</w:t>
      </w:r>
      <w:r>
        <w:rPr>
          <w:rFonts w:hint="eastAsia" w:ascii="宋体" w:hAnsi="宋体" w:eastAsia="宋体" w:cs="宋体"/>
          <w:b/>
          <w:bCs/>
          <w:snapToGrid w:val="0"/>
          <w:color w:val="auto"/>
          <w:highlight w:val="none"/>
          <w:lang w:val="en-US" w:eastAsia="zh-CN"/>
        </w:rPr>
        <w:t>0</w:t>
      </w:r>
      <w:r>
        <w:rPr>
          <w:rFonts w:hint="eastAsia" w:ascii="宋体" w:hAnsi="宋体" w:eastAsia="宋体" w:cs="宋体"/>
          <w:b/>
          <w:bCs/>
          <w:snapToGrid w:val="0"/>
          <w:color w:val="auto"/>
          <w:highlight w:val="none"/>
        </w:rPr>
        <w:t>.2</w:t>
      </w:r>
      <w:r>
        <w:rPr>
          <w:rFonts w:hint="eastAsia" w:ascii="宋体" w:hAnsi="宋体" w:eastAsia="宋体" w:cs="宋体"/>
          <w:bCs/>
          <w:snapToGrid w:val="0"/>
          <w:color w:val="auto"/>
          <w:highlight w:val="none"/>
        </w:rPr>
        <w:t xml:space="preserve"> </w:t>
      </w:r>
      <w:r>
        <w:rPr>
          <w:rFonts w:hint="eastAsia" w:ascii="宋体" w:hAnsi="宋体" w:eastAsia="宋体" w:cs="宋体"/>
          <w:bCs/>
          <w:snapToGrid w:val="0"/>
          <w:color w:val="auto"/>
          <w:highlight w:val="none"/>
          <w:lang w:val="en-US" w:eastAsia="zh-CN"/>
        </w:rPr>
        <w:t>投标文件</w:t>
      </w:r>
      <w:r>
        <w:rPr>
          <w:rFonts w:hint="eastAsia" w:ascii="宋体" w:hAnsi="宋体" w:eastAsia="宋体" w:cs="宋体"/>
          <w:bCs/>
          <w:snapToGrid w:val="0"/>
          <w:color w:val="auto"/>
          <w:highlight w:val="none"/>
        </w:rPr>
        <w:t>的编制要求</w:t>
      </w:r>
      <w:bookmarkEnd w:id="142"/>
      <w:bookmarkEnd w:id="143"/>
      <w:bookmarkEnd w:id="144"/>
    </w:p>
    <w:p w14:paraId="290BD5E0">
      <w:pPr>
        <w:wordWrap w:val="0"/>
        <w:adjustRightInd w:val="0"/>
        <w:snapToGrid w:val="0"/>
        <w:spacing w:line="480" w:lineRule="exact"/>
        <w:ind w:firstLine="561"/>
        <w:rPr>
          <w:rFonts w:hint="eastAsia" w:ascii="宋体" w:hAnsi="宋体" w:eastAsia="宋体" w:cs="宋体"/>
          <w:snapToGrid w:val="0"/>
          <w:color w:val="auto"/>
          <w:kern w:val="0"/>
          <w:highlight w:val="none"/>
          <w:u w:val="single"/>
        </w:rPr>
      </w:pPr>
      <w:r>
        <w:rPr>
          <w:rFonts w:hint="eastAsia" w:ascii="宋体" w:hAnsi="宋体" w:eastAsia="宋体" w:cs="宋体"/>
          <w:b/>
          <w:bCs/>
          <w:snapToGrid w:val="0"/>
          <w:color w:val="auto"/>
          <w:kern w:val="0"/>
          <w:highlight w:val="none"/>
        </w:rPr>
        <w:t>1</w:t>
      </w:r>
      <w:r>
        <w:rPr>
          <w:rFonts w:hint="eastAsia" w:ascii="宋体" w:hAnsi="宋体" w:eastAsia="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w:t>
      </w:r>
      <w:r>
        <w:rPr>
          <w:rFonts w:hint="eastAsia" w:ascii="宋体" w:hAnsi="宋体" w:eastAsia="宋体" w:cs="宋体"/>
          <w:bCs/>
          <w:snapToGrid w:val="0"/>
          <w:color w:val="auto"/>
          <w:kern w:val="0"/>
          <w:highlight w:val="none"/>
          <w:lang w:val="en-US" w:eastAsia="zh-CN"/>
        </w:rPr>
        <w:t>投标</w:t>
      </w:r>
      <w:r>
        <w:rPr>
          <w:rFonts w:hint="eastAsia" w:ascii="宋体" w:hAnsi="宋体" w:eastAsia="宋体" w:cs="宋体"/>
          <w:bCs/>
          <w:snapToGrid w:val="0"/>
          <w:color w:val="auto"/>
          <w:kern w:val="0"/>
          <w:highlight w:val="none"/>
        </w:rPr>
        <w:t>标书</w:t>
      </w:r>
      <w:r>
        <w:rPr>
          <w:rFonts w:hint="eastAsia" w:ascii="宋体" w:hAnsi="宋体" w:eastAsia="宋体" w:cs="宋体"/>
          <w:snapToGrid w:val="0"/>
          <w:color w:val="auto"/>
          <w:kern w:val="0"/>
          <w:highlight w:val="none"/>
        </w:rPr>
        <w:t>包括但不限于以下内容：</w:t>
      </w:r>
    </w:p>
    <w:p w14:paraId="2D2C3B39">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（1）封面（格式一）；</w:t>
      </w:r>
    </w:p>
    <w:p w14:paraId="3E2DCAE1">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（2）目录； </w:t>
      </w:r>
    </w:p>
    <w:p w14:paraId="54AEE273">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（3）《投标函》及《工程项目总价表》（格式二）；</w:t>
      </w:r>
    </w:p>
    <w:p w14:paraId="54B736E1">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（4）《各项承诺一览表》（格式三）；</w:t>
      </w:r>
    </w:p>
    <w:p w14:paraId="012CDE28">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（5）《授权委托书》（格式四）；</w:t>
      </w:r>
    </w:p>
    <w:p w14:paraId="2319A94E">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（6）《法定代表人身份证明》（格式五）；</w:t>
      </w:r>
    </w:p>
    <w:p w14:paraId="060ECF21">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（7）《联合体协议书》（格式六）及所附资料；</w:t>
      </w:r>
    </w:p>
    <w:p w14:paraId="097B5EB4">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8）投标保证缴纳证明（投标人采用投标保证金的，附建设工程交易系统《缴纳投标保证金通知书》页面截图和银行转账单彩色扫描件；采用投标保证担保的，附银行保函彩色扫描件；采用投标保证保险的，附电子保单打印件）。</w:t>
      </w:r>
    </w:p>
    <w:p w14:paraId="26026EC3">
      <w:pPr>
        <w:wordWrap w:val="0"/>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snapToGrid w:val="0"/>
          <w:color w:val="auto"/>
          <w:kern w:val="0"/>
          <w:szCs w:val="24"/>
          <w:highlight w:val="none"/>
        </w:rPr>
        <w:t>（9）《投标人基本情况表》（格式七）及所附资料；</w:t>
      </w:r>
    </w:p>
    <w:p w14:paraId="0F20EB21">
      <w:pPr>
        <w:wordWrap w:val="0"/>
        <w:adjustRightInd w:val="0"/>
        <w:snapToGrid w:val="0"/>
        <w:spacing w:line="360" w:lineRule="auto"/>
        <w:ind w:firstLine="480" w:firstLineChars="200"/>
        <w:rPr>
          <w:rFonts w:hint="eastAsia" w:asciiTheme="minorEastAsia" w:hAnsiTheme="minorEastAsia" w:eastAsiaTheme="minorEastAsia" w:cstheme="minorEastAsia"/>
          <w:strike/>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（10）《项目经理简历表》（格式八）及所附资料；</w:t>
      </w:r>
    </w:p>
    <w:p w14:paraId="0934D50C">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（11）《项目经理任职声明》（格式九）；</w:t>
      </w:r>
    </w:p>
    <w:p w14:paraId="0C4F877F">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（12）《项目技术负责人简历表》（格式十）及所附资料；</w:t>
      </w:r>
    </w:p>
    <w:p w14:paraId="382280EF">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（13）《项目设计负责人简历表》（格式十一）及所附资料；</w:t>
      </w:r>
    </w:p>
    <w:p w14:paraId="2683EBCC">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（14）《项目管理机构组成表》（格式十二）及所附资料；</w:t>
      </w:r>
    </w:p>
    <w:p w14:paraId="66FB6B92">
      <w:pPr>
        <w:wordWrap w:val="0"/>
        <w:adjustRightInd w:val="0"/>
        <w:snapToGrid w:val="0"/>
        <w:spacing w:line="48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lang w:eastAsia="zh-CN"/>
        </w:rPr>
        <w:t>（</w:t>
      </w:r>
      <w:r>
        <w:rPr>
          <w:rFonts w:hint="eastAsia" w:ascii="宋体" w:hAnsi="宋体" w:eastAsia="宋体" w:cs="宋体"/>
          <w:snapToGrid w:val="0"/>
          <w:color w:val="auto"/>
          <w:kern w:val="0"/>
          <w:szCs w:val="18"/>
          <w:highlight w:val="none"/>
          <w:lang w:val="en-US" w:eastAsia="zh-CN"/>
        </w:rPr>
        <w:t>15）</w:t>
      </w:r>
      <w:r>
        <w:rPr>
          <w:rFonts w:hint="eastAsia" w:ascii="宋体" w:hAnsi="宋体" w:eastAsia="宋体" w:cs="宋体"/>
          <w:snapToGrid w:val="0"/>
          <w:color w:val="auto"/>
          <w:kern w:val="0"/>
          <w:szCs w:val="18"/>
          <w:highlight w:val="none"/>
        </w:rPr>
        <w:t>本节第</w:t>
      </w:r>
      <w:r>
        <w:rPr>
          <w:rFonts w:hint="eastAsia" w:ascii="宋体" w:hAnsi="宋体" w:eastAsia="宋体" w:cs="宋体"/>
          <w:b/>
          <w:bCs/>
          <w:snapToGrid w:val="0"/>
          <w:color w:val="auto"/>
          <w:kern w:val="0"/>
          <w:szCs w:val="18"/>
          <w:highlight w:val="none"/>
        </w:rPr>
        <w:t>15.5.1</w:t>
      </w:r>
      <w:r>
        <w:rPr>
          <w:rFonts w:hint="eastAsia" w:ascii="宋体" w:hAnsi="宋体" w:eastAsia="宋体" w:cs="宋体"/>
          <w:snapToGrid w:val="0"/>
          <w:color w:val="auto"/>
          <w:kern w:val="0"/>
          <w:szCs w:val="18"/>
          <w:highlight w:val="none"/>
        </w:rPr>
        <w:t>目“评标方法”要求提供的评审资料；</w:t>
      </w:r>
    </w:p>
    <w:p w14:paraId="5A372A5B">
      <w:pPr>
        <w:wordWrap w:val="0"/>
        <w:adjustRightInd w:val="0"/>
        <w:snapToGrid w:val="0"/>
        <w:spacing w:line="48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lang w:eastAsia="zh-CN"/>
        </w:rPr>
        <w:t>（</w:t>
      </w:r>
      <w:r>
        <w:rPr>
          <w:rFonts w:hint="eastAsia" w:ascii="宋体" w:hAnsi="宋体" w:eastAsia="宋体" w:cs="宋体"/>
          <w:snapToGrid w:val="0"/>
          <w:color w:val="auto"/>
          <w:kern w:val="0"/>
          <w:szCs w:val="18"/>
          <w:highlight w:val="none"/>
          <w:lang w:val="en-US" w:eastAsia="zh-CN"/>
        </w:rPr>
        <w:t>16）施工组织设计</w:t>
      </w:r>
      <w:r>
        <w:rPr>
          <w:rFonts w:hint="eastAsia" w:ascii="宋体" w:hAnsi="宋体" w:eastAsia="宋体" w:cs="宋体"/>
          <w:snapToGrid w:val="0"/>
          <w:color w:val="auto"/>
          <w:kern w:val="0"/>
          <w:szCs w:val="18"/>
          <w:highlight w:val="none"/>
        </w:rPr>
        <w:t>；</w:t>
      </w:r>
    </w:p>
    <w:p w14:paraId="531CD49A">
      <w:pPr>
        <w:wordWrap w:val="0"/>
        <w:adjustRightInd w:val="0"/>
        <w:snapToGrid w:val="0"/>
        <w:spacing w:line="48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ascii="宋体" w:hAnsi="宋体" w:eastAsia="宋体" w:cs="宋体"/>
          <w:snapToGrid w:val="0"/>
          <w:color w:val="auto"/>
          <w:kern w:val="0"/>
          <w:szCs w:val="18"/>
          <w:highlight w:val="none"/>
          <w:lang w:val="en-US" w:eastAsia="zh-CN"/>
        </w:rPr>
        <w:t>7</w:t>
      </w:r>
      <w:r>
        <w:rPr>
          <w:rFonts w:hint="eastAsia" w:ascii="宋体" w:hAnsi="宋体" w:eastAsia="宋体" w:cs="宋体"/>
          <w:snapToGrid w:val="0"/>
          <w:color w:val="auto"/>
          <w:kern w:val="0"/>
          <w:szCs w:val="18"/>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75481EE6">
      <w:pPr>
        <w:wordWrap w:val="0"/>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宋体" w:hAnsi="宋体" w:eastAsia="宋体" w:cs="宋体"/>
          <w:b/>
          <w:bCs/>
          <w:snapToGrid w:val="0"/>
          <w:color w:val="auto"/>
          <w:kern w:val="0"/>
          <w:szCs w:val="18"/>
          <w:highlight w:val="none"/>
        </w:rPr>
        <w:t>1</w:t>
      </w:r>
      <w:r>
        <w:rPr>
          <w:rFonts w:hint="eastAsia" w:ascii="宋体" w:hAnsi="宋体" w:eastAsia="宋体" w:cs="宋体"/>
          <w:b/>
          <w:bCs/>
          <w:snapToGrid w:val="0"/>
          <w:color w:val="auto"/>
          <w:kern w:val="0"/>
          <w:szCs w:val="18"/>
          <w:highlight w:val="none"/>
          <w:lang w:val="en-US" w:eastAsia="zh-CN"/>
        </w:rPr>
        <w:t>0</w:t>
      </w:r>
      <w:r>
        <w:rPr>
          <w:rFonts w:hint="eastAsia" w:ascii="宋体" w:hAnsi="宋体" w:eastAsia="宋体" w:cs="宋体"/>
          <w:b/>
          <w:bCs/>
          <w:snapToGrid w:val="0"/>
          <w:color w:val="auto"/>
          <w:kern w:val="0"/>
          <w:szCs w:val="18"/>
          <w:highlight w:val="none"/>
        </w:rPr>
        <w:t>.2.2</w:t>
      </w:r>
      <w:r>
        <w:rPr>
          <w:rFonts w:hint="eastAsia" w:ascii="宋体" w:hAnsi="宋体" w:eastAsia="宋体" w:cs="宋体"/>
          <w:snapToGrid w:val="0"/>
          <w:color w:val="auto"/>
          <w:kern w:val="0"/>
          <w:szCs w:val="18"/>
          <w:highlight w:val="none"/>
        </w:rPr>
        <w:t xml:space="preserve"> 本节第</w:t>
      </w:r>
      <w:r>
        <w:rPr>
          <w:rFonts w:hint="eastAsia" w:ascii="宋体" w:hAnsi="宋体" w:eastAsia="宋体" w:cs="宋体"/>
          <w:b/>
          <w:bCs/>
          <w:snapToGrid w:val="0"/>
          <w:color w:val="auto"/>
          <w:kern w:val="0"/>
          <w:szCs w:val="18"/>
          <w:highlight w:val="none"/>
        </w:rPr>
        <w:t>10.2.1</w:t>
      </w:r>
      <w:r>
        <w:rPr>
          <w:rFonts w:hint="eastAsia" w:ascii="宋体" w:hAnsi="宋体" w:eastAsia="宋体" w:cs="宋体"/>
          <w:snapToGrid w:val="0"/>
          <w:color w:val="auto"/>
          <w:kern w:val="0"/>
          <w:szCs w:val="18"/>
          <w:highlight w:val="none"/>
        </w:rPr>
        <w:t>目中所列出的商务标书组成内容中，第（1）至第（1</w:t>
      </w:r>
      <w:r>
        <w:rPr>
          <w:rFonts w:hint="eastAsia" w:ascii="宋体" w:hAnsi="宋体" w:eastAsia="宋体" w:cs="宋体"/>
          <w:snapToGrid w:val="0"/>
          <w:color w:val="auto"/>
          <w:kern w:val="0"/>
          <w:szCs w:val="18"/>
          <w:highlight w:val="none"/>
          <w:lang w:val="en-US" w:eastAsia="zh-CN"/>
        </w:rPr>
        <w:t>6</w:t>
      </w:r>
      <w:r>
        <w:rPr>
          <w:rFonts w:hint="eastAsia" w:ascii="宋体" w:hAnsi="宋体" w:eastAsia="宋体" w:cs="宋体"/>
          <w:snapToGrid w:val="0"/>
          <w:color w:val="auto"/>
          <w:kern w:val="0"/>
          <w:szCs w:val="18"/>
          <w:highlight w:val="none"/>
        </w:rPr>
        <w:t>）项所有投标人均应提供。</w:t>
      </w:r>
      <w:r>
        <w:rPr>
          <w:rFonts w:hint="eastAsia" w:asciiTheme="minorEastAsia" w:hAnsiTheme="minorEastAsia" w:eastAsiaTheme="minorEastAsia" w:cstheme="minorEastAsia"/>
          <w:b/>
          <w:bCs/>
          <w:snapToGrid w:val="0"/>
          <w:color w:val="auto"/>
          <w:kern w:val="0"/>
          <w:szCs w:val="24"/>
          <w:highlight w:val="none"/>
        </w:rPr>
        <w:t>但非联合体投标的，无需提供第（7）项内容。</w:t>
      </w:r>
    </w:p>
    <w:p w14:paraId="0D6F22D2">
      <w:pPr>
        <w:wordWrap w:val="0"/>
        <w:adjustRightInd w:val="0"/>
        <w:snapToGrid w:val="0"/>
        <w:spacing w:line="48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w:t>
      </w:r>
      <w:r>
        <w:rPr>
          <w:rFonts w:hint="eastAsia" w:ascii="宋体" w:hAnsi="宋体" w:eastAsia="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w:t>
      </w:r>
      <w:r>
        <w:rPr>
          <w:rFonts w:hint="eastAsia" w:ascii="宋体" w:hAnsi="宋体" w:eastAsia="宋体" w:cs="宋体"/>
          <w:b/>
          <w:bCs/>
          <w:snapToGrid w:val="0"/>
          <w:color w:val="auto"/>
          <w:kern w:val="0"/>
          <w:highlight w:val="none"/>
          <w:lang w:val="en-US" w:eastAsia="zh-CN"/>
        </w:rPr>
        <w:t>3</w:t>
      </w:r>
      <w:r>
        <w:rPr>
          <w:rFonts w:hint="eastAsia" w:ascii="宋体" w:hAnsi="宋体" w:eastAsia="宋体" w:cs="宋体"/>
          <w:bCs/>
          <w:snapToGrid w:val="0"/>
          <w:color w:val="auto"/>
          <w:kern w:val="0"/>
          <w:highlight w:val="none"/>
        </w:rPr>
        <w:t xml:space="preserve"> 施工组织设计的编制要求</w:t>
      </w:r>
    </w:p>
    <w:p w14:paraId="2C55AADB">
      <w:pPr>
        <w:wordWrap w:val="0"/>
        <w:adjustRightInd w:val="0"/>
        <w:snapToGrid w:val="0"/>
        <w:spacing w:line="48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1</w:t>
      </w:r>
      <w:r>
        <w:rPr>
          <w:rFonts w:hint="eastAsia" w:ascii="宋体" w:hAnsi="宋体" w:eastAsia="宋体" w:cs="宋体"/>
          <w:b/>
          <w:snapToGrid w:val="0"/>
          <w:color w:val="auto"/>
          <w:kern w:val="0"/>
          <w:highlight w:val="none"/>
          <w:lang w:val="en-US" w:eastAsia="zh-CN"/>
        </w:rPr>
        <w:t>0</w:t>
      </w:r>
      <w:r>
        <w:rPr>
          <w:rFonts w:hint="eastAsia" w:ascii="宋体" w:hAnsi="宋体" w:eastAsia="宋体" w:cs="宋体"/>
          <w:b/>
          <w:snapToGrid w:val="0"/>
          <w:color w:val="auto"/>
          <w:kern w:val="0"/>
          <w:highlight w:val="none"/>
        </w:rPr>
        <w:t>.</w:t>
      </w:r>
      <w:r>
        <w:rPr>
          <w:rFonts w:hint="eastAsia" w:ascii="宋体" w:hAnsi="宋体" w:eastAsia="宋体" w:cs="宋体"/>
          <w:b/>
          <w:snapToGrid w:val="0"/>
          <w:color w:val="auto"/>
          <w:kern w:val="0"/>
          <w:highlight w:val="none"/>
          <w:lang w:val="en-US" w:eastAsia="zh-CN"/>
        </w:rPr>
        <w:t>3</w:t>
      </w:r>
      <w:r>
        <w:rPr>
          <w:rFonts w:hint="eastAsia" w:ascii="宋体" w:hAnsi="宋体" w:eastAsia="宋体" w:cs="宋体"/>
          <w:b/>
          <w:snapToGrid w:val="0"/>
          <w:color w:val="auto"/>
          <w:kern w:val="0"/>
          <w:highlight w:val="none"/>
        </w:rPr>
        <w:t>.1</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施工组织设计的编制依据包括且不限于</w:t>
      </w:r>
      <w:r>
        <w:rPr>
          <w:rFonts w:hint="eastAsia" w:ascii="宋体" w:hAnsi="宋体" w:eastAsia="宋体" w:cs="宋体"/>
          <w:bCs/>
          <w:snapToGrid w:val="0"/>
          <w:color w:val="auto"/>
          <w:kern w:val="0"/>
          <w:highlight w:val="none"/>
        </w:rPr>
        <w:t>：</w:t>
      </w:r>
    </w:p>
    <w:p w14:paraId="36D40912">
      <w:pPr>
        <w:wordWrap w:val="0"/>
        <w:adjustRightInd w:val="0"/>
        <w:snapToGrid w:val="0"/>
        <w:spacing w:line="48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（1）招标文件及</w:t>
      </w:r>
      <w:r>
        <w:rPr>
          <w:rFonts w:hint="eastAsia" w:ascii="宋体" w:hAnsi="宋体" w:eastAsia="宋体" w:cs="宋体"/>
          <w:snapToGrid w:val="0"/>
          <w:color w:val="auto"/>
          <w:kern w:val="0"/>
          <w:highlight w:val="none"/>
        </w:rPr>
        <w:t>其答疑（或修改）公告；</w:t>
      </w:r>
    </w:p>
    <w:p w14:paraId="2DD161BC">
      <w:pPr>
        <w:wordWrap w:val="0"/>
        <w:adjustRightInd w:val="0"/>
        <w:snapToGrid w:val="0"/>
        <w:spacing w:line="48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（2）施工图及相关资料；</w:t>
      </w:r>
    </w:p>
    <w:p w14:paraId="7DFC4544">
      <w:pPr>
        <w:wordWrap w:val="0"/>
        <w:adjustRightInd w:val="0"/>
        <w:snapToGrid w:val="0"/>
        <w:spacing w:line="48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（3）施工现场情况、工程特点；</w:t>
      </w:r>
    </w:p>
    <w:p w14:paraId="2DC19708">
      <w:pPr>
        <w:wordWrap w:val="0"/>
        <w:adjustRightInd w:val="0"/>
        <w:snapToGrid w:val="0"/>
        <w:spacing w:line="48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（4）相关法律、法规、规定；</w:t>
      </w:r>
    </w:p>
    <w:p w14:paraId="4CF2166C">
      <w:pPr>
        <w:wordWrap w:val="0"/>
        <w:adjustRightInd w:val="0"/>
        <w:snapToGrid w:val="0"/>
        <w:spacing w:line="48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0A2161A7">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bCs/>
          <w:snapToGrid w:val="0"/>
          <w:color w:val="auto"/>
          <w:kern w:val="0"/>
          <w:highlight w:val="none"/>
        </w:rPr>
        <w:t>（6）企业内部标准、工法。</w:t>
      </w:r>
    </w:p>
    <w:p w14:paraId="05520488">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1</w:t>
      </w:r>
      <w:r>
        <w:rPr>
          <w:rFonts w:hint="eastAsia" w:ascii="宋体" w:hAnsi="宋体" w:eastAsia="宋体" w:cs="宋体"/>
          <w:b/>
          <w:snapToGrid w:val="0"/>
          <w:color w:val="auto"/>
          <w:kern w:val="0"/>
          <w:highlight w:val="none"/>
          <w:lang w:val="en-US" w:eastAsia="zh-CN"/>
        </w:rPr>
        <w:t>0</w:t>
      </w:r>
      <w:r>
        <w:rPr>
          <w:rFonts w:hint="eastAsia" w:ascii="宋体" w:hAnsi="宋体" w:eastAsia="宋体" w:cs="宋体"/>
          <w:b/>
          <w:snapToGrid w:val="0"/>
          <w:color w:val="auto"/>
          <w:kern w:val="0"/>
          <w:highlight w:val="none"/>
        </w:rPr>
        <w:t>.</w:t>
      </w:r>
      <w:r>
        <w:rPr>
          <w:rFonts w:hint="eastAsia" w:ascii="宋体" w:hAnsi="宋体" w:eastAsia="宋体" w:cs="宋体"/>
          <w:b/>
          <w:snapToGrid w:val="0"/>
          <w:color w:val="auto"/>
          <w:kern w:val="0"/>
          <w:highlight w:val="none"/>
          <w:lang w:val="en-US" w:eastAsia="zh-CN"/>
        </w:rPr>
        <w:t>3</w:t>
      </w:r>
      <w:r>
        <w:rPr>
          <w:rFonts w:hint="eastAsia" w:ascii="宋体" w:hAnsi="宋体" w:eastAsia="宋体" w:cs="宋体"/>
          <w:b/>
          <w:snapToGrid w:val="0"/>
          <w:color w:val="auto"/>
          <w:kern w:val="0"/>
          <w:highlight w:val="none"/>
        </w:rPr>
        <w:t>.2</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施工组织设计包括但不限于以下内容：</w:t>
      </w:r>
    </w:p>
    <w:p w14:paraId="125B82F7">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施工方案</w:t>
      </w:r>
      <w:r>
        <w:rPr>
          <w:rFonts w:hint="eastAsia" w:ascii="宋体" w:hAnsi="宋体" w:eastAsia="宋体" w:cs="宋体"/>
          <w:snapToGrid w:val="0"/>
          <w:color w:val="auto"/>
          <w:kern w:val="0"/>
          <w:highlight w:val="none"/>
        </w:rPr>
        <w:t>；</w:t>
      </w:r>
    </w:p>
    <w:p w14:paraId="75C363C1">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w:t>
      </w:r>
      <w:r>
        <w:rPr>
          <w:rFonts w:hint="eastAsia" w:ascii="宋体" w:hAnsi="宋体" w:eastAsia="宋体" w:cs="宋体"/>
          <w:color w:val="auto"/>
          <w:kern w:val="0"/>
          <w:highlight w:val="none"/>
          <w:lang w:val="en-US" w:eastAsia="zh-CN"/>
        </w:rPr>
        <w:t>设备、材料采购方案</w:t>
      </w:r>
      <w:r>
        <w:rPr>
          <w:rFonts w:hint="eastAsia" w:ascii="宋体" w:hAnsi="宋体" w:eastAsia="宋体" w:cs="宋体"/>
          <w:snapToGrid w:val="0"/>
          <w:color w:val="auto"/>
          <w:kern w:val="0"/>
          <w:highlight w:val="none"/>
        </w:rPr>
        <w:t>；</w:t>
      </w:r>
    </w:p>
    <w:p w14:paraId="545D41BB">
      <w:pPr>
        <w:wordWrap w:val="0"/>
        <w:adjustRightInd w:val="0"/>
        <w:snapToGrid w:val="0"/>
        <w:spacing w:line="48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项目组织机构及人员配置、</w:t>
      </w:r>
      <w:r>
        <w:rPr>
          <w:rFonts w:hint="eastAsia" w:ascii="宋体" w:hAnsi="宋体" w:eastAsia="宋体" w:cs="宋体"/>
          <w:snapToGrid w:val="0"/>
          <w:color w:val="auto"/>
          <w:kern w:val="0"/>
          <w:highlight w:val="none"/>
        </w:rPr>
        <w:t>机械设备、劳动力投入计划</w:t>
      </w:r>
      <w:r>
        <w:rPr>
          <w:rFonts w:hint="eastAsia" w:ascii="宋体" w:hAnsi="宋体" w:eastAsia="宋体" w:cs="宋体"/>
          <w:snapToGrid w:val="0"/>
          <w:color w:val="auto"/>
          <w:kern w:val="0"/>
          <w:highlight w:val="none"/>
          <w:lang w:eastAsia="zh-CN"/>
        </w:rPr>
        <w:t>；</w:t>
      </w:r>
    </w:p>
    <w:p w14:paraId="360828D4">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）工期及施工进度计划；</w:t>
      </w:r>
    </w:p>
    <w:p w14:paraId="2EA9798F">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质量、安全、环境保护（含水土保持）目标及保障措施</w:t>
      </w:r>
      <w:r>
        <w:rPr>
          <w:rFonts w:hint="eastAsia" w:ascii="宋体" w:hAnsi="宋体" w:eastAsia="宋体" w:cs="宋体"/>
          <w:snapToGrid w:val="0"/>
          <w:color w:val="auto"/>
          <w:kern w:val="0"/>
          <w:highlight w:val="none"/>
        </w:rPr>
        <w:t>；</w:t>
      </w:r>
    </w:p>
    <w:p w14:paraId="750B9B9F">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投标人认为有必要补充的其他内容（例如对总包管理的认识以及对专业分包工程的管理、协调、配合、服务方案）。</w:t>
      </w:r>
    </w:p>
    <w:p w14:paraId="03CA4E43">
      <w:pPr>
        <w:wordWrap w:val="0"/>
        <w:adjustRightInd w:val="0"/>
        <w:snapToGrid w:val="0"/>
        <w:spacing w:line="480" w:lineRule="exact"/>
        <w:ind w:firstLine="482" w:firstLineChars="200"/>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b/>
          <w:bCs/>
          <w:snapToGrid w:val="0"/>
          <w:color w:val="auto"/>
          <w:kern w:val="0"/>
          <w:szCs w:val="22"/>
          <w:highlight w:val="none"/>
          <w:lang w:val="en-US" w:eastAsia="zh-CN"/>
        </w:rPr>
        <w:t>10.3.3</w:t>
      </w:r>
      <w:r>
        <w:rPr>
          <w:rFonts w:hint="eastAsia" w:ascii="宋体" w:hAnsi="宋体" w:eastAsia="宋体" w:cs="宋体"/>
          <w:snapToGrid w:val="0"/>
          <w:color w:val="auto"/>
          <w:kern w:val="0"/>
          <w:szCs w:val="22"/>
          <w:highlight w:val="none"/>
          <w:lang w:val="en-US" w:eastAsia="zh-CN"/>
        </w:rPr>
        <w:t xml:space="preserve"> 施工组织设计的内容建议不超过</w:t>
      </w:r>
      <w:r>
        <w:rPr>
          <w:rFonts w:hint="eastAsia" w:ascii="宋体" w:hAnsi="宋体" w:eastAsia="宋体" w:cs="宋体"/>
          <w:snapToGrid w:val="0"/>
          <w:color w:val="auto"/>
          <w:kern w:val="0"/>
          <w:szCs w:val="22"/>
          <w:highlight w:val="none"/>
          <w:u w:val="single"/>
          <w:lang w:val="en-US" w:eastAsia="zh-CN"/>
        </w:rPr>
        <w:t xml:space="preserve"> 800</w:t>
      </w:r>
      <w:r>
        <w:rPr>
          <w:rFonts w:hint="eastAsia" w:ascii="宋体" w:hAnsi="宋体" w:eastAsia="宋体" w:cs="宋体"/>
          <w:snapToGrid w:val="0"/>
          <w:color w:val="auto"/>
          <w:kern w:val="0"/>
          <w:szCs w:val="22"/>
          <w:highlight w:val="none"/>
          <w:lang w:val="en-US" w:eastAsia="zh-CN"/>
        </w:rPr>
        <w:t>页。</w:t>
      </w:r>
    </w:p>
    <w:p w14:paraId="3C0436ED">
      <w:pPr>
        <w:wordWrap w:val="0"/>
        <w:adjustRightInd w:val="0"/>
        <w:snapToGrid w:val="0"/>
        <w:spacing w:line="480" w:lineRule="exact"/>
        <w:ind w:firstLine="482" w:firstLineChars="200"/>
        <w:rPr>
          <w:rFonts w:hint="eastAsia" w:ascii="宋体" w:hAnsi="宋体" w:eastAsia="宋体" w:cs="宋体"/>
          <w:snapToGrid w:val="0"/>
          <w:color w:val="auto"/>
          <w:kern w:val="0"/>
          <w:szCs w:val="22"/>
          <w:highlight w:val="none"/>
          <w:lang w:val="en-US" w:eastAsia="zh-CN"/>
        </w:rPr>
      </w:pPr>
      <w:r>
        <w:rPr>
          <w:rFonts w:hint="eastAsia" w:ascii="宋体" w:hAnsi="宋体" w:eastAsia="宋体" w:cs="宋体"/>
          <w:b/>
          <w:bCs/>
          <w:snapToGrid w:val="0"/>
          <w:color w:val="auto"/>
          <w:kern w:val="0"/>
          <w:szCs w:val="22"/>
          <w:highlight w:val="none"/>
          <w:lang w:val="en-US" w:eastAsia="zh-CN"/>
        </w:rPr>
        <w:t>10.3.4</w:t>
      </w:r>
      <w:r>
        <w:rPr>
          <w:rFonts w:hint="eastAsia" w:ascii="宋体" w:hAnsi="宋体" w:eastAsia="宋体" w:cs="宋体"/>
          <w:snapToGrid w:val="0"/>
          <w:color w:val="auto"/>
          <w:kern w:val="0"/>
          <w:szCs w:val="22"/>
          <w:highlight w:val="none"/>
          <w:lang w:val="en-US" w:eastAsia="zh-CN"/>
        </w:rPr>
        <w:t>投标标书的所有内容按本节第10.2.1目规定的顺序整理、编排后，逐页（页码起始从封面开始）连续标记页码。</w:t>
      </w:r>
    </w:p>
    <w:p w14:paraId="5746B0CE">
      <w:pPr>
        <w:pStyle w:val="25"/>
        <w:rPr>
          <w:rFonts w:hint="eastAsia"/>
          <w:color w:val="auto"/>
        </w:rPr>
      </w:pPr>
    </w:p>
    <w:p w14:paraId="1DA1C192">
      <w:pPr>
        <w:pStyle w:val="5"/>
        <w:wordWrap w:val="0"/>
        <w:snapToGrid w:val="0"/>
        <w:spacing w:line="480" w:lineRule="exact"/>
        <w:ind w:firstLine="241" w:firstLineChars="100"/>
        <w:jc w:val="both"/>
        <w:rPr>
          <w:rFonts w:hint="eastAsia" w:ascii="宋体" w:hAnsi="宋体" w:eastAsia="宋体" w:cs="宋体"/>
          <w:b/>
          <w:snapToGrid w:val="0"/>
          <w:color w:val="auto"/>
          <w:highlight w:val="none"/>
        </w:rPr>
      </w:pPr>
      <w:bookmarkStart w:id="145" w:name="_Toc7033"/>
      <w:bookmarkStart w:id="146" w:name="_Toc13832"/>
      <w:bookmarkStart w:id="147" w:name="_Toc26016"/>
      <w:bookmarkStart w:id="148" w:name="_Toc25204"/>
      <w:bookmarkStart w:id="149" w:name="_Toc3213"/>
      <w:r>
        <w:rPr>
          <w:rFonts w:hint="eastAsia" w:ascii="宋体" w:hAnsi="宋体" w:eastAsia="宋体" w:cs="宋体"/>
          <w:b/>
          <w:snapToGrid w:val="0"/>
          <w:color w:val="auto"/>
          <w:highlight w:val="none"/>
          <w:lang w:val="en-US"/>
        </w:rPr>
        <w:t>1</w:t>
      </w:r>
      <w:r>
        <w:rPr>
          <w:rFonts w:hint="eastAsia" w:ascii="宋体" w:hAnsi="宋体" w:eastAsia="宋体" w:cs="宋体"/>
          <w:b/>
          <w:snapToGrid w:val="0"/>
          <w:color w:val="auto"/>
          <w:highlight w:val="none"/>
          <w:lang w:val="en-US" w:eastAsia="zh-CN"/>
        </w:rPr>
        <w:t>1</w:t>
      </w:r>
      <w:r>
        <w:rPr>
          <w:rFonts w:hint="eastAsia" w:ascii="宋体" w:hAnsi="宋体" w:eastAsia="宋体" w:cs="宋体"/>
          <w:b/>
          <w:snapToGrid w:val="0"/>
          <w:color w:val="auto"/>
          <w:highlight w:val="none"/>
          <w:lang w:val="en-US"/>
        </w:rPr>
        <w:t>.</w:t>
      </w:r>
      <w:bookmarkEnd w:id="145"/>
      <w:bookmarkEnd w:id="146"/>
      <w:r>
        <w:rPr>
          <w:rFonts w:hint="eastAsia" w:ascii="宋体" w:hAnsi="宋体" w:eastAsia="宋体" w:cs="宋体"/>
          <w:b/>
          <w:snapToGrid w:val="0"/>
          <w:color w:val="auto"/>
          <w:highlight w:val="none"/>
        </w:rPr>
        <w:t>电子投标</w:t>
      </w:r>
      <w:bookmarkEnd w:id="147"/>
      <w:bookmarkEnd w:id="148"/>
      <w:bookmarkEnd w:id="149"/>
    </w:p>
    <w:p w14:paraId="472F5E89">
      <w:pPr>
        <w:spacing w:line="480" w:lineRule="exact"/>
        <w:ind w:firstLine="480" w:firstLineChars="200"/>
        <w:rPr>
          <w:rFonts w:hint="eastAsia" w:ascii="宋体" w:hAnsi="宋体" w:eastAsia="宋体" w:cs="宋体"/>
          <w:color w:val="auto"/>
          <w:highlight w:val="none"/>
        </w:rPr>
      </w:pPr>
      <w:bookmarkStart w:id="150" w:name="_Hlt66200498"/>
      <w:bookmarkEnd w:id="150"/>
      <w:bookmarkStart w:id="151" w:name="_Hlt66511038"/>
      <w:bookmarkEnd w:id="151"/>
      <w:bookmarkStart w:id="152" w:name="_Toc21572"/>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1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bookmarkEnd w:id="152"/>
    </w:p>
    <w:p w14:paraId="2AD35D70">
      <w:pPr>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263D8AB7">
      <w:pPr>
        <w:pStyle w:val="5"/>
        <w:wordWrap w:val="0"/>
        <w:snapToGrid w:val="0"/>
        <w:spacing w:line="480" w:lineRule="exact"/>
        <w:ind w:firstLine="480"/>
        <w:jc w:val="both"/>
        <w:rPr>
          <w:rFonts w:hint="eastAsia" w:ascii="宋体" w:hAnsi="宋体" w:eastAsia="宋体" w:cs="宋体"/>
          <w:b/>
          <w:snapToGrid w:val="0"/>
          <w:color w:val="auto"/>
          <w:highlight w:val="none"/>
        </w:rPr>
      </w:pPr>
      <w:bookmarkStart w:id="153" w:name="_Toc20343"/>
      <w:bookmarkStart w:id="154" w:name="_Toc19154"/>
      <w:bookmarkStart w:id="155" w:name="_Toc7340"/>
      <w:bookmarkStart w:id="156" w:name="_Toc10246"/>
      <w:bookmarkStart w:id="157" w:name="_Toc564"/>
      <w:r>
        <w:rPr>
          <w:rFonts w:hint="eastAsia" w:ascii="宋体" w:hAnsi="宋体" w:eastAsia="宋体" w:cs="宋体"/>
          <w:b/>
          <w:snapToGrid w:val="0"/>
          <w:color w:val="auto"/>
          <w:highlight w:val="none"/>
        </w:rPr>
        <w:t>1</w:t>
      </w:r>
      <w:r>
        <w:rPr>
          <w:rFonts w:hint="eastAsia" w:ascii="宋体" w:hAnsi="宋体" w:eastAsia="宋体" w:cs="宋体"/>
          <w:b/>
          <w:snapToGrid w:val="0"/>
          <w:color w:val="auto"/>
          <w:highlight w:val="none"/>
          <w:lang w:val="en-US" w:eastAsia="zh-CN"/>
        </w:rPr>
        <w:t>2</w:t>
      </w:r>
      <w:r>
        <w:rPr>
          <w:rFonts w:hint="eastAsia" w:ascii="宋体" w:hAnsi="宋体" w:eastAsia="宋体" w:cs="宋体"/>
          <w:b/>
          <w:snapToGrid w:val="0"/>
          <w:color w:val="auto"/>
          <w:highlight w:val="none"/>
        </w:rPr>
        <w:t>．电子投标解密失败及突发情况的补救</w:t>
      </w:r>
      <w:bookmarkEnd w:id="153"/>
      <w:bookmarkEnd w:id="154"/>
      <w:bookmarkEnd w:id="155"/>
    </w:p>
    <w:p w14:paraId="26393A83">
      <w:pPr>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.1按照交易平台关于全流程电子化项目的相关指南进行操作。详见：全国公共资源交易平台（广东省·韶关市）（https://ygp.gdzwfw.gov.cn/ggzy-portal/#/440200/index）【服务指南】栏目发布的最新版操作指引。</w:t>
      </w:r>
    </w:p>
    <w:p w14:paraId="0D3AA5BB">
      <w:pPr>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.2补救方案：</w:t>
      </w:r>
    </w:p>
    <w:p w14:paraId="6511D803">
      <w:pPr>
        <w:spacing w:before="48" w:beforeLines="20" w:after="48" w:afterLines="20" w:line="480" w:lineRule="exact"/>
        <w:ind w:firstLine="420"/>
        <w:rPr>
          <w:rFonts w:hint="eastAsia" w:ascii="宋体" w:hAnsi="宋体" w:eastAsia="宋体" w:cs="宋体"/>
          <w:color w:val="auto"/>
          <w:szCs w:val="24"/>
          <w:highlight w:val="none"/>
        </w:rPr>
      </w:pPr>
      <w:r>
        <w:rPr>
          <w:rFonts w:hint="eastAsia" w:ascii="宋体" w:hAnsi="宋体" w:eastAsia="宋体" w:cs="宋体"/>
          <w:color w:val="auto"/>
          <w:highlight w:val="none"/>
        </w:rPr>
        <w:t>（1）投标文件解密失败的补救方案：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5D4AF2A0">
      <w:pPr>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评标时突发情况的补救方案：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做好招投标资料的封存和保密工作，另行组建评标委员会重新评标。原评标委员会成员应当对评标情况保密，不得对外透露与评标有关的任何信息与情况。</w:t>
      </w:r>
    </w:p>
    <w:p w14:paraId="6E54CB7D">
      <w:pPr>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（3）除发生上述情况外，开标评标均以投标人通过交易平台网上递交的电子投标文件为准。</w:t>
      </w:r>
    </w:p>
    <w:p w14:paraId="1D95A622">
      <w:pPr>
        <w:pStyle w:val="5"/>
        <w:numPr>
          <w:ilvl w:val="0"/>
          <w:numId w:val="2"/>
        </w:numPr>
        <w:wordWrap w:val="0"/>
        <w:snapToGrid w:val="0"/>
        <w:spacing w:line="480" w:lineRule="exact"/>
        <w:ind w:firstLine="480"/>
        <w:jc w:val="both"/>
        <w:rPr>
          <w:rFonts w:hint="eastAsia" w:ascii="宋体" w:hAnsi="宋体" w:eastAsia="宋体" w:cs="宋体"/>
          <w:b/>
          <w:snapToGrid w:val="0"/>
          <w:color w:val="auto"/>
          <w:highlight w:val="none"/>
        </w:rPr>
      </w:pPr>
      <w:bookmarkStart w:id="158" w:name="_Toc9873"/>
      <w:bookmarkStart w:id="159" w:name="_Toc23042"/>
      <w:r>
        <w:rPr>
          <w:rFonts w:hint="eastAsia" w:ascii="宋体" w:hAnsi="宋体" w:eastAsia="宋体" w:cs="宋体"/>
          <w:b/>
          <w:snapToGrid w:val="0"/>
          <w:color w:val="auto"/>
          <w:highlight w:val="none"/>
        </w:rPr>
        <w:t>投标文件的提交</w:t>
      </w:r>
      <w:bookmarkEnd w:id="156"/>
      <w:bookmarkEnd w:id="157"/>
      <w:bookmarkEnd w:id="158"/>
      <w:bookmarkEnd w:id="159"/>
    </w:p>
    <w:p w14:paraId="3FBC990F">
      <w:pPr>
        <w:pStyle w:val="35"/>
        <w:wordWrap w:val="0"/>
        <w:adjustRightInd w:val="0"/>
        <w:snapToGrid w:val="0"/>
        <w:spacing w:line="480" w:lineRule="exact"/>
        <w:ind w:firstLine="482" w:firstLineChars="20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13.1</w:t>
      </w:r>
      <w:r>
        <w:rPr>
          <w:rFonts w:hint="eastAsia" w:ascii="宋体" w:hAnsi="宋体" w:eastAsia="宋体" w:cs="宋体"/>
          <w:snapToGrid w:val="0"/>
          <w:color w:val="auto"/>
          <w:kern w:val="0"/>
          <w:sz w:val="24"/>
          <w:highlight w:val="none"/>
        </w:rPr>
        <w:t xml:space="preserve"> </w:t>
      </w:r>
      <w:r>
        <w:rPr>
          <w:rFonts w:hint="eastAsia" w:ascii="宋体" w:hAnsi="宋体" w:eastAsia="宋体" w:cs="宋体"/>
          <w:color w:val="auto"/>
          <w:sz w:val="24"/>
          <w:highlight w:val="none"/>
        </w:rPr>
        <w:t>在电子投标截止时间前，投标人通过全国公共资源交易平台（广东省·韶关市）提交已加密投标文件。逾期提交的电子投标文件，全国公共资源交易平台（广东省·韶关市）将予以拒收。</w:t>
      </w:r>
    </w:p>
    <w:p w14:paraId="35259265">
      <w:pPr>
        <w:pStyle w:val="35"/>
        <w:wordWrap w:val="0"/>
        <w:adjustRightInd w:val="0"/>
        <w:snapToGrid w:val="0"/>
        <w:spacing w:line="480" w:lineRule="exact"/>
        <w:ind w:firstLine="482" w:firstLineChars="20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13.2 </w:t>
      </w:r>
      <w:r>
        <w:rPr>
          <w:rFonts w:hint="eastAsia" w:ascii="宋体" w:hAnsi="宋体" w:eastAsia="宋体" w:cs="宋体"/>
          <w:color w:val="auto"/>
          <w:sz w:val="24"/>
          <w:highlight w:val="none"/>
        </w:rPr>
        <w:t>提交时间和地点</w:t>
      </w:r>
      <w:r>
        <w:rPr>
          <w:rFonts w:hint="eastAsia" w:ascii="宋体" w:hAnsi="宋体" w:eastAsia="宋体" w:cs="宋体"/>
          <w:snapToGrid w:val="0"/>
          <w:color w:val="auto"/>
          <w:kern w:val="0"/>
          <w:sz w:val="24"/>
          <w:highlight w:val="none"/>
        </w:rPr>
        <w:t>：见本章第二节“重要事项时间地点一览表”。</w:t>
      </w:r>
    </w:p>
    <w:p w14:paraId="6DF13E58">
      <w:pPr>
        <w:pStyle w:val="35"/>
        <w:spacing w:line="480" w:lineRule="exact"/>
        <w:ind w:left="480" w:leftChars="200"/>
        <w:rPr>
          <w:rFonts w:hint="eastAsia" w:ascii="宋体" w:hAnsi="宋体" w:eastAsia="宋体" w:cs="宋体"/>
          <w:color w:val="auto"/>
          <w:sz w:val="24"/>
          <w:highlight w:val="none"/>
        </w:rPr>
      </w:pPr>
      <w:r>
        <w:rPr>
          <w:rFonts w:hint="eastAsia" w:ascii="宋体" w:hAnsi="宋体" w:eastAsia="宋体" w:cs="宋体"/>
          <w:b/>
          <w:bCs/>
          <w:snapToGrid w:val="0"/>
          <w:color w:val="auto"/>
          <w:kern w:val="0"/>
          <w:sz w:val="24"/>
          <w:highlight w:val="none"/>
        </w:rPr>
        <w:t xml:space="preserve">13.3 </w:t>
      </w:r>
      <w:r>
        <w:rPr>
          <w:rFonts w:hint="eastAsia" w:ascii="宋体" w:hAnsi="宋体" w:eastAsia="宋体" w:cs="宋体"/>
          <w:color w:val="auto"/>
          <w:sz w:val="24"/>
          <w:highlight w:val="none"/>
        </w:rPr>
        <w:t xml:space="preserve">代理机构对因不可抗力事件造成的投标文件的损坏、丢失的，不承担责任。      </w:t>
      </w:r>
    </w:p>
    <w:p w14:paraId="7B1ADADC">
      <w:pPr>
        <w:pStyle w:val="35"/>
        <w:spacing w:line="480" w:lineRule="exact"/>
        <w:ind w:firstLine="482" w:firstLineChars="200"/>
        <w:rPr>
          <w:rFonts w:hint="eastAsia" w:ascii="宋体" w:hAnsi="宋体" w:eastAsia="宋体" w:cs="宋体"/>
          <w:color w:val="auto"/>
          <w:sz w:val="24"/>
          <w:highlight w:val="none"/>
          <w:shd w:val="clear" w:color="auto" w:fill="FFFFFF"/>
        </w:rPr>
      </w:pPr>
      <w:r>
        <w:rPr>
          <w:rFonts w:hint="eastAsia" w:ascii="宋体" w:hAnsi="宋体" w:eastAsia="宋体" w:cs="宋体"/>
          <w:b/>
          <w:bCs/>
          <w:snapToGrid w:val="0"/>
          <w:color w:val="auto"/>
          <w:kern w:val="0"/>
          <w:sz w:val="24"/>
          <w:highlight w:val="none"/>
        </w:rPr>
        <w:t xml:space="preserve">13.4 </w:t>
      </w:r>
      <w:r>
        <w:rPr>
          <w:rFonts w:hint="eastAsia" w:ascii="宋体" w:hAnsi="宋体" w:eastAsia="宋体" w:cs="宋体"/>
          <w:color w:val="auto"/>
          <w:sz w:val="24"/>
          <w:highlight w:val="none"/>
        </w:rPr>
        <w:t>递交时间和地点：投标人</w:t>
      </w:r>
      <w:r>
        <w:rPr>
          <w:rFonts w:hint="eastAsia" w:ascii="宋体" w:hAnsi="宋体" w:eastAsia="宋体" w:cs="宋体"/>
          <w:b/>
          <w:bCs/>
          <w:color w:val="auto"/>
          <w:sz w:val="24"/>
          <w:highlight w:val="none"/>
        </w:rPr>
        <w:t>如有</w:t>
      </w:r>
      <w:r>
        <w:rPr>
          <w:rFonts w:hint="eastAsia" w:ascii="宋体" w:hAnsi="宋体" w:eastAsia="宋体" w:cs="宋体"/>
          <w:color w:val="auto"/>
          <w:sz w:val="24"/>
          <w:highlight w:val="none"/>
        </w:rPr>
        <w:t>招标文件要求提交的用于评审的证书、证件、证明原件（附一式两份清单），由投标人法定代表人或其委托代理人在指定的时间和地点递交（见“重要事项时间地点一览表”）。</w:t>
      </w:r>
    </w:p>
    <w:p w14:paraId="5F349B2C">
      <w:pPr>
        <w:pStyle w:val="35"/>
        <w:spacing w:line="480" w:lineRule="exact"/>
        <w:ind w:left="480" w:leftChars="200"/>
        <w:rPr>
          <w:rFonts w:hint="eastAsia" w:ascii="宋体" w:hAnsi="宋体" w:eastAsia="宋体" w:cs="宋体"/>
          <w:color w:val="auto"/>
          <w:sz w:val="24"/>
          <w:highlight w:val="none"/>
        </w:rPr>
      </w:pPr>
      <w:r>
        <w:rPr>
          <w:rFonts w:hint="eastAsia" w:ascii="宋体" w:hAnsi="宋体" w:eastAsia="宋体" w:cs="宋体"/>
          <w:b/>
          <w:bCs/>
          <w:snapToGrid w:val="0"/>
          <w:color w:val="auto"/>
          <w:kern w:val="0"/>
          <w:sz w:val="24"/>
          <w:highlight w:val="none"/>
        </w:rPr>
        <w:t xml:space="preserve">13.5 </w:t>
      </w:r>
      <w:r>
        <w:rPr>
          <w:rFonts w:hint="eastAsia" w:ascii="宋体" w:hAnsi="宋体" w:eastAsia="宋体" w:cs="宋体"/>
          <w:color w:val="auto"/>
          <w:sz w:val="24"/>
          <w:highlight w:val="none"/>
        </w:rPr>
        <w:t>出现下述情形之一，属于未成功提交投标文件，按无效投标处理：</w:t>
      </w:r>
    </w:p>
    <w:p w14:paraId="6AAD0151">
      <w:pPr>
        <w:pStyle w:val="3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（1）至电子投标截止时间时，投标文件未完整上传或未提交投标。</w:t>
      </w:r>
    </w:p>
    <w:p w14:paraId="28ECDA8B">
      <w:pPr>
        <w:pStyle w:val="3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（2）投标文件未按投标格式中注明需签字盖章的要求进行签名（含电子签名）和加盖电子印章，或签名（含电子签名）或电子印章不完整的。</w:t>
      </w:r>
    </w:p>
    <w:p w14:paraId="436390AA">
      <w:pPr>
        <w:pStyle w:val="35"/>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（3）解密失败且在规定时间内未重新提交投标文件的；</w:t>
      </w:r>
    </w:p>
    <w:p w14:paraId="4ED455E3">
      <w:pPr>
        <w:pStyle w:val="35"/>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（4）投标文件损坏或格式不正确的。</w:t>
      </w:r>
    </w:p>
    <w:p w14:paraId="7BFEB4C1">
      <w:pPr>
        <w:pStyle w:val="5"/>
        <w:wordWrap w:val="0"/>
        <w:snapToGrid w:val="0"/>
        <w:spacing w:line="480" w:lineRule="exact"/>
        <w:jc w:val="both"/>
        <w:rPr>
          <w:rFonts w:hint="eastAsia" w:ascii="宋体" w:hAnsi="宋体" w:eastAsia="宋体" w:cs="宋体"/>
          <w:b/>
          <w:snapToGrid w:val="0"/>
          <w:color w:val="auto"/>
          <w:highlight w:val="none"/>
        </w:rPr>
      </w:pPr>
      <w:bookmarkStart w:id="160" w:name="_Toc1321"/>
      <w:bookmarkStart w:id="161" w:name="_Toc12752"/>
      <w:r>
        <w:rPr>
          <w:rFonts w:hint="eastAsia" w:ascii="宋体" w:hAnsi="宋体" w:eastAsia="宋体" w:cs="宋体"/>
          <w:b/>
          <w:snapToGrid w:val="0"/>
          <w:color w:val="auto"/>
          <w:highlight w:val="none"/>
          <w:lang w:eastAsia="zh-CN"/>
        </w:rPr>
        <w:t>14.</w:t>
      </w:r>
      <w:r>
        <w:rPr>
          <w:rFonts w:hint="eastAsia" w:ascii="宋体" w:hAnsi="宋体" w:eastAsia="宋体" w:cs="宋体"/>
          <w:b/>
          <w:snapToGrid w:val="0"/>
          <w:color w:val="auto"/>
          <w:highlight w:val="none"/>
        </w:rPr>
        <w:t>开标</w:t>
      </w:r>
      <w:bookmarkEnd w:id="160"/>
      <w:bookmarkEnd w:id="161"/>
    </w:p>
    <w:p w14:paraId="700D009A">
      <w:pPr>
        <w:pStyle w:val="35"/>
        <w:wordWrap w:val="0"/>
        <w:adjustRightInd w:val="0"/>
        <w:snapToGrid w:val="0"/>
        <w:spacing w:line="48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14.1</w:t>
      </w:r>
      <w:r>
        <w:rPr>
          <w:rFonts w:hint="eastAsia" w:ascii="宋体" w:hAnsi="宋体" w:eastAsia="宋体" w:cs="宋体"/>
          <w:snapToGrid w:val="0"/>
          <w:color w:val="auto"/>
          <w:kern w:val="0"/>
          <w:sz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5D2F7C7B">
      <w:pPr>
        <w:pStyle w:val="35"/>
        <w:wordWrap w:val="0"/>
        <w:adjustRightInd w:val="0"/>
        <w:snapToGrid w:val="0"/>
        <w:spacing w:line="48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14.1.1</w:t>
      </w:r>
      <w:r>
        <w:rPr>
          <w:rFonts w:hint="eastAsia" w:ascii="宋体" w:hAnsi="宋体" w:eastAsia="宋体" w:cs="宋体"/>
          <w:snapToGrid w:val="0"/>
          <w:color w:val="auto"/>
          <w:kern w:val="0"/>
          <w:sz w:val="24"/>
          <w:highlight w:val="none"/>
        </w:rPr>
        <w:t xml:space="preserve"> 开标时间和地点：见本章第二节“重要事项时间地点一览表”。</w:t>
      </w:r>
    </w:p>
    <w:p w14:paraId="49926922">
      <w:pPr>
        <w:pStyle w:val="35"/>
        <w:wordWrap w:val="0"/>
        <w:adjustRightInd w:val="0"/>
        <w:snapToGrid w:val="0"/>
        <w:spacing w:line="48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14.1.2</w:t>
      </w:r>
      <w:r>
        <w:rPr>
          <w:rFonts w:hint="eastAsia" w:ascii="宋体" w:hAnsi="宋体" w:eastAsia="宋体" w:cs="宋体"/>
          <w:snapToGrid w:val="0"/>
          <w:color w:val="auto"/>
          <w:kern w:val="0"/>
          <w:sz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29AE653E">
      <w:pPr>
        <w:pStyle w:val="35"/>
        <w:wordWrap w:val="0"/>
        <w:adjustRightInd w:val="0"/>
        <w:snapToGrid w:val="0"/>
        <w:spacing w:line="48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14.1.3</w:t>
      </w:r>
      <w:r>
        <w:rPr>
          <w:rFonts w:hint="eastAsia" w:ascii="宋体" w:hAnsi="宋体" w:eastAsia="宋体" w:cs="宋体"/>
          <w:snapToGrid w:val="0"/>
          <w:color w:val="auto"/>
          <w:kern w:val="0"/>
          <w:sz w:val="24"/>
          <w:highlight w:val="none"/>
        </w:rPr>
        <w:t>本项目实行全流程电子化招标投标，投标人在交易平台按要求上传加盖电子印章并经加密的电子投标文件，并在交易平台录入准确的页码信息即可完成在线投标。由于投标人原因导致未按投标</w:t>
      </w:r>
      <w:r>
        <w:rPr>
          <w:rFonts w:hint="eastAsia" w:ascii="宋体" w:hAnsi="宋体" w:eastAsia="宋体" w:cs="宋体"/>
          <w:snapToGrid w:val="0"/>
          <w:color w:val="auto"/>
          <w:kern w:val="0"/>
          <w:sz w:val="24"/>
          <w:highlight w:val="none"/>
          <w:lang w:eastAsia="zh-CN"/>
        </w:rPr>
        <w:t>截止</w:t>
      </w:r>
      <w:r>
        <w:rPr>
          <w:rFonts w:hint="eastAsia" w:ascii="宋体" w:hAnsi="宋体" w:eastAsia="宋体" w:cs="宋体"/>
          <w:snapToGrid w:val="0"/>
          <w:color w:val="auto"/>
          <w:kern w:val="0"/>
          <w:sz w:val="24"/>
          <w:highlight w:val="none"/>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01F55934">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14.2</w:t>
      </w:r>
      <w:r>
        <w:rPr>
          <w:rFonts w:hint="eastAsia" w:ascii="宋体" w:hAnsi="宋体" w:eastAsia="宋体" w:cs="宋体"/>
          <w:snapToGrid w:val="0"/>
          <w:color w:val="auto"/>
          <w:kern w:val="0"/>
          <w:highlight w:val="none"/>
        </w:rPr>
        <w:t xml:space="preserve"> 开标程序</w:t>
      </w:r>
    </w:p>
    <w:p w14:paraId="67748756">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（1）主持人（招标人代表或招标人授权的招标代理机构人员）宣读开标纪律。</w:t>
      </w:r>
    </w:p>
    <w:p w14:paraId="14079C47">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（2）主持人宣布唱标人、记录人、见证人、监督人等有关人员姓名。</w:t>
      </w:r>
    </w:p>
    <w:p w14:paraId="1DF7B9AB">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（3）招标代理机构在交易场所工作人员见证下对投标人的电子投标信息进行解密，建设工程交易系统自动生成《投标保证缴纳情况表》和《开标一览表》。</w:t>
      </w:r>
    </w:p>
    <w:p w14:paraId="0E0C55E0">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（4）唱标人公布在电子投标截止时间前提交投标文件的投标人数量和名称。</w:t>
      </w:r>
    </w:p>
    <w:p w14:paraId="50433A07">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（5）招标人代表、唱标人、记录人等有关人员在《投标保证缴纳情况表》以及《开标一览表》上签字确认。</w:t>
      </w:r>
    </w:p>
    <w:p w14:paraId="1549ADF0">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（6）主持人宣布有关注意事项后，宣布开标结束。</w:t>
      </w:r>
    </w:p>
    <w:p w14:paraId="498B2720">
      <w:pPr>
        <w:wordWrap w:val="0"/>
        <w:adjustRightInd w:val="0"/>
        <w:snapToGrid w:val="0"/>
        <w:spacing w:line="480" w:lineRule="exact"/>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6C090EFA">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14.3</w:t>
      </w:r>
      <w:r>
        <w:rPr>
          <w:rFonts w:hint="eastAsia" w:ascii="宋体" w:hAnsi="宋体" w:eastAsia="宋体" w:cs="宋体"/>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036D9AD2">
      <w:pPr>
        <w:wordWrap w:val="0"/>
        <w:adjustRightInd w:val="0"/>
        <w:snapToGrid w:val="0"/>
        <w:spacing w:line="48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14.4</w:t>
      </w:r>
      <w:r>
        <w:rPr>
          <w:rFonts w:hint="eastAsia" w:ascii="宋体" w:hAnsi="宋体" w:eastAsia="宋体" w:cs="宋体"/>
          <w:snapToGrid w:val="0"/>
          <w:color w:val="auto"/>
          <w:kern w:val="0"/>
          <w:highlight w:val="none"/>
        </w:rPr>
        <w:t xml:space="preserve"> 招标代理机构将资料原件</w:t>
      </w:r>
      <w:r>
        <w:rPr>
          <w:rFonts w:hint="eastAsia" w:ascii="宋体" w:hAnsi="宋体" w:eastAsia="宋体" w:cs="宋体"/>
          <w:b/>
          <w:bCs/>
          <w:snapToGrid w:val="0"/>
          <w:color w:val="auto"/>
          <w:kern w:val="0"/>
          <w:highlight w:val="none"/>
        </w:rPr>
        <w:t>（如有）</w:t>
      </w:r>
      <w:r>
        <w:rPr>
          <w:rFonts w:hint="eastAsia" w:ascii="宋体" w:hAnsi="宋体" w:eastAsia="宋体" w:cs="宋体"/>
          <w:snapToGrid w:val="0"/>
          <w:color w:val="auto"/>
          <w:kern w:val="0"/>
          <w:highlight w:val="none"/>
        </w:rPr>
        <w:t>、《开标一览表》以及其他有关资料移交评标委员会。</w:t>
      </w:r>
    </w:p>
    <w:p w14:paraId="7A98F5B5">
      <w:pPr>
        <w:pStyle w:val="5"/>
        <w:wordWrap w:val="0"/>
        <w:snapToGrid w:val="0"/>
        <w:spacing w:line="480" w:lineRule="exact"/>
        <w:ind w:firstLine="480"/>
        <w:jc w:val="both"/>
        <w:rPr>
          <w:rFonts w:hint="eastAsia" w:ascii="宋体" w:hAnsi="宋体" w:eastAsia="宋体" w:cs="宋体"/>
          <w:b/>
          <w:snapToGrid w:val="0"/>
          <w:color w:val="auto"/>
          <w:highlight w:val="none"/>
        </w:rPr>
      </w:pPr>
      <w:bookmarkStart w:id="162" w:name="_Toc5506"/>
      <w:bookmarkStart w:id="163" w:name="_Toc13082"/>
      <w:r>
        <w:rPr>
          <w:rFonts w:hint="eastAsia" w:ascii="宋体" w:hAnsi="宋体" w:eastAsia="宋体" w:cs="宋体"/>
          <w:b/>
          <w:snapToGrid w:val="0"/>
          <w:color w:val="auto"/>
          <w:highlight w:val="none"/>
          <w:lang w:eastAsia="zh-CN"/>
        </w:rPr>
        <w:t>15.</w:t>
      </w:r>
      <w:r>
        <w:rPr>
          <w:rFonts w:hint="eastAsia" w:ascii="宋体" w:hAnsi="宋体" w:eastAsia="宋体" w:cs="宋体"/>
          <w:b/>
          <w:snapToGrid w:val="0"/>
          <w:color w:val="auto"/>
          <w:highlight w:val="none"/>
        </w:rPr>
        <w:t>评标</w:t>
      </w:r>
      <w:bookmarkEnd w:id="162"/>
      <w:bookmarkEnd w:id="163"/>
    </w:p>
    <w:p w14:paraId="463E9DEE">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highlight w:val="none"/>
          <w:u w:val="single"/>
        </w:rPr>
        <w:t xml:space="preserve"> 3 </w:t>
      </w:r>
      <w:r>
        <w:rPr>
          <w:rFonts w:hint="eastAsia" w:ascii="宋体" w:hAnsi="宋体" w:eastAsia="宋体" w:cs="宋体"/>
          <w:snapToGrid w:val="0"/>
          <w:color w:val="auto"/>
          <w:kern w:val="0"/>
          <w:highlight w:val="none"/>
        </w:rPr>
        <w:t>个中标候选人，并向招标人提交由全体评标委员会成员签字的评标报告。</w:t>
      </w:r>
    </w:p>
    <w:p w14:paraId="2FE2A0FD">
      <w:pPr>
        <w:wordWrap w:val="0"/>
        <w:adjustRightInd w:val="0"/>
        <w:snapToGrid w:val="0"/>
        <w:spacing w:line="48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15.1</w:t>
      </w:r>
      <w:r>
        <w:rPr>
          <w:rFonts w:hint="eastAsia" w:ascii="宋体" w:hAnsi="宋体" w:eastAsia="宋体" w:cs="宋体"/>
          <w:bCs/>
          <w:snapToGrid w:val="0"/>
          <w:color w:val="auto"/>
          <w:kern w:val="0"/>
          <w:highlight w:val="none"/>
        </w:rPr>
        <w:t xml:space="preserve"> 评标委员会</w:t>
      </w:r>
    </w:p>
    <w:p w14:paraId="36535499">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15.1.1</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szCs w:val="24"/>
          <w:highlight w:val="none"/>
        </w:rPr>
        <w:t>评标委员会由</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人组成，其中招标人代表</w:t>
      </w:r>
      <w:r>
        <w:rPr>
          <w:rFonts w:hint="eastAsia" w:ascii="宋体" w:hAnsi="宋体" w:eastAsia="宋体" w:cs="宋体"/>
          <w:snapToGrid w:val="0"/>
          <w:color w:val="auto"/>
          <w:kern w:val="0"/>
          <w:szCs w:val="24"/>
          <w:highlight w:val="none"/>
          <w:u w:val="single"/>
        </w:rPr>
        <w:t xml:space="preserve"> 0 </w:t>
      </w:r>
      <w:r>
        <w:rPr>
          <w:rFonts w:hint="eastAsia" w:ascii="宋体" w:hAnsi="宋体" w:eastAsia="宋体" w:cs="宋体"/>
          <w:snapToGrid w:val="0"/>
          <w:color w:val="auto"/>
          <w:kern w:val="0"/>
          <w:szCs w:val="24"/>
          <w:highlight w:val="none"/>
        </w:rPr>
        <w:t>人，专家</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人。专家从广东省综合评标评审专家库-韶关市区域中随机抽取，其中技术类专家</w:t>
      </w:r>
      <w:r>
        <w:rPr>
          <w:rFonts w:hint="eastAsia" w:ascii="宋体" w:hAnsi="宋体" w:eastAsia="宋体" w:cs="宋体"/>
          <w:snapToGrid w:val="0"/>
          <w:color w:val="auto"/>
          <w:kern w:val="0"/>
          <w:szCs w:val="24"/>
          <w:highlight w:val="none"/>
          <w:u w:val="single"/>
        </w:rPr>
        <w:t xml:space="preserve"> 3 </w:t>
      </w:r>
      <w:r>
        <w:rPr>
          <w:rFonts w:hint="eastAsia" w:ascii="宋体" w:hAnsi="宋体" w:eastAsia="宋体" w:cs="宋体"/>
          <w:snapToGrid w:val="0"/>
          <w:color w:val="auto"/>
          <w:kern w:val="0"/>
          <w:szCs w:val="24"/>
          <w:highlight w:val="none"/>
        </w:rPr>
        <w:t>人，经济类专家</w:t>
      </w:r>
      <w:r>
        <w:rPr>
          <w:rFonts w:hint="eastAsia" w:ascii="宋体" w:hAnsi="宋体" w:eastAsia="宋体" w:cs="宋体"/>
          <w:snapToGrid w:val="0"/>
          <w:color w:val="auto"/>
          <w:kern w:val="0"/>
          <w:szCs w:val="24"/>
          <w:highlight w:val="none"/>
          <w:u w:val="single"/>
        </w:rPr>
        <w:t xml:space="preserve"> 2 </w:t>
      </w:r>
      <w:r>
        <w:rPr>
          <w:rFonts w:hint="eastAsia" w:ascii="宋体" w:hAnsi="宋体" w:eastAsia="宋体" w:cs="宋体"/>
          <w:snapToGrid w:val="0"/>
          <w:color w:val="auto"/>
          <w:kern w:val="0"/>
          <w:szCs w:val="24"/>
          <w:highlight w:val="none"/>
        </w:rPr>
        <w:t>人。评标委员会设负责人，由评标委员会成员推举产生。评标</w:t>
      </w:r>
      <w:r>
        <w:rPr>
          <w:rFonts w:hint="eastAsia" w:ascii="宋体" w:hAnsi="宋体" w:eastAsia="宋体" w:cs="宋体"/>
          <w:snapToGrid w:val="0"/>
          <w:color w:val="auto"/>
          <w:kern w:val="0"/>
          <w:highlight w:val="none"/>
        </w:rPr>
        <w:t>委员会负责人与评标委员会的其他成员有同等的表决权。</w:t>
      </w:r>
    </w:p>
    <w:p w14:paraId="1DF01524">
      <w:pPr>
        <w:wordWrap w:val="0"/>
        <w:adjustRightInd w:val="0"/>
        <w:snapToGrid w:val="0"/>
        <w:spacing w:line="48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15.1.2</w:t>
      </w:r>
      <w:r>
        <w:rPr>
          <w:rFonts w:hint="eastAsia" w:ascii="宋体" w:hAnsi="宋体" w:eastAsia="宋体" w:cs="宋体"/>
          <w:snapToGrid w:val="0"/>
          <w:color w:val="auto"/>
          <w:kern w:val="0"/>
          <w:highlight w:val="none"/>
        </w:rPr>
        <w:t xml:space="preserve"> 评标委员会应认真、公正、诚实、廉洁地履行职责。有下列情形之一的，不得担任评标委员会成员：</w:t>
      </w:r>
    </w:p>
    <w:p w14:paraId="15AD44F5">
      <w:pPr>
        <w:wordWrap w:val="0"/>
        <w:adjustRightInd w:val="0"/>
        <w:snapToGrid w:val="0"/>
        <w:spacing w:line="480" w:lineRule="exact"/>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（1）投标人或投标人主要负责人的近亲属；</w:t>
      </w:r>
    </w:p>
    <w:p w14:paraId="309C3078">
      <w:pPr>
        <w:wordWrap w:val="0"/>
        <w:adjustRightInd w:val="0"/>
        <w:snapToGrid w:val="0"/>
        <w:spacing w:line="480" w:lineRule="exact"/>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（2）项目主管部门或者行政监督部门的人员；</w:t>
      </w:r>
    </w:p>
    <w:p w14:paraId="03E269C8">
      <w:pPr>
        <w:wordWrap w:val="0"/>
        <w:adjustRightInd w:val="0"/>
        <w:snapToGrid w:val="0"/>
        <w:spacing w:line="480" w:lineRule="exact"/>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（3）与投标人有经济利益关系，可能影响对投标公正评审的；</w:t>
      </w:r>
    </w:p>
    <w:p w14:paraId="10C41F17">
      <w:pPr>
        <w:wordWrap w:val="0"/>
        <w:adjustRightInd w:val="0"/>
        <w:snapToGrid w:val="0"/>
        <w:spacing w:line="480" w:lineRule="exact"/>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（4）曾因在招标、评标以及其他与招标投标有关活动中从事违法行为而受过行政处罚或刑事处罚的。</w:t>
      </w:r>
    </w:p>
    <w:p w14:paraId="5B4484B8">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评标委员会成员有以上情形之一的，应主动提出回避。</w:t>
      </w:r>
    </w:p>
    <w:p w14:paraId="1DC2EE89">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15.1.3</w:t>
      </w:r>
      <w:r>
        <w:rPr>
          <w:rFonts w:hint="eastAsia" w:ascii="宋体" w:hAnsi="宋体" w:eastAsia="宋体" w:cs="宋体"/>
          <w:snapToGrid w:val="0"/>
          <w:color w:val="auto"/>
          <w:kern w:val="0"/>
          <w:highlight w:val="none"/>
        </w:rPr>
        <w:t xml:space="preserve"> 评标全过程实行封闭式管理，在中标结果公布前，禁止评标委员会成员以任何方式私下接触投标人。</w:t>
      </w:r>
    </w:p>
    <w:p w14:paraId="3150EAC6">
      <w:pPr>
        <w:wordWrap w:val="0"/>
        <w:adjustRightInd w:val="0"/>
        <w:snapToGrid w:val="0"/>
        <w:spacing w:line="480" w:lineRule="exact"/>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15.1.4</w:t>
      </w:r>
      <w:r>
        <w:rPr>
          <w:rFonts w:hint="eastAsia" w:ascii="宋体" w:hAnsi="宋体" w:eastAsia="宋体" w:cs="宋体"/>
          <w:snapToGrid w:val="0"/>
          <w:color w:val="auto"/>
          <w:kern w:val="0"/>
          <w:highlight w:val="none"/>
        </w:rPr>
        <w:t>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4C16FF7">
      <w:pPr>
        <w:wordWrap w:val="0"/>
        <w:adjustRightInd w:val="0"/>
        <w:snapToGrid w:val="0"/>
        <w:spacing w:line="480" w:lineRule="exact"/>
        <w:ind w:firstLine="561"/>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15.2</w:t>
      </w:r>
      <w:r>
        <w:rPr>
          <w:rFonts w:hint="eastAsia" w:ascii="宋体" w:hAnsi="宋体" w:eastAsia="宋体" w:cs="宋体"/>
          <w:bCs/>
          <w:snapToGrid w:val="0"/>
          <w:color w:val="auto"/>
          <w:kern w:val="0"/>
          <w:szCs w:val="22"/>
          <w:highlight w:val="none"/>
        </w:rPr>
        <w:t xml:space="preserve"> 评标方法</w:t>
      </w:r>
    </w:p>
    <w:p w14:paraId="169559CB">
      <w:pPr>
        <w:wordWrap w:val="0"/>
        <w:adjustRightInd w:val="0"/>
        <w:snapToGrid w:val="0"/>
        <w:spacing w:line="480" w:lineRule="exact"/>
        <w:ind w:firstLine="562"/>
        <w:rPr>
          <w:rFonts w:hint="eastAsia" w:ascii="宋体" w:hAnsi="宋体" w:eastAsia="宋体" w:cs="宋体"/>
          <w:i/>
          <w:iCs/>
          <w:snapToGrid w:val="0"/>
          <w:color w:val="auto"/>
          <w:kern w:val="0"/>
          <w:highlight w:val="none"/>
        </w:rPr>
      </w:pPr>
      <w:r>
        <w:rPr>
          <w:rFonts w:hint="eastAsia" w:ascii="宋体" w:hAnsi="宋体" w:eastAsia="宋体" w:cs="宋体"/>
          <w:snapToGrid w:val="0"/>
          <w:color w:val="auto"/>
          <w:kern w:val="0"/>
          <w:highlight w:val="none"/>
        </w:rPr>
        <w:t>根据有关法律、法规的相关规定，结合本招标项目资金来源和规模特点，本次招标采用</w:t>
      </w:r>
      <w:r>
        <w:rPr>
          <w:rFonts w:hint="eastAsia" w:ascii="宋体" w:hAnsi="宋体" w:eastAsia="宋体" w:cs="宋体"/>
          <w:snapToGrid w:val="0"/>
          <w:color w:val="auto"/>
          <w:kern w:val="0"/>
          <w:highlight w:val="none"/>
          <w:u w:val="single"/>
        </w:rPr>
        <w:t>综合评估法</w:t>
      </w:r>
      <w:r>
        <w:rPr>
          <w:rFonts w:hint="eastAsia" w:ascii="宋体" w:hAnsi="宋体" w:eastAsia="宋体" w:cs="宋体"/>
          <w:snapToGrid w:val="0"/>
          <w:color w:val="auto"/>
          <w:kern w:val="0"/>
          <w:highlight w:val="none"/>
        </w:rPr>
        <w:t>进行评标。</w:t>
      </w:r>
    </w:p>
    <w:p w14:paraId="61050AC4">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15.3</w:t>
      </w:r>
      <w:r>
        <w:rPr>
          <w:rFonts w:hint="eastAsia" w:ascii="宋体" w:hAnsi="宋体" w:eastAsia="宋体" w:cs="宋体"/>
          <w:bCs/>
          <w:snapToGrid w:val="0"/>
          <w:color w:val="auto"/>
          <w:kern w:val="0"/>
          <w:szCs w:val="22"/>
          <w:highlight w:val="none"/>
        </w:rPr>
        <w:t xml:space="preserve"> 评审范围</w:t>
      </w:r>
      <w:r>
        <w:rPr>
          <w:rFonts w:hint="eastAsia" w:ascii="宋体" w:hAnsi="宋体" w:eastAsia="宋体" w:cs="宋体"/>
          <w:snapToGrid w:val="0"/>
          <w:color w:val="auto"/>
          <w:kern w:val="0"/>
          <w:highlight w:val="none"/>
        </w:rPr>
        <w:t>：评标委员会应对所有投标人的投标文件进行评审。</w:t>
      </w:r>
    </w:p>
    <w:p w14:paraId="1B25F04C">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w:t>
      </w:r>
      <w:r>
        <w:rPr>
          <w:rFonts w:hint="eastAsia" w:ascii="宋体" w:hAnsi="宋体" w:eastAsia="宋体" w:cs="宋体"/>
          <w:snapToGrid w:val="0"/>
          <w:color w:val="auto"/>
          <w:kern w:val="0"/>
          <w:highlight w:val="none"/>
        </w:rPr>
        <w:t xml:space="preserve"> 初步评审阶段</w:t>
      </w:r>
    </w:p>
    <w:p w14:paraId="670B4CF3">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初步评审阶段分为资格评审、形式评审和响应性评审三个环节。</w:t>
      </w:r>
    </w:p>
    <w:p w14:paraId="5C86BFD5">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15.4.1</w:t>
      </w:r>
      <w:r>
        <w:rPr>
          <w:rFonts w:hint="eastAsia" w:ascii="宋体" w:hAnsi="宋体" w:eastAsia="宋体" w:cs="宋体"/>
          <w:snapToGrid w:val="0"/>
          <w:color w:val="auto"/>
          <w:kern w:val="0"/>
          <w:highlight w:val="none"/>
        </w:rPr>
        <w:t xml:space="preserve"> 资格评审环节</w:t>
      </w:r>
    </w:p>
    <w:p w14:paraId="56404FBD">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资格评审事项包括：</w:t>
      </w:r>
    </w:p>
    <w:p w14:paraId="4AE516BA">
      <w:pPr>
        <w:numPr>
          <w:ilvl w:val="0"/>
          <w:numId w:val="0"/>
        </w:numPr>
        <w:wordWrap w:val="0"/>
        <w:adjustRightInd w:val="0"/>
        <w:snapToGrid w:val="0"/>
        <w:spacing w:line="480" w:lineRule="exact"/>
        <w:ind w:firstLine="48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sz w:val="24"/>
          <w:lang w:val="en-US" w:eastAsia="zh-CN" w:bidi="ar-SA"/>
        </w:rPr>
        <w:t>（1）</w:t>
      </w:r>
      <w:r>
        <w:rPr>
          <w:rFonts w:hint="eastAsia" w:ascii="宋体" w:hAnsi="宋体" w:eastAsia="宋体" w:cs="宋体"/>
          <w:color w:val="auto"/>
          <w:kern w:val="0"/>
          <w:highlight w:val="none"/>
        </w:rPr>
        <w:t>投标人是否符合本章第三节第</w:t>
      </w:r>
      <w:r>
        <w:rPr>
          <w:rFonts w:hint="eastAsia" w:ascii="宋体" w:hAnsi="宋体" w:eastAsia="宋体" w:cs="宋体"/>
          <w:b/>
          <w:bCs/>
          <w:color w:val="auto"/>
          <w:kern w:val="0"/>
          <w:highlight w:val="none"/>
        </w:rPr>
        <w:t>2.4</w:t>
      </w:r>
      <w:r>
        <w:rPr>
          <w:rFonts w:hint="eastAsia" w:ascii="宋体" w:hAnsi="宋体" w:eastAsia="宋体" w:cs="宋体"/>
          <w:color w:val="auto"/>
          <w:kern w:val="0"/>
          <w:highlight w:val="none"/>
        </w:rPr>
        <w:t xml:space="preserve">条“禁止投标条款”规定。如果“禁止投标条款”包括失信惩戒的，投标人信用信息的获取采用现场实时查询的方式实施。由招标代理机构工作人员在交易场所工作人员共同见证下，登录信用中国网站（https://www.creditchina.gov.cn），在企业查询界面下载和打印《法人和非法人组织公共信用信息报告》，作为评审依据移交评标委员会。 </w:t>
      </w:r>
    </w:p>
    <w:p w14:paraId="00EB3BB1">
      <w:pPr>
        <w:numPr>
          <w:ilvl w:val="0"/>
          <w:numId w:val="0"/>
        </w:numPr>
        <w:wordWrap w:val="0"/>
        <w:adjustRightInd w:val="0"/>
        <w:snapToGrid w:val="0"/>
        <w:spacing w:line="480" w:lineRule="exact"/>
        <w:ind w:firstLine="480" w:firstLineChars="200"/>
        <w:jc w:val="left"/>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sz w:val="24"/>
          <w:lang w:val="en-US" w:eastAsia="zh-CN" w:bidi="ar-SA"/>
        </w:rPr>
        <w:t>（2）</w:t>
      </w:r>
      <w:r>
        <w:rPr>
          <w:rFonts w:hint="eastAsia" w:ascii="宋体" w:hAnsi="宋体" w:eastAsia="宋体" w:cs="宋体"/>
          <w:snapToGrid w:val="0"/>
          <w:color w:val="auto"/>
          <w:kern w:val="0"/>
          <w:highlight w:val="none"/>
        </w:rPr>
        <w:t>投标人名称是否与营业执照、资质证书、安全生产许可证一致。</w:t>
      </w:r>
      <w:r>
        <w:rPr>
          <w:rFonts w:hint="eastAsia" w:hAnsi="宋体" w:eastAsia="宋体" w:cs="宋体"/>
          <w:snapToGrid w:val="0"/>
          <w:color w:val="auto"/>
          <w:kern w:val="0"/>
          <w:highlight w:val="none"/>
          <w:lang w:eastAsia="zh-CN"/>
        </w:rPr>
        <w:t>（</w:t>
      </w:r>
      <w:r>
        <w:rPr>
          <w:rFonts w:hint="eastAsia" w:hAnsi="宋体" w:eastAsia="宋体" w:cs="宋体"/>
          <w:snapToGrid w:val="0"/>
          <w:color w:val="auto"/>
          <w:kern w:val="0"/>
          <w:highlight w:val="none"/>
          <w:lang w:val="en-US" w:eastAsia="zh-CN"/>
        </w:rPr>
        <w:t>若是以分公司名义投标，总公司名称</w:t>
      </w:r>
      <w:r>
        <w:rPr>
          <w:rFonts w:hint="eastAsia" w:ascii="宋体" w:hAnsi="宋体" w:eastAsia="宋体" w:cs="宋体"/>
          <w:snapToGrid w:val="0"/>
          <w:color w:val="auto"/>
          <w:kern w:val="0"/>
          <w:highlight w:val="none"/>
        </w:rPr>
        <w:t>是否与营业执照、资质证书、安全生产许可证一致。</w:t>
      </w:r>
      <w:r>
        <w:rPr>
          <w:rFonts w:hint="eastAsia" w:hAnsi="宋体" w:eastAsia="宋体" w:cs="宋体"/>
          <w:snapToGrid w:val="0"/>
          <w:color w:val="auto"/>
          <w:kern w:val="0"/>
          <w:highlight w:val="none"/>
          <w:lang w:val="en-US" w:eastAsia="zh-CN"/>
        </w:rPr>
        <w:t>)</w:t>
      </w:r>
    </w:p>
    <w:p w14:paraId="0625781F">
      <w:pPr>
        <w:wordWrap w:val="0"/>
        <w:adjustRightInd w:val="0"/>
        <w:snapToGrid w:val="0"/>
        <w:spacing w:line="48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w:t>
      </w:r>
      <w:r>
        <w:rPr>
          <w:rFonts w:hint="eastAsia" w:ascii="宋体" w:hAnsi="宋体" w:eastAsia="宋体" w:cs="宋体"/>
          <w:color w:val="auto"/>
          <w:kern w:val="0"/>
          <w:highlight w:val="none"/>
        </w:rPr>
        <w:t>投标人的资质是否符合招标文件规定；其营业执照、资质证书、安全生产许可证是否合法、有效、准确。</w:t>
      </w:r>
    </w:p>
    <w:p w14:paraId="70E4DB8E">
      <w:pPr>
        <w:wordWrap w:val="0"/>
        <w:adjustRightInd w:val="0"/>
        <w:snapToGrid w:val="0"/>
        <w:spacing w:line="480" w:lineRule="exact"/>
        <w:ind w:firstLine="480" w:firstLineChars="200"/>
        <w:jc w:val="left"/>
        <w:rPr>
          <w:rFonts w:hint="eastAsia" w:ascii="宋体" w:hAnsi="宋体" w:eastAsia="宋体" w:cs="宋体"/>
          <w:snapToGrid w:val="0"/>
          <w:color w:val="auto"/>
          <w:kern w:val="0"/>
          <w:highlight w:val="none"/>
        </w:rPr>
      </w:pPr>
      <w:bookmarkStart w:id="164" w:name="_Toc29971"/>
      <w:r>
        <w:rPr>
          <w:rFonts w:hint="eastAsia" w:ascii="宋体" w:hAnsi="宋体" w:eastAsia="宋体" w:cs="宋体"/>
          <w:snapToGrid w:val="0"/>
          <w:color w:val="auto"/>
          <w:kern w:val="0"/>
          <w:highlight w:val="none"/>
        </w:rPr>
        <w:t>（4）《项目经理简历表》中拟派项目经理是否与《开标一览表》一致</w:t>
      </w:r>
      <w:bookmarkEnd w:id="164"/>
      <w:r>
        <w:rPr>
          <w:rFonts w:hint="eastAsia" w:ascii="宋体" w:hAnsi="宋体" w:eastAsia="宋体" w:cs="宋体"/>
          <w:snapToGrid w:val="0"/>
          <w:color w:val="auto"/>
          <w:kern w:val="0"/>
          <w:highlight w:val="none"/>
        </w:rPr>
        <w:t>。</w:t>
      </w:r>
    </w:p>
    <w:p w14:paraId="0D8944D6">
      <w:pPr>
        <w:spacing w:line="480" w:lineRule="exact"/>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（5）</w:t>
      </w:r>
      <w:r>
        <w:rPr>
          <w:rFonts w:hint="eastAsia" w:ascii="宋体" w:hAnsi="宋体" w:eastAsia="宋体" w:cs="宋体"/>
          <w:color w:val="auto"/>
          <w:kern w:val="0"/>
          <w:highlight w:val="none"/>
        </w:rPr>
        <w:t>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r>
        <w:rPr>
          <w:rFonts w:hint="eastAsia" w:ascii="宋体" w:hAnsi="宋体" w:eastAsia="宋体" w:cs="宋体"/>
          <w:color w:val="auto"/>
          <w:kern w:val="0"/>
          <w:highlight w:val="none"/>
          <w:lang w:eastAsia="zh-CN"/>
        </w:rPr>
        <w:t>。</w:t>
      </w:r>
    </w:p>
    <w:p w14:paraId="041AC329">
      <w:pPr>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kern w:val="0"/>
          <w:highlight w:val="none"/>
        </w:rPr>
        <w:t>联合体投标的，是否提交《联合体协议书》；是否擅自修改、遗漏《联合体协议书》的实质性内容；联合体成员的数量、资质是否符合招标文件规定；联合体成员是否以自己名义单独或者参加其他联合体参与本招标项目投标</w:t>
      </w:r>
      <w:r>
        <w:rPr>
          <w:rFonts w:hint="eastAsia" w:ascii="宋体" w:hAnsi="宋体" w:eastAsia="宋体" w:cs="宋体"/>
          <w:color w:val="auto"/>
          <w:highlight w:val="none"/>
        </w:rPr>
        <w:t>。</w:t>
      </w:r>
    </w:p>
    <w:p w14:paraId="1901900D">
      <w:pPr>
        <w:wordWrap w:val="0"/>
        <w:spacing w:line="440" w:lineRule="exact"/>
        <w:ind w:firstLine="48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（7）投标人为外省建筑企业的，是否按规定在“进粤企业和人员诚信信息登记平台”录入企业及其拟派人员有关信息并通过数据规范检查。</w:t>
      </w:r>
    </w:p>
    <w:p w14:paraId="51EAAC86">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15.4.2</w:t>
      </w:r>
      <w:r>
        <w:rPr>
          <w:rFonts w:hint="eastAsia" w:ascii="宋体" w:hAnsi="宋体" w:eastAsia="宋体" w:cs="宋体"/>
          <w:snapToGrid w:val="0"/>
          <w:color w:val="auto"/>
          <w:kern w:val="0"/>
          <w:highlight w:val="none"/>
        </w:rPr>
        <w:t xml:space="preserve"> 形式评审环节</w:t>
      </w:r>
    </w:p>
    <w:p w14:paraId="736EE6BC">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形式评审事项包括：</w:t>
      </w:r>
    </w:p>
    <w:p w14:paraId="1601CA0C">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highlight w:val="none"/>
          <w:lang w:val="en-US" w:eastAsia="zh-CN"/>
        </w:rPr>
        <w:t>投标</w:t>
      </w:r>
      <w:r>
        <w:rPr>
          <w:rFonts w:hint="eastAsia" w:ascii="宋体" w:hAnsi="宋体" w:eastAsia="宋体" w:cs="宋体"/>
          <w:snapToGrid w:val="0"/>
          <w:color w:val="auto"/>
          <w:kern w:val="0"/>
          <w:highlight w:val="none"/>
        </w:rPr>
        <w:t>文件</w:t>
      </w:r>
      <w:r>
        <w:rPr>
          <w:rFonts w:hint="eastAsia" w:ascii="宋体" w:hAnsi="宋体" w:eastAsia="宋体" w:cs="宋体"/>
          <w:snapToGrid w:val="0"/>
          <w:color w:val="auto"/>
          <w:kern w:val="0"/>
          <w:highlight w:val="none"/>
          <w:lang w:val="en-US" w:eastAsia="zh-CN"/>
        </w:rPr>
        <w:t>是否按招标文件</w:t>
      </w:r>
      <w:r>
        <w:rPr>
          <w:rFonts w:hint="eastAsia" w:ascii="宋体" w:hAnsi="宋体" w:eastAsia="宋体" w:cs="宋体"/>
          <w:snapToGrid w:val="0"/>
          <w:color w:val="auto"/>
          <w:kern w:val="0"/>
          <w:highlight w:val="none"/>
        </w:rPr>
        <w:t>规定加盖电子印章。</w:t>
      </w:r>
    </w:p>
    <w:p w14:paraId="4D8E1E82">
      <w:pPr>
        <w:wordWrap w:val="0"/>
        <w:adjustRightInd w:val="0"/>
        <w:snapToGrid w:val="0"/>
        <w:spacing w:line="480" w:lineRule="exact"/>
        <w:ind w:left="240"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（2）本节第10.2.2目中规定的“所有投标人均应提供”的组成内容（包括该组成内容的所附资料）是否完整、齐全。</w:t>
      </w:r>
    </w:p>
    <w:p w14:paraId="14C99E27">
      <w:pPr>
        <w:wordWrap w:val="0"/>
        <w:adjustRightInd w:val="0"/>
        <w:snapToGrid w:val="0"/>
        <w:spacing w:line="480" w:lineRule="exact"/>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15.4.3</w:t>
      </w:r>
      <w:r>
        <w:rPr>
          <w:rFonts w:hint="eastAsia" w:ascii="宋体" w:hAnsi="宋体" w:eastAsia="宋体" w:cs="宋体"/>
          <w:snapToGrid w:val="0"/>
          <w:color w:val="auto"/>
          <w:kern w:val="0"/>
          <w:highlight w:val="none"/>
        </w:rPr>
        <w:t xml:space="preserve"> 响应性评审环节</w:t>
      </w:r>
    </w:p>
    <w:p w14:paraId="1467A7A1">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响应性评审事项包括：</w:t>
      </w:r>
    </w:p>
    <w:p w14:paraId="41BE0AC7">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（1）投标有效期、质量标准、工期等是否响应招标文件实质性要求；是否擅自修改、遗漏《投标函》《各项承诺一览表》的实质性内容。</w:t>
      </w:r>
    </w:p>
    <w:p w14:paraId="28A11C45">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（2）编投标总价是否唯一；投标总价是否超出最高投标限价；投标人是否以低于成本的价格竞标。</w:t>
      </w:r>
    </w:p>
    <w:p w14:paraId="38C394AC">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3）</w:t>
      </w:r>
      <w:r>
        <w:rPr>
          <w:rFonts w:hint="eastAsia" w:asciiTheme="minorEastAsia" w:hAnsiTheme="minorEastAsia" w:eastAsiaTheme="minorEastAsia" w:cstheme="minorEastAsia"/>
          <w:bCs/>
          <w:color w:val="auto"/>
          <w:highlight w:val="none"/>
        </w:rPr>
        <w:t xml:space="preserve">施工组织设计的质量、进度保障措施是否符合国家和省市现行有关规范、规定、标准，是否能实现工程质量、进度管理目标。  </w:t>
      </w:r>
    </w:p>
    <w:p w14:paraId="4403BC65">
      <w:pPr>
        <w:numPr>
          <w:ilvl w:val="0"/>
          <w:numId w:val="0"/>
        </w:numPr>
        <w:wordWrap w:val="0"/>
        <w:adjustRightInd w:val="0"/>
        <w:snapToGrid w:val="0"/>
        <w:spacing w:line="480" w:lineRule="exact"/>
        <w:ind w:firstLine="241" w:firstLineChars="1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15.4.4</w:t>
      </w:r>
      <w:r>
        <w:rPr>
          <w:rFonts w:hint="eastAsia" w:ascii="宋体" w:hAnsi="宋体" w:eastAsia="宋体" w:cs="宋体"/>
          <w:snapToGrid w:val="0"/>
          <w:color w:val="auto"/>
          <w:kern w:val="0"/>
          <w:highlight w:val="none"/>
        </w:rPr>
        <w:t xml:space="preserve"> 否决投标说明</w:t>
      </w:r>
    </w:p>
    <w:p w14:paraId="0EB02A2C">
      <w:pPr>
        <w:wordWrap w:val="0"/>
        <w:adjustRightInd w:val="0"/>
        <w:snapToGrid w:val="0"/>
        <w:spacing w:line="480" w:lineRule="exact"/>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E9672AB">
      <w:pPr>
        <w:wordWrap w:val="0"/>
        <w:adjustRightInd w:val="0"/>
        <w:snapToGrid w:val="0"/>
        <w:spacing w:line="480" w:lineRule="exact"/>
        <w:ind w:firstLine="562"/>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15.5</w:t>
      </w:r>
      <w:r>
        <w:rPr>
          <w:rFonts w:hint="eastAsia" w:ascii="宋体" w:hAnsi="宋体" w:eastAsia="宋体" w:cs="宋体"/>
          <w:snapToGrid w:val="0"/>
          <w:color w:val="auto"/>
          <w:kern w:val="0"/>
          <w:highlight w:val="none"/>
        </w:rPr>
        <w:t xml:space="preserve"> 详细评审阶段</w:t>
      </w:r>
    </w:p>
    <w:p w14:paraId="7C9536B2">
      <w:pPr>
        <w:adjustRightInd w:val="0"/>
        <w:snapToGrid w:val="0"/>
        <w:spacing w:line="480" w:lineRule="exact"/>
        <w:rPr>
          <w:rFonts w:hint="eastAsia" w:ascii="宋体" w:hAnsi="宋体" w:eastAsia="宋体" w:cs="宋体"/>
          <w:color w:val="auto"/>
          <w:highlight w:val="none"/>
        </w:rPr>
      </w:pPr>
      <w:r>
        <w:rPr>
          <w:rFonts w:hint="eastAsia" w:ascii="宋体" w:hAnsi="宋体" w:eastAsia="宋体" w:cs="宋体"/>
          <w:b/>
          <w:bCs/>
          <w:snapToGrid w:val="0"/>
          <w:color w:val="auto"/>
          <w:kern w:val="0"/>
          <w:highlight w:val="none"/>
        </w:rPr>
        <w:t xml:space="preserve">    15.5.1</w:t>
      </w:r>
      <w:r>
        <w:rPr>
          <w:rFonts w:hint="eastAsia" w:ascii="宋体" w:hAnsi="宋体" w:eastAsia="宋体" w:cs="宋体"/>
          <w:bCs/>
          <w:snapToGrid w:val="0"/>
          <w:color w:val="auto"/>
          <w:kern w:val="0"/>
          <w:highlight w:val="none"/>
        </w:rPr>
        <w:t xml:space="preserve"> </w:t>
      </w:r>
      <w:r>
        <w:rPr>
          <w:rFonts w:hint="eastAsia" w:ascii="宋体" w:hAnsi="宋体" w:eastAsia="宋体" w:cs="宋体"/>
          <w:color w:val="auto"/>
          <w:highlight w:val="none"/>
        </w:rPr>
        <w:t>“综合评估法”评审程序</w:t>
      </w:r>
    </w:p>
    <w:p w14:paraId="62EFC6BE">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评审内容分为商务</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技术和投标报</w:t>
      </w:r>
      <w:r>
        <w:rPr>
          <w:rFonts w:hint="eastAsia" w:ascii="宋体" w:hAnsi="宋体" w:eastAsia="宋体" w:cs="宋体"/>
          <w:snapToGrid w:val="0"/>
          <w:color w:val="auto"/>
          <w:kern w:val="0"/>
          <w:highlight w:val="none"/>
          <w:lang w:val="en-US" w:eastAsia="zh-CN"/>
        </w:rPr>
        <w:t>价三</w:t>
      </w:r>
      <w:r>
        <w:rPr>
          <w:rFonts w:hint="eastAsia" w:ascii="宋体" w:hAnsi="宋体" w:eastAsia="宋体" w:cs="宋体"/>
          <w:snapToGrid w:val="0"/>
          <w:color w:val="auto"/>
          <w:kern w:val="0"/>
          <w:highlight w:val="none"/>
        </w:rPr>
        <w:t>大部分。其中，商务满分</w:t>
      </w:r>
      <w:r>
        <w:rPr>
          <w:rFonts w:hint="eastAsia" w:ascii="宋体" w:hAnsi="宋体" w:eastAsia="宋体" w:cs="宋体"/>
          <w:snapToGrid w:val="0"/>
          <w:color w:val="auto"/>
          <w:kern w:val="0"/>
          <w:highlight w:val="none"/>
          <w:u w:val="single"/>
          <w:lang w:val="en-US" w:eastAsia="zh-CN"/>
        </w:rPr>
        <w:t>50</w:t>
      </w:r>
      <w:r>
        <w:rPr>
          <w:rFonts w:hint="eastAsia" w:ascii="宋体" w:hAnsi="宋体" w:eastAsia="宋体" w:cs="宋体"/>
          <w:snapToGrid w:val="0"/>
          <w:color w:val="auto"/>
          <w:kern w:val="0"/>
          <w:highlight w:val="none"/>
        </w:rPr>
        <w:t>分，</w:t>
      </w:r>
      <w:r>
        <w:rPr>
          <w:rFonts w:hint="eastAsia" w:ascii="宋体" w:hAnsi="宋体" w:eastAsia="宋体" w:cs="宋体"/>
          <w:snapToGrid w:val="0"/>
          <w:color w:val="auto"/>
          <w:kern w:val="0"/>
          <w:highlight w:val="none"/>
          <w:lang w:val="en-US" w:eastAsia="zh-CN"/>
        </w:rPr>
        <w:t>技术满分为30分，</w:t>
      </w:r>
      <w:r>
        <w:rPr>
          <w:rFonts w:hint="eastAsia" w:ascii="宋体" w:hAnsi="宋体" w:eastAsia="宋体" w:cs="宋体"/>
          <w:snapToGrid w:val="0"/>
          <w:color w:val="auto"/>
          <w:kern w:val="0"/>
          <w:highlight w:val="none"/>
        </w:rPr>
        <w:t>投标报价满分</w:t>
      </w:r>
      <w:r>
        <w:rPr>
          <w:rFonts w:hint="eastAsia" w:ascii="宋体" w:hAnsi="宋体" w:eastAsia="宋体" w:cs="宋体"/>
          <w:snapToGrid w:val="0"/>
          <w:color w:val="auto"/>
          <w:kern w:val="0"/>
          <w:highlight w:val="none"/>
          <w:lang w:val="en-US" w:eastAsia="zh-CN"/>
        </w:rPr>
        <w:t>20</w:t>
      </w:r>
      <w:r>
        <w:rPr>
          <w:rFonts w:hint="eastAsia" w:ascii="宋体" w:hAnsi="宋体" w:eastAsia="宋体" w:cs="宋体"/>
          <w:snapToGrid w:val="0"/>
          <w:color w:val="auto"/>
          <w:kern w:val="0"/>
          <w:highlight w:val="none"/>
        </w:rPr>
        <w:t>分，</w:t>
      </w:r>
      <w:r>
        <w:rPr>
          <w:rFonts w:hint="eastAsia" w:ascii="宋体" w:hAnsi="宋体" w:eastAsia="宋体" w:cs="宋体"/>
          <w:snapToGrid w:val="0"/>
          <w:color w:val="auto"/>
          <w:kern w:val="0"/>
          <w:highlight w:val="none"/>
          <w:lang w:val="en-US" w:eastAsia="zh-CN"/>
        </w:rPr>
        <w:t>三</w:t>
      </w:r>
      <w:r>
        <w:rPr>
          <w:rFonts w:hint="eastAsia" w:ascii="宋体" w:hAnsi="宋体" w:eastAsia="宋体" w:cs="宋体"/>
          <w:snapToGrid w:val="0"/>
          <w:color w:val="auto"/>
          <w:kern w:val="0"/>
          <w:highlight w:val="none"/>
        </w:rPr>
        <w:t>大部分</w:t>
      </w:r>
      <w:r>
        <w:rPr>
          <w:rFonts w:hint="eastAsia" w:ascii="宋体" w:hAnsi="宋体" w:eastAsia="宋体" w:cs="宋体"/>
          <w:snapToGrid w:val="0"/>
          <w:color w:val="auto"/>
          <w:kern w:val="0"/>
          <w:highlight w:val="none"/>
          <w:lang w:val="en-US" w:eastAsia="zh-CN"/>
        </w:rPr>
        <w:t>得分满分为100分</w:t>
      </w:r>
      <w:r>
        <w:rPr>
          <w:rFonts w:hint="eastAsia" w:ascii="宋体" w:hAnsi="宋体" w:eastAsia="宋体" w:cs="宋体"/>
          <w:snapToGrid w:val="0"/>
          <w:color w:val="auto"/>
          <w:kern w:val="0"/>
          <w:highlight w:val="none"/>
        </w:rPr>
        <w:t>。</w:t>
      </w:r>
    </w:p>
    <w:p w14:paraId="3DEDC23C">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除特别注明外，综合得分以及商务</w:t>
      </w:r>
      <w:r>
        <w:rPr>
          <w:rFonts w:hint="eastAsia" w:ascii="宋体" w:hAnsi="宋体" w:eastAsia="宋体" w:cs="宋体"/>
          <w:snapToGrid w:val="0"/>
          <w:color w:val="auto"/>
          <w:kern w:val="0"/>
          <w:highlight w:val="none"/>
          <w:lang w:val="en-US" w:eastAsia="zh-CN"/>
        </w:rPr>
        <w:t>得分、</w:t>
      </w:r>
      <w:r>
        <w:rPr>
          <w:rFonts w:hint="eastAsia" w:ascii="宋体" w:hAnsi="宋体" w:eastAsia="宋体" w:cs="宋体"/>
          <w:snapToGrid w:val="0"/>
          <w:color w:val="auto"/>
          <w:kern w:val="0"/>
          <w:highlight w:val="none"/>
        </w:rPr>
        <w:t>技术得分、投标报价得分的中间过程计算值和最终值，均按“四舍五入”原则精确到两位小数。</w:t>
      </w:r>
    </w:p>
    <w:p w14:paraId="3E165A6B">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bookmarkStart w:id="165" w:name="_Toc6974"/>
      <w:bookmarkStart w:id="166" w:name="_Toc24996"/>
      <w:bookmarkStart w:id="167" w:name="_Toc27234"/>
      <w:r>
        <w:rPr>
          <w:rFonts w:hint="eastAsia" w:asciiTheme="minorEastAsia" w:hAnsiTheme="minorEastAsia" w:eastAsiaTheme="minorEastAsia" w:cstheme="minorEastAsia"/>
          <w:bCs/>
          <w:color w:val="auto"/>
          <w:highlight w:val="none"/>
        </w:rPr>
        <w:t>（1）商务部分得分</w:t>
      </w:r>
    </w:p>
    <w:p w14:paraId="658CD56A">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①评标委员会各成员独立按照《综合评分表》商务部分指定的评分标准对各评分因素进行打分。各评分因素得分之和即为某投标人的商务部分得分。</w:t>
      </w:r>
    </w:p>
    <w:p w14:paraId="4783FA34">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②全体评委对该投标人的商务部分总评分取平均值，按“四舍五入”原则精确到两位小数即为该投标人商务部分的最终得分。</w:t>
      </w:r>
    </w:p>
    <w:p w14:paraId="6651A02D">
      <w:pPr>
        <w:pStyle w:val="32"/>
        <w:numPr>
          <w:ilvl w:val="0"/>
          <w:numId w:val="0"/>
        </w:numPr>
        <w:autoSpaceDE w:val="0"/>
        <w:autoSpaceDN w:val="0"/>
        <w:adjustRightInd w:val="0"/>
        <w:ind w:left="0" w:leftChars="0" w:firstLine="480" w:firstLineChars="200"/>
        <w:rPr>
          <w:rFonts w:hint="eastAsia" w:asciiTheme="minorEastAsia" w:hAnsiTheme="minorEastAsia" w:eastAsiaTheme="minorEastAsia" w:cstheme="minorEastAsia"/>
          <w:bCs/>
          <w:color w:val="auto"/>
          <w:highlight w:val="none"/>
          <w:lang w:val="en-US" w:eastAsia="zh-CN"/>
        </w:rPr>
      </w:pPr>
      <w:r>
        <w:rPr>
          <w:rFonts w:hint="eastAsia" w:asciiTheme="minorEastAsia" w:hAnsiTheme="minorEastAsia" w:eastAsiaTheme="minorEastAsia" w:cstheme="minorEastAsia"/>
          <w:bCs/>
          <w:color w:val="auto"/>
          <w:kern w:val="2"/>
          <w:sz w:val="24"/>
          <w:lang w:val="en-US" w:eastAsia="zh-CN" w:bidi="ar-SA"/>
        </w:rPr>
        <w:t>（2）</w:t>
      </w:r>
      <w:r>
        <w:rPr>
          <w:rFonts w:hint="eastAsia" w:asciiTheme="minorEastAsia" w:hAnsiTheme="minorEastAsia" w:eastAsiaTheme="minorEastAsia" w:cstheme="minorEastAsia"/>
          <w:bCs/>
          <w:color w:val="auto"/>
          <w:highlight w:val="none"/>
          <w:lang w:val="en-US" w:eastAsia="zh-CN"/>
        </w:rPr>
        <w:t>技术部分得分</w:t>
      </w:r>
    </w:p>
    <w:p w14:paraId="725BAAD7">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lang w:val="en-US" w:eastAsia="zh-CN"/>
        </w:rPr>
      </w:pPr>
      <w:r>
        <w:rPr>
          <w:rFonts w:hint="eastAsia" w:asciiTheme="minorEastAsia" w:hAnsiTheme="minorEastAsia" w:eastAsiaTheme="minorEastAsia" w:cstheme="minorEastAsia"/>
          <w:bCs/>
          <w:color w:val="auto"/>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w:t>
      </w:r>
      <w:r>
        <w:rPr>
          <w:rFonts w:hint="eastAsia" w:asciiTheme="minorEastAsia" w:hAnsiTheme="minorEastAsia" w:eastAsiaTheme="minorEastAsia" w:cstheme="minorEastAsia"/>
          <w:bCs/>
          <w:color w:val="auto"/>
          <w:highlight w:val="none"/>
          <w:lang w:eastAsia="zh-CN"/>
        </w:rPr>
        <w:t>。</w:t>
      </w:r>
    </w:p>
    <w:p w14:paraId="5E535C85">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3）</w:t>
      </w:r>
      <w:r>
        <w:rPr>
          <w:rFonts w:hint="eastAsia" w:asciiTheme="minorEastAsia" w:hAnsiTheme="minorEastAsia" w:eastAsiaTheme="minorEastAsia" w:cstheme="minorEastAsia"/>
          <w:bCs/>
          <w:color w:val="auto"/>
          <w:highlight w:val="none"/>
        </w:rPr>
        <w:t>经济部分得分</w:t>
      </w:r>
    </w:p>
    <w:p w14:paraId="24C98C88">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经济部分评分方法详见《综合评分表》。</w:t>
      </w:r>
    </w:p>
    <w:p w14:paraId="62EB671C">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r>
        <w:rPr>
          <w:rFonts w:hint="eastAsia" w:asciiTheme="minorEastAsia" w:hAnsiTheme="minorEastAsia" w:eastAsiaTheme="minorEastAsia" w:cstheme="minorEastAsia"/>
          <w:bCs/>
          <w:color w:val="auto"/>
          <w:highlight w:val="none"/>
          <w:lang w:val="en-US" w:eastAsia="zh-CN"/>
        </w:rPr>
        <w:t>4</w:t>
      </w:r>
      <w:r>
        <w:rPr>
          <w:rFonts w:hint="eastAsia" w:asciiTheme="minorEastAsia" w:hAnsiTheme="minorEastAsia" w:eastAsiaTheme="minorEastAsia" w:cstheme="minorEastAsia"/>
          <w:bCs/>
          <w:color w:val="auto"/>
          <w:highlight w:val="none"/>
        </w:rPr>
        <w:t>）综合得分</w:t>
      </w:r>
    </w:p>
    <w:p w14:paraId="02F98B65">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综合得分=商务部分得分+</w:t>
      </w:r>
      <w:r>
        <w:rPr>
          <w:rFonts w:hint="eastAsia" w:asciiTheme="minorEastAsia" w:hAnsiTheme="minorEastAsia" w:eastAsiaTheme="minorEastAsia" w:cstheme="minorEastAsia"/>
          <w:bCs/>
          <w:color w:val="auto"/>
          <w:highlight w:val="none"/>
          <w:lang w:val="en-US" w:eastAsia="zh-CN"/>
        </w:rPr>
        <w:t>技术部分得分+</w:t>
      </w:r>
      <w:r>
        <w:rPr>
          <w:rFonts w:hint="eastAsia" w:asciiTheme="minorEastAsia" w:hAnsiTheme="minorEastAsia" w:eastAsiaTheme="minorEastAsia" w:cstheme="minorEastAsia"/>
          <w:bCs/>
          <w:color w:val="auto"/>
          <w:highlight w:val="none"/>
        </w:rPr>
        <w:t>经济部分得分</w:t>
      </w:r>
    </w:p>
    <w:p w14:paraId="4EDDA1A1">
      <w:pPr>
        <w:pStyle w:val="32"/>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r>
        <w:rPr>
          <w:rFonts w:hint="eastAsia" w:asciiTheme="minorEastAsia" w:hAnsiTheme="minorEastAsia" w:eastAsiaTheme="minorEastAsia" w:cstheme="minorEastAsia"/>
          <w:bCs/>
          <w:color w:val="auto"/>
          <w:highlight w:val="none"/>
          <w:lang w:val="en-US" w:eastAsia="zh-CN"/>
        </w:rPr>
        <w:t>5</w:t>
      </w:r>
      <w:r>
        <w:rPr>
          <w:rFonts w:hint="eastAsia" w:asciiTheme="minorEastAsia" w:hAnsiTheme="minorEastAsia" w:eastAsiaTheme="minorEastAsia" w:cstheme="minorEastAsia"/>
          <w:bCs/>
          <w:color w:val="auto"/>
          <w:highlight w:val="none"/>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130FCD51">
      <w:pPr>
        <w:pStyle w:val="5"/>
        <w:widowControl/>
        <w:spacing w:before="0" w:after="0" w:line="480" w:lineRule="exact"/>
        <w:ind w:firstLine="420"/>
        <w:jc w:val="center"/>
        <w:rPr>
          <w:rFonts w:hint="eastAsia" w:ascii="宋体" w:hAnsi="宋体" w:eastAsia="宋体" w:cs="宋体"/>
          <w:b/>
          <w:bCs/>
          <w:color w:val="auto"/>
          <w:sz w:val="32"/>
          <w:szCs w:val="22"/>
          <w:highlight w:val="none"/>
        </w:rPr>
      </w:pPr>
      <w:r>
        <w:rPr>
          <w:rFonts w:hint="eastAsia" w:ascii="宋体" w:hAnsi="宋体" w:eastAsia="宋体" w:cs="宋体"/>
          <w:b/>
          <w:bCs/>
          <w:color w:val="auto"/>
          <w:sz w:val="32"/>
          <w:szCs w:val="22"/>
          <w:highlight w:val="none"/>
        </w:rPr>
        <w:br w:type="page"/>
      </w:r>
      <w:bookmarkStart w:id="168" w:name="_Toc5217"/>
      <w:bookmarkStart w:id="169" w:name="_Toc2069"/>
      <w:r>
        <w:rPr>
          <w:rFonts w:hint="eastAsia" w:ascii="宋体" w:hAnsi="宋体" w:eastAsia="宋体" w:cs="宋体"/>
          <w:b/>
          <w:bCs/>
          <w:color w:val="auto"/>
          <w:sz w:val="32"/>
          <w:szCs w:val="22"/>
          <w:highlight w:val="none"/>
        </w:rPr>
        <w:t>综合评分表</w:t>
      </w:r>
      <w:bookmarkEnd w:id="165"/>
      <w:bookmarkEnd w:id="166"/>
      <w:bookmarkEnd w:id="167"/>
      <w:bookmarkEnd w:id="168"/>
      <w:bookmarkEnd w:id="169"/>
    </w:p>
    <w:tbl>
      <w:tblPr>
        <w:tblStyle w:val="27"/>
        <w:tblW w:w="9454" w:type="dxa"/>
        <w:jc w:val="center"/>
        <w:tblLayout w:type="fixed"/>
        <w:tblCellMar>
          <w:top w:w="0" w:type="dxa"/>
          <w:left w:w="108" w:type="dxa"/>
          <w:bottom w:w="0" w:type="dxa"/>
          <w:right w:w="108" w:type="dxa"/>
        </w:tblCellMar>
      </w:tblPr>
      <w:tblGrid>
        <w:gridCol w:w="1250"/>
        <w:gridCol w:w="19"/>
        <w:gridCol w:w="3722"/>
        <w:gridCol w:w="4463"/>
      </w:tblGrid>
      <w:tr w14:paraId="453C3643">
        <w:tblPrEx>
          <w:tblCellMar>
            <w:top w:w="0" w:type="dxa"/>
            <w:left w:w="108" w:type="dxa"/>
            <w:bottom w:w="0" w:type="dxa"/>
            <w:right w:w="108" w:type="dxa"/>
          </w:tblCellMar>
        </w:tblPrEx>
        <w:trPr>
          <w:trHeight w:val="536" w:hRule="exact"/>
          <w:jc w:val="center"/>
        </w:trPr>
        <w:tc>
          <w:tcPr>
            <w:tcW w:w="9454"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081D1135">
            <w:pPr>
              <w:pStyle w:val="8"/>
              <w:tabs>
                <w:tab w:val="left" w:pos="1354"/>
                <w:tab w:val="left" w:pos="1459"/>
                <w:tab w:val="center" w:pos="3902"/>
                <w:tab w:val="right" w:pos="7805"/>
              </w:tabs>
              <w:wordWrap w:val="0"/>
              <w:adjustRightInd w:val="0"/>
              <w:snapToGrid w:val="0"/>
              <w:spacing w:after="0" w:line="44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50</w:t>
            </w:r>
            <w:r>
              <w:rPr>
                <w:rFonts w:hint="eastAsia" w:ascii="宋体" w:hAnsi="宋体" w:eastAsia="宋体" w:cs="宋体"/>
                <w:b/>
                <w:bCs/>
                <w:snapToGrid w:val="0"/>
                <w:color w:val="auto"/>
                <w:kern w:val="0"/>
                <w:sz w:val="24"/>
                <w:szCs w:val="24"/>
                <w:highlight w:val="none"/>
              </w:rPr>
              <w:t>分。</w:t>
            </w:r>
          </w:p>
        </w:tc>
      </w:tr>
      <w:tr w14:paraId="23499C17">
        <w:tblPrEx>
          <w:tblCellMar>
            <w:top w:w="0" w:type="dxa"/>
            <w:left w:w="108" w:type="dxa"/>
            <w:bottom w:w="0" w:type="dxa"/>
            <w:right w:w="108" w:type="dxa"/>
          </w:tblCellMar>
        </w:tblPrEx>
        <w:trPr>
          <w:trHeight w:val="515" w:hRule="exac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465A482E">
            <w:pPr>
              <w:pStyle w:val="8"/>
              <w:tabs>
                <w:tab w:val="left" w:pos="1354"/>
                <w:tab w:val="left" w:pos="1459"/>
                <w:tab w:val="center" w:pos="3902"/>
                <w:tab w:val="right" w:pos="7805"/>
              </w:tabs>
              <w:wordWrap w:val="0"/>
              <w:adjustRightInd w:val="0"/>
              <w:snapToGrid w:val="0"/>
              <w:spacing w:after="0" w:line="44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0469072F">
            <w:pPr>
              <w:pStyle w:val="8"/>
              <w:tabs>
                <w:tab w:val="left" w:pos="1354"/>
                <w:tab w:val="left" w:pos="1459"/>
                <w:tab w:val="center" w:pos="3902"/>
                <w:tab w:val="right" w:pos="7805"/>
              </w:tabs>
              <w:wordWrap w:val="0"/>
              <w:adjustRightInd w:val="0"/>
              <w:snapToGrid w:val="0"/>
              <w:spacing w:after="0" w:line="44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36AED7F2">
            <w:pPr>
              <w:pStyle w:val="8"/>
              <w:tabs>
                <w:tab w:val="left" w:pos="1354"/>
                <w:tab w:val="left" w:pos="1459"/>
                <w:tab w:val="center" w:pos="3902"/>
                <w:tab w:val="right" w:pos="7805"/>
              </w:tabs>
              <w:wordWrap w:val="0"/>
              <w:adjustRightInd w:val="0"/>
              <w:snapToGrid w:val="0"/>
              <w:spacing w:after="0" w:line="44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3C31341D">
        <w:tblPrEx>
          <w:tblCellMar>
            <w:top w:w="0" w:type="dxa"/>
            <w:left w:w="108" w:type="dxa"/>
            <w:bottom w:w="0" w:type="dxa"/>
            <w:right w:w="108" w:type="dxa"/>
          </w:tblCellMar>
        </w:tblPrEx>
        <w:trPr>
          <w:trHeight w:val="774"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4BDF06FD">
            <w:pPr>
              <w:pStyle w:val="8"/>
              <w:adjustRightInd w:val="0"/>
              <w:snapToGrid w:val="0"/>
              <w:spacing w:after="0" w:line="360" w:lineRule="auto"/>
              <w:jc w:val="center"/>
              <w:rPr>
                <w:rFonts w:hint="eastAsia"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企业</w:t>
            </w:r>
            <w:r>
              <w:rPr>
                <w:rFonts w:hint="eastAsia" w:hAnsi="宋体" w:eastAsia="宋体" w:cs="宋体"/>
                <w:snapToGrid w:val="0"/>
                <w:color w:val="auto"/>
                <w:kern w:val="0"/>
                <w:sz w:val="21"/>
                <w:szCs w:val="21"/>
                <w:highlight w:val="none"/>
                <w:lang w:val="en-US" w:eastAsia="zh-CN"/>
              </w:rPr>
              <w:t>施工</w:t>
            </w:r>
          </w:p>
          <w:p w14:paraId="36278103">
            <w:pPr>
              <w:pStyle w:val="8"/>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hAnsi="宋体" w:eastAsia="宋体" w:cs="宋体"/>
                <w:snapToGrid w:val="0"/>
                <w:color w:val="auto"/>
                <w:kern w:val="0"/>
                <w:sz w:val="21"/>
                <w:szCs w:val="21"/>
                <w:highlight w:val="none"/>
                <w:lang w:val="en-US" w:eastAsia="zh-CN"/>
              </w:rPr>
              <w:t>类</w:t>
            </w:r>
            <w:r>
              <w:rPr>
                <w:rFonts w:hint="eastAsia" w:ascii="宋体" w:hAnsi="宋体" w:eastAsia="宋体" w:cs="宋体"/>
                <w:snapToGrid w:val="0"/>
                <w:color w:val="auto"/>
                <w:kern w:val="0"/>
                <w:sz w:val="21"/>
                <w:szCs w:val="21"/>
                <w:highlight w:val="none"/>
              </w:rPr>
              <w:t>奖项</w:t>
            </w:r>
          </w:p>
          <w:p w14:paraId="6630CA41">
            <w:pPr>
              <w:pStyle w:val="8"/>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2CF77F2E">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 3 年来（2022年1月1日至今）获得同类项目“优质工程”奖项情况：</w:t>
            </w:r>
          </w:p>
          <w:p w14:paraId="340090CA">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1．获得省级或以上等级奖项的，每个得3分；</w:t>
            </w:r>
          </w:p>
          <w:p w14:paraId="2BEE5CC8">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2．获得地市级奖项的，每个得1分；</w:t>
            </w:r>
          </w:p>
          <w:p w14:paraId="2EE9F7DA">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3．以上奖项均未获得的，不予计分。</w:t>
            </w:r>
          </w:p>
          <w:p w14:paraId="539DED88">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本项最高得</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p w14:paraId="63E77A52">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p>
        </w:tc>
        <w:tc>
          <w:tcPr>
            <w:tcW w:w="4463" w:type="dxa"/>
            <w:tcBorders>
              <w:top w:val="single" w:color="auto" w:sz="4" w:space="0"/>
              <w:left w:val="single" w:color="auto" w:sz="4" w:space="0"/>
              <w:bottom w:val="single" w:color="auto" w:sz="4" w:space="0"/>
              <w:right w:val="single" w:color="auto" w:sz="4" w:space="0"/>
            </w:tcBorders>
            <w:noWrap w:val="0"/>
            <w:vAlign w:val="center"/>
          </w:tcPr>
          <w:p w14:paraId="44B0BF31">
            <w:pPr>
              <w:numPr>
                <w:ilvl w:val="0"/>
                <w:numId w:val="3"/>
              </w:num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可累计计分，同一项目业绩只按最高获奖等级计分一次。</w:t>
            </w:r>
          </w:p>
          <w:p w14:paraId="2AB6954E">
            <w:pPr>
              <w:numPr>
                <w:ilvl w:val="0"/>
                <w:numId w:val="3"/>
              </w:num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同类项目指：光伏发电项目或10kV及以上输变电或配电工程项目施工业绩。</w:t>
            </w:r>
          </w:p>
          <w:p w14:paraId="498AF575">
            <w:pPr>
              <w:numPr>
                <w:ilvl w:val="0"/>
                <w:numId w:val="3"/>
              </w:num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颁发机构限定以下范围：供电部门或相关行业协会颁发。</w:t>
            </w:r>
          </w:p>
          <w:p w14:paraId="6D58D220">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color w:val="auto"/>
                <w:sz w:val="21"/>
                <w:szCs w:val="21"/>
                <w:highlight w:val="none"/>
              </w:rPr>
              <w:t>省部级的奖项指由省部级单位或部门（如中电建协、中电联、省部级协会或单位、中国南方电网有限责任公司、国家电网公司等）颁发的优质工程奖项。</w:t>
            </w:r>
          </w:p>
          <w:p w14:paraId="023317CD">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5.省级、地市级行业协会的奖项指各省或直辖市或地级市的行业协会颁发的优质工程奖。</w:t>
            </w:r>
          </w:p>
          <w:p w14:paraId="5CF093E5">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获奖需提供相关获奖证书或正式获奖文件并加盖投标人公章；正式获奖文件可以是获奖公告名单或网站查询页（或截图）；正在公示期间的奖项不予认可。如提供相关行业协会颁发的获奖证书或正式获奖文件，则须同时提供该行业协会在《全国社会组织信用信息公示平台》的查询路径和登记信息查询结果截图（协会级别以注册登记单位为准），获奖日期以证书颁发或官网发布的日期为准；未按要求提供的不得分。</w:t>
            </w:r>
          </w:p>
          <w:p w14:paraId="7C017DAC">
            <w:pPr>
              <w:pStyle w:val="8"/>
              <w:rPr>
                <w:rFonts w:hint="default" w:eastAsia="宋体"/>
                <w:color w:val="auto"/>
                <w:lang w:val="en-US" w:eastAsia="zh-CN"/>
              </w:rPr>
            </w:pPr>
            <w:r>
              <w:rPr>
                <w:rFonts w:hint="eastAsia" w:hAnsi="宋体" w:eastAsia="宋体" w:cs="宋体"/>
                <w:b/>
                <w:bCs/>
                <w:snapToGrid w:val="0"/>
                <w:color w:val="auto"/>
                <w:kern w:val="0"/>
                <w:sz w:val="21"/>
                <w:szCs w:val="21"/>
                <w:highlight w:val="none"/>
                <w:lang w:val="en-US" w:eastAsia="zh-CN"/>
              </w:rPr>
              <w:t>7.如联合体投标由牵头方提供。</w:t>
            </w:r>
          </w:p>
        </w:tc>
      </w:tr>
      <w:tr w14:paraId="2E545BDD">
        <w:tblPrEx>
          <w:tblCellMar>
            <w:top w:w="0" w:type="dxa"/>
            <w:left w:w="108" w:type="dxa"/>
            <w:bottom w:w="0" w:type="dxa"/>
            <w:right w:w="108" w:type="dxa"/>
          </w:tblCellMar>
        </w:tblPrEx>
        <w:trPr>
          <w:trHeight w:val="774" w:hRule="atLeast"/>
          <w:jc w:val="center"/>
        </w:trPr>
        <w:tc>
          <w:tcPr>
            <w:tcW w:w="126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80532E4">
            <w:pPr>
              <w:pStyle w:val="8"/>
              <w:adjustRightInd w:val="0"/>
              <w:snapToGrid w:val="0"/>
              <w:spacing w:after="0" w:line="360" w:lineRule="auto"/>
              <w:jc w:val="center"/>
              <w:rPr>
                <w:rFonts w:hint="eastAsia"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企业</w:t>
            </w:r>
            <w:r>
              <w:rPr>
                <w:rFonts w:hint="eastAsia" w:hAnsi="宋体" w:eastAsia="宋体" w:cs="宋体"/>
                <w:snapToGrid w:val="0"/>
                <w:color w:val="auto"/>
                <w:kern w:val="0"/>
                <w:sz w:val="21"/>
                <w:szCs w:val="21"/>
                <w:highlight w:val="none"/>
                <w:lang w:val="en-US" w:eastAsia="zh-CN"/>
              </w:rPr>
              <w:t>设计</w:t>
            </w:r>
          </w:p>
          <w:p w14:paraId="57242DBC">
            <w:pPr>
              <w:pStyle w:val="8"/>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hAnsi="宋体" w:eastAsia="宋体" w:cs="宋体"/>
                <w:snapToGrid w:val="0"/>
                <w:color w:val="auto"/>
                <w:kern w:val="0"/>
                <w:sz w:val="21"/>
                <w:szCs w:val="21"/>
                <w:highlight w:val="none"/>
                <w:lang w:val="en-US" w:eastAsia="zh-CN"/>
              </w:rPr>
              <w:t>类</w:t>
            </w:r>
            <w:r>
              <w:rPr>
                <w:rFonts w:hint="eastAsia" w:ascii="宋体" w:hAnsi="宋体" w:eastAsia="宋体" w:cs="宋体"/>
                <w:snapToGrid w:val="0"/>
                <w:color w:val="auto"/>
                <w:kern w:val="0"/>
                <w:sz w:val="21"/>
                <w:szCs w:val="21"/>
                <w:highlight w:val="none"/>
              </w:rPr>
              <w:t>奖项</w:t>
            </w:r>
          </w:p>
          <w:p w14:paraId="7257CE3B">
            <w:pPr>
              <w:bidi w:val="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ascii="宋体"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63477C">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宋体" w:hAnsi="宋体" w:eastAsia="宋体" w:cs="宋体"/>
                <w:b w:val="0"/>
                <w:bCs/>
                <w:snapToGrid w:val="0"/>
                <w:color w:val="auto"/>
                <w:kern w:val="0"/>
                <w:sz w:val="21"/>
                <w:szCs w:val="21"/>
                <w:highlight w:val="none"/>
              </w:rPr>
              <w:t>企业近 3 年来（2022年1月1日至今）</w:t>
            </w:r>
            <w:r>
              <w:rPr>
                <w:rFonts w:hint="eastAsia" w:asciiTheme="minorEastAsia" w:hAnsiTheme="minorEastAsia" w:eastAsiaTheme="minorEastAsia" w:cstheme="minorEastAsia"/>
                <w:b w:val="0"/>
                <w:bCs/>
                <w:color w:val="auto"/>
                <w:sz w:val="21"/>
                <w:szCs w:val="21"/>
                <w:highlight w:val="none"/>
                <w:lang w:val="en-US" w:eastAsia="zh-CN"/>
              </w:rPr>
              <w:t>，承接过的电力设计相关工程项目业绩获得奖项情况：</w:t>
            </w:r>
          </w:p>
          <w:p w14:paraId="5394B899">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1．获得省级或以上等级奖项的，每个得3分；</w:t>
            </w:r>
          </w:p>
          <w:p w14:paraId="2278F329">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2．获得地市级奖项的，每个得1分；</w:t>
            </w:r>
          </w:p>
          <w:p w14:paraId="4890EB82">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3．以上奖项均未获得的，不予计分。</w:t>
            </w:r>
          </w:p>
          <w:p w14:paraId="149D2019">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本项最高得</w:t>
            </w:r>
            <w:r>
              <w:rPr>
                <w:rFonts w:hint="eastAsia" w:ascii="宋体"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p w14:paraId="45C095D1">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color w:val="auto"/>
                <w:kern w:val="2"/>
                <w:sz w:val="21"/>
                <w:szCs w:val="21"/>
                <w:highlight w:val="none"/>
                <w:lang w:val="en-US" w:eastAsia="zh-CN" w:bidi="ar-SA"/>
              </w:rPr>
            </w:pPr>
          </w:p>
        </w:tc>
        <w:tc>
          <w:tcPr>
            <w:tcW w:w="4463" w:type="dxa"/>
            <w:tcBorders>
              <w:top w:val="single" w:color="auto" w:sz="4" w:space="0"/>
              <w:left w:val="single" w:color="auto" w:sz="4" w:space="0"/>
              <w:bottom w:val="single" w:color="auto" w:sz="4" w:space="0"/>
              <w:right w:val="single" w:color="auto" w:sz="4" w:space="0"/>
            </w:tcBorders>
            <w:noWrap w:val="0"/>
            <w:vAlign w:val="center"/>
          </w:tcPr>
          <w:p w14:paraId="41DEDF56">
            <w:pPr>
              <w:numPr>
                <w:ilvl w:val="-1"/>
                <w:numId w:val="0"/>
              </w:numPr>
              <w:adjustRightInd/>
              <w:snapToGrid/>
              <w:spacing w:line="360" w:lineRule="auto"/>
              <w:rPr>
                <w:rFonts w:hint="eastAsia" w:ascii="宋体" w:hAnsi="宋体" w:eastAsia="宋体" w:cs="宋体"/>
                <w:snapToGrid w:val="0"/>
                <w:color w:val="auto"/>
                <w:kern w:val="0"/>
                <w:sz w:val="21"/>
                <w:szCs w:val="21"/>
                <w:highlight w:val="none"/>
              </w:rPr>
            </w:pPr>
            <w:r>
              <w:rPr>
                <w:rFonts w:hint="eastAsia"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可累计计分，同一项目业绩只按最高获奖等级计分一次。</w:t>
            </w:r>
          </w:p>
          <w:p w14:paraId="3F710777">
            <w:pPr>
              <w:numPr>
                <w:ilvl w:val="-1"/>
                <w:numId w:val="0"/>
              </w:numPr>
              <w:adjustRightInd/>
              <w:snapToGrid/>
              <w:spacing w:line="360" w:lineRule="auto"/>
              <w:rPr>
                <w:rFonts w:hint="default" w:eastAsia="宋体"/>
                <w:color w:val="auto"/>
                <w:lang w:val="en-US" w:eastAsia="zh-CN"/>
              </w:rPr>
            </w:pPr>
            <w:r>
              <w:rPr>
                <w:rFonts w:hint="eastAsia"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同类项目指：光伏发电项目或10kV及以上输变电或配电工程项目</w:t>
            </w:r>
            <w:r>
              <w:rPr>
                <w:rFonts w:hint="eastAsia" w:ascii="宋体" w:hAnsi="宋体" w:eastAsia="宋体" w:cs="宋体"/>
                <w:snapToGrid w:val="0"/>
                <w:color w:val="auto"/>
                <w:kern w:val="0"/>
                <w:sz w:val="21"/>
                <w:szCs w:val="21"/>
                <w:highlight w:val="none"/>
                <w:lang w:val="en-US" w:eastAsia="zh-CN"/>
              </w:rPr>
              <w:t>设计</w:t>
            </w:r>
            <w:r>
              <w:rPr>
                <w:rFonts w:hint="eastAsia" w:ascii="宋体" w:hAnsi="宋体" w:eastAsia="宋体" w:cs="宋体"/>
                <w:snapToGrid w:val="0"/>
                <w:color w:val="auto"/>
                <w:kern w:val="0"/>
                <w:sz w:val="21"/>
                <w:szCs w:val="21"/>
                <w:highlight w:val="none"/>
              </w:rPr>
              <w:t>业绩。</w:t>
            </w:r>
          </w:p>
          <w:p w14:paraId="3F3B2957">
            <w:pPr>
              <w:numPr>
                <w:ilvl w:val="-1"/>
                <w:numId w:val="0"/>
              </w:numPr>
              <w:adjustRightInd/>
              <w:snapToGrid/>
              <w:spacing w:line="360" w:lineRule="auto"/>
              <w:rPr>
                <w:rFonts w:hint="eastAsia" w:ascii="宋体" w:hAnsi="宋体" w:eastAsia="宋体" w:cs="宋体"/>
                <w:snapToGrid w:val="0"/>
                <w:color w:val="auto"/>
                <w:kern w:val="0"/>
                <w:sz w:val="21"/>
                <w:szCs w:val="21"/>
                <w:highlight w:val="none"/>
              </w:rPr>
            </w:pPr>
            <w:r>
              <w:rPr>
                <w:rFonts w:hint="eastAsia"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颁发机构限定以下范围：供电部门或相关行业协会颁发。</w:t>
            </w:r>
          </w:p>
          <w:p w14:paraId="50C51896">
            <w:pPr>
              <w:adjustRightInd/>
              <w:snapToGrid/>
              <w:spacing w:line="360" w:lineRule="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color w:val="auto"/>
                <w:sz w:val="21"/>
                <w:szCs w:val="21"/>
                <w:highlight w:val="none"/>
              </w:rPr>
              <w:t>省部级的奖项指由省部级单位或部门（如中电建协、中电联、省部级协会或单位、中国南方电网有限责任公司、国家电网公司等）颁发的优质工程奖项。</w:t>
            </w:r>
          </w:p>
          <w:p w14:paraId="701658B3">
            <w:pPr>
              <w:adjustRightInd/>
              <w:snapToGrid/>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5.省级、地市级行业协会的奖项指各省或直辖市或地级市的行业协会颁发的优质工程奖。</w:t>
            </w:r>
          </w:p>
          <w:p w14:paraId="051E3FA5">
            <w:pPr>
              <w:adjustRightInd/>
              <w:snapToGrid/>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获奖需提供相关获奖证书或正式获奖文件并加盖投标人公章；正式获奖文件可以是获奖公告名单或网站查询页（或截图）；正在公示期间的奖项不予认可。如提供相关行业协会颁发的获奖证书或正式获奖文件，则须同时提供该行业协会在《全国社会组织信用信息公示平台》的查询路径和登记信息查询结果截图（协会级别以注册登记单位为准），获奖日期以证书颁发或官网发布的日期为准；未按要求提供的不得分。</w:t>
            </w:r>
          </w:p>
          <w:p w14:paraId="4891E1DC">
            <w:pPr>
              <w:pStyle w:val="8"/>
              <w:spacing w:line="360" w:lineRule="auto"/>
              <w:rPr>
                <w:rFonts w:hint="eastAsia" w:hAnsi="宋体" w:eastAsia="宋体" w:cs="宋体"/>
                <w:snapToGrid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u w:val="none"/>
                <w:lang w:val="en-US" w:eastAsia="zh-CN"/>
              </w:rPr>
              <w:t>7.如联合体投标由联合体成员方提供。</w:t>
            </w:r>
          </w:p>
        </w:tc>
      </w:tr>
      <w:tr w14:paraId="17E8F7EA">
        <w:tblPrEx>
          <w:tblCellMar>
            <w:top w:w="0" w:type="dxa"/>
            <w:left w:w="108" w:type="dxa"/>
            <w:bottom w:w="0" w:type="dxa"/>
            <w:right w:w="108" w:type="dxa"/>
          </w:tblCellMar>
        </w:tblPrEx>
        <w:trPr>
          <w:trHeight w:val="90"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365781E9">
            <w:pPr>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企业</w:t>
            </w:r>
            <w:r>
              <w:rPr>
                <w:rFonts w:hint="eastAsia" w:hAnsi="宋体" w:eastAsia="宋体" w:cs="宋体"/>
                <w:snapToGrid w:val="0"/>
                <w:color w:val="auto"/>
                <w:kern w:val="0"/>
                <w:sz w:val="21"/>
                <w:szCs w:val="21"/>
                <w:highlight w:val="none"/>
                <w:lang w:val="en-US" w:eastAsia="zh-CN"/>
              </w:rPr>
              <w:t>施工</w:t>
            </w:r>
          </w:p>
          <w:p w14:paraId="46C28847">
            <w:pPr>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业绩</w:t>
            </w:r>
          </w:p>
          <w:p w14:paraId="4701F7FB">
            <w:pPr>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114D99A6">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企业近3年来（2022年1月1日至今）业绩情况：</w:t>
            </w:r>
          </w:p>
          <w:p w14:paraId="3E8EB5D3">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u w:val="single"/>
              </w:rPr>
              <w:t xml:space="preserve"> 完成</w:t>
            </w:r>
            <w:r>
              <w:rPr>
                <w:rFonts w:hint="eastAsia" w:ascii="宋体" w:hAnsi="宋体" w:eastAsia="宋体" w:cs="宋体"/>
                <w:snapToGrid w:val="0"/>
                <w:color w:val="auto"/>
                <w:kern w:val="0"/>
                <w:sz w:val="21"/>
                <w:szCs w:val="21"/>
                <w:highlight w:val="none"/>
              </w:rPr>
              <w:t>过类似工程的，每个得</w:t>
            </w:r>
            <w:r>
              <w:rPr>
                <w:rFonts w:hint="eastAsia" w:ascii="宋体" w:hAnsi="宋体" w:eastAsia="宋体" w:cs="宋体"/>
                <w:snapToGrid w:val="0"/>
                <w:color w:val="auto"/>
                <w:kern w:val="0"/>
                <w:sz w:val="21"/>
                <w:szCs w:val="21"/>
                <w:highlight w:val="none"/>
                <w:u w:val="single"/>
              </w:rPr>
              <w:t xml:space="preserve"> 1</w:t>
            </w:r>
            <w:r>
              <w:rPr>
                <w:rFonts w:hint="eastAsia" w:ascii="宋体" w:hAnsi="宋体" w:eastAsia="宋体" w:cs="宋体"/>
                <w:snapToGrid w:val="0"/>
                <w:color w:val="auto"/>
                <w:kern w:val="0"/>
                <w:sz w:val="21"/>
                <w:szCs w:val="21"/>
                <w:highlight w:val="none"/>
              </w:rPr>
              <w:t>分。</w:t>
            </w:r>
          </w:p>
          <w:p w14:paraId="5F6D4BBA">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2．未</w:t>
            </w:r>
            <w:r>
              <w:rPr>
                <w:rFonts w:hint="eastAsia" w:ascii="宋体" w:hAnsi="宋体" w:eastAsia="宋体" w:cs="宋体"/>
                <w:snapToGrid w:val="0"/>
                <w:color w:val="auto"/>
                <w:kern w:val="0"/>
                <w:sz w:val="21"/>
                <w:szCs w:val="21"/>
                <w:highlight w:val="none"/>
                <w:u w:val="single"/>
              </w:rPr>
              <w:t xml:space="preserve"> 完成 </w:t>
            </w:r>
            <w:r>
              <w:rPr>
                <w:rFonts w:hint="eastAsia" w:ascii="宋体" w:hAnsi="宋体" w:eastAsia="宋体" w:cs="宋体"/>
                <w:snapToGrid w:val="0"/>
                <w:color w:val="auto"/>
                <w:kern w:val="0"/>
                <w:sz w:val="21"/>
                <w:szCs w:val="21"/>
                <w:highlight w:val="none"/>
              </w:rPr>
              <w:t>过类似工程的，不予计分。</w:t>
            </w:r>
          </w:p>
          <w:p w14:paraId="4E99CC0B">
            <w:pPr>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本项最高得</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 xml:space="preserve">分。 </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5D86CB08">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1．类似工程指：</w:t>
            </w:r>
            <w:r>
              <w:rPr>
                <w:rFonts w:hint="eastAsia" w:hAnsi="宋体" w:eastAsia="宋体" w:cs="宋体"/>
                <w:snapToGrid w:val="0"/>
                <w:color w:val="auto"/>
                <w:kern w:val="0"/>
                <w:sz w:val="21"/>
                <w:szCs w:val="21"/>
                <w:highlight w:val="none"/>
                <w:lang w:val="en-US" w:eastAsia="zh-CN"/>
              </w:rPr>
              <w:t>电力施工类施工项目（</w:t>
            </w:r>
            <w:r>
              <w:rPr>
                <w:rFonts w:hint="eastAsia" w:ascii="宋体" w:hAnsi="宋体" w:eastAsia="宋体" w:cs="宋体"/>
                <w:snapToGrid w:val="0"/>
                <w:color w:val="auto"/>
                <w:kern w:val="0"/>
                <w:sz w:val="21"/>
                <w:szCs w:val="21"/>
                <w:highlight w:val="none"/>
              </w:rPr>
              <w:t>光伏发电项目或10kV及以上输变电或配电工程项目施工</w:t>
            </w:r>
            <w:r>
              <w:rPr>
                <w:rFonts w:hint="eastAsia"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w:t>
            </w:r>
          </w:p>
          <w:p w14:paraId="04D40999">
            <w:pPr>
              <w:adjustRightInd w:val="0"/>
              <w:snapToGrid w:val="0"/>
              <w:spacing w:line="360" w:lineRule="auto"/>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2．需附有关业绩</w:t>
            </w:r>
            <w:r>
              <w:rPr>
                <w:rFonts w:hint="eastAsia" w:hAnsi="宋体" w:eastAsia="宋体" w:cs="宋体"/>
                <w:snapToGrid w:val="0"/>
                <w:color w:val="auto"/>
                <w:kern w:val="0"/>
                <w:sz w:val="21"/>
                <w:szCs w:val="21"/>
                <w:highlight w:val="none"/>
                <w:lang w:val="en-US" w:eastAsia="zh-CN"/>
              </w:rPr>
              <w:t>中标通知书或</w:t>
            </w:r>
            <w:r>
              <w:rPr>
                <w:rFonts w:hint="eastAsia" w:ascii="宋体" w:hAnsi="宋体" w:eastAsia="宋体" w:cs="宋体"/>
                <w:snapToGrid w:val="0"/>
                <w:color w:val="auto"/>
                <w:kern w:val="0"/>
                <w:sz w:val="21"/>
                <w:szCs w:val="21"/>
                <w:highlight w:val="none"/>
              </w:rPr>
              <w:t>合同协议书和竣工验收报告扫描件（或打印件）。</w:t>
            </w:r>
          </w:p>
          <w:p w14:paraId="18741F46">
            <w:pPr>
              <w:adjustRightInd w:val="0"/>
              <w:snapToGrid w:val="0"/>
              <w:spacing w:line="360" w:lineRule="auto"/>
              <w:rPr>
                <w:rFonts w:hint="eastAsia" w:ascii="宋体" w:hAnsi="宋体" w:eastAsia="宋体" w:cs="宋体"/>
                <w:color w:val="auto"/>
                <w:sz w:val="21"/>
                <w:szCs w:val="21"/>
                <w:highlight w:val="none"/>
                <w:lang w:bidi="ar"/>
              </w:rPr>
            </w:pPr>
            <w:r>
              <w:rPr>
                <w:rFonts w:hint="eastAsia" w:ascii="宋体" w:hAnsi="宋体" w:eastAsia="宋体" w:cs="宋体"/>
                <w:snapToGrid w:val="0"/>
                <w:color w:val="auto"/>
                <w:kern w:val="0"/>
                <w:sz w:val="21"/>
                <w:szCs w:val="21"/>
                <w:highlight w:val="none"/>
              </w:rPr>
              <w:t>3．业绩</w:t>
            </w:r>
            <w:r>
              <w:rPr>
                <w:rFonts w:hint="eastAsia" w:ascii="宋体" w:hAnsi="宋体" w:eastAsia="宋体" w:cs="宋体"/>
                <w:color w:val="auto"/>
                <w:sz w:val="21"/>
                <w:szCs w:val="21"/>
                <w:highlight w:val="none"/>
                <w:lang w:bidi="ar"/>
              </w:rPr>
              <w:t>时间以竣工报告日期为准。</w:t>
            </w:r>
          </w:p>
          <w:p w14:paraId="440A90E9">
            <w:pPr>
              <w:pStyle w:val="8"/>
              <w:spacing w:line="360" w:lineRule="auto"/>
              <w:rPr>
                <w:rFonts w:hint="default" w:ascii="宋体" w:hAnsi="宋体" w:eastAsia="宋体" w:cs="宋体"/>
                <w:b/>
                <w:bCs/>
                <w:color w:val="auto"/>
                <w:kern w:val="0"/>
                <w:sz w:val="21"/>
                <w:szCs w:val="21"/>
                <w:highlight w:val="none"/>
                <w:u w:val="none"/>
                <w:lang w:val="en-US" w:eastAsia="zh-CN"/>
              </w:rPr>
            </w:pPr>
            <w:r>
              <w:rPr>
                <w:rFonts w:hint="eastAsia" w:ascii="宋体" w:hAnsi="宋体" w:eastAsia="宋体" w:cs="宋体"/>
                <w:b/>
                <w:bCs/>
                <w:color w:val="auto"/>
                <w:kern w:val="0"/>
                <w:sz w:val="21"/>
                <w:szCs w:val="21"/>
                <w:highlight w:val="none"/>
                <w:u w:val="none"/>
                <w:lang w:val="en-US" w:eastAsia="zh-CN"/>
              </w:rPr>
              <w:t>4.若以联合体投标由联合体牵头人提供。</w:t>
            </w:r>
          </w:p>
          <w:p w14:paraId="33BCE90C">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．任一业绩有以下情形之一的，该业绩视为无效，不予计分：</w:t>
            </w:r>
          </w:p>
          <w:p w14:paraId="7E7B9517">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①未提供业绩证明材料扫描件的；</w:t>
            </w:r>
          </w:p>
          <w:p w14:paraId="7519EAB1">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②业绩不属于类似工程的；</w:t>
            </w:r>
          </w:p>
          <w:p w14:paraId="63A3372F">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③不是以指定身份参建的；</w:t>
            </w:r>
          </w:p>
          <w:p w14:paraId="56E85D1F">
            <w:pPr>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④业绩时间不符合要求的。</w:t>
            </w:r>
          </w:p>
        </w:tc>
      </w:tr>
      <w:tr w14:paraId="70B9E4EA">
        <w:tblPrEx>
          <w:tblCellMar>
            <w:top w:w="0" w:type="dxa"/>
            <w:left w:w="108" w:type="dxa"/>
            <w:bottom w:w="0" w:type="dxa"/>
            <w:right w:w="108" w:type="dxa"/>
          </w:tblCellMar>
        </w:tblPrEx>
        <w:trPr>
          <w:trHeight w:val="90" w:hRule="atLeast"/>
          <w:jc w:val="center"/>
        </w:trPr>
        <w:tc>
          <w:tcPr>
            <w:tcW w:w="126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D82CD7F">
            <w:pPr>
              <w:adjustRightInd w:val="0"/>
              <w:snapToGrid w:val="0"/>
              <w:spacing w:line="360" w:lineRule="auto"/>
              <w:jc w:val="center"/>
              <w:rPr>
                <w:rFonts w:hint="eastAsia"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企业</w:t>
            </w:r>
            <w:r>
              <w:rPr>
                <w:rFonts w:hint="eastAsia" w:hAnsi="宋体" w:eastAsia="宋体" w:cs="宋体"/>
                <w:snapToGrid w:val="0"/>
                <w:color w:val="auto"/>
                <w:kern w:val="0"/>
                <w:sz w:val="21"/>
                <w:szCs w:val="21"/>
                <w:highlight w:val="none"/>
                <w:lang w:val="en-US" w:eastAsia="zh-CN"/>
              </w:rPr>
              <w:t>设计</w:t>
            </w:r>
          </w:p>
          <w:p w14:paraId="54638E35">
            <w:pPr>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业绩</w:t>
            </w:r>
          </w:p>
          <w:p w14:paraId="50A3C889">
            <w:pPr>
              <w:adjustRightInd w:val="0"/>
              <w:snapToGrid w:val="0"/>
              <w:spacing w:line="360" w:lineRule="auto"/>
              <w:jc w:val="center"/>
              <w:rPr>
                <w:rFonts w:hint="eastAsia" w:ascii="宋体" w:hAnsi="宋体" w:eastAsia="宋体" w:cs="宋体"/>
                <w:color w:val="auto"/>
                <w:kern w:val="2"/>
                <w:sz w:val="24"/>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36D01D">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企业近3年来（2022年1月1日至今）业绩情况：</w:t>
            </w:r>
          </w:p>
          <w:p w14:paraId="2F0CEBF6">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u w:val="single"/>
              </w:rPr>
              <w:t xml:space="preserve"> 完成 </w:t>
            </w:r>
            <w:r>
              <w:rPr>
                <w:rFonts w:hint="eastAsia" w:ascii="宋体" w:hAnsi="宋体" w:eastAsia="宋体" w:cs="宋体"/>
                <w:snapToGrid w:val="0"/>
                <w:color w:val="auto"/>
                <w:kern w:val="0"/>
                <w:sz w:val="21"/>
                <w:szCs w:val="21"/>
                <w:highlight w:val="none"/>
              </w:rPr>
              <w:t>过类似工程的，每个得</w:t>
            </w:r>
            <w:r>
              <w:rPr>
                <w:rFonts w:hint="eastAsia" w:ascii="宋体" w:hAnsi="宋体" w:eastAsia="宋体" w:cs="宋体"/>
                <w:snapToGrid w:val="0"/>
                <w:color w:val="auto"/>
                <w:kern w:val="0"/>
                <w:sz w:val="21"/>
                <w:szCs w:val="21"/>
                <w:highlight w:val="none"/>
                <w:u w:val="single"/>
              </w:rPr>
              <w:t xml:space="preserve"> 1</w:t>
            </w:r>
            <w:r>
              <w:rPr>
                <w:rFonts w:hint="eastAsia" w:ascii="宋体" w:hAnsi="宋体" w:eastAsia="宋体" w:cs="宋体"/>
                <w:snapToGrid w:val="0"/>
                <w:color w:val="auto"/>
                <w:kern w:val="0"/>
                <w:sz w:val="21"/>
                <w:szCs w:val="21"/>
                <w:highlight w:val="none"/>
              </w:rPr>
              <w:t>分。</w:t>
            </w:r>
          </w:p>
          <w:p w14:paraId="1FE18C0A">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2．未</w:t>
            </w:r>
            <w:r>
              <w:rPr>
                <w:rFonts w:hint="eastAsia" w:ascii="宋体" w:hAnsi="宋体" w:eastAsia="宋体" w:cs="宋体"/>
                <w:snapToGrid w:val="0"/>
                <w:color w:val="auto"/>
                <w:kern w:val="0"/>
                <w:sz w:val="21"/>
                <w:szCs w:val="21"/>
                <w:highlight w:val="none"/>
                <w:u w:val="single"/>
              </w:rPr>
              <w:t xml:space="preserve"> 完成 </w:t>
            </w:r>
            <w:r>
              <w:rPr>
                <w:rFonts w:hint="eastAsia" w:ascii="宋体" w:hAnsi="宋体" w:eastAsia="宋体" w:cs="宋体"/>
                <w:snapToGrid w:val="0"/>
                <w:color w:val="auto"/>
                <w:kern w:val="0"/>
                <w:sz w:val="21"/>
                <w:szCs w:val="21"/>
                <w:highlight w:val="none"/>
              </w:rPr>
              <w:t>过类似工程的，不予计分。</w:t>
            </w:r>
          </w:p>
          <w:p w14:paraId="51AB9303">
            <w:pPr>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1"/>
                <w:szCs w:val="21"/>
                <w:highlight w:val="none"/>
              </w:rPr>
              <w:t>本项最高得</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 xml:space="preserve">分。 </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2E82F9D4">
            <w:pPr>
              <w:adjustRightInd w:val="0"/>
              <w:snapToGrid w:val="0"/>
              <w:spacing w:line="360" w:lineRule="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1．类似工程指：电力设计类设计项目（光伏发电项目或10kV及以上输变电或配电工程</w:t>
            </w:r>
            <w:r>
              <w:rPr>
                <w:rFonts w:hint="eastAsia" w:hAnsi="宋体" w:eastAsia="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项目</w:t>
            </w:r>
            <w:r>
              <w:rPr>
                <w:rFonts w:hint="eastAsia" w:hAnsi="宋体" w:eastAsia="宋体" w:cs="宋体"/>
                <w:b w:val="0"/>
                <w:bCs w:val="0"/>
                <w:snapToGrid w:val="0"/>
                <w:color w:val="auto"/>
                <w:kern w:val="0"/>
                <w:sz w:val="21"/>
                <w:szCs w:val="21"/>
                <w:highlight w:val="none"/>
                <w:lang w:val="en-US" w:eastAsia="zh-CN"/>
              </w:rPr>
              <w:t>涉及</w:t>
            </w:r>
            <w:r>
              <w:rPr>
                <w:rFonts w:hint="eastAsia" w:ascii="宋体" w:hAnsi="宋体" w:eastAsia="宋体" w:cs="宋体"/>
                <w:b w:val="0"/>
                <w:bCs w:val="0"/>
                <w:snapToGrid w:val="0"/>
                <w:color w:val="auto"/>
                <w:kern w:val="0"/>
                <w:sz w:val="21"/>
                <w:szCs w:val="21"/>
                <w:highlight w:val="none"/>
              </w:rPr>
              <w:t>。</w:t>
            </w:r>
          </w:p>
          <w:p w14:paraId="68B0E216">
            <w:pPr>
              <w:adjustRightInd w:val="0"/>
              <w:snapToGrid w:val="0"/>
              <w:spacing w:line="360" w:lineRule="auto"/>
              <w:rPr>
                <w:rFonts w:hint="eastAsia" w:ascii="宋体" w:hAnsi="宋体" w:eastAsia="宋体" w:cs="宋体"/>
                <w:b w:val="0"/>
                <w:bCs w:val="0"/>
                <w:strike/>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2．需附有关业绩中标通知书或合同协议书</w:t>
            </w:r>
            <w:r>
              <w:rPr>
                <w:rFonts w:hint="eastAsia" w:asciiTheme="minorEastAsia" w:hAnsiTheme="minorEastAsia" w:eastAsiaTheme="minorEastAsia" w:cstheme="minorEastAsia"/>
                <w:b w:val="0"/>
                <w:bCs w:val="0"/>
                <w:color w:val="auto"/>
                <w:kern w:val="0"/>
                <w:sz w:val="21"/>
                <w:szCs w:val="21"/>
                <w:highlight w:val="none"/>
                <w:lang w:val="en-US" w:eastAsia="zh-CN"/>
              </w:rPr>
              <w:t>关键页彩色扫描件</w:t>
            </w:r>
            <w:r>
              <w:rPr>
                <w:rFonts w:hint="eastAsia" w:ascii="宋体" w:hAnsi="宋体" w:eastAsia="宋体" w:cs="宋体"/>
                <w:b w:val="0"/>
                <w:bCs w:val="0"/>
                <w:snapToGrid w:val="0"/>
                <w:color w:val="auto"/>
                <w:kern w:val="0"/>
                <w:sz w:val="21"/>
                <w:szCs w:val="21"/>
                <w:highlight w:val="none"/>
              </w:rPr>
              <w:t>（或打印件）。</w:t>
            </w:r>
          </w:p>
          <w:p w14:paraId="609B3B8F">
            <w:pPr>
              <w:pStyle w:val="2"/>
              <w:rPr>
                <w:rFonts w:hint="eastAsia" w:ascii="宋体" w:hAnsi="宋体" w:eastAsia="宋体" w:cs="宋体"/>
                <w:b/>
                <w:bCs/>
                <w:color w:val="auto"/>
                <w:sz w:val="21"/>
                <w:szCs w:val="21"/>
                <w:highlight w:val="none"/>
                <w:lang w:bidi="ar"/>
              </w:rPr>
            </w:pPr>
            <w:r>
              <w:rPr>
                <w:rFonts w:hint="eastAsia" w:ascii="宋体" w:hAnsi="宋体" w:eastAsia="宋体" w:cs="宋体"/>
                <w:b/>
                <w:bCs/>
                <w:snapToGrid w:val="0"/>
                <w:color w:val="auto"/>
                <w:kern w:val="0"/>
                <w:sz w:val="21"/>
                <w:szCs w:val="21"/>
                <w:highlight w:val="none"/>
              </w:rPr>
              <w:t>3．</w:t>
            </w:r>
            <w:r>
              <w:rPr>
                <w:rFonts w:hint="eastAsia" w:asciiTheme="minorEastAsia" w:hAnsiTheme="minorEastAsia" w:eastAsiaTheme="minorEastAsia" w:cstheme="minorEastAsia"/>
                <w:b/>
                <w:bCs/>
                <w:color w:val="auto"/>
                <w:kern w:val="0"/>
                <w:sz w:val="21"/>
                <w:szCs w:val="21"/>
                <w:highlight w:val="none"/>
                <w:lang w:val="en-US" w:eastAsia="zh-CN" w:bidi="ar-SA"/>
              </w:rPr>
              <w:t>时间以合同签订时间为准。</w:t>
            </w:r>
          </w:p>
          <w:p w14:paraId="6F5059FE">
            <w:pPr>
              <w:pStyle w:val="2"/>
              <w:rPr>
                <w:rFonts w:hint="default" w:eastAsia="宋体"/>
                <w:b/>
                <w:bCs/>
                <w:color w:val="auto"/>
                <w:highlight w:val="none"/>
                <w:lang w:val="en-US" w:eastAsia="zh-CN"/>
              </w:rPr>
            </w:pPr>
            <w:r>
              <w:rPr>
                <w:rFonts w:hint="eastAsia" w:ascii="宋体" w:hAnsi="宋体" w:eastAsia="宋体" w:cs="宋体"/>
                <w:b/>
                <w:bCs/>
                <w:color w:val="auto"/>
                <w:sz w:val="21"/>
                <w:szCs w:val="21"/>
                <w:highlight w:val="none"/>
                <w:lang w:val="en-US" w:eastAsia="zh-CN" w:bidi="ar"/>
              </w:rPr>
              <w:t>4.若以</w:t>
            </w:r>
            <w:r>
              <w:rPr>
                <w:rFonts w:hint="eastAsia" w:ascii="宋体" w:hAnsi="宋体" w:eastAsia="宋体" w:cs="宋体"/>
                <w:b/>
                <w:bCs/>
                <w:color w:val="auto"/>
                <w:kern w:val="0"/>
                <w:sz w:val="21"/>
                <w:szCs w:val="21"/>
                <w:highlight w:val="none"/>
                <w:u w:val="none"/>
                <w:lang w:val="en-US" w:eastAsia="zh-CN"/>
              </w:rPr>
              <w:t>联合体投标由联合体成员方提供。</w:t>
            </w:r>
          </w:p>
          <w:p w14:paraId="1FA4C7B3">
            <w:pPr>
              <w:adjustRightInd w:val="0"/>
              <w:snapToGrid w:val="0"/>
              <w:spacing w:line="360" w:lineRule="auto"/>
              <w:rPr>
                <w:rFonts w:hint="eastAsia" w:ascii="宋体" w:hAnsi="宋体" w:eastAsia="宋体" w:cs="宋体"/>
                <w:b w:val="0"/>
                <w:bCs w:val="0"/>
                <w:snapToGrid w:val="0"/>
                <w:color w:val="auto"/>
                <w:kern w:val="0"/>
                <w:sz w:val="21"/>
                <w:szCs w:val="21"/>
                <w:highlight w:val="none"/>
              </w:rPr>
            </w:pPr>
            <w:r>
              <w:rPr>
                <w:rFonts w:hint="eastAsia" w:hAnsi="宋体" w:eastAsia="宋体" w:cs="宋体"/>
                <w:b w:val="0"/>
                <w:bCs w:val="0"/>
                <w:snapToGrid w:val="0"/>
                <w:color w:val="auto"/>
                <w:kern w:val="0"/>
                <w:sz w:val="21"/>
                <w:szCs w:val="21"/>
                <w:highlight w:val="none"/>
                <w:lang w:val="en-US" w:eastAsia="zh-CN"/>
              </w:rPr>
              <w:t>5</w:t>
            </w:r>
            <w:r>
              <w:rPr>
                <w:rFonts w:hint="eastAsia" w:ascii="宋体" w:hAnsi="宋体" w:eastAsia="宋体" w:cs="宋体"/>
                <w:b w:val="0"/>
                <w:bCs w:val="0"/>
                <w:snapToGrid w:val="0"/>
                <w:color w:val="auto"/>
                <w:kern w:val="0"/>
                <w:sz w:val="21"/>
                <w:szCs w:val="21"/>
                <w:highlight w:val="none"/>
              </w:rPr>
              <w:t>．任一业绩有以下情形之一的，该业绩视为无效，不予计分：</w:t>
            </w:r>
          </w:p>
          <w:p w14:paraId="6E5599C2">
            <w:pPr>
              <w:adjustRightInd w:val="0"/>
              <w:snapToGrid w:val="0"/>
              <w:spacing w:line="360" w:lineRule="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①未提供业绩证明材料扫描件的；</w:t>
            </w:r>
          </w:p>
          <w:p w14:paraId="42FF702C">
            <w:pPr>
              <w:adjustRightInd w:val="0"/>
              <w:snapToGrid w:val="0"/>
              <w:spacing w:line="360" w:lineRule="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②业绩不属于类似工程的；</w:t>
            </w:r>
          </w:p>
          <w:p w14:paraId="03A2C157">
            <w:pPr>
              <w:adjustRightInd w:val="0"/>
              <w:snapToGrid w:val="0"/>
              <w:spacing w:line="360" w:lineRule="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③不是以指定身份参建的；</w:t>
            </w:r>
          </w:p>
          <w:p w14:paraId="283E49B0">
            <w:pPr>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val="0"/>
                <w:bCs w:val="0"/>
                <w:snapToGrid w:val="0"/>
                <w:color w:val="auto"/>
                <w:kern w:val="0"/>
                <w:sz w:val="21"/>
                <w:szCs w:val="21"/>
                <w:highlight w:val="none"/>
              </w:rPr>
              <w:t>④业绩时间不符合要求的</w:t>
            </w:r>
            <w:r>
              <w:rPr>
                <w:rFonts w:hint="eastAsia" w:ascii="宋体" w:hAnsi="宋体" w:eastAsia="宋体" w:cs="宋体"/>
                <w:b w:val="0"/>
                <w:bCs w:val="0"/>
                <w:snapToGrid w:val="0"/>
                <w:color w:val="auto"/>
                <w:kern w:val="0"/>
                <w:sz w:val="21"/>
                <w:szCs w:val="21"/>
                <w:highlight w:val="none"/>
                <w:lang w:eastAsia="zh-CN"/>
              </w:rPr>
              <w:t>。</w:t>
            </w:r>
          </w:p>
        </w:tc>
      </w:tr>
      <w:tr w14:paraId="1B45E10D">
        <w:tblPrEx>
          <w:tblCellMar>
            <w:top w:w="0" w:type="dxa"/>
            <w:left w:w="108" w:type="dxa"/>
            <w:bottom w:w="0" w:type="dxa"/>
            <w:right w:w="108" w:type="dxa"/>
          </w:tblCellMar>
        </w:tblPrEx>
        <w:trPr>
          <w:trHeight w:val="549"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19F1FC2F">
            <w:pPr>
              <w:pStyle w:val="8"/>
              <w:adjustRightInd w:val="0"/>
              <w:snapToGrid w:val="0"/>
              <w:spacing w:after="0" w:line="360"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项目安全负责人情况</w:t>
            </w:r>
          </w:p>
          <w:p w14:paraId="1D4415F7">
            <w:pPr>
              <w:pStyle w:val="8"/>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（6分）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59EC63D0">
            <w:pPr>
              <w:pStyle w:val="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项目安全负责人：</w:t>
            </w:r>
          </w:p>
          <w:p w14:paraId="3A633210">
            <w:pPr>
              <w:pStyle w:val="7"/>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1、具有注册安全工程师证（其他安全专业）的，得3分，</w:t>
            </w:r>
          </w:p>
          <w:p w14:paraId="3A892E80">
            <w:pPr>
              <w:pStyle w:val="7"/>
              <w:numPr>
                <w:ilvl w:val="0"/>
                <w:numId w:val="4"/>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除注册证外同时具有电气类中级或以上工程师职称的，得3分；</w:t>
            </w:r>
          </w:p>
          <w:p w14:paraId="20237484">
            <w:pPr>
              <w:pStyle w:val="7"/>
              <w:numPr>
                <w:ilvl w:val="0"/>
                <w:numId w:val="4"/>
              </w:numPr>
              <w:spacing w:line="360" w:lineRule="auto"/>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除注册证外同时具有电气类助理工程师职称的，得1分；其它情况不得分。</w:t>
            </w:r>
          </w:p>
          <w:p w14:paraId="59F7067B">
            <w:pPr>
              <w:pStyle w:val="7"/>
              <w:spacing w:line="360" w:lineRule="auto"/>
              <w:ind w:firstLine="42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1"/>
                <w:szCs w:val="21"/>
                <w:highlight w:val="none"/>
                <w:lang w:bidi="ar"/>
              </w:rPr>
              <w:t>本项最高得6分。</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3A9EF2F1">
            <w:pPr>
              <w:numPr>
                <w:ilvl w:val="0"/>
                <w:numId w:val="0"/>
              </w:numPr>
              <w:adjustRightInd w:val="0"/>
              <w:snapToGri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val="en-US" w:eastAsia="zh-CN"/>
              </w:rPr>
              <w:t>相关证书扫描件</w:t>
            </w:r>
          </w:p>
          <w:p w14:paraId="504859AE">
            <w:pPr>
              <w:numPr>
                <w:ilvl w:val="0"/>
                <w:numId w:val="0"/>
              </w:numPr>
              <w:adjustRightInd w:val="0"/>
              <w:snapToGrid w:val="0"/>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lang w:val="en-US" w:eastAsia="zh-CN"/>
              </w:rPr>
              <w:t>须提供相关人员</w:t>
            </w:r>
            <w:r>
              <w:rPr>
                <w:rFonts w:hint="eastAsia" w:ascii="宋体" w:hAnsi="宋体" w:eastAsia="宋体" w:cs="宋体"/>
                <w:color w:val="auto"/>
                <w:sz w:val="21"/>
                <w:szCs w:val="21"/>
                <w:highlight w:val="none"/>
              </w:rPr>
              <w:t>在本单位缴纳社保的证明（其中须有202</w:t>
            </w:r>
            <w:r>
              <w:rPr>
                <w:rFonts w:hint="eastAsia"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月）彩色扫描件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拟派人员为退休返聘人员无法提供社保证明的，提供退休证和劳动合同彩色扫描件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如有涉及分公司人员的需提供分公司人员社保及分公司驻点机构注册资料或现场驻点房产证明、租赁证明等）</w:t>
            </w:r>
          </w:p>
          <w:p w14:paraId="117DE219">
            <w:pPr>
              <w:pStyle w:val="8"/>
              <w:numPr>
                <w:ilvl w:val="0"/>
                <w:numId w:val="0"/>
              </w:numPr>
              <w:ind w:left="0" w:leftChars="0" w:firstLine="0" w:firstLineChars="0"/>
              <w:rPr>
                <w:rFonts w:hint="eastAsia"/>
                <w:color w:val="auto"/>
              </w:rPr>
            </w:pPr>
            <w:r>
              <w:rPr>
                <w:rFonts w:hint="eastAsia" w:ascii="宋体" w:hAnsi="等线" w:eastAsia="等线" w:cs="Times New Roman"/>
                <w:b/>
                <w:bCs/>
                <w:color w:val="auto"/>
                <w:kern w:val="2"/>
                <w:sz w:val="24"/>
                <w:lang w:val="en-US" w:eastAsia="zh-CN" w:bidi="ar-SA"/>
              </w:rPr>
              <w:t>3.</w:t>
            </w:r>
            <w:r>
              <w:rPr>
                <w:rFonts w:hint="eastAsia" w:ascii="宋体" w:hAnsi="宋体" w:eastAsia="宋体" w:cs="宋体"/>
                <w:b/>
                <w:bCs/>
                <w:color w:val="auto"/>
                <w:kern w:val="2"/>
                <w:sz w:val="21"/>
                <w:szCs w:val="21"/>
                <w:highlight w:val="none"/>
                <w:lang w:val="en-US" w:eastAsia="zh-CN" w:bidi="ar-SA"/>
              </w:rPr>
              <w:t>如联合体投标的由联合体牵头方提供</w:t>
            </w:r>
            <w:r>
              <w:rPr>
                <w:rFonts w:hint="eastAsia" w:hAnsi="宋体" w:eastAsia="宋体" w:cs="宋体"/>
                <w:b/>
                <w:bCs/>
                <w:color w:val="auto"/>
                <w:kern w:val="2"/>
                <w:sz w:val="21"/>
                <w:szCs w:val="21"/>
                <w:highlight w:val="none"/>
                <w:lang w:val="en-US" w:eastAsia="zh-CN" w:bidi="ar-SA"/>
              </w:rPr>
              <w:t>。</w:t>
            </w:r>
          </w:p>
        </w:tc>
      </w:tr>
      <w:tr w14:paraId="65F3E7FD">
        <w:tblPrEx>
          <w:tblCellMar>
            <w:top w:w="0" w:type="dxa"/>
            <w:left w:w="108" w:type="dxa"/>
            <w:bottom w:w="0" w:type="dxa"/>
            <w:right w:w="108" w:type="dxa"/>
          </w:tblCellMar>
        </w:tblPrEx>
        <w:trPr>
          <w:trHeight w:val="516"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08D49B90">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项目管理团队综合素质（1</w:t>
            </w:r>
            <w:r>
              <w:rPr>
                <w:rFonts w:hint="eastAsia" w:ascii="宋体" w:hAnsi="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0CADE3F9">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项目管理团队其他人员（除项目负责人、技术负责人、安全负责人）配备： 施工员1人、质量员1人、机械员1人、材料员1人、档案员1人、注册类造价人员（安装）1人，符合以上配置得3分（低于上述配置不得分）；满足以上人员后，另</w:t>
            </w:r>
            <w:r>
              <w:rPr>
                <w:rFonts w:hint="eastAsia" w:ascii="宋体" w:hAnsi="宋体" w:eastAsia="宋体" w:cs="宋体"/>
                <w:color w:val="auto"/>
                <w:sz w:val="21"/>
                <w:szCs w:val="21"/>
                <w:highlight w:val="none"/>
                <w:lang w:val="en-US" w:eastAsia="zh-CN"/>
              </w:rPr>
              <w:t>以上</w:t>
            </w:r>
            <w:r>
              <w:rPr>
                <w:rFonts w:hint="eastAsia" w:ascii="宋体" w:hAnsi="宋体" w:eastAsia="宋体" w:cs="宋体"/>
                <w:color w:val="auto"/>
                <w:sz w:val="21"/>
                <w:szCs w:val="21"/>
                <w:highlight w:val="none"/>
              </w:rPr>
              <w:t>岗位（除项目负责人、技术负责人、安全负责人</w:t>
            </w:r>
            <w:r>
              <w:rPr>
                <w:rFonts w:hint="eastAsia" w:ascii="宋体" w:hAnsi="宋体" w:eastAsia="宋体" w:cs="宋体"/>
                <w:color w:val="auto"/>
                <w:sz w:val="21"/>
                <w:szCs w:val="21"/>
                <w:highlight w:val="none"/>
                <w:lang w:val="en-US" w:eastAsia="zh-CN"/>
              </w:rPr>
              <w:t>外</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任意</w:t>
            </w:r>
            <w:r>
              <w:rPr>
                <w:rFonts w:hint="eastAsia" w:ascii="宋体" w:hAnsi="宋体" w:eastAsia="宋体" w:cs="宋体"/>
                <w:color w:val="auto"/>
                <w:sz w:val="21"/>
                <w:szCs w:val="21"/>
                <w:highlight w:val="none"/>
              </w:rPr>
              <w:t>增加一人加1分，此项最高得8分；</w:t>
            </w:r>
          </w:p>
          <w:p w14:paraId="32A295D4">
            <w:p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.工作负责人（除项目负责人、技术负责人、安全负责人外）同时具有“高压电工作业证、低压电工作业证、高处作业证、试验证”等四个特种作业证书中两个证书的人员，每提供一个得1分，最多得4分</w:t>
            </w:r>
            <w:r>
              <w:rPr>
                <w:rFonts w:hint="eastAsia" w:ascii="宋体" w:hAnsi="宋体" w:eastAsia="宋体" w:cs="宋体"/>
                <w:color w:val="auto"/>
                <w:sz w:val="21"/>
                <w:szCs w:val="21"/>
                <w:highlight w:val="none"/>
                <w:lang w:eastAsia="zh-CN"/>
              </w:rPr>
              <w:t>；</w:t>
            </w:r>
          </w:p>
          <w:p w14:paraId="4828DB19">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带电作业人员（除项目负责人、技术负责人、安全负责人外）具有有效期内的带电作业人员资格证每个得1分，每增加1人加1分，最多得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18720D2D">
            <w:pPr>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1"/>
                <w:szCs w:val="21"/>
                <w:highlight w:val="none"/>
                <w:lang w:val="en-US" w:eastAsia="zh-CN"/>
              </w:rPr>
              <w:t>4.以上人员若 1 人同时满足上述3 点要求的，得分不相加，只取最高分，</w:t>
            </w:r>
            <w:r>
              <w:rPr>
                <w:rFonts w:hint="eastAsia" w:ascii="宋体" w:hAnsi="宋体" w:eastAsia="宋体" w:cs="宋体"/>
                <w:color w:val="auto"/>
                <w:sz w:val="21"/>
                <w:szCs w:val="21"/>
                <w:highlight w:val="none"/>
              </w:rPr>
              <w:t>本项最高得1</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77C53046">
            <w:pPr>
              <w:numPr>
                <w:ilvl w:val="0"/>
                <w:numId w:val="0"/>
              </w:numPr>
              <w:adjustRightInd w:val="0"/>
              <w:snapToGri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val="en-US" w:eastAsia="zh-CN"/>
              </w:rPr>
              <w:t>相关证书扫描件</w:t>
            </w:r>
          </w:p>
          <w:p w14:paraId="1100C4E9">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2.须提供相关人员</w:t>
            </w:r>
            <w:r>
              <w:rPr>
                <w:rFonts w:hint="eastAsia" w:ascii="宋体" w:hAnsi="宋体" w:eastAsia="宋体" w:cs="宋体"/>
                <w:color w:val="auto"/>
                <w:sz w:val="21"/>
                <w:szCs w:val="21"/>
                <w:highlight w:val="none"/>
              </w:rPr>
              <w:t>在本单位缴纳社保的证明（其中须有202</w:t>
            </w:r>
            <w:r>
              <w:rPr>
                <w:rFonts w:hint="eastAsia"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月）彩色扫描件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拟派人员为退休返聘人员无法提供社保证明的，提供退休证和劳动合同彩色扫描件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如有涉及分公司人员的需提供分公司人员社保及分公司驻点机构注册资料或现场驻点房产证明、租赁证明等）</w:t>
            </w:r>
          </w:p>
          <w:p w14:paraId="09FC554D">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持有岗位证书现场管理人员，是指持有国务院有关行业部门认可单位颁发的岗位（培训）证书的施工现场管理人员；或按住房和城乡建设部职业标准培训考核，取得培训合格证书。档案员是指市级及以上档案局参加档案员评审或参加由档案局/档案学会举办的取证培训。</w:t>
            </w:r>
          </w:p>
          <w:p w14:paraId="50E19911">
            <w:pPr>
              <w:pStyle w:val="8"/>
              <w:rPr>
                <w:rFonts w:hint="eastAsia"/>
                <w:color w:val="auto"/>
              </w:rPr>
            </w:pPr>
            <w:r>
              <w:rPr>
                <w:rFonts w:hint="eastAsia" w:ascii="宋体" w:hAnsi="宋体" w:eastAsia="宋体" w:cs="宋体"/>
                <w:b/>
                <w:bCs/>
                <w:color w:val="auto"/>
                <w:kern w:val="2"/>
                <w:sz w:val="21"/>
                <w:szCs w:val="21"/>
                <w:lang w:val="en-US" w:eastAsia="zh-CN" w:bidi="ar-SA"/>
              </w:rPr>
              <w:t>4.如联合体投标的由联合体牵头方提供</w:t>
            </w:r>
            <w:r>
              <w:rPr>
                <w:rFonts w:hint="eastAsia" w:hAnsi="宋体" w:eastAsia="宋体" w:cs="宋体"/>
                <w:b/>
                <w:bCs/>
                <w:color w:val="auto"/>
                <w:kern w:val="2"/>
                <w:sz w:val="21"/>
                <w:szCs w:val="21"/>
                <w:lang w:val="en-US" w:eastAsia="zh-CN" w:bidi="ar-SA"/>
              </w:rPr>
              <w:t>。</w:t>
            </w:r>
          </w:p>
        </w:tc>
      </w:tr>
      <w:tr w14:paraId="3820E989">
        <w:tblPrEx>
          <w:tblCellMar>
            <w:top w:w="0" w:type="dxa"/>
            <w:left w:w="108" w:type="dxa"/>
            <w:bottom w:w="0" w:type="dxa"/>
            <w:right w:w="108" w:type="dxa"/>
          </w:tblCellMar>
        </w:tblPrEx>
        <w:trPr>
          <w:trHeight w:val="350"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1687ADFE">
            <w:pPr>
              <w:adjustRightInd w:val="0"/>
              <w:snapToGrid w:val="0"/>
              <w:spacing w:line="360" w:lineRule="auto"/>
              <w:jc w:val="center"/>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lang w:bidi="ar"/>
              </w:rPr>
              <w:t>企业管理</w:t>
            </w:r>
          </w:p>
          <w:p w14:paraId="02FAAB57">
            <w:pPr>
              <w:adjustRightInd w:val="0"/>
              <w:snapToGrid w:val="0"/>
              <w:spacing w:line="360" w:lineRule="auto"/>
              <w:jc w:val="center"/>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lang w:bidi="ar"/>
              </w:rPr>
              <w:t>体系认证</w:t>
            </w:r>
          </w:p>
          <w:p w14:paraId="22EBBD63">
            <w:pPr>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lang w:bidi="ar"/>
              </w:rPr>
              <w:t>（</w:t>
            </w:r>
            <w:r>
              <w:rPr>
                <w:rFonts w:hint="eastAsia" w:ascii="宋体" w:hAnsi="宋体" w:eastAsia="宋体" w:cs="宋体"/>
                <w:b w:val="0"/>
                <w:bCs w:val="0"/>
                <w:snapToGrid w:val="0"/>
                <w:color w:val="auto"/>
                <w:kern w:val="0"/>
                <w:sz w:val="21"/>
                <w:szCs w:val="21"/>
                <w:highlight w:val="none"/>
                <w:lang w:bidi="ar"/>
              </w:rPr>
              <w:t>3</w:t>
            </w:r>
            <w:r>
              <w:rPr>
                <w:rFonts w:hint="eastAsia" w:ascii="宋体" w:hAnsi="宋体" w:eastAsia="宋体" w:cs="宋体"/>
                <w:snapToGrid w:val="0"/>
                <w:color w:val="auto"/>
                <w:kern w:val="0"/>
                <w:sz w:val="21"/>
                <w:szCs w:val="21"/>
                <w:highlight w:val="none"/>
                <w:lang w:bidi="ar"/>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60A8CE7A">
            <w:pPr>
              <w:numPr>
                <w:ilvl w:val="0"/>
                <w:numId w:val="0"/>
              </w:numPr>
              <w:spacing w:line="360" w:lineRule="auto"/>
              <w:ind w:leftChars="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lang w:val="en-US" w:eastAsia="zh-CN"/>
              </w:rPr>
              <w:t>具有</w:t>
            </w:r>
            <w:r>
              <w:rPr>
                <w:rFonts w:hint="eastAsia" w:ascii="宋体" w:hAnsi="宋体" w:eastAsia="宋体" w:cs="宋体"/>
                <w:snapToGrid w:val="0"/>
                <w:color w:val="auto"/>
                <w:kern w:val="0"/>
                <w:sz w:val="21"/>
                <w:szCs w:val="21"/>
                <w:highlight w:val="none"/>
              </w:rPr>
              <w:t>质量管理体系认证证书、环境管理体系认证证书、职业健康安全管理体系认证证书的，每项得</w:t>
            </w:r>
            <w:r>
              <w:rPr>
                <w:rFonts w:hint="eastAsia" w:ascii="宋体" w:hAnsi="宋体" w:eastAsia="宋体" w:cs="宋体"/>
                <w:snapToGrid w:val="0"/>
                <w:color w:val="auto"/>
                <w:kern w:val="0"/>
                <w:sz w:val="21"/>
                <w:szCs w:val="21"/>
                <w:highlight w:val="none"/>
                <w:lang w:val="en-US" w:eastAsia="zh-CN"/>
              </w:rPr>
              <w:t>0.6</w:t>
            </w:r>
            <w:r>
              <w:rPr>
                <w:rFonts w:hint="eastAsia" w:ascii="宋体" w:hAnsi="宋体" w:eastAsia="宋体" w:cs="宋体"/>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同时具有其他工程相关管理体系认证证书的，每项得</w:t>
            </w:r>
            <w:r>
              <w:rPr>
                <w:rFonts w:hint="eastAsia" w:ascii="宋体" w:hAnsi="宋体" w:eastAsia="宋体" w:cs="宋体"/>
                <w:snapToGrid w:val="0"/>
                <w:color w:val="auto"/>
                <w:kern w:val="0"/>
                <w:sz w:val="21"/>
                <w:szCs w:val="21"/>
                <w:highlight w:val="none"/>
                <w:lang w:val="en-US" w:eastAsia="zh-CN"/>
              </w:rPr>
              <w:t>0.6</w:t>
            </w:r>
            <w:r>
              <w:rPr>
                <w:rFonts w:hint="eastAsia" w:ascii="宋体" w:hAnsi="宋体" w:eastAsia="宋体" w:cs="宋体"/>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最高得3分。</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69FFB0F7">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1．须提供相关有效期内的证书复印件并加盖公章，并在在国家认证认可监督管理委员会官网（http://www.cnca.gov.cn/)可查，提供查询截图加盖公章。未按要求提供材料不得分。</w:t>
            </w:r>
          </w:p>
          <w:p w14:paraId="770A5947">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2．任一认证证书有以下情形之一的，该认证证书视为无效，不予计分：</w:t>
            </w:r>
          </w:p>
          <w:p w14:paraId="2D6205D6">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①未提供认证证书扫描件的；</w:t>
            </w:r>
          </w:p>
          <w:p w14:paraId="16DC887A">
            <w:pPr>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②认证证书不在有效期内的。</w:t>
            </w:r>
          </w:p>
          <w:p w14:paraId="4C3C3C6D">
            <w:pPr>
              <w:pStyle w:val="8"/>
              <w:rPr>
                <w:rFonts w:hint="default" w:eastAsia="宋体"/>
                <w:color w:val="auto"/>
                <w:lang w:val="en-US" w:eastAsia="zh-CN"/>
              </w:rPr>
            </w:pPr>
            <w:r>
              <w:rPr>
                <w:rFonts w:hint="eastAsia" w:hAnsi="宋体" w:eastAsia="宋体" w:cs="宋体"/>
                <w:b/>
                <w:bCs/>
                <w:snapToGrid w:val="0"/>
                <w:color w:val="auto"/>
                <w:kern w:val="0"/>
                <w:sz w:val="21"/>
                <w:szCs w:val="21"/>
                <w:highlight w:val="none"/>
                <w:lang w:val="en-US" w:eastAsia="zh-CN"/>
              </w:rPr>
              <w:t>3.如联合体投标的由联合体牵头方提供。</w:t>
            </w:r>
          </w:p>
        </w:tc>
      </w:tr>
      <w:tr w14:paraId="05C5A4C5">
        <w:tblPrEx>
          <w:tblCellMar>
            <w:top w:w="0" w:type="dxa"/>
            <w:left w:w="108" w:type="dxa"/>
            <w:bottom w:w="0" w:type="dxa"/>
            <w:right w:w="108" w:type="dxa"/>
          </w:tblCellMar>
        </w:tblPrEx>
        <w:trPr>
          <w:trHeight w:val="90"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6434D977">
            <w:pPr>
              <w:pStyle w:val="8"/>
              <w:adjustRightInd w:val="0"/>
              <w:snapToGrid w:val="0"/>
              <w:spacing w:after="0" w:line="360" w:lineRule="auto"/>
              <w:rPr>
                <w:rFonts w:hint="eastAsia" w:ascii="宋体" w:hAnsi="宋体" w:eastAsia="宋体" w:cs="宋体"/>
                <w:snapToGrid w:val="0"/>
                <w:color w:val="auto"/>
                <w:kern w:val="0"/>
                <w:sz w:val="21"/>
                <w:szCs w:val="21"/>
                <w:highlight w:val="none"/>
                <w:lang w:bidi="ar"/>
              </w:rPr>
            </w:pPr>
          </w:p>
          <w:p w14:paraId="73C50C0D">
            <w:pPr>
              <w:pStyle w:val="8"/>
              <w:adjustRightInd w:val="0"/>
              <w:snapToGrid w:val="0"/>
              <w:spacing w:after="0"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保障服务</w:t>
            </w:r>
          </w:p>
          <w:p w14:paraId="75BA8780">
            <w:pPr>
              <w:pStyle w:val="8"/>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（5分）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46919582">
            <w:pPr>
              <w:pStyle w:val="8"/>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在施工过程中，为保障附近工厂及周边居民正常用电，在停电过程中，需提供保供电车支援，本电力项目的关键保供电过程中能提供：保供电车3台或以上的得 5分，提供1-2台的得2分，无则不得分。</w:t>
            </w:r>
          </w:p>
          <w:p w14:paraId="30621FCA">
            <w:pPr>
              <w:pStyle w:val="8"/>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本项最高得5分。</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4BB360DF">
            <w:pPr>
              <w:spacing w:line="360" w:lineRule="auto"/>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自身拥有保电车辆的需提供行驶证</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rPr>
              <w:t>；使用租赁保供电车辆的需提供行驶证</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rPr>
              <w:t>及租赁合同</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rPr>
              <w:t>。相关证件应在有效期内。</w:t>
            </w:r>
          </w:p>
          <w:p w14:paraId="3F093F1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注：施工工程中需要保供电车到现场保电，如提供不了由中标人负责所有损失费用。</w:t>
            </w:r>
          </w:p>
          <w:p w14:paraId="0669D06B">
            <w:pPr>
              <w:pStyle w:val="8"/>
              <w:rPr>
                <w:rFonts w:hint="default" w:eastAsia="宋体"/>
                <w:color w:val="auto"/>
                <w:lang w:val="en-US" w:eastAsia="zh-CN"/>
              </w:rPr>
            </w:pPr>
            <w:r>
              <w:rPr>
                <w:rFonts w:hint="eastAsia" w:hAnsi="宋体" w:eastAsia="宋体" w:cs="宋体"/>
                <w:b/>
                <w:bCs/>
                <w:color w:val="auto"/>
                <w:sz w:val="21"/>
                <w:szCs w:val="21"/>
                <w:highlight w:val="none"/>
                <w:lang w:val="en-US" w:eastAsia="zh-CN"/>
              </w:rPr>
              <w:t>2.</w:t>
            </w:r>
            <w:r>
              <w:rPr>
                <w:rFonts w:hint="eastAsia" w:hAnsi="宋体" w:eastAsia="宋体" w:cs="宋体"/>
                <w:b/>
                <w:bCs/>
                <w:snapToGrid w:val="0"/>
                <w:color w:val="auto"/>
                <w:kern w:val="0"/>
                <w:sz w:val="21"/>
                <w:szCs w:val="21"/>
                <w:highlight w:val="none"/>
                <w:lang w:val="en-US" w:eastAsia="zh-CN"/>
              </w:rPr>
              <w:t>如联合体投标的由联合体牵头方提供。</w:t>
            </w:r>
          </w:p>
          <w:p w14:paraId="798C5E20">
            <w:pPr>
              <w:pStyle w:val="25"/>
              <w:spacing w:line="360" w:lineRule="auto"/>
              <w:ind w:left="0" w:leftChars="0" w:firstLine="0" w:firstLineChars="0"/>
              <w:rPr>
                <w:rFonts w:hint="eastAsia" w:ascii="宋体" w:hAnsi="宋体" w:eastAsia="宋体" w:cs="宋体"/>
                <w:snapToGrid w:val="0"/>
                <w:color w:val="auto"/>
                <w:kern w:val="0"/>
                <w:sz w:val="24"/>
                <w:szCs w:val="24"/>
                <w:highlight w:val="none"/>
              </w:rPr>
            </w:pPr>
          </w:p>
        </w:tc>
      </w:tr>
      <w:tr w14:paraId="7B18E4C6">
        <w:tblPrEx>
          <w:tblCellMar>
            <w:top w:w="0" w:type="dxa"/>
            <w:left w:w="108" w:type="dxa"/>
            <w:bottom w:w="0" w:type="dxa"/>
            <w:right w:w="108" w:type="dxa"/>
          </w:tblCellMar>
        </w:tblPrEx>
        <w:trPr>
          <w:trHeight w:val="472" w:hRule="exact"/>
          <w:jc w:val="center"/>
        </w:trPr>
        <w:tc>
          <w:tcPr>
            <w:tcW w:w="945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504AF483">
            <w:pPr>
              <w:pStyle w:val="8"/>
              <w:wordWrap w:val="0"/>
              <w:adjustRightInd w:val="0"/>
              <w:snapToGrid w:val="0"/>
              <w:spacing w:after="0" w:line="440" w:lineRule="exact"/>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3</w:t>
            </w:r>
            <w:r>
              <w:rPr>
                <w:rFonts w:hint="eastAsia" w:ascii="宋体" w:hAnsi="宋体" w:eastAsia="宋体" w:cs="宋体"/>
                <w:b/>
                <w:bCs/>
                <w:snapToGrid w:val="0"/>
                <w:color w:val="auto"/>
                <w:kern w:val="0"/>
                <w:sz w:val="24"/>
                <w:szCs w:val="24"/>
                <w:highlight w:val="none"/>
                <w:u w:val="single"/>
              </w:rPr>
              <w:t xml:space="preserve">0  </w:t>
            </w:r>
            <w:r>
              <w:rPr>
                <w:rFonts w:hint="eastAsia" w:ascii="宋体" w:hAnsi="宋体" w:eastAsia="宋体" w:cs="宋体"/>
                <w:b/>
                <w:bCs/>
                <w:snapToGrid w:val="0"/>
                <w:color w:val="auto"/>
                <w:kern w:val="0"/>
                <w:sz w:val="24"/>
                <w:szCs w:val="24"/>
                <w:highlight w:val="none"/>
              </w:rPr>
              <w:t>分。</w:t>
            </w:r>
          </w:p>
        </w:tc>
      </w:tr>
      <w:tr w14:paraId="371BA184">
        <w:tblPrEx>
          <w:tblCellMar>
            <w:top w:w="0" w:type="dxa"/>
            <w:left w:w="108" w:type="dxa"/>
            <w:bottom w:w="0" w:type="dxa"/>
            <w:right w:w="108" w:type="dxa"/>
          </w:tblCellMar>
        </w:tblPrEx>
        <w:trPr>
          <w:trHeight w:val="456" w:hRule="exac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41372D8D">
            <w:pPr>
              <w:pStyle w:val="8"/>
              <w:wordWrap w:val="0"/>
              <w:adjustRightInd w:val="0"/>
              <w:snapToGrid w:val="0"/>
              <w:spacing w:after="0" w:line="44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4A104DFD">
            <w:pPr>
              <w:pStyle w:val="8"/>
              <w:wordWrap w:val="0"/>
              <w:adjustRightInd w:val="0"/>
              <w:snapToGrid w:val="0"/>
              <w:spacing w:after="0" w:line="44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650F49EB">
            <w:pPr>
              <w:pStyle w:val="8"/>
              <w:wordWrap w:val="0"/>
              <w:adjustRightInd w:val="0"/>
              <w:snapToGrid w:val="0"/>
              <w:spacing w:after="0" w:line="44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445505AC">
        <w:tblPrEx>
          <w:tblCellMar>
            <w:top w:w="0" w:type="dxa"/>
            <w:left w:w="108" w:type="dxa"/>
            <w:bottom w:w="0" w:type="dxa"/>
            <w:right w:w="108" w:type="dxa"/>
          </w:tblCellMar>
        </w:tblPrEx>
        <w:trPr>
          <w:trHeight w:val="5033"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5CF0BA73">
            <w:pPr>
              <w:pStyle w:val="75"/>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施工方案</w:t>
            </w:r>
          </w:p>
          <w:p w14:paraId="5C759861">
            <w:pPr>
              <w:pStyle w:val="8"/>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570C676F">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6C9542F6">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55FF7A6E">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3BF6200A">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0%～</w:t>
            </w:r>
            <w:r>
              <w:rPr>
                <w:rFonts w:hint="eastAsia" w:hAnsi="宋体" w:eastAsia="宋体" w:cs="宋体"/>
                <w:snapToGrid w:val="0"/>
                <w:color w:val="auto"/>
                <w:kern w:val="0"/>
                <w:sz w:val="21"/>
                <w:szCs w:val="21"/>
                <w:highlight w:val="none"/>
                <w:lang w:val="en-US" w:eastAsia="zh-CN"/>
              </w:rPr>
              <w:t>70</w:t>
            </w:r>
            <w:r>
              <w:rPr>
                <w:rFonts w:hint="eastAsia" w:ascii="宋体" w:hAnsi="宋体" w:eastAsia="宋体" w:cs="宋体"/>
                <w:snapToGrid w:val="0"/>
                <w:color w:val="auto"/>
                <w:kern w:val="0"/>
                <w:sz w:val="21"/>
                <w:szCs w:val="21"/>
                <w:highlight w:val="none"/>
              </w:rPr>
              <w:t>%（含</w:t>
            </w:r>
            <w:r>
              <w:rPr>
                <w:rFonts w:hint="eastAsia"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0%）。</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3E2C58AA">
            <w:pPr>
              <w:pStyle w:val="8"/>
              <w:adjustRightInd w:val="0"/>
              <w:snapToGrid w:val="0"/>
              <w:spacing w:after="0" w:line="360" w:lineRule="auto"/>
              <w:jc w:val="left"/>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snapToGrid w:val="0"/>
                <w:color w:val="auto"/>
                <w:kern w:val="0"/>
                <w:sz w:val="21"/>
                <w:szCs w:val="21"/>
                <w:highlight w:val="none"/>
              </w:rPr>
              <w:t>【优】</w:t>
            </w:r>
            <w:r>
              <w:rPr>
                <w:rFonts w:hint="eastAsia" w:ascii="宋体" w:hAnsi="宋体" w:eastAsia="宋体" w:cs="宋体"/>
                <w:color w:val="auto"/>
                <w:kern w:val="2"/>
                <w:sz w:val="21"/>
                <w:szCs w:val="21"/>
                <w:highlight w:val="none"/>
                <w:lang w:val="en-US" w:eastAsia="zh-CN" w:bidi="ar-SA"/>
              </w:rPr>
              <w:t>对工程状况了解全面，对于工程特点、难点、重点问题分析全面，有详细、具体的应对措施，各分项施工工艺论述细致严谨，施工工序搭接安排合理。</w:t>
            </w:r>
          </w:p>
          <w:p w14:paraId="15D34E19">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w:t>
            </w:r>
            <w:r>
              <w:rPr>
                <w:rFonts w:hint="eastAsia" w:ascii="宋体" w:hAnsi="宋体" w:eastAsia="宋体" w:cs="宋体"/>
                <w:color w:val="auto"/>
                <w:kern w:val="2"/>
                <w:sz w:val="21"/>
                <w:szCs w:val="21"/>
                <w:highlight w:val="none"/>
                <w:lang w:val="en-US" w:eastAsia="zh-CN" w:bidi="ar-SA"/>
              </w:rPr>
              <w:t>对工程状况有</w:t>
            </w:r>
            <w:r>
              <w:rPr>
                <w:rFonts w:hint="eastAsia" w:ascii="宋体" w:hAnsi="宋体" w:eastAsia="宋体" w:cs="宋体"/>
                <w:snapToGrid w:val="0"/>
                <w:color w:val="auto"/>
                <w:kern w:val="0"/>
                <w:sz w:val="21"/>
                <w:szCs w:val="21"/>
                <w:highlight w:val="none"/>
              </w:rPr>
              <w:t>一定</w:t>
            </w:r>
            <w:r>
              <w:rPr>
                <w:rFonts w:hint="eastAsia" w:ascii="宋体" w:hAnsi="宋体" w:eastAsia="宋体" w:cs="宋体"/>
                <w:snapToGrid w:val="0"/>
                <w:color w:val="auto"/>
                <w:kern w:val="0"/>
                <w:sz w:val="21"/>
                <w:szCs w:val="21"/>
                <w:highlight w:val="none"/>
                <w:lang w:val="en-US" w:eastAsia="zh-CN"/>
              </w:rPr>
              <w:t>了解</w:t>
            </w:r>
            <w:r>
              <w:rPr>
                <w:rFonts w:hint="eastAsia" w:ascii="宋体" w:hAnsi="宋体" w:eastAsia="宋体" w:cs="宋体"/>
                <w:color w:val="auto"/>
                <w:kern w:val="2"/>
                <w:sz w:val="21"/>
                <w:szCs w:val="21"/>
                <w:highlight w:val="none"/>
                <w:lang w:val="en-US" w:eastAsia="zh-CN" w:bidi="ar-SA"/>
              </w:rPr>
              <w:t>，对于工程难点、重点问题</w:t>
            </w:r>
            <w:r>
              <w:rPr>
                <w:rFonts w:hint="eastAsia" w:ascii="宋体" w:hAnsi="宋体" w:eastAsia="宋体" w:cs="宋体"/>
                <w:snapToGrid w:val="0"/>
                <w:color w:val="auto"/>
                <w:kern w:val="0"/>
                <w:sz w:val="21"/>
                <w:szCs w:val="21"/>
                <w:highlight w:val="none"/>
              </w:rPr>
              <w:t>表述清晰、完整，措施具体有效；施工段划分呼应总体表述，划分清晰，符合规范要求。</w:t>
            </w:r>
          </w:p>
          <w:p w14:paraId="1FE66207">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【中】对项目有认识，有一定的措施但部分不具体；施工段划分较合理，符合规范要求。</w:t>
            </w:r>
          </w:p>
          <w:p w14:paraId="6710C9FE">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2B33D507">
        <w:tblPrEx>
          <w:tblCellMar>
            <w:top w:w="0" w:type="dxa"/>
            <w:left w:w="108" w:type="dxa"/>
            <w:bottom w:w="0" w:type="dxa"/>
            <w:right w:w="108" w:type="dxa"/>
          </w:tblCellMar>
        </w:tblPrEx>
        <w:trPr>
          <w:trHeight w:val="4897"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67859F3A">
            <w:pPr>
              <w:spacing w:line="400" w:lineRule="exact"/>
              <w:jc w:val="center"/>
              <w:rPr>
                <w:rFonts w:hint="eastAsia" w:asciiTheme="minorEastAsia" w:hAnsiTheme="minorEastAsia" w:eastAsiaTheme="minorEastAsia" w:cstheme="minorEastAsia"/>
                <w:b w:val="0"/>
                <w:bCs w:val="0"/>
                <w:color w:val="auto"/>
                <w:spacing w:val="-2"/>
                <w:sz w:val="21"/>
                <w:szCs w:val="21"/>
                <w:highlight w:val="none"/>
              </w:rPr>
            </w:pPr>
            <w:r>
              <w:rPr>
                <w:rFonts w:hint="eastAsia" w:asciiTheme="minorEastAsia" w:hAnsiTheme="minorEastAsia" w:eastAsiaTheme="minorEastAsia" w:cstheme="minorEastAsia"/>
                <w:b w:val="0"/>
                <w:bCs w:val="0"/>
                <w:color w:val="auto"/>
                <w:spacing w:val="-2"/>
                <w:sz w:val="21"/>
                <w:szCs w:val="21"/>
                <w:highlight w:val="none"/>
              </w:rPr>
              <w:t>设计方案思路</w:t>
            </w:r>
          </w:p>
          <w:p w14:paraId="5A2E7E88">
            <w:pPr>
              <w:pStyle w:val="8"/>
              <w:wordWrap w:val="0"/>
              <w:autoSpaceDE w:val="0"/>
              <w:adjustRightInd w:val="0"/>
              <w:snapToGrid w:val="0"/>
              <w:jc w:val="center"/>
              <w:rPr>
                <w:rFonts w:hint="eastAsia" w:ascii="宋体" w:hAnsi="宋体" w:eastAsia="宋体" w:cs="宋体"/>
                <w:snapToGrid w:val="0"/>
                <w:color w:val="auto"/>
                <w:kern w:val="0"/>
                <w:sz w:val="21"/>
                <w:szCs w:val="21"/>
                <w:highlight w:val="none"/>
              </w:rPr>
            </w:pPr>
            <w:r>
              <w:rPr>
                <w:rFonts w:hint="eastAsia" w:asciiTheme="minorEastAsia" w:hAnsiTheme="minorEastAsia" w:eastAsiaTheme="minorEastAsia" w:cstheme="minorEastAsia"/>
                <w:b w:val="0"/>
                <w:bCs w:val="0"/>
                <w:color w:val="auto"/>
                <w:spacing w:val="-2"/>
                <w:sz w:val="21"/>
                <w:szCs w:val="21"/>
                <w:highlight w:val="none"/>
              </w:rPr>
              <w:t>（</w:t>
            </w:r>
            <w:r>
              <w:rPr>
                <w:rFonts w:hint="eastAsia" w:asciiTheme="minorEastAsia" w:hAnsiTheme="minorEastAsia" w:eastAsiaTheme="minorEastAsia" w:cstheme="minorEastAsia"/>
                <w:b w:val="0"/>
                <w:bCs w:val="0"/>
                <w:color w:val="auto"/>
                <w:spacing w:val="-2"/>
                <w:sz w:val="21"/>
                <w:szCs w:val="21"/>
                <w:highlight w:val="none"/>
                <w:lang w:val="en-US" w:eastAsia="zh-CN"/>
              </w:rPr>
              <w:t>3</w:t>
            </w:r>
            <w:r>
              <w:rPr>
                <w:rFonts w:hint="eastAsia" w:asciiTheme="minorEastAsia" w:hAnsiTheme="minorEastAsia" w:eastAsiaTheme="minorEastAsia" w:cstheme="minorEastAsia"/>
                <w:b w:val="0"/>
                <w:bCs w:val="0"/>
                <w:color w:val="auto"/>
                <w:spacing w:val="-2"/>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20DBB491">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5A5EA40B">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22606898">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6AB63DBE">
            <w:pPr>
              <w:rPr>
                <w:color w:val="auto"/>
              </w:rPr>
            </w:pPr>
            <w:r>
              <w:rPr>
                <w:rFonts w:hint="eastAsia" w:ascii="宋体" w:hAnsi="宋体" w:eastAsia="宋体" w:cs="宋体"/>
                <w:snapToGrid w:val="0"/>
                <w:color w:val="auto"/>
                <w:kern w:val="0"/>
                <w:sz w:val="21"/>
                <w:szCs w:val="21"/>
                <w:highlight w:val="none"/>
              </w:rPr>
              <w:t>【差】得该项评分因素分值的60%～70%（含60%）。</w:t>
            </w:r>
          </w:p>
          <w:p w14:paraId="4C3A0A06">
            <w:pPr>
              <w:rPr>
                <w:color w:val="auto"/>
              </w:rPr>
            </w:pPr>
          </w:p>
          <w:p w14:paraId="3265FAA9">
            <w:pPr>
              <w:rPr>
                <w:color w:val="auto"/>
              </w:rPr>
            </w:pPr>
          </w:p>
          <w:p w14:paraId="54114C94">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p>
        </w:tc>
        <w:tc>
          <w:tcPr>
            <w:tcW w:w="4463" w:type="dxa"/>
            <w:tcBorders>
              <w:top w:val="single" w:color="auto" w:sz="4" w:space="0"/>
              <w:left w:val="single" w:color="auto" w:sz="4" w:space="0"/>
              <w:bottom w:val="single" w:color="auto" w:sz="4" w:space="0"/>
              <w:right w:val="single" w:color="auto" w:sz="4" w:space="0"/>
            </w:tcBorders>
            <w:noWrap w:val="0"/>
            <w:vAlign w:val="center"/>
          </w:tcPr>
          <w:p w14:paraId="77D21567">
            <w:pPr>
              <w:spacing w:line="400" w:lineRule="exact"/>
              <w:jc w:val="left"/>
              <w:rPr>
                <w:rFonts w:hint="eastAsia" w:asciiTheme="minorEastAsia" w:hAnsiTheme="minorEastAsia" w:eastAsiaTheme="minorEastAsia" w:cstheme="minorEastAsia"/>
                <w:b w:val="0"/>
                <w:bCs w:val="0"/>
                <w:color w:val="auto"/>
                <w:spacing w:val="-2"/>
                <w:sz w:val="21"/>
                <w:szCs w:val="21"/>
                <w:highlight w:val="none"/>
              </w:rPr>
            </w:pPr>
            <w:r>
              <w:rPr>
                <w:rFonts w:hint="eastAsia" w:asciiTheme="minorEastAsia" w:hAnsiTheme="minorEastAsia" w:eastAsiaTheme="minorEastAsia" w:cstheme="minorEastAsia"/>
                <w:b w:val="0"/>
                <w:bCs w:val="0"/>
                <w:color w:val="auto"/>
                <w:spacing w:val="-2"/>
                <w:sz w:val="21"/>
                <w:szCs w:val="21"/>
                <w:highlight w:val="none"/>
              </w:rPr>
              <w:t>【优】方案能对项目设计所涉及的相关方面问题提出设计思路、经济性及分析</w:t>
            </w:r>
            <w:r>
              <w:rPr>
                <w:rFonts w:hint="eastAsia" w:asciiTheme="minorEastAsia" w:hAnsiTheme="minorEastAsia" w:eastAsiaTheme="minorEastAsia" w:cstheme="minorEastAsia"/>
                <w:b w:val="0"/>
                <w:bCs w:val="0"/>
                <w:color w:val="auto"/>
                <w:spacing w:val="-2"/>
                <w:sz w:val="21"/>
                <w:szCs w:val="21"/>
                <w:highlight w:val="none"/>
                <w:lang w:val="en-US" w:eastAsia="zh-CN"/>
              </w:rPr>
              <w:t>全面、合理、详细</w:t>
            </w:r>
            <w:r>
              <w:rPr>
                <w:rFonts w:hint="eastAsia" w:asciiTheme="minorEastAsia" w:hAnsiTheme="minorEastAsia" w:eastAsiaTheme="minorEastAsia" w:cstheme="minorEastAsia"/>
                <w:b w:val="0"/>
                <w:bCs w:val="0"/>
                <w:color w:val="auto"/>
                <w:spacing w:val="-2"/>
                <w:sz w:val="21"/>
                <w:szCs w:val="21"/>
                <w:highlight w:val="none"/>
              </w:rPr>
              <w:t>的</w:t>
            </w:r>
          </w:p>
          <w:p w14:paraId="60EAA7C5">
            <w:pPr>
              <w:spacing w:line="400" w:lineRule="exact"/>
              <w:jc w:val="left"/>
              <w:rPr>
                <w:rFonts w:hint="eastAsia" w:asciiTheme="minorEastAsia" w:hAnsiTheme="minorEastAsia" w:eastAsiaTheme="minorEastAsia" w:cstheme="minorEastAsia"/>
                <w:b w:val="0"/>
                <w:bCs w:val="0"/>
                <w:color w:val="auto"/>
                <w:spacing w:val="-2"/>
                <w:sz w:val="21"/>
                <w:szCs w:val="21"/>
                <w:highlight w:val="none"/>
              </w:rPr>
            </w:pPr>
            <w:r>
              <w:rPr>
                <w:rFonts w:hint="eastAsia" w:asciiTheme="minorEastAsia" w:hAnsiTheme="minorEastAsia" w:eastAsiaTheme="minorEastAsia" w:cstheme="minorEastAsia"/>
                <w:b w:val="0"/>
                <w:bCs w:val="0"/>
                <w:color w:val="auto"/>
                <w:spacing w:val="-2"/>
                <w:sz w:val="21"/>
                <w:szCs w:val="21"/>
                <w:highlight w:val="none"/>
              </w:rPr>
              <w:t>【</w:t>
            </w:r>
            <w:r>
              <w:rPr>
                <w:rFonts w:hint="eastAsia" w:asciiTheme="minorEastAsia" w:hAnsiTheme="minorEastAsia" w:eastAsiaTheme="minorEastAsia" w:cstheme="minorEastAsia"/>
                <w:b w:val="0"/>
                <w:bCs w:val="0"/>
                <w:color w:val="auto"/>
                <w:spacing w:val="-2"/>
                <w:sz w:val="21"/>
                <w:szCs w:val="21"/>
                <w:highlight w:val="none"/>
                <w:lang w:val="en-US" w:eastAsia="zh-CN"/>
              </w:rPr>
              <w:t>良</w:t>
            </w:r>
            <w:r>
              <w:rPr>
                <w:rFonts w:hint="eastAsia" w:asciiTheme="minorEastAsia" w:hAnsiTheme="minorEastAsia" w:eastAsiaTheme="minorEastAsia" w:cstheme="minorEastAsia"/>
                <w:b w:val="0"/>
                <w:bCs w:val="0"/>
                <w:color w:val="auto"/>
                <w:spacing w:val="-2"/>
                <w:sz w:val="21"/>
                <w:szCs w:val="21"/>
                <w:highlight w:val="none"/>
              </w:rPr>
              <w:t>】方案能对项目设计所涉及的相关方面问题</w:t>
            </w:r>
          </w:p>
          <w:p w14:paraId="61A28D3C">
            <w:pPr>
              <w:spacing w:line="400" w:lineRule="exact"/>
              <w:jc w:val="left"/>
              <w:rPr>
                <w:rFonts w:hint="eastAsia" w:asciiTheme="minorEastAsia" w:hAnsiTheme="minorEastAsia" w:eastAsiaTheme="minorEastAsia" w:cstheme="minorEastAsia"/>
                <w:b w:val="0"/>
                <w:bCs w:val="0"/>
                <w:color w:val="auto"/>
                <w:spacing w:val="-2"/>
                <w:sz w:val="21"/>
                <w:szCs w:val="21"/>
                <w:highlight w:val="none"/>
              </w:rPr>
            </w:pPr>
            <w:r>
              <w:rPr>
                <w:rFonts w:hint="eastAsia" w:asciiTheme="minorEastAsia" w:hAnsiTheme="minorEastAsia" w:eastAsiaTheme="minorEastAsia" w:cstheme="minorEastAsia"/>
                <w:b w:val="0"/>
                <w:bCs w:val="0"/>
                <w:color w:val="auto"/>
                <w:spacing w:val="-2"/>
                <w:sz w:val="21"/>
                <w:szCs w:val="21"/>
                <w:highlight w:val="none"/>
                <w:lang w:val="en-US" w:eastAsia="zh-CN"/>
              </w:rPr>
              <w:t>有一定了解，</w:t>
            </w:r>
            <w:r>
              <w:rPr>
                <w:rFonts w:hint="eastAsia" w:asciiTheme="minorEastAsia" w:hAnsiTheme="minorEastAsia" w:eastAsiaTheme="minorEastAsia" w:cstheme="minorEastAsia"/>
                <w:b w:val="0"/>
                <w:bCs w:val="0"/>
                <w:color w:val="auto"/>
                <w:spacing w:val="-2"/>
                <w:sz w:val="21"/>
                <w:szCs w:val="21"/>
                <w:highlight w:val="none"/>
              </w:rPr>
              <w:t>提出合理设计思路、经济性及分析</w:t>
            </w:r>
            <w:r>
              <w:rPr>
                <w:rFonts w:hint="eastAsia" w:asciiTheme="minorEastAsia" w:hAnsiTheme="minorEastAsia" w:eastAsiaTheme="minorEastAsia" w:cstheme="minorEastAsia"/>
                <w:b w:val="0"/>
                <w:bCs w:val="0"/>
                <w:color w:val="auto"/>
                <w:spacing w:val="-2"/>
                <w:sz w:val="21"/>
                <w:szCs w:val="21"/>
                <w:highlight w:val="none"/>
                <w:lang w:val="en-US" w:eastAsia="zh-CN"/>
              </w:rPr>
              <w:t>较全面</w:t>
            </w:r>
            <w:r>
              <w:rPr>
                <w:rFonts w:hint="eastAsia" w:asciiTheme="minorEastAsia" w:hAnsiTheme="minorEastAsia" w:eastAsiaTheme="minorEastAsia" w:cstheme="minorEastAsia"/>
                <w:b w:val="0"/>
                <w:bCs w:val="0"/>
                <w:color w:val="auto"/>
                <w:spacing w:val="-2"/>
                <w:sz w:val="21"/>
                <w:szCs w:val="21"/>
                <w:highlight w:val="none"/>
              </w:rPr>
              <w:t>的；</w:t>
            </w:r>
          </w:p>
          <w:p w14:paraId="35098BAF">
            <w:pPr>
              <w:spacing w:line="400" w:lineRule="exact"/>
              <w:jc w:val="left"/>
              <w:rPr>
                <w:rFonts w:hint="eastAsia" w:asciiTheme="minorEastAsia" w:hAnsiTheme="minorEastAsia" w:eastAsiaTheme="minorEastAsia" w:cstheme="minorEastAsia"/>
                <w:b w:val="0"/>
                <w:bCs w:val="0"/>
                <w:color w:val="auto"/>
                <w:spacing w:val="-2"/>
                <w:sz w:val="21"/>
                <w:szCs w:val="21"/>
                <w:highlight w:val="none"/>
              </w:rPr>
            </w:pPr>
            <w:r>
              <w:rPr>
                <w:rFonts w:hint="eastAsia" w:ascii="宋体" w:hAnsi="宋体" w:eastAsia="宋体" w:cs="宋体"/>
                <w:snapToGrid w:val="0"/>
                <w:color w:val="auto"/>
                <w:kern w:val="0"/>
                <w:sz w:val="21"/>
                <w:szCs w:val="21"/>
                <w:highlight w:val="none"/>
              </w:rPr>
              <w:t>【中】</w:t>
            </w:r>
            <w:r>
              <w:rPr>
                <w:rFonts w:hint="eastAsia" w:asciiTheme="minorEastAsia" w:hAnsiTheme="minorEastAsia" w:eastAsiaTheme="minorEastAsia" w:cstheme="minorEastAsia"/>
                <w:b w:val="0"/>
                <w:bCs w:val="0"/>
                <w:color w:val="auto"/>
                <w:spacing w:val="-2"/>
                <w:sz w:val="21"/>
                <w:szCs w:val="21"/>
                <w:highlight w:val="none"/>
              </w:rPr>
              <w:t>方案能对项目设计所涉及的相关方面问题</w:t>
            </w:r>
          </w:p>
          <w:p w14:paraId="49EDCC4E">
            <w:pPr>
              <w:adjustRightInd w:val="0"/>
              <w:snapToGrid w:val="0"/>
              <w:spacing w:after="0" w:line="400" w:lineRule="exact"/>
              <w:jc w:val="left"/>
              <w:rPr>
                <w:rFonts w:hint="eastAsia" w:ascii="宋体" w:hAnsi="宋体" w:eastAsia="宋体" w:cs="宋体"/>
                <w:snapToGrid w:val="0"/>
                <w:color w:val="auto"/>
                <w:kern w:val="0"/>
                <w:sz w:val="21"/>
                <w:szCs w:val="21"/>
                <w:highlight w:val="none"/>
              </w:rPr>
            </w:pPr>
            <w:r>
              <w:rPr>
                <w:rFonts w:hint="eastAsia" w:asciiTheme="minorEastAsia" w:hAnsiTheme="minorEastAsia" w:eastAsiaTheme="minorEastAsia" w:cstheme="minorEastAsia"/>
                <w:b w:val="0"/>
                <w:bCs w:val="0"/>
                <w:color w:val="auto"/>
                <w:spacing w:val="-2"/>
                <w:sz w:val="21"/>
                <w:szCs w:val="21"/>
                <w:highlight w:val="none"/>
                <w:lang w:val="en-US" w:eastAsia="zh-CN"/>
              </w:rPr>
              <w:t>有认识，</w:t>
            </w:r>
            <w:r>
              <w:rPr>
                <w:rFonts w:hint="eastAsia" w:asciiTheme="minorEastAsia" w:hAnsiTheme="minorEastAsia" w:eastAsiaTheme="minorEastAsia" w:cstheme="minorEastAsia"/>
                <w:b w:val="0"/>
                <w:bCs w:val="0"/>
                <w:color w:val="auto"/>
                <w:spacing w:val="-2"/>
                <w:sz w:val="21"/>
                <w:szCs w:val="21"/>
                <w:highlight w:val="none"/>
              </w:rPr>
              <w:t>提出设计思路、经济性及分析</w:t>
            </w:r>
            <w:r>
              <w:rPr>
                <w:rFonts w:hint="eastAsia" w:asciiTheme="minorEastAsia" w:hAnsiTheme="minorEastAsia" w:eastAsiaTheme="minorEastAsia" w:cstheme="minorEastAsia"/>
                <w:b w:val="0"/>
                <w:bCs w:val="0"/>
                <w:color w:val="auto"/>
                <w:spacing w:val="-2"/>
                <w:sz w:val="21"/>
                <w:szCs w:val="21"/>
                <w:highlight w:val="none"/>
                <w:lang w:val="en-US" w:eastAsia="zh-CN"/>
              </w:rPr>
              <w:t>较部分不具体的</w:t>
            </w:r>
            <w:r>
              <w:rPr>
                <w:rFonts w:hint="eastAsia" w:asciiTheme="minorEastAsia" w:hAnsiTheme="minorEastAsia" w:eastAsiaTheme="minorEastAsia" w:cstheme="minorEastAsia"/>
                <w:b w:val="0"/>
                <w:bCs w:val="0"/>
                <w:color w:val="auto"/>
                <w:spacing w:val="-2"/>
                <w:sz w:val="21"/>
                <w:szCs w:val="21"/>
                <w:highlight w:val="none"/>
              </w:rPr>
              <w:t>；</w:t>
            </w:r>
          </w:p>
          <w:p w14:paraId="45C622B8">
            <w:pPr>
              <w:spacing w:line="400" w:lineRule="exact"/>
              <w:jc w:val="left"/>
              <w:rPr>
                <w:rFonts w:hint="eastAsia" w:asciiTheme="minorEastAsia" w:hAnsiTheme="minorEastAsia" w:eastAsiaTheme="minorEastAsia" w:cstheme="minorEastAsia"/>
                <w:b w:val="0"/>
                <w:bCs w:val="0"/>
                <w:color w:val="auto"/>
                <w:spacing w:val="-2"/>
                <w:sz w:val="21"/>
                <w:szCs w:val="21"/>
                <w:highlight w:val="none"/>
              </w:rPr>
            </w:pPr>
            <w:r>
              <w:rPr>
                <w:rFonts w:hint="eastAsia" w:ascii="宋体" w:hAnsi="宋体" w:eastAsia="宋体" w:cs="宋体"/>
                <w:snapToGrid w:val="0"/>
                <w:color w:val="auto"/>
                <w:kern w:val="0"/>
                <w:sz w:val="21"/>
                <w:szCs w:val="21"/>
                <w:highlight w:val="none"/>
              </w:rPr>
              <w:t>【差】</w:t>
            </w:r>
            <w:r>
              <w:rPr>
                <w:rFonts w:hint="eastAsia" w:asciiTheme="minorEastAsia" w:hAnsiTheme="minorEastAsia" w:eastAsiaTheme="minorEastAsia" w:cstheme="minorEastAsia"/>
                <w:b w:val="0"/>
                <w:bCs w:val="0"/>
                <w:color w:val="auto"/>
                <w:spacing w:val="-2"/>
                <w:sz w:val="21"/>
                <w:szCs w:val="21"/>
                <w:highlight w:val="none"/>
              </w:rPr>
              <w:t>方案能对项目设计所涉及的相关方面问题</w:t>
            </w:r>
          </w:p>
          <w:p w14:paraId="48DE6C6B">
            <w:pPr>
              <w:rPr>
                <w:rFonts w:hint="eastAsia" w:ascii="宋体" w:hAnsi="宋体" w:eastAsia="宋体" w:cs="宋体"/>
                <w:snapToGrid w:val="0"/>
                <w:color w:val="auto"/>
                <w:kern w:val="0"/>
                <w:sz w:val="21"/>
                <w:szCs w:val="21"/>
                <w:highlight w:val="none"/>
              </w:rPr>
            </w:pPr>
            <w:r>
              <w:rPr>
                <w:rFonts w:hint="eastAsia" w:asciiTheme="minorEastAsia" w:hAnsiTheme="minorEastAsia" w:eastAsiaTheme="minorEastAsia" w:cstheme="minorEastAsia"/>
                <w:b w:val="0"/>
                <w:bCs w:val="0"/>
                <w:color w:val="auto"/>
                <w:spacing w:val="-2"/>
                <w:sz w:val="21"/>
                <w:szCs w:val="21"/>
                <w:highlight w:val="none"/>
                <w:lang w:val="en-US" w:eastAsia="zh-CN"/>
              </w:rPr>
              <w:t>认识不足，</w:t>
            </w:r>
            <w:r>
              <w:rPr>
                <w:rFonts w:hint="eastAsia" w:asciiTheme="minorEastAsia" w:hAnsiTheme="minorEastAsia" w:eastAsiaTheme="minorEastAsia" w:cstheme="minorEastAsia"/>
                <w:b w:val="0"/>
                <w:bCs w:val="0"/>
                <w:color w:val="auto"/>
                <w:spacing w:val="-2"/>
                <w:sz w:val="21"/>
                <w:szCs w:val="21"/>
                <w:highlight w:val="none"/>
              </w:rPr>
              <w:t>提出</w:t>
            </w:r>
            <w:r>
              <w:rPr>
                <w:rFonts w:hint="eastAsia" w:asciiTheme="minorEastAsia" w:hAnsiTheme="minorEastAsia" w:eastAsiaTheme="minorEastAsia" w:cstheme="minorEastAsia"/>
                <w:b w:val="0"/>
                <w:bCs w:val="0"/>
                <w:color w:val="auto"/>
                <w:spacing w:val="-2"/>
                <w:sz w:val="21"/>
                <w:szCs w:val="21"/>
                <w:highlight w:val="none"/>
                <w:lang w:val="en-US" w:eastAsia="zh-CN"/>
              </w:rPr>
              <w:t>的</w:t>
            </w:r>
            <w:r>
              <w:rPr>
                <w:rFonts w:hint="eastAsia" w:asciiTheme="minorEastAsia" w:hAnsiTheme="minorEastAsia" w:eastAsiaTheme="minorEastAsia" w:cstheme="minorEastAsia"/>
                <w:b w:val="0"/>
                <w:bCs w:val="0"/>
                <w:color w:val="auto"/>
                <w:spacing w:val="-2"/>
                <w:sz w:val="21"/>
                <w:szCs w:val="21"/>
                <w:highlight w:val="none"/>
              </w:rPr>
              <w:t>设计思路不具体、经济性及分析</w:t>
            </w:r>
            <w:r>
              <w:rPr>
                <w:rFonts w:hint="eastAsia" w:asciiTheme="minorEastAsia" w:hAnsiTheme="minorEastAsia" w:eastAsiaTheme="minorEastAsia" w:cstheme="minorEastAsia"/>
                <w:b w:val="0"/>
                <w:bCs w:val="0"/>
                <w:color w:val="auto"/>
                <w:spacing w:val="-2"/>
                <w:sz w:val="21"/>
                <w:szCs w:val="21"/>
                <w:highlight w:val="none"/>
                <w:lang w:val="en-US" w:eastAsia="zh-CN"/>
              </w:rPr>
              <w:t>不合理</w:t>
            </w:r>
            <w:r>
              <w:rPr>
                <w:rFonts w:hint="eastAsia" w:asciiTheme="minorEastAsia" w:hAnsiTheme="minorEastAsia" w:eastAsiaTheme="minorEastAsia" w:cstheme="minorEastAsia"/>
                <w:b w:val="0"/>
                <w:bCs w:val="0"/>
                <w:color w:val="auto"/>
                <w:spacing w:val="-2"/>
                <w:sz w:val="21"/>
                <w:szCs w:val="21"/>
                <w:highlight w:val="none"/>
              </w:rPr>
              <w:t>的</w:t>
            </w:r>
            <w:r>
              <w:rPr>
                <w:rFonts w:hint="eastAsia" w:asciiTheme="minorEastAsia" w:hAnsiTheme="minorEastAsia" w:eastAsiaTheme="minorEastAsia" w:cstheme="minorEastAsia"/>
                <w:b w:val="0"/>
                <w:bCs w:val="0"/>
                <w:color w:val="auto"/>
                <w:spacing w:val="-2"/>
                <w:sz w:val="21"/>
                <w:szCs w:val="21"/>
                <w:highlight w:val="none"/>
                <w:lang w:eastAsia="zh-CN"/>
              </w:rPr>
              <w:t>。</w:t>
            </w:r>
          </w:p>
        </w:tc>
      </w:tr>
      <w:tr w14:paraId="2F251EDC">
        <w:tblPrEx>
          <w:tblCellMar>
            <w:top w:w="0" w:type="dxa"/>
            <w:left w:w="108" w:type="dxa"/>
            <w:bottom w:w="0" w:type="dxa"/>
            <w:right w:w="108" w:type="dxa"/>
          </w:tblCellMar>
        </w:tblPrEx>
        <w:trPr>
          <w:trHeight w:val="457"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688B95B3">
            <w:pPr>
              <w:pStyle w:val="8"/>
              <w:adjustRightInd w:val="0"/>
              <w:snapToGrid w:val="0"/>
              <w:spacing w:after="0"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设备、材料采购方案</w:t>
            </w:r>
          </w:p>
          <w:p w14:paraId="1C6DA7DA">
            <w:pPr>
              <w:pStyle w:val="9"/>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1163CC00">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1D823774">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7621A251">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6F03BEE6">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0%～</w:t>
            </w:r>
            <w:r>
              <w:rPr>
                <w:rFonts w:hint="eastAsia"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0%（含</w:t>
            </w:r>
            <w:r>
              <w:rPr>
                <w:rFonts w:hint="eastAsia"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0%）。</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108151DE">
            <w:pPr>
              <w:pStyle w:val="8"/>
              <w:adjustRightInd w:val="0"/>
              <w:snapToGrid w:val="0"/>
              <w:spacing w:after="0" w:line="360" w:lineRule="auto"/>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w:t>
            </w:r>
            <w:r>
              <w:rPr>
                <w:rFonts w:hint="eastAsia" w:ascii="宋体" w:hAnsi="宋体" w:eastAsia="宋体" w:cs="宋体"/>
                <w:color w:val="auto"/>
                <w:kern w:val="2"/>
                <w:sz w:val="21"/>
                <w:szCs w:val="21"/>
                <w:highlight w:val="none"/>
                <w:lang w:val="en-US" w:eastAsia="zh-CN" w:bidi="ar-SA"/>
              </w:rPr>
              <w:t>结合该工程所涉及的设备，采购方案逻辑清晰、内容全面，供货流程衔接紧密，无脱节风险，设备及材料进场与项目进度高度匹配，可精准保障项目推进，应急保障方案能针对各类突发情况制定具体应对策略，可快速有效解决问题。</w:t>
            </w:r>
          </w:p>
          <w:p w14:paraId="27E768F0">
            <w:pPr>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w:t>
            </w:r>
            <w:r>
              <w:rPr>
                <w:rFonts w:hint="eastAsia" w:ascii="宋体" w:hAnsi="宋体" w:eastAsia="宋体" w:cs="宋体"/>
                <w:color w:val="auto"/>
                <w:sz w:val="21"/>
                <w:szCs w:val="21"/>
                <w:highlight w:val="none"/>
                <w:lang w:val="en-US" w:eastAsia="zh-CN"/>
              </w:rPr>
              <w:t>结合该工程所涉及的设备，采购方案内容较完整，逻辑较清晰，供货流程基本顺畅，偶有衔接延迟风险，设备及材料进场与项目进度基本匹配，轻微调整即可保障项目推进，应急保障方案能针对常见突发情况有应对策略，特殊情况应对需补充。</w:t>
            </w:r>
          </w:p>
          <w:p w14:paraId="40D537C7">
            <w:pPr>
              <w:pStyle w:val="25"/>
              <w:spacing w:line="360" w:lineRule="auto"/>
              <w:ind w:left="0" w:leftChars="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结合该工程所涉及的设备，内容基本完整，但逻辑不清晰，关键流程缺失，供货流程存在明显衔接问题，可能影响供货效率，设备及材料进场与项目进度匹配度低，需大幅调整才能保障项目推进，应急保障方案仅列出部分突发情况，无具体应对策略，应急能力不足。</w:t>
            </w:r>
          </w:p>
          <w:p w14:paraId="4F16D0FC">
            <w:pPr>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差】结合该工程所涉及的设备，内容混乱残缺，逻辑混乱，无实际可操作性，供货流程混乱，大概率无法按时供货，设备及材料进场与项目进度完全脱，严重阻碍项目推进，未提及任何突发情况及应对策略，无应急能力。</w:t>
            </w:r>
          </w:p>
        </w:tc>
      </w:tr>
      <w:tr w14:paraId="6F3FA0B9">
        <w:tblPrEx>
          <w:tblCellMar>
            <w:top w:w="0" w:type="dxa"/>
            <w:left w:w="108" w:type="dxa"/>
            <w:bottom w:w="0" w:type="dxa"/>
            <w:right w:w="108" w:type="dxa"/>
          </w:tblCellMar>
        </w:tblPrEx>
        <w:trPr>
          <w:trHeight w:val="979"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0C89E9C5">
            <w:pPr>
              <w:pStyle w:val="8"/>
              <w:adjustRightInd w:val="0"/>
              <w:snapToGrid w:val="0"/>
              <w:spacing w:after="0" w:line="360" w:lineRule="auto"/>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bidi="ar-SA"/>
              </w:rPr>
              <w:t>项目组织机构及人员配置、机械设备、劳动力投入计划</w:t>
            </w:r>
          </w:p>
          <w:p w14:paraId="059B97AA">
            <w:pPr>
              <w:pStyle w:val="9"/>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0AAC0393">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370ED3E">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4764576D">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0B74CF81">
            <w:pPr>
              <w:pStyle w:val="8"/>
              <w:adjustRightInd w:val="0"/>
              <w:snapToGrid w:val="0"/>
              <w:spacing w:after="0" w:line="360" w:lineRule="auto"/>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0%～</w:t>
            </w:r>
            <w:r>
              <w:rPr>
                <w:rFonts w:hint="eastAsia"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0%（含</w:t>
            </w:r>
            <w:r>
              <w:rPr>
                <w:rFonts w:hint="eastAsia"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0%）。</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1A922C28">
            <w:pPr>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w:t>
            </w:r>
            <w:r>
              <w:rPr>
                <w:rFonts w:hint="eastAsia" w:ascii="宋体" w:hAnsi="宋体" w:eastAsia="宋体" w:cs="宋体"/>
                <w:snapToGrid w:val="0"/>
                <w:color w:val="auto"/>
                <w:kern w:val="0"/>
                <w:sz w:val="21"/>
                <w:szCs w:val="21"/>
                <w:highlight w:val="none"/>
                <w:lang w:val="en-US" w:eastAsia="zh-CN"/>
              </w:rPr>
              <w:t>有施工组织机构，人员配置齐全，(包括（项目经理（项目负责人）、技术负责人、施工员、质量员、安全员、机械员、材料员、档案员、注册类造价人员（安装））等人，人员职责及人员调配计划描述清晰完整，劳动力和机械设备投入丰富，计划详细、合理，能满足本项目工期要求的。</w:t>
            </w:r>
          </w:p>
          <w:p w14:paraId="2E93FCFA">
            <w:pPr>
              <w:pStyle w:val="25"/>
              <w:spacing w:line="360" w:lineRule="auto"/>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良</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施工组织机构</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完整，人员配置较齐全，人员职责及人员调配计划描述较清晰，劳动力和机械设备投入较丰富，计划较详细、较合理，能满足本项目工期要求的</w:t>
            </w:r>
            <w:r>
              <w:rPr>
                <w:rFonts w:hint="eastAsia" w:ascii="宋体" w:hAnsi="宋体" w:eastAsia="宋体" w:cs="宋体"/>
                <w:color w:val="auto"/>
                <w:sz w:val="21"/>
                <w:szCs w:val="21"/>
                <w:highlight w:val="none"/>
                <w:lang w:eastAsia="zh-CN"/>
              </w:rPr>
              <w:t>。</w:t>
            </w:r>
          </w:p>
          <w:p w14:paraId="6E153008">
            <w:pPr>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中</w:t>
            </w:r>
            <w:r>
              <w:rPr>
                <w:rFonts w:hint="eastAsia" w:ascii="宋体" w:hAnsi="宋体" w:eastAsia="宋体" w:cs="宋体"/>
                <w:snapToGrid w:val="0"/>
                <w:color w:val="auto"/>
                <w:kern w:val="0"/>
                <w:sz w:val="21"/>
                <w:szCs w:val="21"/>
                <w:highlight w:val="none"/>
              </w:rPr>
              <w:t>】施工组织机构不完整，人员配置较大缺失，人员职责及人员调配计划描述不够清晰，劳动力和机械设备投入基本满足项目需求，计划详细性、合理性一般</w:t>
            </w:r>
            <w:r>
              <w:rPr>
                <w:rFonts w:hint="eastAsia" w:ascii="宋体" w:hAnsi="宋体" w:eastAsia="宋体" w:cs="宋体"/>
                <w:snapToGrid w:val="0"/>
                <w:color w:val="auto"/>
                <w:kern w:val="0"/>
                <w:sz w:val="21"/>
                <w:szCs w:val="21"/>
                <w:highlight w:val="none"/>
                <w:lang w:eastAsia="zh-CN"/>
              </w:rPr>
              <w:t>。</w:t>
            </w:r>
          </w:p>
          <w:p w14:paraId="4952A39E">
            <w:pPr>
              <w:pStyle w:val="25"/>
              <w:spacing w:line="360" w:lineRule="auto"/>
              <w:ind w:left="0" w:leftChars="0" w:firstLine="0" w:firstLineChars="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差</w:t>
            </w:r>
            <w:r>
              <w:rPr>
                <w:rFonts w:hint="eastAsia" w:ascii="宋体" w:hAnsi="宋体" w:eastAsia="宋体" w:cs="宋体"/>
                <w:snapToGrid w:val="0"/>
                <w:color w:val="auto"/>
                <w:kern w:val="0"/>
                <w:sz w:val="21"/>
                <w:szCs w:val="21"/>
                <w:highlight w:val="none"/>
              </w:rPr>
              <w:t>】未建立完整的施工组织机构，人员配置缺失严重，无人员职责及人员调配计划，未制定劳动力及设备投入计划，或计划与本项目工期要求完全脱节，无任何可行性</w:t>
            </w:r>
            <w:r>
              <w:rPr>
                <w:rFonts w:hint="eastAsia" w:ascii="宋体" w:hAnsi="宋体" w:eastAsia="宋体" w:cs="宋体"/>
                <w:snapToGrid w:val="0"/>
                <w:color w:val="auto"/>
                <w:kern w:val="0"/>
                <w:sz w:val="21"/>
                <w:szCs w:val="21"/>
                <w:highlight w:val="none"/>
                <w:lang w:eastAsia="zh-CN"/>
              </w:rPr>
              <w:t>。</w:t>
            </w:r>
          </w:p>
        </w:tc>
      </w:tr>
      <w:tr w14:paraId="3AD8BB28">
        <w:tblPrEx>
          <w:tblCellMar>
            <w:top w:w="0" w:type="dxa"/>
            <w:left w:w="108" w:type="dxa"/>
            <w:bottom w:w="0" w:type="dxa"/>
            <w:right w:w="108" w:type="dxa"/>
          </w:tblCellMar>
        </w:tblPrEx>
        <w:trPr>
          <w:trHeight w:val="457"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525195C0">
            <w:pPr>
              <w:widowControl/>
              <w:adjustRightInd w:val="0"/>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工期及施工</w:t>
            </w:r>
          </w:p>
          <w:p w14:paraId="0A8D282E">
            <w:pPr>
              <w:pStyle w:val="71"/>
              <w:adjustRightInd w:val="0"/>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进度计划</w:t>
            </w:r>
          </w:p>
          <w:p w14:paraId="083C52D8">
            <w:pPr>
              <w:pStyle w:val="71"/>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7200CA17">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3E57B3F7">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678C395C">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3CDFB7AA">
            <w:pPr>
              <w:pStyle w:val="77"/>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0%～</w:t>
            </w:r>
            <w:r>
              <w:rPr>
                <w:rFonts w:hint="eastAsia" w:ascii="宋体"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0%（含</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0%）。</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6F1804AC">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lang w:val="en-US" w:eastAsia="zh-CN"/>
              </w:rPr>
              <w:t>优】施工进度计划满足工期要求，进度安排合理，关键路径工序编排合理。资源调配方面人力、设备、材料等资源配置充足，调配方案合理，进度保障措施能针对延误风险制定应急预案。</w:t>
            </w:r>
          </w:p>
          <w:p w14:paraId="007136C6">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良】施工进度计划基本满足工期要求，进度安排基本合理，关键路径工序编排基本合理。资源调配方面人力、设备、材料等资源配置基本充足，调配方案较合理，针对常见延误风险有应对策略，责任分工较清晰，特殊情况应对需补充。</w:t>
            </w:r>
          </w:p>
          <w:p w14:paraId="7CD47E1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【中】施工进度计划大致符合工期要求，关键节点模糊，资源配置不足，调配方案不合理，针对常见延误风险仅提及部分延误风险，无具体应对策略，解决进度问题能力弱。</w:t>
            </w:r>
          </w:p>
          <w:p w14:paraId="6E2D6EFB">
            <w:pPr>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1"/>
                <w:szCs w:val="21"/>
                <w:highlight w:val="none"/>
              </w:rPr>
              <w:t>【差】施工进度计划与工期要求严重不符，无明确节点，资源配置严重缺失，无合理调配方案，针对常见延误风险未提及延误风险及应对策略，完全无进度保障能力，易导致工期严重滞后。</w:t>
            </w:r>
          </w:p>
        </w:tc>
      </w:tr>
      <w:tr w14:paraId="0658DC27">
        <w:tblPrEx>
          <w:tblCellMar>
            <w:top w:w="0" w:type="dxa"/>
            <w:left w:w="108" w:type="dxa"/>
            <w:bottom w:w="0" w:type="dxa"/>
            <w:right w:w="108" w:type="dxa"/>
          </w:tblCellMar>
        </w:tblPrEx>
        <w:trPr>
          <w:trHeight w:val="457"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63FC5E92">
            <w:pPr>
              <w:pStyle w:val="71"/>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2"/>
                <w:sz w:val="21"/>
                <w:szCs w:val="21"/>
                <w:highlight w:val="none"/>
                <w:lang w:val="en-US" w:eastAsia="zh-CN" w:bidi="ar-SA"/>
              </w:rPr>
              <w:t>质量、安全、环境保护（含水土保持）目标及保障措施</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752A5A6F">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79D6CAD8">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36343F59">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78D2A3BE">
            <w:pPr>
              <w:pStyle w:val="77"/>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0C8D060F">
            <w:pPr>
              <w:pStyle w:val="8"/>
              <w:adjustRightInd w:val="0"/>
              <w:snapToGrid w:val="0"/>
              <w:spacing w:after="0"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【优】质量、安全、环境保护目标明确，有针对本工程</w:t>
            </w:r>
            <w:r>
              <w:rPr>
                <w:rFonts w:hint="eastAsia" w:ascii="宋体" w:hAnsi="宋体" w:eastAsia="宋体" w:cs="宋体"/>
                <w:snapToGrid w:val="0"/>
                <w:color w:val="auto"/>
                <w:kern w:val="0"/>
                <w:sz w:val="21"/>
                <w:szCs w:val="21"/>
                <w:highlight w:val="none"/>
                <w:lang w:val="en-US" w:eastAsia="zh-CN"/>
              </w:rPr>
              <w:t>完善的</w:t>
            </w:r>
            <w:r>
              <w:rPr>
                <w:rFonts w:hint="eastAsia" w:ascii="宋体" w:hAnsi="宋体" w:eastAsia="宋体" w:cs="宋体"/>
                <w:snapToGrid w:val="0"/>
                <w:color w:val="auto"/>
                <w:kern w:val="0"/>
                <w:sz w:val="21"/>
                <w:szCs w:val="21"/>
                <w:highlight w:val="none"/>
              </w:rPr>
              <w:t>各项保障体系及专项措施，对容易出现的质量、安全及环境事件有完善的应急预案</w:t>
            </w:r>
            <w:r>
              <w:rPr>
                <w:rStyle w:val="78"/>
                <w:rFonts w:hint="eastAsia" w:ascii="宋体" w:hAnsi="宋体" w:eastAsia="宋体" w:cs="宋体"/>
                <w:color w:val="auto"/>
                <w:sz w:val="21"/>
                <w:szCs w:val="21"/>
                <w:highlight w:val="none"/>
              </w:rPr>
              <w:t>。</w:t>
            </w:r>
          </w:p>
          <w:p w14:paraId="091BDC36">
            <w:pPr>
              <w:pStyle w:val="8"/>
              <w:adjustRightInd w:val="0"/>
              <w:snapToGrid w:val="0"/>
              <w:spacing w:after="0" w:line="360" w:lineRule="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【良】质量、安全、环境保护目标较明确，有针对本工程各项保障体系及专项措施较完善，对常见质量、安全及环境事件有应急预案，内容较完善，仅特殊事件处置细节需细化。</w:t>
            </w:r>
          </w:p>
          <w:p w14:paraId="47ADC202">
            <w:pPr>
              <w:pStyle w:val="8"/>
              <w:adjustRightInd w:val="0"/>
              <w:snapToGrid w:val="0"/>
              <w:spacing w:after="0"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【中】质量、安全、环境保护目标表述模糊，针对本工程的保障体系不健全，专项措施零散，仅简单提及部分质量、安全及环境事件，无完整应急预案，缺乏具体处置流程</w:t>
            </w:r>
            <w:r>
              <w:rPr>
                <w:rFonts w:hint="eastAsia" w:ascii="宋体" w:hAnsi="宋体" w:eastAsia="宋体" w:cs="宋体"/>
                <w:snapToGrid w:val="0"/>
                <w:color w:val="auto"/>
                <w:kern w:val="0"/>
                <w:sz w:val="21"/>
                <w:szCs w:val="21"/>
                <w:highlight w:val="none"/>
                <w:lang w:eastAsia="zh-CN"/>
              </w:rPr>
              <w:t>。</w:t>
            </w:r>
          </w:p>
          <w:p w14:paraId="7C68393E">
            <w:pPr>
              <w:pStyle w:val="77"/>
              <w:adjustRightInd w:val="0"/>
              <w:snapToGrid w:val="0"/>
              <w:spacing w:line="360" w:lineRule="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1"/>
                <w:szCs w:val="21"/>
                <w:highlight w:val="none"/>
              </w:rPr>
              <w:t>【差】未明确质量、安全、环境保护目标，目标与工程实际严重脱节，无针对本工程的保障体系，未制定专项措施、安全及环境事件，未提及任何质量、安全及环境事件应急预案，突发情况无处置依据</w:t>
            </w:r>
            <w:r>
              <w:rPr>
                <w:rFonts w:hint="eastAsia" w:ascii="宋体" w:hAnsi="宋体" w:eastAsia="宋体" w:cs="宋体"/>
                <w:snapToGrid w:val="0"/>
                <w:color w:val="auto"/>
                <w:kern w:val="0"/>
                <w:sz w:val="21"/>
                <w:szCs w:val="21"/>
                <w:highlight w:val="none"/>
                <w:lang w:eastAsia="zh-CN"/>
              </w:rPr>
              <w:t>。</w:t>
            </w:r>
          </w:p>
        </w:tc>
      </w:tr>
      <w:tr w14:paraId="21C019E5">
        <w:tblPrEx>
          <w:tblCellMar>
            <w:top w:w="0" w:type="dxa"/>
            <w:left w:w="108" w:type="dxa"/>
            <w:bottom w:w="0" w:type="dxa"/>
            <w:right w:w="108" w:type="dxa"/>
          </w:tblCellMar>
        </w:tblPrEx>
        <w:trPr>
          <w:trHeight w:val="3335" w:hRule="atLeast"/>
          <w:jc w:val="center"/>
        </w:trPr>
        <w:tc>
          <w:tcPr>
            <w:tcW w:w="1269" w:type="dxa"/>
            <w:gridSpan w:val="2"/>
            <w:tcBorders>
              <w:top w:val="single" w:color="auto" w:sz="4" w:space="0"/>
              <w:left w:val="single" w:color="auto" w:sz="4" w:space="0"/>
              <w:bottom w:val="single" w:color="auto" w:sz="4" w:space="0"/>
              <w:right w:val="single" w:color="auto" w:sz="4" w:space="0"/>
            </w:tcBorders>
            <w:noWrap w:val="0"/>
            <w:vAlign w:val="center"/>
          </w:tcPr>
          <w:p w14:paraId="4581507C">
            <w:pPr>
              <w:pStyle w:val="71"/>
              <w:adjustRightInd w:val="0"/>
              <w:snapToGri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技术文件的总体评价</w:t>
            </w:r>
          </w:p>
          <w:p w14:paraId="71CAD214">
            <w:pPr>
              <w:pStyle w:val="71"/>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722" w:type="dxa"/>
            <w:tcBorders>
              <w:top w:val="single" w:color="auto" w:sz="4" w:space="0"/>
              <w:left w:val="single" w:color="auto" w:sz="4" w:space="0"/>
              <w:bottom w:val="single" w:color="auto" w:sz="4" w:space="0"/>
              <w:right w:val="single" w:color="auto" w:sz="4" w:space="0"/>
            </w:tcBorders>
            <w:noWrap w:val="0"/>
            <w:vAlign w:val="center"/>
          </w:tcPr>
          <w:p w14:paraId="751B2062">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【优】得该项评分因素分值的90%～100%（含90%）。</w:t>
            </w:r>
          </w:p>
          <w:p w14:paraId="06F9E731">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【良】得该项评分因素分值的80%～90%（含80%）。</w:t>
            </w:r>
          </w:p>
          <w:p w14:paraId="09CFC9F4">
            <w:pPr>
              <w:pStyle w:val="76"/>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【中】得该项评分因素分值的70%～80%（含70%）。</w:t>
            </w:r>
          </w:p>
          <w:p w14:paraId="1171697B">
            <w:pPr>
              <w:pStyle w:val="77"/>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1"/>
                <w:szCs w:val="21"/>
                <w:highlight w:val="none"/>
              </w:rPr>
              <w:t>【差】得该项评分因素分值的60%～70%（含60%）。</w:t>
            </w:r>
          </w:p>
        </w:tc>
        <w:tc>
          <w:tcPr>
            <w:tcW w:w="4463" w:type="dxa"/>
            <w:tcBorders>
              <w:top w:val="single" w:color="auto" w:sz="4" w:space="0"/>
              <w:left w:val="single" w:color="auto" w:sz="4" w:space="0"/>
              <w:bottom w:val="single" w:color="auto" w:sz="4" w:space="0"/>
              <w:right w:val="single" w:color="auto" w:sz="4" w:space="0"/>
            </w:tcBorders>
            <w:noWrap w:val="0"/>
            <w:vAlign w:val="center"/>
          </w:tcPr>
          <w:p w14:paraId="59EF5234">
            <w:pPr>
              <w:widowControl/>
              <w:adjustRightInd w:val="0"/>
              <w:snapToGrid w:val="0"/>
              <w:spacing w:line="36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snapToGrid w:val="0"/>
                <w:color w:val="auto"/>
                <w:kern w:val="0"/>
                <w:sz w:val="21"/>
                <w:szCs w:val="21"/>
                <w:highlight w:val="none"/>
              </w:rPr>
              <w:t>【优】</w:t>
            </w:r>
            <w:r>
              <w:rPr>
                <w:rFonts w:hint="eastAsia" w:ascii="宋体" w:hAnsi="宋体" w:eastAsia="宋体" w:cs="宋体"/>
                <w:color w:val="auto"/>
                <w:kern w:val="0"/>
                <w:sz w:val="21"/>
                <w:szCs w:val="21"/>
                <w:highlight w:val="none"/>
                <w:lang w:bidi="ar"/>
              </w:rPr>
              <w:t>投标文件编制科学，结构、内容的严密性高，叙述严谨，文字精炼、，投标文件响应程度高，编制认真、详尽、无漏项。</w:t>
            </w:r>
          </w:p>
          <w:p w14:paraId="2C544256">
            <w:pPr>
              <w:pStyle w:val="77"/>
              <w:adjustRightInd w:val="0"/>
              <w:snapToGrid w:val="0"/>
              <w:spacing w:line="360" w:lineRule="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【良】投标文件响应程度较高，编制</w:t>
            </w:r>
            <w:r>
              <w:rPr>
                <w:rFonts w:hint="eastAsia" w:ascii="宋体" w:hAnsi="宋体" w:eastAsia="宋体" w:cs="宋体"/>
                <w:snapToGrid w:val="0"/>
                <w:color w:val="auto"/>
                <w:kern w:val="0"/>
                <w:sz w:val="21"/>
                <w:szCs w:val="21"/>
                <w:highlight w:val="none"/>
              </w:rPr>
              <w:t>较详细</w:t>
            </w:r>
            <w:r>
              <w:rPr>
                <w:rFonts w:hint="eastAsia" w:ascii="宋体" w:hAnsi="宋体" w:eastAsia="宋体" w:cs="宋体"/>
                <w:color w:val="auto"/>
                <w:kern w:val="0"/>
                <w:sz w:val="21"/>
                <w:szCs w:val="21"/>
                <w:highlight w:val="none"/>
                <w:lang w:bidi="ar"/>
              </w:rPr>
              <w:t>。</w:t>
            </w:r>
          </w:p>
          <w:p w14:paraId="5A4784DE">
            <w:pPr>
              <w:pStyle w:val="77"/>
              <w:adjustRightInd w:val="0"/>
              <w:snapToGrid w:val="0"/>
              <w:spacing w:line="360" w:lineRule="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【中】投标文件响应程度一般，编制</w:t>
            </w:r>
            <w:r>
              <w:rPr>
                <w:rFonts w:hint="eastAsia" w:ascii="宋体" w:hAnsi="宋体" w:eastAsia="宋体" w:cs="宋体"/>
                <w:snapToGrid w:val="0"/>
                <w:color w:val="auto"/>
                <w:kern w:val="0"/>
                <w:sz w:val="21"/>
                <w:szCs w:val="21"/>
                <w:highlight w:val="none"/>
              </w:rPr>
              <w:t>不够详细</w:t>
            </w:r>
            <w:r>
              <w:rPr>
                <w:rFonts w:hint="eastAsia" w:ascii="宋体" w:hAnsi="宋体" w:eastAsia="宋体" w:cs="宋体"/>
                <w:color w:val="auto"/>
                <w:kern w:val="0"/>
                <w:sz w:val="21"/>
                <w:szCs w:val="21"/>
                <w:highlight w:val="none"/>
                <w:lang w:bidi="ar"/>
              </w:rPr>
              <w:t>。</w:t>
            </w:r>
          </w:p>
          <w:p w14:paraId="641115BC">
            <w:pPr>
              <w:pStyle w:val="77"/>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1"/>
                <w:szCs w:val="21"/>
                <w:highlight w:val="none"/>
                <w:lang w:bidi="ar"/>
              </w:rPr>
              <w:t>【差】投标文件响应程度较低，编制内容简单。</w:t>
            </w:r>
          </w:p>
        </w:tc>
      </w:tr>
      <w:tr w14:paraId="6EA11EF8">
        <w:tblPrEx>
          <w:tblCellMar>
            <w:top w:w="0" w:type="dxa"/>
            <w:left w:w="108" w:type="dxa"/>
            <w:bottom w:w="0" w:type="dxa"/>
            <w:right w:w="108" w:type="dxa"/>
          </w:tblCellMar>
        </w:tblPrEx>
        <w:trPr>
          <w:trHeight w:val="492" w:hRule="exact"/>
          <w:jc w:val="center"/>
        </w:trPr>
        <w:tc>
          <w:tcPr>
            <w:tcW w:w="945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DB31FA5">
            <w:pPr>
              <w:pStyle w:val="77"/>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rPr>
              <w:t>分。</w:t>
            </w:r>
          </w:p>
        </w:tc>
      </w:tr>
      <w:tr w14:paraId="070074EE">
        <w:tblPrEx>
          <w:tblCellMar>
            <w:top w:w="0" w:type="dxa"/>
            <w:left w:w="108" w:type="dxa"/>
            <w:bottom w:w="0" w:type="dxa"/>
            <w:right w:w="108" w:type="dxa"/>
          </w:tblCellMar>
        </w:tblPrEx>
        <w:trPr>
          <w:trHeight w:val="452"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4036C5E0">
            <w:pPr>
              <w:pStyle w:val="8"/>
              <w:wordWrap w:val="0"/>
              <w:adjustRightInd w:val="0"/>
              <w:snapToGrid w:val="0"/>
              <w:spacing w:after="0" w:line="44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评分事项</w:t>
            </w:r>
          </w:p>
        </w:tc>
        <w:tc>
          <w:tcPr>
            <w:tcW w:w="8204" w:type="dxa"/>
            <w:gridSpan w:val="3"/>
            <w:tcBorders>
              <w:top w:val="single" w:color="auto" w:sz="4" w:space="0"/>
              <w:left w:val="single" w:color="auto" w:sz="4" w:space="0"/>
              <w:bottom w:val="single" w:color="auto" w:sz="4" w:space="0"/>
              <w:right w:val="single" w:color="auto" w:sz="4" w:space="0"/>
            </w:tcBorders>
            <w:noWrap w:val="0"/>
            <w:vAlign w:val="center"/>
          </w:tcPr>
          <w:p w14:paraId="5BF590CD">
            <w:pPr>
              <w:pStyle w:val="8"/>
              <w:wordWrap w:val="0"/>
              <w:adjustRightInd w:val="0"/>
              <w:snapToGrid w:val="0"/>
              <w:spacing w:after="0" w:line="44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评分方法</w:t>
            </w:r>
          </w:p>
        </w:tc>
      </w:tr>
      <w:tr w14:paraId="69DCDA63">
        <w:tblPrEx>
          <w:tblCellMar>
            <w:top w:w="0" w:type="dxa"/>
            <w:left w:w="108" w:type="dxa"/>
            <w:bottom w:w="0" w:type="dxa"/>
            <w:right w:w="108" w:type="dxa"/>
          </w:tblCellMar>
        </w:tblPrEx>
        <w:trPr>
          <w:trHeight w:val="457"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467BAFE8">
            <w:pPr>
              <w:pStyle w:val="71"/>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评标基准价D</w:t>
            </w:r>
          </w:p>
        </w:tc>
        <w:tc>
          <w:tcPr>
            <w:tcW w:w="8204" w:type="dxa"/>
            <w:gridSpan w:val="3"/>
            <w:tcBorders>
              <w:top w:val="single" w:color="auto" w:sz="4" w:space="0"/>
              <w:left w:val="single" w:color="auto" w:sz="4" w:space="0"/>
              <w:bottom w:val="single" w:color="auto" w:sz="4" w:space="0"/>
              <w:right w:val="single" w:color="auto" w:sz="4" w:space="0"/>
            </w:tcBorders>
            <w:noWrap w:val="0"/>
            <w:vAlign w:val="center"/>
          </w:tcPr>
          <w:p w14:paraId="2D19C818">
            <w:pPr>
              <w:numPr>
                <w:ilvl w:val="0"/>
                <w:numId w:val="5"/>
              </w:num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确定</w:t>
            </w:r>
            <w:r>
              <w:rPr>
                <w:rFonts w:hint="eastAsia" w:ascii="宋体" w:hAnsi="宋体" w:eastAsia="宋体" w:cs="宋体"/>
                <w:snapToGrid w:val="0"/>
                <w:color w:val="auto"/>
                <w:kern w:val="0"/>
                <w:sz w:val="21"/>
                <w:szCs w:val="21"/>
                <w:highlight w:val="none"/>
                <w:lang w:eastAsia="zh-CN"/>
              </w:rPr>
              <w:t>最高投标限价</w:t>
            </w:r>
            <w:r>
              <w:rPr>
                <w:rFonts w:hint="eastAsia" w:ascii="宋体" w:hAnsi="宋体" w:eastAsia="宋体" w:cs="宋体"/>
                <w:snapToGrid w:val="0"/>
                <w:color w:val="auto"/>
                <w:kern w:val="0"/>
                <w:sz w:val="21"/>
                <w:szCs w:val="21"/>
                <w:highlight w:val="none"/>
              </w:rPr>
              <w:t>下浮系数n：用1～21号球分别代表一个下浮系数，由评委代表从这21个号码中随机抽取</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次，每次抽取1个号码，抽出的号球不参与下次抽取。所抽取的3个号码对应下浮系数的算术平均值作为</w:t>
            </w:r>
            <w:r>
              <w:rPr>
                <w:rFonts w:hint="eastAsia" w:ascii="宋体" w:hAnsi="宋体" w:eastAsia="宋体" w:cs="宋体"/>
                <w:snapToGrid w:val="0"/>
                <w:color w:val="auto"/>
                <w:kern w:val="0"/>
                <w:sz w:val="21"/>
                <w:szCs w:val="21"/>
                <w:highlight w:val="none"/>
                <w:lang w:eastAsia="zh-CN"/>
              </w:rPr>
              <w:t>最高投标限价</w:t>
            </w:r>
            <w:r>
              <w:rPr>
                <w:rFonts w:hint="eastAsia" w:ascii="宋体" w:hAnsi="宋体" w:eastAsia="宋体" w:cs="宋体"/>
                <w:snapToGrid w:val="0"/>
                <w:color w:val="auto"/>
                <w:kern w:val="0"/>
                <w:sz w:val="21"/>
                <w:szCs w:val="21"/>
                <w:highlight w:val="none"/>
              </w:rPr>
              <w:t>下浮系数n。具体号码对应的下浮系数详见下表：</w:t>
            </w:r>
          </w:p>
          <w:tbl>
            <w:tblPr>
              <w:tblStyle w:val="27"/>
              <w:tblW w:w="7835" w:type="dxa"/>
              <w:tblInd w:w="0" w:type="dxa"/>
              <w:tblLayout w:type="fixed"/>
              <w:tblCellMar>
                <w:top w:w="0" w:type="dxa"/>
                <w:left w:w="108" w:type="dxa"/>
                <w:bottom w:w="0" w:type="dxa"/>
                <w:right w:w="108" w:type="dxa"/>
              </w:tblCellMar>
            </w:tblPr>
            <w:tblGrid>
              <w:gridCol w:w="1661"/>
              <w:gridCol w:w="836"/>
              <w:gridCol w:w="873"/>
              <w:gridCol w:w="909"/>
              <w:gridCol w:w="892"/>
              <w:gridCol w:w="928"/>
              <w:gridCol w:w="872"/>
              <w:gridCol w:w="864"/>
            </w:tblGrid>
            <w:tr w14:paraId="5A0E0D7E">
              <w:tblPrEx>
                <w:tblCellMar>
                  <w:top w:w="0" w:type="dxa"/>
                  <w:left w:w="108" w:type="dxa"/>
                  <w:bottom w:w="0" w:type="dxa"/>
                  <w:right w:w="108" w:type="dxa"/>
                </w:tblCellMar>
              </w:tblPrEx>
              <w:trPr>
                <w:trHeight w:val="436" w:hRule="atLeast"/>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56FC5399">
                  <w:pPr>
                    <w:keepNext w:val="0"/>
                    <w:keepLines w:val="0"/>
                    <w:widowControl w:val="0"/>
                    <w:suppressLineNumbers w:val="0"/>
                    <w:adjustRightInd w:val="0"/>
                    <w:spacing w:before="0" w:beforeAutospacing="0" w:after="0" w:afterAutospacing="0" w:line="360" w:lineRule="atLeast"/>
                    <w:ind w:left="0" w:leftChars="0" w:right="0" w:rightChars="0"/>
                    <w:jc w:val="center"/>
                    <w:textAlignment w:val="baseline"/>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号球</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5BC3136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9B42A4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582E33B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65F20B2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235737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46F500D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CE578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r>
            <w:tr w14:paraId="5FA848FA">
              <w:tblPrEx>
                <w:tblCellMar>
                  <w:top w:w="0" w:type="dxa"/>
                  <w:left w:w="108" w:type="dxa"/>
                  <w:bottom w:w="0" w:type="dxa"/>
                  <w:right w:w="108" w:type="dxa"/>
                </w:tblCellMar>
              </w:tblPrEx>
              <w:trPr>
                <w:trHeight w:val="436" w:hRule="atLeast"/>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62B352BA">
                  <w:pPr>
                    <w:keepNext w:val="0"/>
                    <w:keepLines w:val="0"/>
                    <w:widowControl w:val="0"/>
                    <w:suppressLineNumbers w:val="0"/>
                    <w:adjustRightInd w:val="0"/>
                    <w:spacing w:before="0" w:beforeAutospacing="0" w:after="0" w:afterAutospacing="0" w:line="360" w:lineRule="atLeast"/>
                    <w:ind w:left="0" w:leftChars="0" w:right="0" w:rightChars="0"/>
                    <w:jc w:val="center"/>
                    <w:textAlignment w:val="baseline"/>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下浮系数（%）</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381C1C9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75FD9C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4C83020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32E8F5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4D83A3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32B1048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F7E9C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r>
            <w:tr w14:paraId="0F7FCCA0">
              <w:tblPrEx>
                <w:tblCellMar>
                  <w:top w:w="0" w:type="dxa"/>
                  <w:left w:w="108" w:type="dxa"/>
                  <w:bottom w:w="0" w:type="dxa"/>
                  <w:right w:w="108" w:type="dxa"/>
                </w:tblCellMar>
              </w:tblPrEx>
              <w:trPr>
                <w:trHeight w:val="436" w:hRule="atLeast"/>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1DC711B1">
                  <w:pPr>
                    <w:keepNext w:val="0"/>
                    <w:keepLines w:val="0"/>
                    <w:widowControl w:val="0"/>
                    <w:suppressLineNumbers w:val="0"/>
                    <w:adjustRightInd w:val="0"/>
                    <w:spacing w:before="0" w:beforeAutospacing="0" w:after="0" w:afterAutospacing="0" w:line="360" w:lineRule="atLeast"/>
                    <w:ind w:left="0" w:leftChars="0" w:right="0" w:rightChars="0"/>
                    <w:jc w:val="center"/>
                    <w:textAlignment w:val="baseline"/>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号球</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51C87F1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37C87A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1F4D61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EE6521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0B95AF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114DCA7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8CCCD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r>
            <w:tr w14:paraId="78D46628">
              <w:tblPrEx>
                <w:tblCellMar>
                  <w:top w:w="0" w:type="dxa"/>
                  <w:left w:w="108" w:type="dxa"/>
                  <w:bottom w:w="0" w:type="dxa"/>
                  <w:right w:w="108" w:type="dxa"/>
                </w:tblCellMar>
              </w:tblPrEx>
              <w:trPr>
                <w:trHeight w:val="436" w:hRule="atLeast"/>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065B7493">
                  <w:pPr>
                    <w:keepNext w:val="0"/>
                    <w:keepLines w:val="0"/>
                    <w:widowControl w:val="0"/>
                    <w:suppressLineNumbers w:val="0"/>
                    <w:adjustRightInd w:val="0"/>
                    <w:spacing w:before="0" w:beforeAutospacing="0" w:after="0" w:afterAutospacing="0" w:line="360" w:lineRule="atLeast"/>
                    <w:ind w:left="0" w:leftChars="0" w:right="0" w:rightChars="0"/>
                    <w:jc w:val="center"/>
                    <w:textAlignment w:val="baseline"/>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下浮系数（%）</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6C0EBB7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78E11A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56C5C94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E321F9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8F82C0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042740F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5B943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w:t>
                  </w:r>
                </w:p>
              </w:tc>
            </w:tr>
            <w:tr w14:paraId="017075A9">
              <w:tblPrEx>
                <w:tblCellMar>
                  <w:top w:w="0" w:type="dxa"/>
                  <w:left w:w="108" w:type="dxa"/>
                  <w:bottom w:w="0" w:type="dxa"/>
                  <w:right w:w="108" w:type="dxa"/>
                </w:tblCellMar>
              </w:tblPrEx>
              <w:trPr>
                <w:trHeight w:val="436" w:hRule="atLeast"/>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3BB40DCB">
                  <w:pPr>
                    <w:keepNext w:val="0"/>
                    <w:keepLines w:val="0"/>
                    <w:widowControl w:val="0"/>
                    <w:suppressLineNumbers w:val="0"/>
                    <w:adjustRightInd w:val="0"/>
                    <w:spacing w:before="0" w:beforeAutospacing="0" w:after="0" w:afterAutospacing="0" w:line="360" w:lineRule="atLeast"/>
                    <w:ind w:left="0" w:leftChars="0" w:right="0" w:rightChars="0"/>
                    <w:jc w:val="center"/>
                    <w:textAlignment w:val="baseline"/>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号球</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63B206E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6DFAE99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339B77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74F8E80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2A0E44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789121D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151F5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r>
            <w:tr w14:paraId="76C8B2DE">
              <w:tblPrEx>
                <w:tblCellMar>
                  <w:top w:w="0" w:type="dxa"/>
                  <w:left w:w="108" w:type="dxa"/>
                  <w:bottom w:w="0" w:type="dxa"/>
                  <w:right w:w="108" w:type="dxa"/>
                </w:tblCellMar>
              </w:tblPrEx>
              <w:trPr>
                <w:trHeight w:val="445" w:hRule="atLeast"/>
              </w:trPr>
              <w:tc>
                <w:tcPr>
                  <w:tcW w:w="1661" w:type="dxa"/>
                  <w:tcBorders>
                    <w:top w:val="single" w:color="000000" w:sz="4" w:space="0"/>
                    <w:left w:val="single" w:color="000000" w:sz="4" w:space="0"/>
                    <w:bottom w:val="single" w:color="000000" w:sz="4" w:space="0"/>
                    <w:right w:val="single" w:color="000000" w:sz="4" w:space="0"/>
                  </w:tcBorders>
                  <w:noWrap w:val="0"/>
                  <w:vAlign w:val="center"/>
                </w:tcPr>
                <w:p w14:paraId="25BC8318">
                  <w:pPr>
                    <w:keepNext w:val="0"/>
                    <w:keepLines w:val="0"/>
                    <w:widowControl w:val="0"/>
                    <w:suppressLineNumbers w:val="0"/>
                    <w:adjustRightInd w:val="0"/>
                    <w:spacing w:before="0" w:beforeAutospacing="0" w:after="0" w:afterAutospacing="0" w:line="360" w:lineRule="atLeast"/>
                    <w:ind w:left="0" w:leftChars="0" w:right="0" w:rightChars="0"/>
                    <w:jc w:val="center"/>
                    <w:textAlignment w:val="baseline"/>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t>下浮系数（%）</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14:paraId="420D0A5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7B605A4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2.5</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702BD4F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AE8756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11AA2A2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w:t>
                  </w:r>
                </w:p>
              </w:tc>
              <w:tc>
                <w:tcPr>
                  <w:tcW w:w="872" w:type="dxa"/>
                  <w:tcBorders>
                    <w:top w:val="single" w:color="000000" w:sz="4" w:space="0"/>
                    <w:left w:val="single" w:color="000000" w:sz="4" w:space="0"/>
                    <w:bottom w:val="single" w:color="000000" w:sz="4" w:space="0"/>
                    <w:right w:val="single" w:color="000000" w:sz="4" w:space="0"/>
                  </w:tcBorders>
                  <w:noWrap w:val="0"/>
                  <w:vAlign w:val="center"/>
                </w:tcPr>
                <w:p w14:paraId="2F676CF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94C17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3.0</w:t>
                  </w:r>
                </w:p>
              </w:tc>
            </w:tr>
          </w:tbl>
          <w:p w14:paraId="484241CD">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w:t>
            </w:r>
            <w:r>
              <w:rPr>
                <w:rFonts w:hint="eastAsia" w:ascii="宋体" w:hAnsi="宋体" w:eastAsia="宋体" w:cs="宋体"/>
                <w:snapToGrid w:val="0"/>
                <w:color w:val="auto"/>
                <w:kern w:val="0"/>
                <w:sz w:val="21"/>
                <w:szCs w:val="21"/>
                <w:highlight w:val="none"/>
                <w:lang w:eastAsia="zh-CN"/>
              </w:rPr>
              <w:t>最高投标限价</w:t>
            </w:r>
            <w:r>
              <w:rPr>
                <w:rFonts w:hint="eastAsia" w:ascii="宋体" w:hAnsi="宋体" w:eastAsia="宋体" w:cs="宋体"/>
                <w:snapToGrid w:val="0"/>
                <w:color w:val="auto"/>
                <w:kern w:val="0"/>
                <w:sz w:val="21"/>
                <w:szCs w:val="21"/>
                <w:highlight w:val="none"/>
              </w:rPr>
              <w:t>×（1－n）</w:t>
            </w:r>
          </w:p>
        </w:tc>
      </w:tr>
      <w:tr w14:paraId="5D312A84">
        <w:tblPrEx>
          <w:tblCellMar>
            <w:top w:w="0" w:type="dxa"/>
            <w:left w:w="108" w:type="dxa"/>
            <w:bottom w:w="0" w:type="dxa"/>
            <w:right w:w="108" w:type="dxa"/>
          </w:tblCellMar>
        </w:tblPrEx>
        <w:trPr>
          <w:trHeight w:val="457" w:hRule="atLeast"/>
          <w:jc w:val="center"/>
        </w:trPr>
        <w:tc>
          <w:tcPr>
            <w:tcW w:w="1250" w:type="dxa"/>
            <w:tcBorders>
              <w:top w:val="single" w:color="auto" w:sz="4" w:space="0"/>
              <w:left w:val="single" w:color="auto" w:sz="4" w:space="0"/>
              <w:bottom w:val="single" w:color="auto" w:sz="4" w:space="0"/>
              <w:right w:val="single" w:color="auto" w:sz="4" w:space="0"/>
            </w:tcBorders>
            <w:noWrap w:val="0"/>
            <w:vAlign w:val="center"/>
          </w:tcPr>
          <w:p w14:paraId="5B3C5F28">
            <w:pPr>
              <w:pStyle w:val="71"/>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w:t>
            </w:r>
          </w:p>
          <w:p w14:paraId="36AAE70F">
            <w:pPr>
              <w:pStyle w:val="71"/>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得分N</w:t>
            </w:r>
          </w:p>
        </w:tc>
        <w:tc>
          <w:tcPr>
            <w:tcW w:w="8204" w:type="dxa"/>
            <w:gridSpan w:val="3"/>
            <w:tcBorders>
              <w:top w:val="single" w:color="auto" w:sz="4" w:space="0"/>
              <w:left w:val="single" w:color="auto" w:sz="4" w:space="0"/>
              <w:bottom w:val="single" w:color="auto" w:sz="4" w:space="0"/>
              <w:right w:val="single" w:color="auto" w:sz="4" w:space="0"/>
            </w:tcBorders>
            <w:noWrap w:val="0"/>
            <w:vAlign w:val="center"/>
          </w:tcPr>
          <w:p w14:paraId="16D10B17">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0F192F6C">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100</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 Di－D | ÷D）×100×E</w:t>
            </w:r>
          </w:p>
          <w:p w14:paraId="64D71629">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 ；当Di＜D时，E＝0.5。</w:t>
            </w:r>
          </w:p>
        </w:tc>
      </w:tr>
    </w:tbl>
    <w:p w14:paraId="6CCE97DB">
      <w:pPr>
        <w:spacing w:line="440" w:lineRule="exact"/>
        <w:ind w:firstLine="482" w:firstLineChars="200"/>
        <w:rPr>
          <w:rFonts w:hint="eastAsia" w:asciiTheme="minorEastAsia" w:hAnsiTheme="minorEastAsia" w:eastAsiaTheme="minorEastAsia" w:cstheme="minorEastAsia"/>
          <w:b/>
          <w:bCs/>
          <w:color w:val="auto"/>
          <w:szCs w:val="24"/>
          <w:highlight w:val="none"/>
          <w:u w:val="double"/>
        </w:rPr>
      </w:pPr>
      <w:r>
        <w:rPr>
          <w:rFonts w:hint="eastAsia" w:asciiTheme="minorEastAsia" w:hAnsiTheme="minorEastAsia" w:eastAsiaTheme="minorEastAsia" w:cstheme="minorEastAsia"/>
          <w:b/>
          <w:bCs/>
          <w:color w:val="auto"/>
          <w:szCs w:val="24"/>
          <w:highlight w:val="none"/>
        </w:rPr>
        <w:t>1、</w:t>
      </w:r>
      <w:r>
        <w:rPr>
          <w:rFonts w:hint="eastAsia" w:asciiTheme="minorEastAsia" w:hAnsiTheme="minorEastAsia" w:eastAsiaTheme="minorEastAsia" w:cstheme="minorEastAsia"/>
          <w:b/>
          <w:bCs/>
          <w:color w:val="auto"/>
          <w:szCs w:val="24"/>
          <w:highlight w:val="none"/>
          <w:u w:val="double"/>
        </w:rPr>
        <w:t>评分如出现小数点，则保留小数点后两位，第三位四舍五入。</w:t>
      </w:r>
    </w:p>
    <w:p w14:paraId="4EF7B89F">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 xml:space="preserve">15.5.2 </w:t>
      </w:r>
      <w:r>
        <w:rPr>
          <w:rFonts w:hint="eastAsia" w:ascii="宋体" w:hAnsi="宋体" w:eastAsia="宋体" w:cs="宋体"/>
          <w:snapToGrid w:val="0"/>
          <w:color w:val="auto"/>
          <w:kern w:val="0"/>
          <w:szCs w:val="24"/>
          <w:highlight w:val="none"/>
        </w:rPr>
        <w:t>否决投标说明</w:t>
      </w:r>
    </w:p>
    <w:p w14:paraId="6FE0CC73">
      <w:p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4条中集中列示。投标人有其中所列任何一种情形的，由评标委员会否决其投标。经详细评审后，有效投标人数量不足3个时，招标人应依法重新组织招标。</w:t>
      </w:r>
    </w:p>
    <w:p w14:paraId="333242A7">
      <w:pPr>
        <w:wordWrap w:val="0"/>
        <w:adjustRightInd w:val="0"/>
        <w:snapToGrid w:val="0"/>
        <w:spacing w:line="480" w:lineRule="exact"/>
        <w:ind w:firstLine="482" w:firstLineChars="200"/>
        <w:rPr>
          <w:rFonts w:hint="eastAsia" w:ascii="宋体" w:hAnsi="宋体" w:eastAsia="宋体" w:cs="宋体"/>
          <w:color w:val="auto"/>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76C8EBE8">
      <w:pPr>
        <w:pStyle w:val="5"/>
        <w:wordWrap w:val="0"/>
        <w:snapToGrid w:val="0"/>
        <w:spacing w:line="480" w:lineRule="exact"/>
        <w:ind w:firstLine="480"/>
        <w:jc w:val="both"/>
        <w:rPr>
          <w:rFonts w:hint="eastAsia" w:ascii="宋体" w:hAnsi="宋体" w:eastAsia="宋体" w:cs="宋体"/>
          <w:b/>
          <w:snapToGrid w:val="0"/>
          <w:color w:val="auto"/>
          <w:highlight w:val="none"/>
        </w:rPr>
      </w:pPr>
      <w:bookmarkStart w:id="170" w:name="_Toc30922"/>
      <w:bookmarkStart w:id="171" w:name="_Toc24866"/>
      <w:r>
        <w:rPr>
          <w:rFonts w:hint="eastAsia" w:ascii="宋体" w:hAnsi="宋体" w:eastAsia="宋体" w:cs="宋体"/>
          <w:b/>
          <w:snapToGrid w:val="0"/>
          <w:color w:val="auto"/>
          <w:highlight w:val="none"/>
        </w:rPr>
        <w:t>16．中标候选人公示</w:t>
      </w:r>
      <w:bookmarkEnd w:id="170"/>
      <w:bookmarkEnd w:id="171"/>
    </w:p>
    <w:p w14:paraId="2644EF3C">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招标人自收到评标委员会提交的书面评标报告和中标候选人名单之日起3日内，将评标结果（即中标候选人名单）、中标候选人投标文件（商务标书分册）、评标过程（评标专家姓名用代码标记）一并在广东省招标投标监管网（https://zbtb.gd.gov.cn/#/index）及</w:t>
      </w:r>
      <w:r>
        <w:rPr>
          <w:rFonts w:hint="eastAsia" w:ascii="宋体" w:hAnsi="宋体" w:eastAsia="宋体" w:cs="宋体"/>
          <w:snapToGrid w:val="0"/>
          <w:color w:val="auto"/>
          <w:kern w:val="0"/>
          <w:szCs w:val="24"/>
          <w:highlight w:val="none"/>
        </w:rPr>
        <w:t>全国公共资源交易平台（广东省·韶关市）</w:t>
      </w:r>
      <w:r>
        <w:rPr>
          <w:rFonts w:hint="eastAsia" w:ascii="宋体" w:hAnsi="宋体" w:eastAsia="宋体" w:cs="宋体"/>
          <w:snapToGrid w:val="0"/>
          <w:color w:val="auto"/>
          <w:kern w:val="0"/>
          <w:highlight w:val="none"/>
        </w:rPr>
        <w:t>（https://ygp.gdzwfw.gov.cn/ggzy-portal/#/440200/index）进行公示，公示期不得少于3天。</w:t>
      </w:r>
    </w:p>
    <w:p w14:paraId="5C6790E8">
      <w:pPr>
        <w:wordWrap w:val="0"/>
        <w:adjustRightInd w:val="0"/>
        <w:snapToGrid w:val="0"/>
        <w:spacing w:line="48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16.2</w:t>
      </w:r>
      <w:r>
        <w:rPr>
          <w:rFonts w:hint="eastAsia" w:ascii="宋体" w:hAnsi="宋体" w:eastAsia="宋体" w:cs="宋体"/>
          <w:snapToGrid w:val="0"/>
          <w:color w:val="auto"/>
          <w:kern w:val="0"/>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号）执行。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5E4C0891">
      <w:pPr>
        <w:spacing w:line="440" w:lineRule="exact"/>
        <w:rPr>
          <w:rFonts w:hint="eastAsia" w:asciiTheme="minorEastAsia" w:hAnsiTheme="minorEastAsia" w:eastAsiaTheme="minorEastAsia" w:cstheme="minorEastAsia"/>
          <w:color w:val="auto"/>
          <w:spacing w:val="10"/>
          <w:kern w:val="0"/>
          <w:szCs w:val="24"/>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r>
        <w:rPr>
          <w:rFonts w:hint="eastAsia" w:ascii="宋体" w:hAnsi="宋体" w:eastAsia="宋体" w:cs="宋体"/>
          <w:color w:val="auto"/>
          <w:spacing w:val="10"/>
          <w:kern w:val="0"/>
          <w:szCs w:val="24"/>
          <w:highlight w:val="none"/>
        </w:rPr>
        <w:t>备</w:t>
      </w:r>
      <w:r>
        <w:rPr>
          <w:rFonts w:hint="eastAsia" w:asciiTheme="minorEastAsia" w:hAnsiTheme="minorEastAsia" w:eastAsiaTheme="minorEastAsia" w:cstheme="minorEastAsia"/>
          <w:color w:val="auto"/>
          <w:spacing w:val="10"/>
          <w:kern w:val="0"/>
          <w:szCs w:val="24"/>
          <w:highlight w:val="none"/>
        </w:rPr>
        <w:t>注：</w:t>
      </w:r>
    </w:p>
    <w:p w14:paraId="7F06E1CE">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bookmarkStart w:id="172" w:name="_Hlt112206772"/>
      <w:bookmarkEnd w:id="172"/>
      <w:bookmarkStart w:id="173" w:name="_Hlt69669771"/>
      <w:bookmarkEnd w:id="173"/>
      <w:bookmarkStart w:id="174" w:name="_Toc16300"/>
      <w:bookmarkStart w:id="175" w:name="_Toc24184"/>
      <w:bookmarkStart w:id="176" w:name="_Toc13416"/>
      <w:bookmarkStart w:id="177" w:name="_Toc9083"/>
      <w:bookmarkStart w:id="178" w:name="_Hlt69698765"/>
      <w:bookmarkStart w:id="179" w:name="_Toc11519"/>
      <w:bookmarkStart w:id="180" w:name="_Toc21045"/>
      <w:bookmarkStart w:id="181" w:name="_Toc16649"/>
      <w:bookmarkStart w:id="182" w:name="_Toc16203"/>
      <w:bookmarkStart w:id="183" w:name="_Hlt69698713"/>
    </w:p>
    <w:p w14:paraId="71FC0B49">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p>
    <w:p w14:paraId="18FE5FC3">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p>
    <w:p w14:paraId="3DC9C5B9">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p>
    <w:p w14:paraId="3881046D">
      <w:pPr>
        <w:rPr>
          <w:rFonts w:hint="eastAsia" w:ascii="宋体" w:hAnsi="宋体" w:eastAsia="宋体" w:cs="宋体"/>
          <w:b/>
          <w:bCs/>
          <w:color w:val="auto"/>
          <w:highlight w:val="none"/>
        </w:rPr>
      </w:pPr>
      <w:bookmarkStart w:id="184" w:name="_Toc22493"/>
      <w:bookmarkStart w:id="185" w:name="_Toc10540"/>
      <w:r>
        <w:rPr>
          <w:rFonts w:hint="eastAsia" w:ascii="宋体" w:hAnsi="宋体" w:eastAsia="宋体" w:cs="宋体"/>
          <w:b/>
          <w:bCs/>
          <w:color w:val="auto"/>
          <w:highlight w:val="none"/>
        </w:rPr>
        <w:br w:type="page"/>
      </w:r>
    </w:p>
    <w:p w14:paraId="34586B3C">
      <w:pPr>
        <w:pStyle w:val="4"/>
        <w:spacing w:line="480" w:lineRule="exact"/>
        <w:rPr>
          <w:rFonts w:hint="eastAsia" w:ascii="宋体" w:hAnsi="宋体" w:eastAsia="宋体" w:cs="宋体"/>
          <w:b/>
          <w:bCs/>
          <w:color w:val="auto"/>
          <w:highlight w:val="none"/>
        </w:rPr>
      </w:pPr>
      <w:r>
        <w:rPr>
          <w:rFonts w:hint="eastAsia" w:ascii="宋体" w:hAnsi="宋体" w:eastAsia="宋体" w:cs="宋体"/>
          <w:b/>
          <w:bCs/>
          <w:color w:val="auto"/>
          <w:highlight w:val="none"/>
        </w:rPr>
        <w:t>第四节 否决投标条件</w:t>
      </w:r>
      <w:bookmarkEnd w:id="184"/>
      <w:bookmarkEnd w:id="185"/>
    </w:p>
    <w:p w14:paraId="24A5122B">
      <w:pPr>
        <w:wordWrap w:val="0"/>
        <w:adjustRightInd w:val="0"/>
        <w:snapToGrid w:val="0"/>
        <w:spacing w:line="48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79456D48">
      <w:pPr>
        <w:pStyle w:val="5"/>
        <w:wordWrap w:val="0"/>
        <w:snapToGrid w:val="0"/>
        <w:spacing w:line="480" w:lineRule="exact"/>
        <w:ind w:firstLine="480"/>
        <w:jc w:val="both"/>
        <w:rPr>
          <w:rFonts w:hint="eastAsia" w:ascii="宋体" w:hAnsi="宋体" w:eastAsia="宋体" w:cs="宋体"/>
          <w:b/>
          <w:snapToGrid w:val="0"/>
          <w:color w:val="auto"/>
          <w:highlight w:val="none"/>
        </w:rPr>
      </w:pPr>
      <w:bookmarkStart w:id="186" w:name="_Toc23608"/>
      <w:bookmarkStart w:id="187" w:name="_Toc29026"/>
      <w:r>
        <w:rPr>
          <w:rFonts w:hint="eastAsia" w:ascii="宋体" w:hAnsi="宋体" w:eastAsia="宋体" w:cs="宋体"/>
          <w:b/>
          <w:snapToGrid w:val="0"/>
          <w:color w:val="auto"/>
          <w:highlight w:val="none"/>
        </w:rPr>
        <w:t>1．资格评审环节</w:t>
      </w:r>
      <w:bookmarkEnd w:id="186"/>
      <w:bookmarkEnd w:id="187"/>
    </w:p>
    <w:p w14:paraId="32AD7EC1">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5AEC1781">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（1）有本章第三节第4.4条“禁止投标条款”规定的任何一种情形；</w:t>
      </w:r>
    </w:p>
    <w:p w14:paraId="028A6E27">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（2）投标人资质不符合规定的；</w:t>
      </w:r>
    </w:p>
    <w:p w14:paraId="6F960E5F">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3629B749">
      <w:pPr>
        <w:wordWrap w:val="0"/>
        <w:adjustRightInd w:val="0"/>
        <w:snapToGrid w:val="0"/>
        <w:spacing w:line="440" w:lineRule="exact"/>
        <w:ind w:firstLine="723" w:firstLineChars="30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5FFC8A46">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根据有关文件精神，投标人的企业相关证书到期的，均按该证书的发证机构相关行政主管部门最新文件执行（如自动顺延或推迟办理延期业务的通知等）投标人须提供相关证明材料附在该证书后面，证明在开标日继续有效的。</w:t>
      </w:r>
    </w:p>
    <w:p w14:paraId="7340F5D7">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（4）拟派项目经理、项目技术负责人、专职安全员、设计负责人的条件不符合规定的；拟派专职安全员数量不符合规定的；</w:t>
      </w:r>
    </w:p>
    <w:p w14:paraId="1729AF9A">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项目经理简历表》中拟派项目经理与《开标一览表》不一致的；建造师的注册证书不是住建部门颁发的；建造师的注册单位与投标人不一致的；项目管理班子组成人员的各类证书、证件、证明不在有效期内的（建造师注册证书不在使用有效期内的）；擅自修改、遗漏《项目经理任职声明》实质性内容的；</w:t>
      </w:r>
    </w:p>
    <w:p w14:paraId="29B12044">
      <w:pPr>
        <w:wordWrap w:val="0"/>
        <w:adjustRightInd w:val="0"/>
        <w:snapToGrid w:val="0"/>
        <w:spacing w:line="440" w:lineRule="exact"/>
        <w:ind w:firstLine="723" w:firstLineChars="30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注：投标人已经工商变更，但其员工执业资格注册证书的注册单位名称未完成变更的，不得否决其投标。</w:t>
      </w:r>
    </w:p>
    <w:p w14:paraId="174F4282">
      <w:pPr>
        <w:numPr>
          <w:ilvl w:val="0"/>
          <w:numId w:val="6"/>
        </w:num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联合体投标，未提交《联合体协议书》的；擅自修改、遗漏《联合体协议书》实质性内容的；联合体成员的数量、资质不符合规定的；联合体成员同时以自己名义单独投标或者参加其他联合体投标的；</w:t>
      </w:r>
    </w:p>
    <w:p w14:paraId="7F9F13D3">
      <w:pPr>
        <w:numPr>
          <w:ilvl w:val="0"/>
          <w:numId w:val="6"/>
        </w:numPr>
        <w:wordWrap w:val="0"/>
        <w:adjustRightInd w:val="0"/>
        <w:snapToGrid w:val="0"/>
        <w:spacing w:line="48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投标人为外省企业，但未提供“进粤企业和人员诚信信息登记平台”企业和拟派人员信息情况打印页或网页截图的。</w:t>
      </w:r>
    </w:p>
    <w:p w14:paraId="79D91914">
      <w:pPr>
        <w:pStyle w:val="5"/>
        <w:wordWrap w:val="0"/>
        <w:snapToGrid w:val="0"/>
        <w:spacing w:line="490" w:lineRule="exact"/>
        <w:ind w:firstLine="482"/>
        <w:jc w:val="both"/>
        <w:rPr>
          <w:rFonts w:hint="eastAsia" w:ascii="宋体" w:hAnsi="宋体" w:eastAsia="宋体" w:cs="宋体"/>
          <w:b/>
          <w:snapToGrid w:val="0"/>
          <w:color w:val="auto"/>
          <w:highlight w:val="none"/>
        </w:rPr>
      </w:pPr>
      <w:bookmarkStart w:id="188" w:name="_Toc26342"/>
      <w:bookmarkStart w:id="189" w:name="_Toc21356"/>
      <w:r>
        <w:rPr>
          <w:rFonts w:hint="eastAsia" w:ascii="宋体" w:hAnsi="宋体" w:eastAsia="宋体" w:cs="宋体"/>
          <w:b/>
          <w:snapToGrid w:val="0"/>
          <w:color w:val="auto"/>
          <w:highlight w:val="none"/>
        </w:rPr>
        <w:t>2．形式评审环节</w:t>
      </w:r>
      <w:bookmarkEnd w:id="188"/>
      <w:bookmarkEnd w:id="189"/>
    </w:p>
    <w:p w14:paraId="4CA88FE4">
      <w:pPr>
        <w:wordWrap w:val="0"/>
        <w:adjustRightInd w:val="0"/>
        <w:snapToGrid w:val="0"/>
        <w:spacing w:line="490" w:lineRule="exact"/>
        <w:ind w:firstLine="48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A2943C0">
      <w:pPr>
        <w:wordWrap w:val="0"/>
        <w:adjustRightInd w:val="0"/>
        <w:snapToGrid w:val="0"/>
        <w:spacing w:line="490" w:lineRule="exact"/>
        <w:ind w:firstLine="48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48355BCF">
      <w:pPr>
        <w:wordWrap w:val="0"/>
        <w:adjustRightInd w:val="0"/>
        <w:snapToGrid w:val="0"/>
        <w:spacing w:line="490" w:lineRule="exact"/>
        <w:ind w:firstLine="48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w:t>
      </w:r>
      <w:r>
        <w:rPr>
          <w:rFonts w:hint="eastAsia" w:ascii="宋体" w:hAnsi="宋体" w:eastAsia="宋体" w:cs="宋体"/>
          <w:color w:val="auto"/>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2132765D">
      <w:pPr>
        <w:wordWrap w:val="0"/>
        <w:adjustRightInd w:val="0"/>
        <w:snapToGrid w:val="0"/>
        <w:spacing w:line="490" w:lineRule="exact"/>
        <w:ind w:firstLine="48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）投标文件未按规定签字、盖章的。</w:t>
      </w:r>
    </w:p>
    <w:p w14:paraId="0E303A16">
      <w:pPr>
        <w:pStyle w:val="5"/>
        <w:wordWrap w:val="0"/>
        <w:snapToGrid w:val="0"/>
        <w:spacing w:line="490" w:lineRule="exact"/>
        <w:ind w:firstLine="482"/>
        <w:jc w:val="both"/>
        <w:rPr>
          <w:rFonts w:hint="eastAsia" w:ascii="宋体" w:hAnsi="宋体" w:eastAsia="宋体" w:cs="宋体"/>
          <w:b/>
          <w:snapToGrid w:val="0"/>
          <w:color w:val="auto"/>
          <w:highlight w:val="none"/>
        </w:rPr>
      </w:pPr>
      <w:bookmarkStart w:id="190" w:name="_Toc26103"/>
      <w:bookmarkStart w:id="191" w:name="_Toc20119"/>
      <w:r>
        <w:rPr>
          <w:rFonts w:hint="eastAsia" w:ascii="宋体" w:hAnsi="宋体" w:eastAsia="宋体" w:cs="宋体"/>
          <w:b/>
          <w:snapToGrid w:val="0"/>
          <w:color w:val="auto"/>
          <w:highlight w:val="none"/>
        </w:rPr>
        <w:t>3．响应性评审环节</w:t>
      </w:r>
      <w:bookmarkEnd w:id="190"/>
      <w:bookmarkEnd w:id="191"/>
    </w:p>
    <w:p w14:paraId="659479C8">
      <w:pPr>
        <w:wordWrap w:val="0"/>
        <w:adjustRightInd w:val="0"/>
        <w:snapToGrid w:val="0"/>
        <w:spacing w:line="490" w:lineRule="exact"/>
        <w:ind w:firstLine="48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20B5563D">
      <w:pPr>
        <w:wordWrap w:val="0"/>
        <w:adjustRightInd w:val="0"/>
        <w:snapToGrid w:val="0"/>
        <w:spacing w:line="490" w:lineRule="exact"/>
        <w:ind w:firstLine="48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（1）承诺的投标有效期短于规定的；质量标准低于规定的；工期超出规定的；擅自修改、遗漏《投标函》《各项承诺一览表》实质性内容的；</w:t>
      </w:r>
    </w:p>
    <w:p w14:paraId="516F5F5A">
      <w:pPr>
        <w:wordWrap w:val="0"/>
        <w:adjustRightInd w:val="0"/>
        <w:snapToGrid w:val="0"/>
        <w:spacing w:line="490" w:lineRule="exact"/>
        <w:ind w:firstLine="48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w:t>
      </w:r>
      <w:r>
        <w:rPr>
          <w:rFonts w:hint="eastAsia" w:ascii="宋体" w:hAnsi="宋体" w:eastAsia="宋体" w:cs="宋体"/>
          <w:color w:val="auto"/>
          <w:kern w:val="0"/>
          <w:highlight w:val="none"/>
        </w:rPr>
        <w:t>出现两个或两个以上投标总价的（同一个投标总价大、小写不一致的除外）；投标总价超出</w:t>
      </w:r>
      <w:r>
        <w:rPr>
          <w:rFonts w:hint="eastAsia" w:ascii="宋体" w:hAnsi="宋体" w:eastAsia="宋体" w:cs="宋体"/>
          <w:b/>
          <w:color w:val="auto"/>
          <w:highlight w:val="none"/>
        </w:rPr>
        <w:t>最高投标限价</w:t>
      </w:r>
      <w:r>
        <w:rPr>
          <w:rFonts w:hint="eastAsia" w:ascii="宋体" w:hAnsi="宋体" w:eastAsia="宋体" w:cs="宋体"/>
          <w:color w:val="auto"/>
          <w:kern w:val="0"/>
          <w:highlight w:val="none"/>
        </w:rPr>
        <w:t>的；</w:t>
      </w:r>
    </w:p>
    <w:p w14:paraId="24D50B9F">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w:t>
      </w:r>
      <w:r>
        <w:rPr>
          <w:rFonts w:hint="eastAsia" w:ascii="宋体" w:hAnsi="宋体" w:eastAsia="宋体" w:cs="宋体"/>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color w:val="auto"/>
          <w:kern w:val="0"/>
          <w:highlight w:val="none"/>
        </w:rPr>
        <w:t>且该种过错将导致工程质量、进度管理目标无法实现的</w:t>
      </w:r>
      <w:r>
        <w:rPr>
          <w:rFonts w:hint="eastAsia" w:ascii="宋体" w:hAnsi="宋体" w:eastAsia="宋体" w:cs="宋体"/>
          <w:color w:val="auto"/>
          <w:kern w:val="0"/>
          <w:highlight w:val="none"/>
        </w:rPr>
        <w:t>。</w:t>
      </w:r>
    </w:p>
    <w:p w14:paraId="36B14C87">
      <w:pPr>
        <w:pStyle w:val="5"/>
        <w:wordWrap w:val="0"/>
        <w:snapToGrid w:val="0"/>
        <w:spacing w:line="480" w:lineRule="exact"/>
        <w:ind w:firstLine="480"/>
        <w:jc w:val="both"/>
        <w:rPr>
          <w:rFonts w:hint="eastAsia" w:ascii="宋体" w:hAnsi="宋体" w:eastAsia="宋体" w:cs="宋体"/>
          <w:b/>
          <w:snapToGrid w:val="0"/>
          <w:color w:val="auto"/>
          <w:highlight w:val="none"/>
        </w:rPr>
      </w:pPr>
      <w:bookmarkStart w:id="192" w:name="_Toc2643"/>
      <w:bookmarkStart w:id="193" w:name="_Toc21372"/>
      <w:r>
        <w:rPr>
          <w:rFonts w:hint="eastAsia" w:ascii="宋体" w:hAnsi="宋体" w:eastAsia="宋体" w:cs="宋体"/>
          <w:b/>
          <w:snapToGrid w:val="0"/>
          <w:color w:val="auto"/>
          <w:highlight w:val="none"/>
        </w:rPr>
        <w:t>4．其他</w:t>
      </w:r>
      <w:bookmarkEnd w:id="192"/>
      <w:bookmarkEnd w:id="193"/>
    </w:p>
    <w:p w14:paraId="3A3DCD58">
      <w:pPr>
        <w:wordWrap w:val="0"/>
        <w:adjustRightInd w:val="0"/>
        <w:snapToGrid w:val="0"/>
        <w:spacing w:line="480" w:lineRule="exact"/>
        <w:ind w:firstLine="480"/>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590B4371">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2331CEFE">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77B10596">
      <w:pPr>
        <w:wordWrap w:val="0"/>
        <w:adjustRightInd w:val="0"/>
        <w:snapToGrid w:val="0"/>
        <w:spacing w:line="48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①不同投标人的投标文件两处以上（含两处）错、漏一致；</w:t>
      </w:r>
    </w:p>
    <w:p w14:paraId="614C81A4">
      <w:pPr>
        <w:wordWrap w:val="0"/>
        <w:adjustRightInd w:val="0"/>
        <w:snapToGrid w:val="0"/>
        <w:spacing w:line="48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②不同投标人的投标总价相近且各分项报价、综合单价分析表内容混乱不能相互对应、乱调乱压或乱抬的，而在询标时没有合理的解释或者不能提供计算依据和报价依据；</w:t>
      </w:r>
    </w:p>
    <w:p w14:paraId="38D264D0">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29495606">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0190B4F0">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74834053">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3241E0FE">
      <w:pPr>
        <w:wordWrap w:val="0"/>
        <w:adjustRightInd w:val="0"/>
        <w:snapToGrid w:val="0"/>
        <w:spacing w:line="48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26EE0652">
      <w:pPr>
        <w:wordWrap w:val="0"/>
        <w:adjustRightInd w:val="0"/>
        <w:snapToGrid w:val="0"/>
        <w:spacing w:line="440" w:lineRule="exact"/>
        <w:rPr>
          <w:rFonts w:hint="eastAsia" w:ascii="宋体" w:hAnsi="宋体" w:eastAsia="宋体" w:cs="宋体"/>
          <w:snapToGrid w:val="0"/>
          <w:color w:val="auto"/>
          <w:kern w:val="0"/>
          <w:szCs w:val="24"/>
          <w:highlight w:val="none"/>
        </w:rPr>
        <w:sectPr>
          <w:footerReference r:id="rId5" w:type="default"/>
          <w:endnotePr>
            <w:numFmt w:val="decimal"/>
          </w:endnotePr>
          <w:pgSz w:w="11906" w:h="16838"/>
          <w:pgMar w:top="1701" w:right="1531" w:bottom="1417" w:left="1531" w:header="850" w:footer="992" w:gutter="0"/>
          <w:pgNumType w:fmt="decimal" w:start="1"/>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⑧不同投标人委托同一个人或注册在同一家企业的注册人员或同一家企业为其投标提供投标咨询、商务报价、技术咨询（招标工程本身要求采用专有技术的除外）等服务。</w:t>
      </w:r>
    </w:p>
    <w:bookmarkEnd w:id="1"/>
    <w:bookmarkEnd w:id="174"/>
    <w:bookmarkEnd w:id="175"/>
    <w:bookmarkEnd w:id="176"/>
    <w:bookmarkEnd w:id="177"/>
    <w:bookmarkEnd w:id="178"/>
    <w:bookmarkEnd w:id="179"/>
    <w:bookmarkEnd w:id="180"/>
    <w:bookmarkEnd w:id="181"/>
    <w:bookmarkEnd w:id="182"/>
    <w:bookmarkEnd w:id="183"/>
    <w:p w14:paraId="20664224">
      <w:pPr>
        <w:wordWrap w:val="0"/>
        <w:adjustRightInd w:val="0"/>
        <w:snapToGrid w:val="0"/>
        <w:spacing w:line="440" w:lineRule="exact"/>
        <w:jc w:val="center"/>
        <w:outlineLvl w:val="0"/>
        <w:rPr>
          <w:rFonts w:hint="eastAsia" w:asciiTheme="minorEastAsia" w:hAnsiTheme="minorEastAsia" w:eastAsiaTheme="minorEastAsia" w:cstheme="minorEastAsia"/>
          <w:b/>
          <w:color w:val="auto"/>
          <w:kern w:val="44"/>
          <w:sz w:val="36"/>
          <w:szCs w:val="36"/>
          <w:highlight w:val="none"/>
          <w:lang w:val="en-US" w:eastAsia="zh-CN" w:bidi="ar-SA"/>
        </w:rPr>
      </w:pPr>
      <w:bookmarkStart w:id="194" w:name="_Toc10409"/>
      <w:bookmarkStart w:id="195" w:name="_Toc23993"/>
      <w:bookmarkStart w:id="196" w:name="_Toc466640610"/>
      <w:r>
        <w:rPr>
          <w:rFonts w:hint="eastAsia" w:asciiTheme="minorEastAsia" w:hAnsiTheme="minorEastAsia" w:eastAsiaTheme="minorEastAsia" w:cstheme="minorEastAsia"/>
          <w:b/>
          <w:color w:val="auto"/>
          <w:kern w:val="44"/>
          <w:sz w:val="36"/>
          <w:szCs w:val="36"/>
          <w:highlight w:val="none"/>
          <w:lang w:val="en-US" w:eastAsia="zh-CN" w:bidi="ar-SA"/>
        </w:rPr>
        <w:t>第二章 中标人须知</w:t>
      </w:r>
      <w:bookmarkEnd w:id="194"/>
      <w:bookmarkEnd w:id="195"/>
    </w:p>
    <w:p w14:paraId="25E79D68">
      <w:pPr>
        <w:wordWrap w:val="0"/>
        <w:adjustRightInd w:val="0"/>
        <w:snapToGrid w:val="0"/>
        <w:spacing w:line="440" w:lineRule="exact"/>
        <w:ind w:firstLine="562"/>
        <w:rPr>
          <w:rFonts w:hint="eastAsia" w:ascii="宋体" w:hAnsi="宋体" w:eastAsia="宋体" w:cs="宋体"/>
          <w:b/>
          <w:snapToGrid w:val="0"/>
          <w:color w:val="auto"/>
          <w:kern w:val="0"/>
          <w:sz w:val="24"/>
          <w:szCs w:val="24"/>
          <w:highlight w:val="none"/>
        </w:rPr>
      </w:pPr>
    </w:p>
    <w:p w14:paraId="2AEBE00C">
      <w:pPr>
        <w:wordWrap w:val="0"/>
        <w:adjustRightInd w:val="0"/>
        <w:snapToGrid w:val="0"/>
        <w:spacing w:line="440" w:lineRule="exact"/>
        <w:ind w:firstLine="562"/>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1．中标通知书</w:t>
      </w:r>
    </w:p>
    <w:p w14:paraId="60925EF1">
      <w:pPr>
        <w:wordWrap w:val="0"/>
        <w:adjustRightInd w:val="0"/>
        <w:snapToGrid w:val="0"/>
        <w:spacing w:line="440" w:lineRule="exact"/>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68539EF3">
      <w:pPr>
        <w:wordWrap w:val="0"/>
        <w:adjustRightInd w:val="0"/>
        <w:snapToGrid w:val="0"/>
        <w:spacing w:line="440" w:lineRule="exact"/>
        <w:ind w:firstLine="562"/>
        <w:rPr>
          <w:rFonts w:hint="eastAsia" w:ascii="宋体" w:hAnsi="宋体" w:eastAsia="宋体" w:cs="宋体"/>
          <w:snapToGrid w:val="0"/>
          <w:color w:val="auto"/>
          <w:kern w:val="0"/>
          <w:sz w:val="24"/>
          <w:szCs w:val="24"/>
          <w:highlight w:val="none"/>
        </w:rPr>
      </w:pPr>
    </w:p>
    <w:p w14:paraId="5F19362B">
      <w:pPr>
        <w:wordWrap w:val="0"/>
        <w:adjustRightInd w:val="0"/>
        <w:snapToGrid w:val="0"/>
        <w:spacing w:line="440" w:lineRule="exact"/>
        <w:ind w:firstLine="562"/>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2．中标结果公示</w:t>
      </w:r>
    </w:p>
    <w:p w14:paraId="1AB35F35">
      <w:pPr>
        <w:wordWrap w:val="0"/>
        <w:adjustRightInd w:val="0"/>
        <w:snapToGrid w:val="0"/>
        <w:spacing w:line="440" w:lineRule="exact"/>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中标通知书发出后15日内，招标人应将中标结果在广东省招标投标监管网（</w:t>
      </w:r>
      <w:r>
        <w:rPr>
          <w:rFonts w:hint="eastAsia" w:ascii="宋体" w:hAnsi="宋体" w:eastAsia="宋体" w:cs="宋体"/>
          <w:snapToGrid w:val="0"/>
          <w:color w:val="auto"/>
          <w:kern w:val="0"/>
          <w:sz w:val="24"/>
          <w:szCs w:val="24"/>
          <w:highlight w:val="none"/>
          <w:lang w:eastAsia="zh-CN"/>
        </w:rPr>
        <w:t>https://www.gdzwfw.gov.cn/ztbjg-portal/#/index</w:t>
      </w:r>
      <w:r>
        <w:rPr>
          <w:rFonts w:hint="eastAsia" w:ascii="宋体" w:hAnsi="宋体" w:eastAsia="宋体" w:cs="宋体"/>
          <w:snapToGrid w:val="0"/>
          <w:color w:val="auto"/>
          <w:kern w:val="0"/>
          <w:sz w:val="24"/>
          <w:szCs w:val="24"/>
          <w:highlight w:val="none"/>
        </w:rPr>
        <w:t>）、广东省公共资源交易平台（韶关市）（https://ygp.gdzwfw.gov.cn/ggzy-portal/#/440200/index）及</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进行公示。</w:t>
      </w:r>
    </w:p>
    <w:p w14:paraId="66735647">
      <w:pPr>
        <w:wordWrap w:val="0"/>
        <w:adjustRightInd w:val="0"/>
        <w:snapToGrid w:val="0"/>
        <w:spacing w:line="440" w:lineRule="exact"/>
        <w:ind w:firstLine="562"/>
        <w:rPr>
          <w:rFonts w:hint="eastAsia" w:ascii="宋体" w:hAnsi="宋体" w:eastAsia="宋体" w:cs="宋体"/>
          <w:snapToGrid w:val="0"/>
          <w:color w:val="auto"/>
          <w:kern w:val="0"/>
          <w:sz w:val="24"/>
          <w:szCs w:val="24"/>
          <w:highlight w:val="none"/>
        </w:rPr>
      </w:pPr>
    </w:p>
    <w:p w14:paraId="2CF63CC7">
      <w:pPr>
        <w:wordWrap w:val="0"/>
        <w:adjustRightInd w:val="0"/>
        <w:snapToGrid w:val="0"/>
        <w:spacing w:line="440" w:lineRule="exact"/>
        <w:ind w:firstLine="562"/>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3．履约保证</w:t>
      </w:r>
    </w:p>
    <w:p w14:paraId="4280C05B">
      <w:pPr>
        <w:wordWrap w:val="0"/>
        <w:adjustRightInd w:val="0"/>
        <w:snapToGrid w:val="0"/>
        <w:spacing w:line="440" w:lineRule="exact"/>
        <w:ind w:left="0" w:leftChars="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中标人须在领取中标通知书之日起</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个工作日内、签订合同前向招标人提交金额为中标价</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rPr>
        <w:t>% 的履约保证</w:t>
      </w:r>
      <w:r>
        <w:rPr>
          <w:rFonts w:hint="eastAsia" w:hAnsi="宋体" w:eastAsia="宋体" w:cs="宋体"/>
          <w:snapToGrid w:val="0"/>
          <w:color w:val="auto"/>
          <w:kern w:val="0"/>
          <w:sz w:val="24"/>
          <w:szCs w:val="24"/>
          <w:highlight w:val="none"/>
          <w:lang w:eastAsia="zh-CN"/>
        </w:rPr>
        <w:t>，招标人同时向中标人提供工程款支付担保</w:t>
      </w:r>
      <w:r>
        <w:rPr>
          <w:rFonts w:hint="eastAsia" w:ascii="宋体" w:hAnsi="宋体" w:eastAsia="宋体" w:cs="宋体"/>
          <w:snapToGrid w:val="0"/>
          <w:color w:val="auto"/>
          <w:kern w:val="0"/>
          <w:sz w:val="24"/>
          <w:szCs w:val="24"/>
          <w:highlight w:val="none"/>
        </w:rPr>
        <w:t>。联合体投标的，由联合体牵头人缴纳。</w:t>
      </w:r>
    </w:p>
    <w:p w14:paraId="440C392D">
      <w:pPr>
        <w:wordWrap w:val="0"/>
        <w:adjustRightInd w:val="0"/>
        <w:snapToGrid w:val="0"/>
        <w:spacing w:line="440" w:lineRule="exact"/>
        <w:ind w:left="0" w:leftChars="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履约保证的形式包括履约保证金、履约保证担保、履约保证保险三种，由中标人自主选择。</w:t>
      </w:r>
    </w:p>
    <w:p w14:paraId="032306BC">
      <w:pPr>
        <w:wordWrap w:val="0"/>
        <w:adjustRightInd w:val="0"/>
        <w:snapToGrid w:val="0"/>
        <w:spacing w:line="440" w:lineRule="exact"/>
        <w:ind w:left="0" w:leftChars="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（1）采用履约保证金的，中标人须从其法人开户银行的账号将履约保证金划至招标人账户，并详细注明项目名称及用途。</w:t>
      </w:r>
    </w:p>
    <w:p w14:paraId="25C06076">
      <w:pPr>
        <w:wordWrap w:val="0"/>
        <w:adjustRightInd w:val="0"/>
        <w:snapToGrid w:val="0"/>
        <w:spacing w:line="440" w:lineRule="exact"/>
        <w:ind w:left="0" w:leftChars="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履约保证担保或履约保证保险的，中标人应提交有效的银行保函或保险合同（或保险单）原件，银行保函或保险合同（或保险单）的有效期应当自合同生效之日起至项目通过竣工验收之日后28天止。如果中标人无法获得具体截止日期，银行保函或保险合同（或保险单）中应当有“变更工程竣工日期的，保证期间按照变更后的竣工日期做相应调整”或类似约定的条款。</w:t>
      </w:r>
    </w:p>
    <w:p w14:paraId="49E961E5">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sz w:val="24"/>
          <w:szCs w:val="24"/>
          <w:highlight w:val="none"/>
        </w:rPr>
        <w:t>并由招标人通报建设行政管理部门。如采用</w:t>
      </w:r>
      <w:r>
        <w:rPr>
          <w:rFonts w:hint="eastAsia" w:ascii="宋体" w:hAnsi="宋体" w:eastAsia="宋体" w:cs="宋体"/>
          <w:snapToGrid w:val="0"/>
          <w:color w:val="auto"/>
          <w:kern w:val="0"/>
          <w:sz w:val="24"/>
          <w:szCs w:val="24"/>
          <w:highlight w:val="none"/>
          <w:lang w:eastAsia="zh-CN"/>
        </w:rPr>
        <w:t>商业保函、银行保函或保险合同</w:t>
      </w:r>
      <w:r>
        <w:rPr>
          <w:rFonts w:hint="eastAsia" w:ascii="宋体" w:hAnsi="宋体" w:eastAsia="宋体" w:cs="宋体"/>
          <w:snapToGrid w:val="0"/>
          <w:color w:val="auto"/>
          <w:kern w:val="0"/>
          <w:sz w:val="24"/>
          <w:szCs w:val="24"/>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sz w:val="24"/>
          <w:szCs w:val="24"/>
          <w:highlight w:val="none"/>
          <w:lang w:eastAsia="zh-CN"/>
        </w:rPr>
        <w:t>商业保函、银行保函或保险合同。</w:t>
      </w:r>
    </w:p>
    <w:p w14:paraId="2ADE03B3">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p>
    <w:p w14:paraId="0D39D92F">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在工程实施过程中，如果承包人（即招标阶段的中标人，下同）由于自身的资金、技术、质量、非不可抗力等原因给发包人（即招标阶段的招标人，下同）造成经济损失，扣除相应履约保证。</w:t>
      </w:r>
    </w:p>
    <w:p w14:paraId="7354C84E">
      <w:pPr>
        <w:wordWrap w:val="0"/>
        <w:adjustRightInd w:val="0"/>
        <w:snapToGrid w:val="0"/>
        <w:spacing w:line="440" w:lineRule="exact"/>
        <w:ind w:firstLine="56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项目通过竣工验收之日后28天内，发包人将履约保证退还给承包人。</w:t>
      </w:r>
    </w:p>
    <w:p w14:paraId="432CF707">
      <w:pPr>
        <w:wordWrap w:val="0"/>
        <w:adjustRightInd w:val="0"/>
        <w:snapToGrid w:val="0"/>
        <w:spacing w:line="440" w:lineRule="exact"/>
        <w:ind w:firstLine="482" w:firstLineChars="200"/>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4．合同订立</w:t>
      </w:r>
    </w:p>
    <w:p w14:paraId="1FF5AD8D">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4.1</w:t>
      </w:r>
      <w:r>
        <w:rPr>
          <w:rFonts w:hint="eastAsia" w:ascii="宋体" w:hAnsi="宋体" w:eastAsia="宋体" w:cs="宋体"/>
          <w:snapToGrid w:val="0"/>
          <w:color w:val="auto"/>
          <w:kern w:val="0"/>
          <w:sz w:val="24"/>
          <w:szCs w:val="24"/>
          <w:highlight w:val="none"/>
        </w:rPr>
        <w:t xml:space="preserve"> 招标人应当自中标通知书发出之日起</w:t>
      </w:r>
      <w:r>
        <w:rPr>
          <w:rFonts w:hint="eastAsia" w:ascii="宋体" w:hAnsi="宋体" w:eastAsia="宋体" w:cs="宋体"/>
          <w:snapToGrid w:val="0"/>
          <w:color w:val="auto"/>
          <w:kern w:val="0"/>
          <w:sz w:val="24"/>
          <w:szCs w:val="24"/>
          <w:highlight w:val="none"/>
          <w:u w:val="single"/>
        </w:rPr>
        <w:t>30</w:t>
      </w:r>
      <w:r>
        <w:rPr>
          <w:rFonts w:hint="eastAsia" w:ascii="宋体" w:hAnsi="宋体" w:eastAsia="宋体" w:cs="宋体"/>
          <w:snapToGrid w:val="0"/>
          <w:color w:val="auto"/>
          <w:kern w:val="0"/>
          <w:sz w:val="24"/>
          <w:szCs w:val="24"/>
          <w:highlight w:val="none"/>
        </w:rPr>
        <w:t>日内，按照招标文件、中标人的投标文件与中标人订立书面合同。</w:t>
      </w:r>
    </w:p>
    <w:p w14:paraId="3C3FFD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w:t>
      </w:r>
      <w:r>
        <w:rPr>
          <w:rFonts w:hint="eastAsia" w:ascii="宋体" w:hAnsi="宋体" w:eastAsia="宋体" w:cs="宋体"/>
          <w:snapToGrid w:val="0"/>
          <w:color w:val="auto"/>
          <w:kern w:val="0"/>
          <w:sz w:val="24"/>
          <w:szCs w:val="24"/>
          <w:highlight w:val="none"/>
        </w:rPr>
        <w:t xml:space="preserve"> 不正常报价的梳理和确认</w:t>
      </w:r>
    </w:p>
    <w:p w14:paraId="26C144BF">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rPr>
        <w:t>合同订立期间，招标人应对中标人的投标报价进行全面分析和整理，从而发现并提取其中可能存在的算术性错误、错漏项、不平衡报价等不正常报价，并修正其中的算术性错误。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sz w:val="24"/>
          <w:szCs w:val="24"/>
          <w:highlight w:val="none"/>
        </w:rPr>
        <w:t>招标人不具备以上能力的，可</w:t>
      </w:r>
      <w:r>
        <w:rPr>
          <w:rFonts w:hint="eastAsia" w:ascii="宋体" w:hAnsi="宋体" w:eastAsia="宋体" w:cs="宋体"/>
          <w:snapToGrid w:val="0"/>
          <w:color w:val="auto"/>
          <w:kern w:val="0"/>
          <w:sz w:val="24"/>
          <w:szCs w:val="24"/>
          <w:highlight w:val="none"/>
          <w:lang w:val="en-US" w:eastAsia="zh-CN"/>
        </w:rPr>
        <w:t>委托</w:t>
      </w:r>
      <w:r>
        <w:rPr>
          <w:rFonts w:hint="eastAsia" w:ascii="宋体" w:hAnsi="宋体" w:eastAsia="宋体" w:cs="宋体"/>
          <w:snapToGrid w:val="0"/>
          <w:color w:val="auto"/>
          <w:kern w:val="0"/>
          <w:sz w:val="24"/>
          <w:szCs w:val="24"/>
          <w:highlight w:val="none"/>
        </w:rPr>
        <w:t>造价咨询单位实施。</w:t>
      </w:r>
    </w:p>
    <w:p w14:paraId="0BEDC591">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4.2.2</w:t>
      </w:r>
      <w:r>
        <w:rPr>
          <w:rFonts w:hint="eastAsia" w:ascii="宋体" w:hAnsi="宋体" w:eastAsia="宋体" w:cs="宋体"/>
          <w:snapToGrid w:val="0"/>
          <w:color w:val="auto"/>
          <w:kern w:val="0"/>
          <w:sz w:val="24"/>
          <w:szCs w:val="24"/>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5C72C816">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4.3 </w:t>
      </w:r>
      <w:r>
        <w:rPr>
          <w:rFonts w:hint="eastAsia" w:ascii="宋体" w:hAnsi="宋体" w:eastAsia="宋体" w:cs="宋体"/>
          <w:snapToGrid w:val="0"/>
          <w:color w:val="auto"/>
          <w:kern w:val="0"/>
          <w:sz w:val="24"/>
          <w:szCs w:val="24"/>
          <w:highlight w:val="none"/>
        </w:rPr>
        <w:t>本招标工程合同计价方式为：</w:t>
      </w:r>
      <w:r>
        <w:rPr>
          <w:rFonts w:hint="eastAsia" w:ascii="宋体" w:hAnsi="宋体" w:eastAsia="宋体" w:cs="宋体"/>
          <w:b w:val="0"/>
          <w:bCs w:val="0"/>
          <w:snapToGrid w:val="0"/>
          <w:color w:val="auto"/>
          <w:kern w:val="0"/>
          <w:sz w:val="24"/>
          <w:szCs w:val="24"/>
          <w:highlight w:val="none"/>
          <w:u w:val="single"/>
          <w:lang w:val="en-US" w:eastAsia="zh-CN"/>
        </w:rPr>
        <w:t>单</w:t>
      </w:r>
      <w:r>
        <w:rPr>
          <w:rFonts w:hint="eastAsia" w:ascii="宋体" w:hAnsi="宋体" w:eastAsia="宋体" w:cs="宋体"/>
          <w:b w:val="0"/>
          <w:bCs w:val="0"/>
          <w:snapToGrid w:val="0"/>
          <w:color w:val="auto"/>
          <w:kern w:val="0"/>
          <w:sz w:val="24"/>
          <w:szCs w:val="24"/>
          <w:highlight w:val="none"/>
          <w:u w:val="single"/>
        </w:rPr>
        <w:t>价合同</w:t>
      </w:r>
      <w:r>
        <w:rPr>
          <w:rFonts w:hint="eastAsia" w:ascii="宋体" w:hAnsi="宋体" w:eastAsia="宋体" w:cs="宋体"/>
          <w:b w:val="0"/>
          <w:bCs w:val="0"/>
          <w:snapToGrid w:val="0"/>
          <w:color w:val="auto"/>
          <w:kern w:val="0"/>
          <w:sz w:val="24"/>
          <w:szCs w:val="24"/>
          <w:highlight w:val="none"/>
        </w:rPr>
        <w:t>。</w:t>
      </w:r>
    </w:p>
    <w:p w14:paraId="631B15AA">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4.4</w:t>
      </w:r>
      <w:r>
        <w:rPr>
          <w:rFonts w:hint="eastAsia" w:ascii="宋体" w:hAnsi="宋体" w:eastAsia="宋体" w:cs="宋体"/>
          <w:snapToGrid w:val="0"/>
          <w:color w:val="auto"/>
          <w:kern w:val="0"/>
          <w:sz w:val="24"/>
          <w:szCs w:val="24"/>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10DCC616">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4.5</w:t>
      </w:r>
      <w:r>
        <w:rPr>
          <w:rFonts w:hint="eastAsia" w:ascii="宋体" w:hAnsi="宋体" w:eastAsia="宋体" w:cs="宋体"/>
          <w:snapToGrid w:val="0"/>
          <w:color w:val="auto"/>
          <w:kern w:val="0"/>
          <w:sz w:val="24"/>
          <w:szCs w:val="24"/>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34429117">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4.6</w:t>
      </w:r>
      <w:r>
        <w:rPr>
          <w:rFonts w:hint="eastAsia" w:ascii="宋体" w:hAnsi="宋体" w:eastAsia="宋体" w:cs="宋体"/>
          <w:snapToGrid w:val="0"/>
          <w:color w:val="auto"/>
          <w:kern w:val="0"/>
          <w:sz w:val="24"/>
          <w:szCs w:val="24"/>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7C9DC922">
      <w:pPr>
        <w:wordWrap w:val="0"/>
        <w:adjustRightInd w:val="0"/>
        <w:snapToGrid w:val="0"/>
        <w:spacing w:line="440" w:lineRule="exact"/>
        <w:ind w:firstLine="482" w:firstLineChars="200"/>
        <w:rPr>
          <w:rFonts w:hint="eastAsia" w:ascii="宋体" w:hAnsi="宋体" w:eastAsia="宋体" w:cs="宋体"/>
          <w:b/>
          <w:bCs/>
          <w:snapToGrid w:val="0"/>
          <w:color w:val="auto"/>
          <w:kern w:val="0"/>
          <w:sz w:val="24"/>
          <w:szCs w:val="24"/>
          <w:highlight w:val="none"/>
        </w:rPr>
      </w:pPr>
    </w:p>
    <w:p w14:paraId="03FACCC6">
      <w:pPr>
        <w:wordWrap w:val="0"/>
        <w:adjustRightInd w:val="0"/>
        <w:snapToGrid w:val="0"/>
        <w:spacing w:line="440" w:lineRule="exact"/>
        <w:ind w:firstLine="482" w:firstLineChars="200"/>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5．放弃中标的处理</w:t>
      </w:r>
    </w:p>
    <w:p w14:paraId="346D0FC6">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中标人</w:t>
      </w:r>
      <w:r>
        <w:rPr>
          <w:rFonts w:hint="eastAsia" w:ascii="宋体" w:hAnsi="宋体" w:eastAsia="宋体" w:cs="宋体"/>
          <w:snapToGrid w:val="0"/>
          <w:color w:val="auto"/>
          <w:sz w:val="24"/>
          <w:szCs w:val="24"/>
          <w:highlight w:val="none"/>
        </w:rPr>
        <w:t>无正当理由放弃中标的，</w:t>
      </w:r>
      <w:r>
        <w:rPr>
          <w:rFonts w:hint="eastAsia" w:ascii="宋体" w:hAnsi="宋体" w:eastAsia="宋体" w:cs="宋体"/>
          <w:snapToGrid w:val="0"/>
          <w:color w:val="auto"/>
          <w:kern w:val="0"/>
          <w:sz w:val="24"/>
          <w:szCs w:val="24"/>
          <w:highlight w:val="none"/>
        </w:rPr>
        <w:t>取消其中标资格，其投标保证不予退还，给招标人造成的损失超过投标保证金额的，弃标人还应当对超过部分予以赔偿。招标人可按照评标委员会提出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sz w:val="24"/>
          <w:szCs w:val="24"/>
          <w:highlight w:val="none"/>
        </w:rPr>
        <w:t>因此种情况造成招标人重新招标的</w:t>
      </w:r>
      <w:r>
        <w:rPr>
          <w:rFonts w:hint="eastAsia" w:ascii="宋体" w:hAnsi="宋体" w:eastAsia="宋体" w:cs="宋体"/>
          <w:snapToGrid w:val="0"/>
          <w:color w:val="auto"/>
          <w:kern w:val="0"/>
          <w:sz w:val="24"/>
          <w:szCs w:val="24"/>
          <w:highlight w:val="none"/>
        </w:rPr>
        <w:t>，招标人可不接受该弃标人再次投标。同时，招标人应将该弃标人的失信行为向行政监督部门报告。</w:t>
      </w:r>
    </w:p>
    <w:p w14:paraId="2ABC0CBE">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007BB765">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p>
    <w:p w14:paraId="100B64A4">
      <w:pPr>
        <w:wordWrap w:val="0"/>
        <w:adjustRightInd w:val="0"/>
        <w:snapToGrid w:val="0"/>
        <w:spacing w:line="440" w:lineRule="exact"/>
        <w:ind w:firstLine="482" w:firstLineChars="200"/>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6．专业工程分包</w:t>
      </w:r>
    </w:p>
    <w:p w14:paraId="44E5352E">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23CB6683">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p>
    <w:p w14:paraId="65038B74">
      <w:pPr>
        <w:wordWrap w:val="0"/>
        <w:adjustRightInd w:val="0"/>
        <w:snapToGrid w:val="0"/>
        <w:spacing w:line="440" w:lineRule="exact"/>
        <w:ind w:firstLine="482" w:firstLineChars="200"/>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7．工人工资支付专用账户</w:t>
      </w:r>
    </w:p>
    <w:p w14:paraId="4955FB8A">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03590955">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7.2</w:t>
      </w:r>
      <w:r>
        <w:rPr>
          <w:rFonts w:hint="eastAsia" w:ascii="宋体" w:hAnsi="宋体" w:eastAsia="宋体" w:cs="宋体"/>
          <w:snapToGrid w:val="0"/>
          <w:color w:val="auto"/>
          <w:kern w:val="0"/>
          <w:sz w:val="24"/>
          <w:szCs w:val="24"/>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p>
    <w:p w14:paraId="4C232CAD">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37E2DB7">
      <w:pPr>
        <w:wordWrap w:val="0"/>
        <w:adjustRightInd w:val="0"/>
        <w:snapToGrid w:val="0"/>
        <w:spacing w:line="440" w:lineRule="exact"/>
        <w:ind w:firstLine="482" w:firstLineChars="200"/>
        <w:rPr>
          <w:rFonts w:hint="eastAsia" w:ascii="宋体" w:hAnsi="宋体" w:eastAsia="宋体" w:cs="宋体"/>
          <w:b/>
          <w:bCs/>
          <w:snapToGrid w:val="0"/>
          <w:color w:val="auto"/>
          <w:kern w:val="0"/>
          <w:sz w:val="24"/>
          <w:szCs w:val="24"/>
          <w:highlight w:val="none"/>
        </w:rPr>
      </w:pPr>
    </w:p>
    <w:p w14:paraId="078C90F2">
      <w:pPr>
        <w:wordWrap w:val="0"/>
        <w:adjustRightInd w:val="0"/>
        <w:snapToGrid w:val="0"/>
        <w:spacing w:line="440" w:lineRule="exact"/>
        <w:ind w:firstLine="482" w:firstLineChars="200"/>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8．诚信登记</w:t>
      </w:r>
    </w:p>
    <w:p w14:paraId="5F02FF22">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承包人在签订合同30日内，须按《韶关市住建管理局关于加强我市建筑行业企业及注册执业人员诚信管理的通知》（韶市建字〔2018）56号）的要求办理诚信登记，纳入诚信管理范围。</w:t>
      </w:r>
    </w:p>
    <w:p w14:paraId="70B25CF4">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p>
    <w:p w14:paraId="335CC4D6">
      <w:pPr>
        <w:wordWrap w:val="0"/>
        <w:adjustRightInd w:val="0"/>
        <w:snapToGrid w:val="0"/>
        <w:spacing w:line="360" w:lineRule="auto"/>
        <w:ind w:firstLine="482" w:firstLineChars="200"/>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9．工期进度</w:t>
      </w:r>
    </w:p>
    <w:p w14:paraId="036D1007">
      <w:pPr>
        <w:pStyle w:val="24"/>
        <w:keepNext w:val="0"/>
        <w:keepLines w:val="0"/>
        <w:pageBreakBefore w:val="0"/>
        <w:widowControl/>
        <w:suppressLineNumbers w:val="0"/>
        <w:kinsoku/>
        <w:overflowPunct/>
        <w:topLinePunct w:val="0"/>
        <w:autoSpaceDE/>
        <w:autoSpaceDN/>
        <w:bidi w:val="0"/>
        <w:spacing w:before="0" w:beforeAutospacing="0" w:after="150" w:afterAutospacing="0" w:line="360" w:lineRule="auto"/>
        <w:ind w:left="0" w:right="0" w:firstLine="48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color w:val="auto"/>
          <w:sz w:val="24"/>
          <w:szCs w:val="24"/>
          <w:highlight w:val="none"/>
          <w:lang w:val="en-US" w:eastAsia="zh-CN"/>
        </w:rPr>
        <w:t>本项目设计、施工工期：110日历天【其中：设计工期20日历天、施工工期90日历天】</w:t>
      </w:r>
    </w:p>
    <w:p w14:paraId="734E157E">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施工工期从承包人收到监理单位签发的开工令之日起计，至竣工验收合格之日止。</w:t>
      </w:r>
    </w:p>
    <w:p w14:paraId="194693D9">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由于承包人原因，没有按期完成设计工作的，承包人须在逾期第壹天起每天按设计费合同价款的</w:t>
      </w:r>
      <w:r>
        <w:rPr>
          <w:rFonts w:hint="eastAsia" w:ascii="宋体" w:hAnsi="宋体" w:eastAsia="宋体" w:cs="宋体"/>
          <w:snapToGrid w:val="0"/>
          <w:color w:val="auto"/>
          <w:kern w:val="0"/>
          <w:sz w:val="24"/>
          <w:szCs w:val="24"/>
          <w:highlight w:val="none"/>
          <w:u w:val="single"/>
        </w:rPr>
        <w:t>1%</w:t>
      </w:r>
      <w:r>
        <w:rPr>
          <w:rFonts w:hint="eastAsia" w:ascii="宋体" w:hAnsi="宋体" w:eastAsia="宋体" w:cs="宋体"/>
          <w:snapToGrid w:val="0"/>
          <w:color w:val="auto"/>
          <w:kern w:val="0"/>
          <w:sz w:val="24"/>
          <w:szCs w:val="24"/>
          <w:highlight w:val="none"/>
        </w:rPr>
        <w:t>向招标人返纳逾期违约金；由于承包人原因，工程没有按期竣工并通过验收时</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snapToGrid w:val="0"/>
          <w:color w:val="auto"/>
          <w:kern w:val="0"/>
          <w:sz w:val="24"/>
          <w:szCs w:val="24"/>
          <w:highlight w:val="none"/>
        </w:rPr>
        <w:t>，承包人须在逾期第壹天起每天按合同价款的</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向招标人返纳逾期竣工违约金。逾期竣工违约金的最高限额为</w:t>
      </w:r>
      <w:r>
        <w:rPr>
          <w:rFonts w:hint="eastAsia" w:ascii="宋体" w:hAnsi="宋体" w:eastAsia="宋体" w:cs="宋体"/>
          <w:snapToGrid w:val="0"/>
          <w:color w:val="auto"/>
          <w:kern w:val="0"/>
          <w:sz w:val="24"/>
          <w:szCs w:val="24"/>
          <w:highlight w:val="none"/>
          <w:u w:val="single"/>
        </w:rPr>
        <w:t>合同价款的</w:t>
      </w:r>
      <w:r>
        <w:rPr>
          <w:rFonts w:hint="eastAsia"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w:t>
      </w:r>
    </w:p>
    <w:p w14:paraId="6AC5F808">
      <w:pPr>
        <w:wordWrap w:val="0"/>
        <w:adjustRightInd w:val="0"/>
        <w:snapToGrid w:val="0"/>
        <w:spacing w:line="440" w:lineRule="exact"/>
        <w:ind w:firstLine="482" w:firstLineChars="200"/>
        <w:rPr>
          <w:rFonts w:hint="eastAsia" w:ascii="宋体" w:hAnsi="宋体" w:eastAsia="宋体" w:cs="宋体"/>
          <w:b/>
          <w:bCs/>
          <w:snapToGrid w:val="0"/>
          <w:color w:val="auto"/>
          <w:kern w:val="0"/>
          <w:sz w:val="24"/>
          <w:szCs w:val="24"/>
          <w:highlight w:val="none"/>
        </w:rPr>
      </w:pPr>
    </w:p>
    <w:p w14:paraId="48B98F8D">
      <w:pPr>
        <w:wordWrap w:val="0"/>
        <w:adjustRightInd w:val="0"/>
        <w:snapToGrid w:val="0"/>
        <w:spacing w:line="440" w:lineRule="exact"/>
        <w:ind w:firstLine="482" w:firstLineChars="200"/>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10．项目管理机构</w:t>
      </w:r>
    </w:p>
    <w:p w14:paraId="6A53B8A2">
      <w:pPr>
        <w:wordWrap w:val="0"/>
        <w:adjustRightInd w:val="0"/>
        <w:snapToGrid w:val="0"/>
        <w:spacing w:line="42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snapToGrid w:val="0"/>
          <w:color w:val="auto"/>
          <w:kern w:val="0"/>
          <w:sz w:val="24"/>
          <w:szCs w:val="24"/>
          <w:highlight w:val="none"/>
        </w:rPr>
        <w:t xml:space="preserve"> 承包人派驻的项目管理班子成员必须为其投标文件确定的人员，否则发包人有权终止合同。</w:t>
      </w:r>
    </w:p>
    <w:p w14:paraId="542957ED">
      <w:pPr>
        <w:wordWrap w:val="0"/>
        <w:adjustRightInd w:val="0"/>
        <w:snapToGrid w:val="0"/>
        <w:spacing w:line="440" w:lineRule="exact"/>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snapToGrid w:val="0"/>
          <w:color w:val="auto"/>
          <w:kern w:val="0"/>
          <w:sz w:val="24"/>
          <w:szCs w:val="24"/>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619E51C9">
      <w:pPr>
        <w:wordWrap w:val="0"/>
        <w:adjustRightInd w:val="0"/>
        <w:snapToGrid w:val="0"/>
        <w:spacing w:line="440" w:lineRule="exact"/>
        <w:ind w:firstLine="482" w:firstLineChars="200"/>
        <w:rPr>
          <w:rFonts w:hint="eastAsia" w:ascii="宋体" w:hAnsi="宋体" w:eastAsia="宋体" w:cs="宋体"/>
          <w:b/>
          <w:snapToGrid w:val="0"/>
          <w:color w:val="auto"/>
          <w:kern w:val="0"/>
          <w:sz w:val="24"/>
          <w:szCs w:val="24"/>
          <w:highlight w:val="none"/>
        </w:rPr>
      </w:pPr>
    </w:p>
    <w:p w14:paraId="44710396">
      <w:pPr>
        <w:wordWrap w:val="0"/>
        <w:adjustRightInd w:val="0"/>
        <w:snapToGrid w:val="0"/>
        <w:spacing w:line="440" w:lineRule="exact"/>
        <w:ind w:firstLine="482" w:firstLineChars="200"/>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11．现场管理</w:t>
      </w:r>
    </w:p>
    <w:p w14:paraId="679B1F8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6F88A5EA">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26B397A5">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11.3</w:t>
      </w:r>
      <w:r>
        <w:rPr>
          <w:rFonts w:hint="eastAsia" w:ascii="宋体" w:hAnsi="宋体" w:eastAsia="宋体" w:cs="宋体"/>
          <w:snapToGrid w:val="0"/>
          <w:color w:val="auto"/>
          <w:kern w:val="0"/>
          <w:sz w:val="24"/>
          <w:szCs w:val="24"/>
          <w:highlight w:val="none"/>
        </w:rPr>
        <w:t xml:space="preserve"> 为保证施工现场的环境卫生，承包人在本招标工程施工过程中，所有的车辆必须按发包人规定的行车路线行驶。</w:t>
      </w:r>
    </w:p>
    <w:p w14:paraId="65B3BDDE">
      <w:pPr>
        <w:pStyle w:val="7"/>
        <w:ind w:firstLine="480" w:firstLineChars="200"/>
        <w:rPr>
          <w:rFonts w:hint="eastAsia" w:ascii="宋体" w:hAnsi="宋体" w:eastAsia="宋体" w:cs="宋体"/>
          <w:color w:val="auto"/>
          <w:sz w:val="24"/>
          <w:szCs w:val="24"/>
          <w:highlight w:val="none"/>
        </w:rPr>
      </w:pPr>
    </w:p>
    <w:p w14:paraId="01348D70">
      <w:pPr>
        <w:wordWrap w:val="0"/>
        <w:adjustRightInd w:val="0"/>
        <w:snapToGrid w:val="0"/>
        <w:spacing w:line="440" w:lineRule="exact"/>
        <w:ind w:firstLine="482" w:firstLineChars="200"/>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12．监督实施</w:t>
      </w:r>
    </w:p>
    <w:p w14:paraId="36C8FA65">
      <w:pPr>
        <w:wordWrap w:val="0"/>
        <w:adjustRightInd w:val="0"/>
        <w:snapToGrid w:val="0"/>
        <w:spacing w:line="440" w:lineRule="exact"/>
        <w:ind w:firstLine="56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3740849F">
      <w:pPr>
        <w:wordWrap w:val="0"/>
        <w:adjustRightInd w:val="0"/>
        <w:snapToGrid w:val="0"/>
        <w:spacing w:line="440" w:lineRule="exact"/>
        <w:ind w:firstLine="560"/>
        <w:rPr>
          <w:rFonts w:hint="eastAsia" w:ascii="宋体" w:hAnsi="宋体" w:eastAsia="宋体" w:cs="宋体"/>
          <w:b/>
          <w:snapToGrid w:val="0"/>
          <w:color w:val="auto"/>
          <w:kern w:val="0"/>
          <w:sz w:val="24"/>
          <w:szCs w:val="24"/>
          <w:highlight w:val="none"/>
        </w:rPr>
      </w:pPr>
    </w:p>
    <w:p w14:paraId="54176347">
      <w:pPr>
        <w:wordWrap w:val="0"/>
        <w:adjustRightInd w:val="0"/>
        <w:snapToGrid w:val="0"/>
        <w:spacing w:line="440" w:lineRule="exact"/>
        <w:ind w:firstLine="482" w:firstLineChars="200"/>
        <w:outlineLvl w:val="2"/>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13．主材的采购和使用</w:t>
      </w:r>
    </w:p>
    <w:p w14:paraId="52183FE0">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A0C2FD0">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p>
    <w:p w14:paraId="3E9BDBE4">
      <w:pPr>
        <w:wordWrap w:val="0"/>
        <w:adjustRightInd w:val="0"/>
        <w:snapToGrid w:val="0"/>
        <w:spacing w:line="440" w:lineRule="exact"/>
        <w:ind w:firstLine="482" w:firstLineChars="200"/>
        <w:outlineLvl w:val="2"/>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14．竣工资料移交</w:t>
      </w:r>
    </w:p>
    <w:p w14:paraId="5B5345DB">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工程竣工验收时，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hAnsi="宋体" w:eastAsia="宋体" w:cs="宋体"/>
          <w:bCs/>
          <w:snapToGrid w:val="0"/>
          <w:color w:val="auto"/>
          <w:kern w:val="0"/>
          <w:sz w:val="24"/>
          <w:szCs w:val="24"/>
          <w:highlight w:val="none"/>
          <w:u w:val="single"/>
          <w:lang w:val="en-US" w:eastAsia="zh-CN"/>
        </w:rPr>
        <w:t>贰</w:t>
      </w:r>
      <w:r>
        <w:rPr>
          <w:rFonts w:hint="eastAsia" w:ascii="宋体" w:hAnsi="宋体" w:eastAsia="宋体" w:cs="宋体"/>
          <w:bCs/>
          <w:snapToGrid w:val="0"/>
          <w:color w:val="auto"/>
          <w:kern w:val="0"/>
          <w:sz w:val="24"/>
          <w:szCs w:val="24"/>
          <w:highlight w:val="none"/>
        </w:rPr>
        <w:t>份。</w:t>
      </w:r>
    </w:p>
    <w:p w14:paraId="3446DEBF">
      <w:pPr>
        <w:wordWrap w:val="0"/>
        <w:adjustRightInd w:val="0"/>
        <w:snapToGrid w:val="0"/>
        <w:spacing w:line="440" w:lineRule="exact"/>
        <w:ind w:firstLine="560"/>
        <w:rPr>
          <w:rFonts w:hint="eastAsia" w:ascii="宋体" w:hAnsi="宋体" w:eastAsia="宋体" w:cs="宋体"/>
          <w:b/>
          <w:snapToGrid w:val="0"/>
          <w:color w:val="auto"/>
          <w:kern w:val="0"/>
          <w:sz w:val="24"/>
          <w:szCs w:val="24"/>
          <w:highlight w:val="none"/>
        </w:rPr>
      </w:pPr>
    </w:p>
    <w:p w14:paraId="3CC51B33">
      <w:pPr>
        <w:wordWrap w:val="0"/>
        <w:adjustRightInd w:val="0"/>
        <w:snapToGrid w:val="0"/>
        <w:spacing w:line="440" w:lineRule="exact"/>
        <w:ind w:firstLine="482" w:firstLineChars="200"/>
        <w:outlineLvl w:val="2"/>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15．质量保证</w:t>
      </w:r>
    </w:p>
    <w:p w14:paraId="785999FA">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本招标工程</w:t>
      </w:r>
      <w:r>
        <w:rPr>
          <w:rFonts w:hint="eastAsia" w:ascii="宋体" w:hAnsi="宋体" w:eastAsia="宋体" w:cs="宋体"/>
          <w:bCs/>
          <w:snapToGrid w:val="0"/>
          <w:color w:val="auto"/>
          <w:kern w:val="0"/>
          <w:sz w:val="24"/>
          <w:szCs w:val="24"/>
          <w:highlight w:val="none"/>
        </w:rPr>
        <w:t>缺陷责任期为</w:t>
      </w:r>
      <w:r>
        <w:rPr>
          <w:rFonts w:hint="eastAsia" w:ascii="宋体" w:hAnsi="宋体" w:eastAsia="宋体" w:cs="宋体"/>
          <w:bCs/>
          <w:snapToGrid w:val="0"/>
          <w:color w:val="auto"/>
          <w:kern w:val="0"/>
          <w:sz w:val="24"/>
          <w:szCs w:val="24"/>
          <w:highlight w:val="none"/>
          <w:u w:val="single"/>
          <w:lang w:val="en-US" w:eastAsia="zh-CN"/>
        </w:rPr>
        <w:t>1</w:t>
      </w:r>
      <w:r>
        <w:rPr>
          <w:rFonts w:hint="eastAsia" w:ascii="宋体" w:hAnsi="宋体" w:eastAsia="宋体" w:cs="宋体"/>
          <w:bCs/>
          <w:snapToGrid w:val="0"/>
          <w:color w:val="auto"/>
          <w:kern w:val="0"/>
          <w:sz w:val="24"/>
          <w:szCs w:val="24"/>
          <w:highlight w:val="none"/>
        </w:rPr>
        <w:t>年（自通过竣工验收之日起计），在此期间预留金额为结算价</w:t>
      </w:r>
      <w:r>
        <w:rPr>
          <w:rFonts w:hint="eastAsia" w:ascii="宋体" w:hAnsi="宋体" w:eastAsia="宋体" w:cs="宋体"/>
          <w:bCs/>
          <w:snapToGrid w:val="0"/>
          <w:color w:val="auto"/>
          <w:kern w:val="0"/>
          <w:sz w:val="24"/>
          <w:szCs w:val="24"/>
          <w:highlight w:val="none"/>
          <w:u w:val="single"/>
        </w:rPr>
        <w:t xml:space="preserve"> 3% </w:t>
      </w:r>
      <w:r>
        <w:rPr>
          <w:rFonts w:hint="eastAsia" w:ascii="宋体" w:hAnsi="宋体" w:eastAsia="宋体" w:cs="宋体"/>
          <w:bCs/>
          <w:snapToGrid w:val="0"/>
          <w:color w:val="auto"/>
          <w:kern w:val="0"/>
          <w:sz w:val="24"/>
          <w:szCs w:val="24"/>
          <w:highlight w:val="none"/>
        </w:rPr>
        <w:t>的质量保证。</w:t>
      </w:r>
    </w:p>
    <w:p w14:paraId="1F108509">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质量保证的形式包括质量保证金、质量保证担保、质量保证保险三种，由承包人自主选择。</w:t>
      </w:r>
    </w:p>
    <w:p w14:paraId="57264212">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（1）采用质量保证金形式的，在结清审定总造价时一次性扣留相应金额作为质量保证金。</w:t>
      </w:r>
    </w:p>
    <w:p w14:paraId="63F712E0">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（2）采用质量保证担保或质量保证保险的，承包人应在竣工验收时向发包人提交有效的银行保函或保险合同（或保险单）原件，银行保函或保险合同（或保险单）的有效期不得短于缺陷责任期。</w:t>
      </w:r>
    </w:p>
    <w:p w14:paraId="42D61DA1">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15.3</w:t>
      </w:r>
      <w:r>
        <w:rPr>
          <w:rFonts w:hint="eastAsia" w:ascii="宋体" w:hAnsi="宋体" w:eastAsia="宋体" w:cs="宋体"/>
          <w:bCs/>
          <w:snapToGrid w:val="0"/>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785697B">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由他人原因造成的缺陷，发包人负责组织维修，承包人不承担费用，且发包人不得从质量保证中扣除费用。</w:t>
      </w:r>
    </w:p>
    <w:p w14:paraId="04DF8844">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bCs/>
          <w:snapToGrid w:val="0"/>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C5C5004">
      <w:pPr>
        <w:wordWrap w:val="0"/>
        <w:adjustRightInd w:val="0"/>
        <w:snapToGrid w:val="0"/>
        <w:spacing w:line="440" w:lineRule="exact"/>
        <w:ind w:firstLine="560"/>
        <w:rPr>
          <w:rFonts w:hint="eastAsia" w:ascii="宋体" w:hAnsi="宋体" w:eastAsia="宋体" w:cs="宋体"/>
          <w:b/>
          <w:bCs/>
          <w:snapToGrid w:val="0"/>
          <w:color w:val="auto"/>
          <w:kern w:val="0"/>
          <w:sz w:val="24"/>
          <w:szCs w:val="24"/>
          <w:highlight w:val="none"/>
        </w:rPr>
      </w:pPr>
    </w:p>
    <w:p w14:paraId="7B72DCF8">
      <w:pPr>
        <w:wordWrap w:val="0"/>
        <w:adjustRightInd w:val="0"/>
        <w:snapToGrid w:val="0"/>
        <w:spacing w:line="440" w:lineRule="exact"/>
        <w:ind w:firstLine="482" w:firstLineChars="200"/>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w:t>
      </w:r>
      <w:r>
        <w:rPr>
          <w:rFonts w:hint="eastAsia" w:ascii="宋体" w:hAnsi="宋体" w:eastAsia="宋体" w:cs="宋体"/>
          <w:b/>
          <w:snapToGrid w:val="0"/>
          <w:color w:val="auto"/>
          <w:kern w:val="0"/>
          <w:sz w:val="24"/>
          <w:szCs w:val="24"/>
          <w:highlight w:val="none"/>
        </w:rPr>
        <w:t>．不良行为处理</w:t>
      </w:r>
    </w:p>
    <w:p w14:paraId="3512499E">
      <w:pPr>
        <w:pStyle w:val="52"/>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402A4E95">
      <w:pPr>
        <w:pStyle w:val="52"/>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（1）转包、违法分包或违反投标承诺分包工程的；</w:t>
      </w:r>
    </w:p>
    <w:p w14:paraId="466645CC">
      <w:pPr>
        <w:pStyle w:val="52"/>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2EEB3EF5">
      <w:pPr>
        <w:pStyle w:val="52"/>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（3）投标文件确定的大型机械设备没有进入施工现场的；</w:t>
      </w:r>
    </w:p>
    <w:p w14:paraId="70C493E9">
      <w:pPr>
        <w:pStyle w:val="52"/>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（4）与建设单位、监理单位串通，签认虚假工程量或工程造价的；</w:t>
      </w:r>
    </w:p>
    <w:p w14:paraId="52C3D37A">
      <w:pPr>
        <w:pStyle w:val="52"/>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（5）项目经理施工现场管理不到位的；</w:t>
      </w:r>
    </w:p>
    <w:p w14:paraId="7F9E30F7">
      <w:pPr>
        <w:pStyle w:val="52"/>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（6）项目经理在非本人资格证书注册单位从事工程项目施工管理的；</w:t>
      </w:r>
    </w:p>
    <w:p w14:paraId="28CDAFF3">
      <w:pPr>
        <w:pStyle w:val="52"/>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（7）项目经理同时承担超过一项工程项目的；</w:t>
      </w:r>
    </w:p>
    <w:p w14:paraId="7B77F9FF">
      <w:pPr>
        <w:pStyle w:val="52"/>
        <w:wordWrap w:val="0"/>
        <w:adjustRightInd w:val="0"/>
        <w:snapToGrid w:val="0"/>
        <w:spacing w:line="440" w:lineRule="exact"/>
        <w:ind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（8）违反有关法律、法规、规章规定的其它行为。</w:t>
      </w:r>
    </w:p>
    <w:p w14:paraId="11AF66EA">
      <w:pPr>
        <w:pStyle w:val="52"/>
        <w:wordWrap w:val="0"/>
        <w:adjustRightInd w:val="0"/>
        <w:snapToGrid w:val="0"/>
        <w:spacing w:line="440" w:lineRule="exact"/>
        <w:ind w:firstLine="482" w:firstLineChars="200"/>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17</w:t>
      </w:r>
      <w:r>
        <w:rPr>
          <w:rFonts w:hint="eastAsia" w:ascii="宋体" w:hAnsi="宋体" w:eastAsia="宋体" w:cs="宋体"/>
          <w:b/>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信用评价条款内容</w:t>
      </w:r>
    </w:p>
    <w:p w14:paraId="2042E563">
      <w:pPr>
        <w:pStyle w:val="54"/>
        <w:wordWrap w:val="0"/>
        <w:adjustRightInd w:val="0"/>
        <w:snapToGrid w:val="0"/>
        <w:spacing w:line="440" w:lineRule="exact"/>
        <w:ind w:firstLine="56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5315201B">
      <w:pPr>
        <w:bidi w:val="0"/>
        <w:rPr>
          <w:rFonts w:hint="eastAsia" w:ascii="宋体" w:hAnsi="宋体" w:eastAsia="宋体" w:cs="宋体"/>
          <w:color w:val="auto"/>
          <w:sz w:val="24"/>
          <w:szCs w:val="24"/>
          <w:highlight w:val="none"/>
        </w:rPr>
      </w:pPr>
      <w:bookmarkStart w:id="197" w:name="_Toc14079368"/>
      <w:bookmarkStart w:id="198" w:name="_Toc30736"/>
    </w:p>
    <w:p w14:paraId="319CF72D">
      <w:pPr>
        <w:pStyle w:val="5"/>
        <w:wordWrap w:val="0"/>
        <w:snapToGrid w:val="0"/>
        <w:spacing w:line="360" w:lineRule="auto"/>
        <w:ind w:firstLine="482" w:firstLineChars="200"/>
        <w:rPr>
          <w:rFonts w:hint="eastAsia" w:ascii="宋体" w:hAnsi="宋体" w:eastAsia="宋体" w:cs="宋体"/>
          <w:bCs/>
          <w:snapToGrid w:val="0"/>
          <w:color w:val="auto"/>
          <w:sz w:val="24"/>
          <w:szCs w:val="24"/>
          <w:highlight w:val="none"/>
        </w:rPr>
      </w:pPr>
      <w:bookmarkStart w:id="199" w:name="_Toc39136346"/>
      <w:bookmarkStart w:id="200" w:name="_Toc31737"/>
      <w:bookmarkStart w:id="201" w:name="_Toc28557"/>
      <w:bookmarkStart w:id="202" w:name="_Toc2332"/>
      <w:bookmarkStart w:id="203" w:name="_Toc27448"/>
      <w:bookmarkStart w:id="204" w:name="_Toc20256"/>
      <w:bookmarkStart w:id="205" w:name="_Toc31280"/>
      <w:bookmarkStart w:id="206" w:name="_Toc11642"/>
      <w:r>
        <w:rPr>
          <w:rFonts w:hint="eastAsia" w:ascii="宋体" w:hAnsi="宋体" w:eastAsia="宋体" w:cs="宋体"/>
          <w:bCs/>
          <w:snapToGrid w:val="0"/>
          <w:color w:val="auto"/>
          <w:sz w:val="24"/>
          <w:szCs w:val="24"/>
          <w:highlight w:val="none"/>
        </w:rPr>
        <w:t>18．其他事项</w:t>
      </w:r>
      <w:bookmarkEnd w:id="197"/>
      <w:bookmarkEnd w:id="198"/>
      <w:bookmarkEnd w:id="199"/>
      <w:bookmarkEnd w:id="200"/>
      <w:bookmarkEnd w:id="201"/>
      <w:bookmarkEnd w:id="202"/>
      <w:bookmarkEnd w:id="203"/>
      <w:bookmarkEnd w:id="204"/>
      <w:bookmarkEnd w:id="205"/>
      <w:bookmarkEnd w:id="206"/>
    </w:p>
    <w:p w14:paraId="2BCA38C9">
      <w:pPr>
        <w:pStyle w:val="54"/>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w:t>
      </w:r>
      <w:r>
        <w:rPr>
          <w:rFonts w:hint="eastAsia" w:ascii="宋体" w:hAnsi="宋体" w:eastAsia="宋体" w:cs="宋体"/>
          <w:color w:val="auto"/>
          <w:sz w:val="24"/>
          <w:szCs w:val="24"/>
          <w:highlight w:val="none"/>
          <w:shd w:val="clear" w:color="auto" w:fill="FFFFFF"/>
        </w:rPr>
        <w:t>中标人须为招标人提供现场管理的交通便利（开工至质保期满）。中标人不得以任何理由提出任何费用及补偿要求。</w:t>
      </w:r>
    </w:p>
    <w:p w14:paraId="1730F109">
      <w:pPr>
        <w:pStyle w:val="54"/>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18.2</w:t>
      </w:r>
      <w:r>
        <w:rPr>
          <w:rFonts w:hint="eastAsia" w:ascii="宋体" w:hAnsi="宋体" w:eastAsia="宋体" w:cs="宋体"/>
          <w:color w:val="auto"/>
          <w:sz w:val="24"/>
          <w:szCs w:val="24"/>
          <w:highlight w:val="none"/>
          <w:shd w:val="clear" w:color="auto" w:fill="FFFFFF"/>
        </w:rPr>
        <w:t>中标人须为招标人提供现场办公管理的便利。按工程需要配置办公室、会议室及办公家具、生活设施，配备满足工作需要的办公设备（电脑、打印机、复印机、传真机、办公用品等）。中标人不得以任何理由提出任何费用及补偿要求。</w:t>
      </w:r>
    </w:p>
    <w:p w14:paraId="2F06296E">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18.3</w:t>
      </w:r>
      <w:r>
        <w:rPr>
          <w:rFonts w:hint="eastAsia" w:ascii="宋体" w:hAnsi="宋体" w:eastAsia="宋体" w:cs="宋体"/>
          <w:color w:val="auto"/>
          <w:sz w:val="24"/>
          <w:szCs w:val="24"/>
          <w:highlight w:val="none"/>
          <w:shd w:val="clear" w:color="auto" w:fill="FFFFFF"/>
        </w:rPr>
        <w:t>中标人须服从工程监理单位对工程质量全方位的监理，施工中的年度计划、季度计划、月度计划、施工方案等应报送监理单位审批和招标人备案。施工中的质量保证等资料均应及时报送监理单位和招标人备案。</w:t>
      </w:r>
    </w:p>
    <w:p w14:paraId="2A3BC77B">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18.4</w:t>
      </w:r>
      <w:r>
        <w:rPr>
          <w:rFonts w:hint="eastAsia" w:ascii="宋体" w:hAnsi="宋体" w:eastAsia="宋体" w:cs="宋体"/>
          <w:color w:val="auto"/>
          <w:sz w:val="24"/>
          <w:szCs w:val="24"/>
          <w:highlight w:val="none"/>
          <w:shd w:val="clear" w:color="auto" w:fill="FFFFFF"/>
        </w:rPr>
        <w:t>工程竣工验收后15日内，中标人应按市城建档案馆的要求（质量、数量），将编制成册的施工档案资料（含声像档案和电子档案）提供给招标人、市城建档案馆、住建局、质量监督单位及监理单位，并承担档案涉及的所有费用（制作标准和相关要求按市城建档案馆的有关规定执行）。中标人提交符合城建档案馆要求的竣工资料经招标人确认签收后，即可办理工程结算手续。</w:t>
      </w:r>
    </w:p>
    <w:p w14:paraId="582CE672">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18.5</w:t>
      </w:r>
      <w:r>
        <w:rPr>
          <w:rFonts w:hint="eastAsia" w:ascii="宋体" w:hAnsi="宋体" w:eastAsia="宋体" w:cs="宋体"/>
          <w:color w:val="auto"/>
          <w:sz w:val="24"/>
          <w:szCs w:val="24"/>
          <w:highlight w:val="none"/>
          <w:shd w:val="clear" w:color="auto" w:fill="FFFFFF"/>
        </w:rPr>
        <w:t>为保证施工现场的环境卫生，中标人在本工程施工过程中，所有的车辆必须按招标人规定的行车路线行驶。并负责施工现场及受施工影响周边道路的卫生。</w:t>
      </w:r>
    </w:p>
    <w:p w14:paraId="3E983995">
      <w:pPr>
        <w:pStyle w:val="7"/>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18.6</w:t>
      </w:r>
      <w:r>
        <w:rPr>
          <w:rFonts w:hint="eastAsia" w:ascii="宋体" w:hAnsi="宋体" w:eastAsia="宋体" w:cs="宋体"/>
          <w:color w:val="auto"/>
          <w:sz w:val="24"/>
          <w:szCs w:val="24"/>
          <w:highlight w:val="none"/>
          <w:shd w:val="clear" w:color="auto" w:fill="FFFFFF"/>
        </w:rPr>
        <w:t>中标人应按招标人确认后的主要</w:t>
      </w:r>
      <w:r>
        <w:rPr>
          <w:rFonts w:hint="eastAsia" w:hAnsi="宋体" w:cs="宋体"/>
          <w:color w:val="auto"/>
          <w:sz w:val="24"/>
          <w:szCs w:val="24"/>
          <w:highlight w:val="none"/>
          <w:shd w:val="clear" w:color="auto" w:fill="FFFFFF"/>
          <w:lang w:val="en-US" w:eastAsia="zh-CN"/>
        </w:rPr>
        <w:t>设备</w:t>
      </w:r>
      <w:r>
        <w:rPr>
          <w:rFonts w:hint="eastAsia" w:hAnsi="宋体" w:cs="宋体"/>
          <w:color w:val="auto"/>
          <w:sz w:val="24"/>
          <w:szCs w:val="24"/>
          <w:highlight w:val="none"/>
          <w:shd w:val="clear" w:color="auto" w:fill="FFFFFF"/>
          <w:lang w:eastAsia="zh-CN"/>
        </w:rPr>
        <w:t>（</w:t>
      </w:r>
      <w:r>
        <w:rPr>
          <w:rFonts w:hint="eastAsia" w:hAnsi="宋体" w:cs="宋体"/>
          <w:color w:val="auto"/>
          <w:sz w:val="24"/>
          <w:szCs w:val="24"/>
          <w:highlight w:val="none"/>
          <w:shd w:val="clear" w:color="auto" w:fill="FFFFFF"/>
          <w:lang w:val="en-US" w:eastAsia="zh-CN"/>
        </w:rPr>
        <w:t>指光伏板、逆变器、箱变</w:t>
      </w:r>
      <w:r>
        <w:rPr>
          <w:rFonts w:hint="eastAsia" w:hAnsi="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rPr>
        <w:t>的规格、颜色要求采购。如变更规格或颜色，必须经招标人同意，并报有关审核部门重新核定单价后方可采购，并相应调整工程造价。主要材料必须先提供样板给招标人确定其规格、颜色、等级等，然后方可使用。</w:t>
      </w:r>
    </w:p>
    <w:p w14:paraId="3AED78DF">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18.7</w:t>
      </w:r>
      <w:r>
        <w:rPr>
          <w:rFonts w:hint="eastAsia" w:ascii="宋体" w:hAnsi="宋体" w:eastAsia="宋体" w:cs="宋体"/>
          <w:color w:val="auto"/>
          <w:sz w:val="24"/>
          <w:szCs w:val="24"/>
          <w:highlight w:val="none"/>
          <w:shd w:val="clear" w:color="auto" w:fill="FFFFFF"/>
        </w:rPr>
        <w:t>中标人须按工程所在地关于建筑渣土管理和扬尘治理等有关规定执行。</w:t>
      </w:r>
    </w:p>
    <w:p w14:paraId="0F9E34CB">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18.8</w:t>
      </w:r>
      <w:r>
        <w:rPr>
          <w:rFonts w:hint="eastAsia" w:ascii="宋体" w:hAnsi="宋体" w:eastAsia="宋体" w:cs="宋体"/>
          <w:color w:val="auto"/>
          <w:sz w:val="24"/>
          <w:szCs w:val="24"/>
          <w:highlight w:val="none"/>
          <w:shd w:val="clear" w:color="auto" w:fill="FFFFFF"/>
        </w:rPr>
        <w:t>中标人应已详细了解本项目的前期工作（包括征地拆迁），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7D04016A">
      <w:pPr>
        <w:pStyle w:val="54"/>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如因招标人原因（自然灾害等不可抗力因素除外），工程不能按期开工，或开工后全部停滞，工期按相关规定予以顺延。停工发生后，若可复工时，中标人应在收到招标人发出的复工通知书后3日内开始复工。</w:t>
      </w:r>
    </w:p>
    <w:p w14:paraId="244E4EE9">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18.9</w:t>
      </w:r>
      <w:r>
        <w:rPr>
          <w:rFonts w:hint="eastAsia" w:ascii="宋体" w:hAnsi="宋体" w:eastAsia="宋体" w:cs="宋体"/>
          <w:color w:val="auto"/>
          <w:sz w:val="24"/>
          <w:szCs w:val="24"/>
          <w:highlight w:val="none"/>
          <w:shd w:val="clear" w:color="auto" w:fill="FFFFFF"/>
        </w:rPr>
        <w:t>若设计超过了限额标准，中标人必须无条件优化，直至达到限额要求为止，设计及施工工期不予以顺延，招标人不再支付由此而增加的设计费。</w:t>
      </w:r>
    </w:p>
    <w:p w14:paraId="300E2518">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18.10</w:t>
      </w:r>
      <w:r>
        <w:rPr>
          <w:rFonts w:hint="eastAsia" w:ascii="宋体" w:hAnsi="宋体" w:eastAsia="宋体" w:cs="宋体"/>
          <w:color w:val="auto"/>
          <w:sz w:val="24"/>
          <w:szCs w:val="24"/>
          <w:highlight w:val="none"/>
          <w:shd w:val="clear" w:color="auto" w:fill="FFFFFF"/>
        </w:rPr>
        <w:t>施工图设计通过招标人确，若由于审查过程中提出的设计修改或变更，中标人必须无条件进行修改或优化设计，招标人不再支付由此而增加的设计费用。</w:t>
      </w:r>
    </w:p>
    <w:p w14:paraId="6BB8ECBC">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18.11</w:t>
      </w:r>
      <w:r>
        <w:rPr>
          <w:rFonts w:hint="eastAsia" w:ascii="宋体" w:hAnsi="宋体" w:eastAsia="宋体" w:cs="宋体"/>
          <w:color w:val="auto"/>
          <w:sz w:val="24"/>
          <w:szCs w:val="24"/>
          <w:highlight w:val="none"/>
          <w:shd w:val="clear" w:color="auto" w:fill="FFFFFF"/>
        </w:rPr>
        <w:t>增加工程造价在施工14天前中标人必须提供详细的报价书（含工程项目名称、变更部位、理由、预计造价等）给监理单位核实并报招标人或有关审核部门核定后，方可施工。</w:t>
      </w:r>
    </w:p>
    <w:p w14:paraId="1CE98781">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18.12</w:t>
      </w:r>
      <w:r>
        <w:rPr>
          <w:rFonts w:hint="eastAsia" w:ascii="宋体" w:hAnsi="宋体" w:eastAsia="宋体" w:cs="宋体"/>
          <w:color w:val="auto"/>
          <w:sz w:val="24"/>
          <w:szCs w:val="24"/>
          <w:highlight w:val="none"/>
          <w:shd w:val="clear" w:color="auto" w:fill="FFFFFF"/>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施工图设计工作须经招标人审核通过后方可进行下一步设计。</w:t>
      </w:r>
    </w:p>
    <w:p w14:paraId="4BADF2F8">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w:t>
      </w:r>
      <w:r>
        <w:rPr>
          <w:rFonts w:hint="eastAsia" w:ascii="宋体" w:hAnsi="宋体" w:eastAsia="宋体" w:cs="宋体"/>
          <w:color w:val="auto"/>
          <w:sz w:val="24"/>
          <w:szCs w:val="24"/>
          <w:highlight w:val="none"/>
          <w:shd w:val="clear" w:color="auto" w:fill="FFFFFF"/>
        </w:rPr>
        <w:t>依据《关于进一步明确EPC建设工程财政投资评审工作有关事项的通知》（韶财建【2018】6号）文件，本项目有关具体事项如下：</w:t>
      </w:r>
    </w:p>
    <w:p w14:paraId="0D481EDE">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18.13.1</w:t>
      </w:r>
      <w:r>
        <w:rPr>
          <w:rFonts w:hint="eastAsia" w:ascii="宋体" w:hAnsi="宋体" w:eastAsia="宋体" w:cs="宋体"/>
          <w:color w:val="auto"/>
          <w:sz w:val="24"/>
          <w:szCs w:val="24"/>
          <w:highlight w:val="none"/>
          <w:shd w:val="clear" w:color="auto" w:fill="FFFFFF"/>
        </w:rPr>
        <w:t>承包人应按合同专用条款约定时间提交施工图设计文件、图纸及相关资料后按节点要求上报施工图工程量清单、预算。</w:t>
      </w:r>
    </w:p>
    <w:p w14:paraId="12388E30">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18.13.2</w:t>
      </w:r>
      <w:r>
        <w:rPr>
          <w:rFonts w:hint="eastAsia" w:ascii="宋体" w:hAnsi="宋体" w:eastAsia="宋体" w:cs="宋体"/>
          <w:color w:val="auto"/>
          <w:sz w:val="24"/>
          <w:szCs w:val="24"/>
          <w:highlight w:val="none"/>
          <w:shd w:val="clear" w:color="auto" w:fill="FFFFFF"/>
        </w:rPr>
        <w:t>承包人必须根据已批准的有关文件深化和优化设计，保证设计文件的深度；因承包人原因造成设计文件存在遭漏、错误、缺陷和不足导致造价增加由承包人负责；在实施过程中的设计优化，不得增加工程造价；确因发包人原因、法律法规调整或者不可抗力造成的设计变更，按工程变更处理。</w:t>
      </w:r>
    </w:p>
    <w:p w14:paraId="4EB94452">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18.13.3</w:t>
      </w:r>
      <w:r>
        <w:rPr>
          <w:rFonts w:hint="eastAsia" w:ascii="宋体" w:hAnsi="宋体" w:eastAsia="宋体" w:cs="宋体"/>
          <w:color w:val="auto"/>
          <w:sz w:val="24"/>
          <w:szCs w:val="24"/>
          <w:highlight w:val="none"/>
          <w:shd w:val="clear" w:color="auto" w:fill="FFFFFF"/>
        </w:rPr>
        <w:t>燃气、通信、电力等专业工程设计、施工方案需要相关部门审批的必须通过审查；在实施过程中由于设计、施工原因导致整体方案改变的，按设计遗漏、错误、缺陷和不足及施工方案不足处理，增加工程造价由承包人负责及承担费用。承包人因勘察不全面导致施工破坏地下管线的由承包人承担全部损失及责任。</w:t>
      </w:r>
    </w:p>
    <w:p w14:paraId="7B9F17B1">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18.13.4</w:t>
      </w:r>
      <w:r>
        <w:rPr>
          <w:rFonts w:hint="eastAsia" w:ascii="宋体" w:hAnsi="宋体" w:eastAsia="宋体" w:cs="宋体"/>
          <w:color w:val="auto"/>
          <w:sz w:val="24"/>
          <w:szCs w:val="24"/>
          <w:highlight w:val="none"/>
          <w:shd w:val="clear" w:color="auto" w:fill="FFFFFF"/>
        </w:rPr>
        <w:t>承包人不得在设计文件中或以口头暗示方式指定工程物资供货商或者制造厂，只有唯一厂家除外；承包人应通过招标等竞争性方式选择供货商或制造厂。</w:t>
      </w:r>
    </w:p>
    <w:p w14:paraId="6C0B38A9">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18.13.5</w:t>
      </w:r>
      <w:r>
        <w:rPr>
          <w:rFonts w:hint="eastAsia" w:ascii="宋体" w:hAnsi="宋体" w:eastAsia="宋体" w:cs="宋体"/>
          <w:color w:val="auto"/>
          <w:sz w:val="24"/>
          <w:szCs w:val="24"/>
          <w:highlight w:val="none"/>
          <w:shd w:val="clear" w:color="auto" w:fill="FFFFFF"/>
        </w:rPr>
        <w:t>主要设备以及专业工程结算报审要求</w:t>
      </w:r>
    </w:p>
    <w:p w14:paraId="23EE1DAB">
      <w:pPr>
        <w:pStyle w:val="54"/>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主要设备以及专业工程等在工程预算中以“暂估价”形式包括在总承包范围内进行单列的，实施时确定规格型号、参数及档次、询价确价须经过有关承包人充分协商一致并形成书面材料；设备采购额达到依法招标条件的，应按国家相关规定采用招标方式确定设备供货商或制造厂和价格；结算时需提供采购(招标)文件、合同、等依据，专业工程需提供图纸等相关完整资料。</w:t>
      </w:r>
    </w:p>
    <w:p w14:paraId="17AE053D">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18.13.6</w:t>
      </w:r>
      <w:r>
        <w:rPr>
          <w:rFonts w:hint="eastAsia" w:ascii="宋体" w:hAnsi="宋体" w:eastAsia="宋体" w:cs="宋体"/>
          <w:color w:val="auto"/>
          <w:sz w:val="24"/>
          <w:szCs w:val="24"/>
          <w:highlight w:val="none"/>
          <w:shd w:val="clear" w:color="auto" w:fill="FFFFFF"/>
        </w:rPr>
        <w:t>承包人不得为了用完设计限额额度，擅自扩大建设规模、增加建设内容、提高建设标准的行为，因此导致造价增加由承包人负责及承担费用。</w:t>
      </w:r>
    </w:p>
    <w:p w14:paraId="5F269B95">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18.14</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1597AEC8">
      <w:pPr>
        <w:pStyle w:val="54"/>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18.15</w:t>
      </w:r>
      <w:r>
        <w:rPr>
          <w:rFonts w:hint="eastAsia" w:ascii="宋体" w:hAnsi="宋体" w:eastAsia="宋体" w:cs="宋体"/>
          <w:color w:val="auto"/>
          <w:sz w:val="24"/>
          <w:szCs w:val="24"/>
          <w:highlight w:val="none"/>
          <w:shd w:val="clear" w:color="auto" w:fill="FFFFFF"/>
        </w:rPr>
        <w:t>（一）用人单位应当在建设项目动工前，在建设项目所在地商业银行设立工人工资支付专用账户。</w:t>
      </w:r>
    </w:p>
    <w:p w14:paraId="31F7BE13">
      <w:pPr>
        <w:pStyle w:val="54"/>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68272CC8">
      <w:pPr>
        <w:pStyle w:val="54"/>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0E08B17F">
      <w:pPr>
        <w:pStyle w:val="54"/>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6C676FD6">
      <w:pPr>
        <w:pStyle w:val="54"/>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4EF0D737">
      <w:pPr>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b/>
          <w:bCs/>
          <w:color w:val="auto"/>
          <w:sz w:val="24"/>
          <w:szCs w:val="24"/>
          <w:highlight w:val="none"/>
          <w:shd w:val="clear" w:color="auto" w:fill="FFFFFF"/>
        </w:rPr>
        <w:t>8.16</w:t>
      </w:r>
      <w:r>
        <w:rPr>
          <w:rFonts w:hint="eastAsia" w:ascii="宋体" w:hAnsi="宋体" w:eastAsia="宋体" w:cs="宋体"/>
          <w:color w:val="auto"/>
          <w:sz w:val="24"/>
          <w:szCs w:val="24"/>
          <w:highlight w:val="none"/>
        </w:rPr>
        <w:t>按照《广东省住房和城乡建设厅关于建设工程项目招标中标后监督检查的办法》（粤建市〔2009〕8号）和《韶关市住房和城乡建设局关于加强房屋建筑和市政工程项目招标中标后监督检查的通知》（韶市建字〔2014〕145号）等相关法律法规。中标人中标之后，工程施工项目负责人和项目管理班子其他成员必须是该工程中标时所承诺的项目管理班子成员。</w:t>
      </w:r>
    </w:p>
    <w:p w14:paraId="4D59790B">
      <w:pPr>
        <w:snapToGrid w:val="0"/>
        <w:spacing w:line="44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班子成员不得擅自变更，项目管理班子成员因有粤建市〔2009〕8号第九条所述情形之一确属不能履行职责需要变更的，施工或监理单位应向建设行政主管部门填报《建设工程项目管理班子变更情况报告表》并附上有关证明文件，经建设行政主管部门审核同意方可变更。更换后的项目经理与中标单位的投标文件所确定的项目负责人或总监理工程师的主要条件一致。</w:t>
      </w:r>
    </w:p>
    <w:p w14:paraId="644093A2">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若中标单位有下列行为之一的，除依照有关法律、法规进行处罚外，将通过市建设与房地产信息网站予以及时曝光，并作为今后该单位参与投标的评分扣分依据直至取消投标资格。</w:t>
      </w:r>
    </w:p>
    <w:p w14:paraId="38D11B6A">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转包、违法分包或违反投标承诺分包工程的；   </w:t>
      </w:r>
    </w:p>
    <w:p w14:paraId="70DB0A9B">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非原参加投标中标的项目经理负责组织施工或在实施过程违反粤建市〔2009〕8号第九条规定更换项目经理的、项目的其他主要管理人员与中标文件确定的人员不相符的；</w:t>
      </w:r>
    </w:p>
    <w:p w14:paraId="6B74E82E">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投标文件确定的大型机械设备没有进入施工现场的；</w:t>
      </w:r>
    </w:p>
    <w:p w14:paraId="6F1BF16F">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建设、监理、施工等单位串通，签认虚假工程量或工程造价的；</w:t>
      </w:r>
    </w:p>
    <w:p w14:paraId="6BFA9E62">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施工现场管理不到位的；</w:t>
      </w:r>
    </w:p>
    <w:p w14:paraId="41E96D55">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非本人资格证书登记所在的单位从事工程项目施工管理的；</w:t>
      </w:r>
    </w:p>
    <w:p w14:paraId="486E7E59">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项目经理同时承担超过一项工程项目的；</w:t>
      </w:r>
    </w:p>
    <w:p w14:paraId="4D743697">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违反有关法律、法规、规章规定的其它行为。</w:t>
      </w:r>
    </w:p>
    <w:p w14:paraId="499F6BAA">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18.17</w:t>
      </w:r>
      <w:r>
        <w:rPr>
          <w:rFonts w:hint="eastAsia" w:ascii="宋体" w:hAnsi="宋体" w:eastAsia="宋体" w:cs="宋体"/>
          <w:color w:val="auto"/>
          <w:sz w:val="24"/>
          <w:szCs w:val="24"/>
          <w:highlight w:val="none"/>
          <w:lang w:val="zh-CN"/>
        </w:rPr>
        <w:t>中标单位必须做好临时道路（含进场道路）的建设与维护及周边环境的保护工作。如临时道路及设施达不到安全文明施工标准的，由招标人组织安排施工队进行维修，实际完成结算由监理单位审定。</w:t>
      </w:r>
    </w:p>
    <w:p w14:paraId="2D48540A">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18.</w:t>
      </w:r>
      <w:r>
        <w:rPr>
          <w:rFonts w:hint="eastAsia" w:ascii="宋体" w:hAnsi="宋体" w:eastAsia="宋体" w:cs="宋体"/>
          <w:b/>
          <w:color w:val="auto"/>
          <w:sz w:val="24"/>
          <w:szCs w:val="24"/>
          <w:highlight w:val="none"/>
          <w:lang w:val="en-US" w:eastAsia="zh-CN"/>
        </w:rPr>
        <w:t>18</w:t>
      </w:r>
      <w:r>
        <w:rPr>
          <w:rFonts w:hint="eastAsia" w:ascii="宋体" w:hAnsi="宋体" w:eastAsia="宋体" w:cs="宋体"/>
          <w:b/>
          <w:color w:val="auto"/>
          <w:sz w:val="24"/>
          <w:szCs w:val="24"/>
          <w:highlight w:val="none"/>
        </w:rPr>
        <w:t>中标人违约行为及违约责任条款</w:t>
      </w:r>
    </w:p>
    <w:p w14:paraId="517CE5A9">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（一）工程移交延误违约</w:t>
      </w:r>
    </w:p>
    <w:p w14:paraId="1A6807D6">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设计原因造成设计资料质量不合格，不能满足技术要求或使工期延误的，中标人除应按招标人要求期限返工外，其返工的设计费、施工费用均由中标人承担，并根据受损失程度向招标人支付相应赔偿金。</w:t>
      </w:r>
    </w:p>
    <w:p w14:paraId="559E2086">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（2）因中标人的原因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未按招标人或监理单位开工令要求时间开工的，每迟延开工1 天，应向招标人支付违约金5000 元；迟延开工超过20 天的，招标人有权根据实际情况单方面解除合同。</w:t>
      </w:r>
    </w:p>
    <w:p w14:paraId="5C433F67">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（3）因中标人的原因造成工期延误</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color w:val="auto"/>
          <w:sz w:val="24"/>
          <w:szCs w:val="24"/>
          <w:highlight w:val="none"/>
        </w:rPr>
        <w:t>，从延误的第一天起按合同价</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‰向招标人支付违约金，支付违约金上限为工程合同价款的</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14:paraId="3AA404C7">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人必须按期完成主要工序的施工任务，若属中标人原因逾期达10天未完成主要节点的施工任务时，除按第（1）项约定承担违约责任外，招标人可要求撤换项目负责人，中标人应予以执行，并在总工期不调整的前提下自行消化节点工期的延误。逾期1天，罚款</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000元，逾期30 天未完成主要节点的施工任务时，属中标人进度严重违约行为，招标人可单方面终止合同，将中标人作不良纪录报建设行政主管部门备案。并由中标人承担相应的进度严重违约责任。</w:t>
      </w:r>
    </w:p>
    <w:p w14:paraId="32574E91">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（5）中标人承担的进度严重违约责任为：如果中标人出现进度严重违约事件，则须无条件接受招标人终止合同，并在接到终止合同通知书之日起5 个日历天内（招标人应予以配合），在监理工程师的监督下退场完毕。退场完毕后由监理工程师出具《退出完结证明书》，并据此进行相关结算。中标人按履约担保金额支付违约金。给招标人造成的损失超过履约担保金额的部分，中标人还应承担赔偿责任。</w:t>
      </w:r>
    </w:p>
    <w:p w14:paraId="1FD6CD29">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工程施工过程中（竣工验收前），中标人必须按招标人、监理人的要求及时为专业工程（电信、电力管线、电力走廊、煤气、道路绿化、路灯、交通设施、给水等）提供工作面及为专业工程穿插施工所需各项配合工作给予方便，中标人应在施工方案中充分考虑专业工程穿插施工所需的穿插工作面及工期，由于中标人未能给予专业工程穿插施工，造成总施工工期的延误，施工工期不予顺延，中标人承担由于工期延误所产生的损失。</w:t>
      </w:r>
    </w:p>
    <w:p w14:paraId="4F731543">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（7）中标人违反合同专用条款的约定和招标人的规定，逾期完成竣工档案的整理、移交、送审备案工作的，每逾期1 天，中标人支付违约金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w:t>
      </w:r>
    </w:p>
    <w:p w14:paraId="5046A84B">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（二）安全、文明施工要求及违约处理：</w:t>
      </w:r>
    </w:p>
    <w:p w14:paraId="3E3F99BF">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按本合同的约定编制施工组织设计（施工方案、包括安全文明施工措施），经过监理人和招标人审核确认后按其施工，不得随意更改。如果根据实际情况确需修改，则需经工程师及招标人审批同意。</w:t>
      </w:r>
    </w:p>
    <w:p w14:paraId="4D62D625">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严格遵守国家、省、市及有关防火、爆破和施工安全以及文明施工、深夜施工、环卫和城市管理等规定，建立规章制度和防护措施，并组织施工。在相关部门的检查中，中标人施工场地被评为不合格工地或被通报批评或下发停工整改通知的或者被新闻媒体曝光的，每发生一次，中标人支付</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 元违约金，如招标人因此被相关部门处罚的，罚金由中标人承担。</w:t>
      </w:r>
    </w:p>
    <w:p w14:paraId="76C2353C">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（3）如果中标人未按招投标文件、本合同、《广东省建设厅建筑工程安全防护、文明施工措施费用管理办法》、招标人要求做好绿色施工安全防护相关措施，未在限期内完成整改的，每延期一天，中标人支付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000元违约金。</w:t>
      </w:r>
    </w:p>
    <w:p w14:paraId="2D40BF71">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本工程余泥渣土清运施工和建筑垃圾排放运输时，中标人必须严格执行当地相关管理规定的标准和要求，办齐排放有关证照，雇请有合格准运证车辆和具备资质的运输企业，设立专职人员管理余泥渣土、建筑垃圾的运输工作，并对分包单位依法排放余泥渣土、建筑垃圾进行监管。中标人因违反本款约定所造成的一切责任后果全部由中标人承担。经招标人或相关部门检查发现中标人未执行本款约定的，每发现一次，中标人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元违约金。同时，招标人将根据中标人违反余泥渣土运输管理有关规定而造成的不良后果的严重程度，上报建设行政主管部门进行处理。</w:t>
      </w:r>
    </w:p>
    <w:p w14:paraId="622C8A35">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必须按合同约定的“绿色施工安全防护措施费”足额投入，否则发包人有权自行实施，承包人无条件接受并承担相关费用并接受处罚。招标人根据中标人提供的绿色施工安全防护投入明细经监理单位审核后在合同约定的“绿色施工安全防护措施费”金额内按实结算。</w:t>
      </w:r>
    </w:p>
    <w:p w14:paraId="268CBA72">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（三）工程质量方面的违约责任：</w:t>
      </w:r>
    </w:p>
    <w:p w14:paraId="62213FD0">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保证用于本合同工程所有的材料设备的品牌、型号、规格、质量等符合本合同及招投标文件的要求，严禁假冒伪劣产品，严禁以次充好，严禁未经招标人批准即以其他产品（包括中标人的产品）顶替本合同及招投标文件中规定的产品。中标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支付合同价款千分之三的违约金给招标人。</w:t>
      </w:r>
    </w:p>
    <w:p w14:paraId="46DCB5F3">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（2）设计人对设计资料及文件出现的遗漏或错误负责修改或补充。由于设计错误造成工程质量事故损失，设计人负责采取补救措施。</w:t>
      </w:r>
    </w:p>
    <w:p w14:paraId="570FF953">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（3）由于设计人原因造成设计成果资料质量不合格，不能满足技术要求时设计人应按招标人要求期限返工，其返工设计费用由设计人承担。</w:t>
      </w:r>
    </w:p>
    <w:p w14:paraId="6E23E827">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（4）如工程在竣工验收达不到合格标准，招标人不予支付工程款，直至中标人返工至合格后方予以支付，并按合同价款的</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向招标人返纳质量违约金。</w:t>
      </w:r>
    </w:p>
    <w:p w14:paraId="2A137230">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（四）关于农民工工资支付的违约责任：</w:t>
      </w:r>
    </w:p>
    <w:p w14:paraId="7F91C88A">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中标人拖欠农民工工资，被农民工投诉属实的，中标人必须在3 天内发放拖欠的款项。若继续拖延被投诉2 次及以上，经查实，中标人除应立即支付拖欠款项外，还应支付10000 元违约金给招标人。因中标人拖欠农民工工资，导致农民工采取停工、集聚围阻招标人办公地点甚至政府办公部门等过激行动的，中标人应支付20000 元违约金，并立即采取切实有效措施予以整改；拒不采取切实有效措施整改的，或整改效果不明显的，招标人可用中标人工程款垫付。若中标人在本工程内发生无故拖欠农民工工资现象，将被作不良记录，上报建设行政主管部门。</w:t>
      </w:r>
    </w:p>
    <w:p w14:paraId="417DC712">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（五）项目管理机构人员、机械设备、劳动力到位方面的违约责任：</w:t>
      </w:r>
    </w:p>
    <w:p w14:paraId="074751DD">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保证投标文件中确定的项目负责人及其项目技术负责人、主要施工管理人员能及时地、始终地参与本工程施工管理，在未征得招标人书面同意之前不得更换。如果擅自更换项目负责人或项目技术负责人，中标人每更换一人次，需支付10000 元违约金给招标人，如果擅自更换主要施工管理人员，每更换一人次，中标人需支付5000 元违约金给招标人。</w:t>
      </w:r>
    </w:p>
    <w:p w14:paraId="227D43C2">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（2）如果中标人未按监理单位确认后的施工组织设计中的机械设备投入计划投入机械设备，经监理工程师或招标人代表检查发现的，将书面告知限期整改。</w:t>
      </w:r>
    </w:p>
    <w:p w14:paraId="686E8D86">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（3）如果中标人未按监理单位确认后的施工组织设计中的人力投入计划投入，经监理工程师和招标人代表检查发现的，每发现一次，中标人支付</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000 元违约金给招标人。</w:t>
      </w:r>
    </w:p>
    <w:p w14:paraId="2A5A6EF0">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果检查发现中标人超过三次未按承诺投入的人力、机械、物力组织施工，招标人将作为不良纪录报建设行政主管部门备案。如果检查发现中标人没有按施工组织设计的进度安排推进工程建设，使主要工序的工期延误超过10 天，没有按招标人的意见撤换现场负责人；或者按招标人的意见撤换现场负责人后，仍然无法有效控制工程进度，招标人将发出书面警告，警告发出后15 天内，主要工序的工期延误仍然超过10 天，招标人将作为不良纪录报建设行政主管部门备案。对此，中标人不得有异议。</w:t>
      </w:r>
    </w:p>
    <w:p w14:paraId="48671140">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（5）中标人的项目负责人、技术负责人、安全负责人、质量负责人等必须常驻施工现场，且须无条件参加每周的工地例会以及双方约定的其它重要会议，如有缺席，则每人每缺席一次，中标人需支付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元人民币违约金。</w:t>
      </w:r>
    </w:p>
    <w:p w14:paraId="1E32C261">
      <w:pPr>
        <w:pStyle w:val="52"/>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（6）设计代表必须常驻施工现场，且须无条件参加每周的工地例会以及双方约定的其它重要会议，如有缺席，则每人每缺席一次，中标人需支付</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 元人民币违约金。</w:t>
      </w:r>
    </w:p>
    <w:p w14:paraId="14A86EBE">
      <w:pPr>
        <w:keepNext w:val="0"/>
        <w:keepLines w:val="0"/>
        <w:pageBreakBefore w:val="0"/>
        <w:widowControl w:val="0"/>
        <w:kinsoku/>
        <w:wordWrap w:val="0"/>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中标人需综合考虑现场因素，不得以不完全了解现场情况为理由，提出额外付款或延长工期等要求（除征地拆迁及管线搬迁造成停工，招标人按规定调整工期）。对此类要求，招标人不作任何考虑及答复。</w:t>
      </w:r>
    </w:p>
    <w:p w14:paraId="4BCD48CD">
      <w:pPr>
        <w:pStyle w:val="32"/>
        <w:rPr>
          <w:rFonts w:hint="eastAsia" w:asciiTheme="minorEastAsia" w:hAnsiTheme="minorEastAsia" w:eastAsiaTheme="minorEastAsia" w:cstheme="minorEastAsia"/>
          <w:b/>
          <w:color w:val="auto"/>
          <w:kern w:val="44"/>
          <w:sz w:val="36"/>
          <w:szCs w:val="36"/>
          <w:highlight w:val="none"/>
        </w:rPr>
      </w:pPr>
    </w:p>
    <w:p w14:paraId="3F6423FB">
      <w:pPr>
        <w:pStyle w:val="32"/>
        <w:rPr>
          <w:rFonts w:hint="eastAsia" w:asciiTheme="minorEastAsia" w:hAnsiTheme="minorEastAsia" w:eastAsiaTheme="minorEastAsia" w:cstheme="minorEastAsia"/>
          <w:b/>
          <w:color w:val="auto"/>
          <w:kern w:val="44"/>
          <w:sz w:val="36"/>
          <w:szCs w:val="36"/>
          <w:highlight w:val="none"/>
        </w:rPr>
      </w:pPr>
    </w:p>
    <w:p w14:paraId="602CB51F">
      <w:pPr>
        <w:pStyle w:val="32"/>
        <w:rPr>
          <w:rFonts w:hint="eastAsia" w:asciiTheme="minorEastAsia" w:hAnsiTheme="minorEastAsia" w:eastAsiaTheme="minorEastAsia" w:cstheme="minorEastAsia"/>
          <w:b/>
          <w:color w:val="auto"/>
          <w:kern w:val="44"/>
          <w:sz w:val="36"/>
          <w:szCs w:val="36"/>
          <w:highlight w:val="none"/>
        </w:rPr>
      </w:pPr>
    </w:p>
    <w:p w14:paraId="67A58959">
      <w:pPr>
        <w:pStyle w:val="32"/>
        <w:rPr>
          <w:rFonts w:hint="eastAsia" w:asciiTheme="minorEastAsia" w:hAnsiTheme="minorEastAsia" w:eastAsiaTheme="minorEastAsia" w:cstheme="minorEastAsia"/>
          <w:b/>
          <w:color w:val="auto"/>
          <w:kern w:val="44"/>
          <w:sz w:val="36"/>
          <w:szCs w:val="36"/>
          <w:highlight w:val="none"/>
        </w:rPr>
      </w:pPr>
    </w:p>
    <w:p w14:paraId="49EFE33E">
      <w:pPr>
        <w:pStyle w:val="32"/>
        <w:rPr>
          <w:rFonts w:hint="eastAsia" w:asciiTheme="minorEastAsia" w:hAnsiTheme="minorEastAsia" w:eastAsiaTheme="minorEastAsia" w:cstheme="minorEastAsia"/>
          <w:b/>
          <w:color w:val="auto"/>
          <w:kern w:val="44"/>
          <w:sz w:val="36"/>
          <w:szCs w:val="36"/>
          <w:highlight w:val="none"/>
        </w:rPr>
      </w:pPr>
    </w:p>
    <w:p w14:paraId="30D42D3A">
      <w:pPr>
        <w:pStyle w:val="32"/>
        <w:rPr>
          <w:rFonts w:hint="eastAsia" w:asciiTheme="minorEastAsia" w:hAnsiTheme="minorEastAsia" w:eastAsiaTheme="minorEastAsia" w:cstheme="minorEastAsia"/>
          <w:b/>
          <w:color w:val="auto"/>
          <w:kern w:val="44"/>
          <w:sz w:val="36"/>
          <w:szCs w:val="36"/>
          <w:highlight w:val="none"/>
        </w:rPr>
      </w:pPr>
    </w:p>
    <w:p w14:paraId="09CE68AE">
      <w:pPr>
        <w:pStyle w:val="32"/>
        <w:rPr>
          <w:rFonts w:hint="eastAsia" w:asciiTheme="minorEastAsia" w:hAnsiTheme="minorEastAsia" w:eastAsiaTheme="minorEastAsia" w:cstheme="minorEastAsia"/>
          <w:b/>
          <w:color w:val="auto"/>
          <w:kern w:val="44"/>
          <w:sz w:val="36"/>
          <w:szCs w:val="36"/>
          <w:highlight w:val="none"/>
        </w:rPr>
      </w:pPr>
    </w:p>
    <w:p w14:paraId="73667A0A">
      <w:pPr>
        <w:pStyle w:val="32"/>
        <w:rPr>
          <w:rFonts w:hint="eastAsia" w:asciiTheme="minorEastAsia" w:hAnsiTheme="minorEastAsia" w:eastAsiaTheme="minorEastAsia" w:cstheme="minorEastAsia"/>
          <w:b/>
          <w:color w:val="auto"/>
          <w:kern w:val="44"/>
          <w:sz w:val="36"/>
          <w:szCs w:val="36"/>
          <w:highlight w:val="none"/>
        </w:rPr>
      </w:pPr>
    </w:p>
    <w:p w14:paraId="4177B42A">
      <w:pPr>
        <w:pStyle w:val="32"/>
        <w:rPr>
          <w:rFonts w:hint="eastAsia" w:asciiTheme="minorEastAsia" w:hAnsiTheme="minorEastAsia" w:eastAsiaTheme="minorEastAsia" w:cstheme="minorEastAsia"/>
          <w:b/>
          <w:color w:val="auto"/>
          <w:kern w:val="44"/>
          <w:sz w:val="36"/>
          <w:szCs w:val="36"/>
          <w:highlight w:val="none"/>
        </w:rPr>
      </w:pPr>
    </w:p>
    <w:p w14:paraId="3136F5AD">
      <w:pPr>
        <w:pStyle w:val="32"/>
        <w:rPr>
          <w:rFonts w:hint="eastAsia" w:asciiTheme="minorEastAsia" w:hAnsiTheme="minorEastAsia" w:eastAsiaTheme="minorEastAsia" w:cstheme="minorEastAsia"/>
          <w:b/>
          <w:color w:val="auto"/>
          <w:kern w:val="44"/>
          <w:sz w:val="36"/>
          <w:szCs w:val="36"/>
          <w:highlight w:val="none"/>
        </w:rPr>
      </w:pPr>
    </w:p>
    <w:p w14:paraId="575D969B">
      <w:pPr>
        <w:pStyle w:val="32"/>
        <w:rPr>
          <w:rFonts w:hint="eastAsia" w:asciiTheme="minorEastAsia" w:hAnsiTheme="minorEastAsia" w:eastAsiaTheme="minorEastAsia" w:cstheme="minorEastAsia"/>
          <w:b/>
          <w:color w:val="auto"/>
          <w:kern w:val="44"/>
          <w:sz w:val="36"/>
          <w:szCs w:val="36"/>
          <w:highlight w:val="none"/>
        </w:rPr>
      </w:pPr>
    </w:p>
    <w:p w14:paraId="578DC212">
      <w:pPr>
        <w:pStyle w:val="32"/>
        <w:rPr>
          <w:rFonts w:hint="eastAsia" w:asciiTheme="minorEastAsia" w:hAnsiTheme="minorEastAsia" w:eastAsiaTheme="minorEastAsia" w:cstheme="minorEastAsia"/>
          <w:b/>
          <w:color w:val="auto"/>
          <w:kern w:val="44"/>
          <w:sz w:val="36"/>
          <w:szCs w:val="36"/>
          <w:highlight w:val="none"/>
        </w:rPr>
      </w:pPr>
    </w:p>
    <w:p w14:paraId="0CB298E1">
      <w:pPr>
        <w:pStyle w:val="32"/>
        <w:rPr>
          <w:rFonts w:hint="eastAsia" w:asciiTheme="minorEastAsia" w:hAnsiTheme="minorEastAsia" w:eastAsiaTheme="minorEastAsia" w:cstheme="minorEastAsia"/>
          <w:b/>
          <w:color w:val="auto"/>
          <w:kern w:val="44"/>
          <w:sz w:val="36"/>
          <w:szCs w:val="36"/>
          <w:highlight w:val="none"/>
        </w:rPr>
      </w:pPr>
    </w:p>
    <w:p w14:paraId="2CC9D3CE">
      <w:pPr>
        <w:pStyle w:val="32"/>
        <w:rPr>
          <w:rFonts w:hint="eastAsia" w:asciiTheme="minorEastAsia" w:hAnsiTheme="minorEastAsia" w:eastAsiaTheme="minorEastAsia" w:cstheme="minorEastAsia"/>
          <w:b/>
          <w:color w:val="auto"/>
          <w:kern w:val="44"/>
          <w:sz w:val="36"/>
          <w:szCs w:val="36"/>
          <w:highlight w:val="none"/>
        </w:rPr>
      </w:pPr>
    </w:p>
    <w:p w14:paraId="727965DE">
      <w:pPr>
        <w:pStyle w:val="32"/>
        <w:rPr>
          <w:rFonts w:hint="eastAsia" w:asciiTheme="minorEastAsia" w:hAnsiTheme="minorEastAsia" w:eastAsiaTheme="minorEastAsia" w:cstheme="minorEastAsia"/>
          <w:b/>
          <w:color w:val="auto"/>
          <w:kern w:val="44"/>
          <w:sz w:val="36"/>
          <w:szCs w:val="36"/>
          <w:highlight w:val="none"/>
        </w:rPr>
      </w:pPr>
    </w:p>
    <w:p w14:paraId="31C95D52">
      <w:pPr>
        <w:pStyle w:val="32"/>
        <w:rPr>
          <w:rFonts w:hint="eastAsia" w:asciiTheme="minorEastAsia" w:hAnsiTheme="minorEastAsia" w:eastAsiaTheme="minorEastAsia" w:cstheme="minorEastAsia"/>
          <w:b/>
          <w:color w:val="auto"/>
          <w:kern w:val="44"/>
          <w:sz w:val="36"/>
          <w:szCs w:val="36"/>
          <w:highlight w:val="none"/>
        </w:rPr>
      </w:pPr>
    </w:p>
    <w:p w14:paraId="0530EE9C">
      <w:pPr>
        <w:pStyle w:val="33"/>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lang w:val="en-US" w:eastAsia="zh-CN" w:bidi="ar-SA"/>
        </w:rPr>
      </w:pPr>
      <w:bookmarkStart w:id="207" w:name="_Toc29385"/>
      <w:r>
        <w:rPr>
          <w:rFonts w:hint="eastAsia" w:asciiTheme="minorEastAsia" w:hAnsiTheme="minorEastAsia" w:eastAsiaTheme="minorEastAsia" w:cstheme="minorEastAsia"/>
          <w:b/>
          <w:color w:val="auto"/>
          <w:kern w:val="44"/>
          <w:sz w:val="36"/>
          <w:szCs w:val="36"/>
          <w:highlight w:val="none"/>
          <w:lang w:val="en-US" w:eastAsia="zh-CN" w:bidi="ar-SA"/>
        </w:rPr>
        <w:t>第三章 拟签订合同的主要条款</w:t>
      </w:r>
      <w:bookmarkEnd w:id="207"/>
    </w:p>
    <w:p w14:paraId="41619A7C">
      <w:pPr>
        <w:pStyle w:val="32"/>
        <w:rPr>
          <w:rFonts w:hint="eastAsia" w:asciiTheme="minorEastAsia" w:hAnsiTheme="minorEastAsia" w:eastAsiaTheme="minorEastAsia" w:cstheme="minorEastAsia"/>
          <w:color w:val="auto"/>
          <w:highlight w:val="none"/>
        </w:rPr>
      </w:pPr>
    </w:p>
    <w:p w14:paraId="262EED02">
      <w:pPr>
        <w:pStyle w:val="34"/>
        <w:keepNext/>
        <w:keepLines/>
        <w:ind w:firstLine="480"/>
        <w:jc w:val="both"/>
        <w:rPr>
          <w:rFonts w:hint="eastAsia" w:asciiTheme="minorEastAsia" w:hAnsiTheme="minorEastAsia" w:eastAsiaTheme="minorEastAsia" w:cstheme="minorEastAsia"/>
          <w:b/>
          <w:color w:val="auto"/>
          <w:kern w:val="2"/>
          <w:highlight w:val="none"/>
        </w:rPr>
      </w:pPr>
      <w:bookmarkStart w:id="208" w:name="_Toc13116"/>
      <w:r>
        <w:rPr>
          <w:rFonts w:hint="eastAsia" w:asciiTheme="minorEastAsia" w:hAnsiTheme="minorEastAsia" w:eastAsiaTheme="minorEastAsia" w:cstheme="minorEastAsia"/>
          <w:b/>
          <w:color w:val="auto"/>
          <w:kern w:val="2"/>
          <w:highlight w:val="none"/>
        </w:rPr>
        <w:t>1 工程承包方式</w:t>
      </w:r>
      <w:bookmarkEnd w:id="208"/>
    </w:p>
    <w:p w14:paraId="249F910A">
      <w:pPr>
        <w:pStyle w:val="32"/>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承包人按中标价以总承包方式在规定的期限内对设计、施工（包工包料、包质量、包机械、包绿色安全文明施工、包工期等）进行总承包，不允许转包和违法分包，如承包人无相应专业资质，确需分包须与发包人协商并得到发包人和监理人同意并报工程主管部门备案。</w:t>
      </w:r>
    </w:p>
    <w:p w14:paraId="6D7E69FC">
      <w:pPr>
        <w:pStyle w:val="32"/>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1.1.1 包工包料：材料符合招标文件要求</w:t>
      </w:r>
      <w:r>
        <w:rPr>
          <w:rFonts w:hint="eastAsia" w:asciiTheme="minorEastAsia" w:hAnsiTheme="minorEastAsia" w:eastAsiaTheme="minorEastAsia" w:cstheme="minorEastAsia"/>
          <w:snapToGrid w:val="0"/>
          <w:color w:val="auto"/>
          <w:kern w:val="0"/>
          <w:highlight w:val="none"/>
        </w:rPr>
        <w:t>及合同的相关约定</w:t>
      </w:r>
      <w:r>
        <w:rPr>
          <w:rFonts w:hint="eastAsia" w:asciiTheme="minorEastAsia" w:hAnsiTheme="minorEastAsia" w:eastAsiaTheme="minorEastAsia" w:cstheme="minorEastAsia"/>
          <w:color w:val="auto"/>
          <w:highlight w:val="none"/>
        </w:rPr>
        <w:t>，报验使用；办理用工保险。</w:t>
      </w:r>
    </w:p>
    <w:p w14:paraId="31C63FE1">
      <w:pPr>
        <w:pStyle w:val="32"/>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1.1.2 包质量：符合招标文件要求</w:t>
      </w:r>
      <w:r>
        <w:rPr>
          <w:rFonts w:hint="eastAsia" w:asciiTheme="minorEastAsia" w:hAnsiTheme="minorEastAsia" w:eastAsiaTheme="minorEastAsia" w:cstheme="minorEastAsia"/>
          <w:color w:val="auto"/>
          <w:szCs w:val="24"/>
          <w:highlight w:val="none"/>
        </w:rPr>
        <w:t>及合同有关质量的相关约定</w:t>
      </w:r>
      <w:r>
        <w:rPr>
          <w:rFonts w:hint="eastAsia" w:asciiTheme="minorEastAsia" w:hAnsiTheme="minorEastAsia" w:eastAsiaTheme="minorEastAsia" w:cstheme="minorEastAsia"/>
          <w:color w:val="auto"/>
          <w:highlight w:val="none"/>
        </w:rPr>
        <w:t>。</w:t>
      </w:r>
    </w:p>
    <w:p w14:paraId="450625DF">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1.1.3 包安全包文明施工：符合国家及省、市的相关规定及招标文件、合同的相关约定要求。</w:t>
      </w:r>
    </w:p>
    <w:p w14:paraId="7C314495">
      <w:pPr>
        <w:pStyle w:val="32"/>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1.1.4 包工期：本工程项目施工必须在规定的期限内完成。</w:t>
      </w:r>
    </w:p>
    <w:p w14:paraId="13786C71">
      <w:pPr>
        <w:pStyle w:val="50"/>
        <w:keepNext/>
        <w:keepLines/>
        <w:ind w:firstLine="480"/>
        <w:jc w:val="both"/>
        <w:rPr>
          <w:rFonts w:hint="eastAsia" w:asciiTheme="minorEastAsia" w:hAnsiTheme="minorEastAsia" w:eastAsiaTheme="minorEastAsia" w:cstheme="minorEastAsia"/>
          <w:b/>
          <w:color w:val="auto"/>
          <w:highlight w:val="none"/>
        </w:rPr>
      </w:pPr>
      <w:bookmarkStart w:id="209" w:name="_Toc10924"/>
      <w:r>
        <w:rPr>
          <w:rFonts w:hint="eastAsia" w:asciiTheme="minorEastAsia" w:hAnsiTheme="minorEastAsia" w:eastAsiaTheme="minorEastAsia" w:cstheme="minorEastAsia"/>
          <w:b/>
          <w:color w:val="auto"/>
          <w:highlight w:val="none"/>
        </w:rPr>
        <w:t>2 施工图工程量清单预算的编制原则</w:t>
      </w:r>
      <w:bookmarkEnd w:id="209"/>
    </w:p>
    <w:p w14:paraId="49F8C1D3">
      <w:pPr>
        <w:spacing w:line="360" w:lineRule="auto"/>
        <w:ind w:firstLine="480" w:firstLineChars="200"/>
        <w:jc w:val="left"/>
        <w:rPr>
          <w:rFonts w:hint="eastAsia" w:asciiTheme="minorEastAsia" w:hAnsiTheme="minorEastAsia" w:eastAsiaTheme="minorEastAsia" w:cstheme="minorEastAsia"/>
          <w:i/>
          <w:strike/>
          <w:color w:val="auto"/>
          <w:szCs w:val="24"/>
          <w:highlight w:val="none"/>
        </w:rPr>
      </w:pP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val="en-US" w:eastAsia="zh-CN"/>
        </w:rPr>
        <w:t>1</w:t>
      </w:r>
      <w:r>
        <w:rPr>
          <w:rFonts w:hint="eastAsia" w:asciiTheme="minorEastAsia" w:hAnsiTheme="minorEastAsia" w:eastAsiaTheme="minorEastAsia" w:cstheme="minorEastAsia"/>
          <w:color w:val="auto"/>
          <w:szCs w:val="24"/>
          <w:highlight w:val="none"/>
        </w:rPr>
        <w:t xml:space="preserve"> 施工图工程量清单预算价的编制：承包人根据招标文件初步设计等相关的文件完成本项目的设计工作，承包人设计的施工图经发包人确认后由发包人委托有资质的审图公司审查，施工图经审查合格后，由承包人编制的施工图工程量清单预算</w:t>
      </w:r>
      <w:r>
        <w:rPr>
          <w:rFonts w:hint="eastAsia" w:asciiTheme="minorEastAsia" w:hAnsiTheme="minorEastAsia" w:eastAsiaTheme="minorEastAsia" w:cstheme="minorEastAsia"/>
          <w:color w:val="auto"/>
          <w:kern w:val="0"/>
          <w:szCs w:val="24"/>
          <w:highlight w:val="none"/>
        </w:rPr>
        <w:t>需经过发包人委托的第三方</w:t>
      </w:r>
      <w:r>
        <w:rPr>
          <w:rFonts w:hint="eastAsia" w:asciiTheme="minorEastAsia" w:hAnsiTheme="minorEastAsia" w:eastAsiaTheme="minorEastAsia" w:cstheme="minorEastAsia"/>
          <w:color w:val="auto"/>
          <w:szCs w:val="24"/>
          <w:highlight w:val="none"/>
        </w:rPr>
        <w:t>造价咨询单位审核</w:t>
      </w:r>
      <w:r>
        <w:rPr>
          <w:rFonts w:hint="eastAsia" w:asciiTheme="minorEastAsia" w:hAnsiTheme="minorEastAsia" w:eastAsiaTheme="minorEastAsia" w:cstheme="minorEastAsia"/>
          <w:color w:val="auto"/>
          <w:kern w:val="0"/>
          <w:szCs w:val="24"/>
          <w:highlight w:val="none"/>
        </w:rPr>
        <w:t>通过后，并报</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szCs w:val="24"/>
          <w:highlight w:val="none"/>
        </w:rPr>
        <w:t>财政局投资评审中心</w:t>
      </w:r>
      <w:r>
        <w:rPr>
          <w:rFonts w:hint="eastAsia" w:asciiTheme="minorEastAsia" w:hAnsiTheme="minorEastAsia" w:eastAsiaTheme="minorEastAsia" w:cstheme="minorEastAsia"/>
          <w:color w:val="auto"/>
          <w:kern w:val="0"/>
          <w:szCs w:val="24"/>
          <w:highlight w:val="none"/>
        </w:rPr>
        <w:t>审核</w:t>
      </w:r>
      <w:r>
        <w:rPr>
          <w:rFonts w:hint="eastAsia" w:asciiTheme="minorEastAsia" w:hAnsiTheme="minorEastAsia" w:eastAsiaTheme="minorEastAsia" w:cstheme="minorEastAsia"/>
          <w:color w:val="auto"/>
          <w:szCs w:val="24"/>
          <w:highlight w:val="none"/>
        </w:rPr>
        <w:t>。施工图工程量清单预算的编制依据为：（1）《建设工程工程量清单计价规范》（GB50500—2013）；（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当广东省综合定额子目缺项时，可参考套用最新的电力定额编制。</w:t>
      </w:r>
      <w:r>
        <w:rPr>
          <w:rFonts w:hint="eastAsia" w:asciiTheme="minorEastAsia" w:hAnsiTheme="minorEastAsia" w:eastAsiaTheme="minorEastAsia" w:cstheme="minorEastAsia"/>
          <w:color w:val="auto"/>
          <w:kern w:val="0"/>
          <w:szCs w:val="24"/>
          <w:highlight w:val="none"/>
        </w:rPr>
        <w:t>工程量按施工图计算，主要材料价格按预算编制时（招标文件所规定的设计预算编制工期内）当季</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kern w:val="0"/>
          <w:szCs w:val="24"/>
          <w:highlight w:val="none"/>
        </w:rPr>
        <w:t>工程造价管理机构发布的人工、材料、机械台班综合单价（若</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kern w:val="0"/>
          <w:szCs w:val="24"/>
          <w:highlight w:val="none"/>
        </w:rPr>
        <w:t>未发布信息则依次参照广东省韶关市、广东省清远市、广东省肇庆市、广东省佛山市、广东省东莞市、广东省广州市，若以上城市均没有信息价则按市场询价，市场询价由承包人、监理单位、发包人及发包人委托的第三方造价咨询经市场询价方式或厂家报价后确认的设备材料价格或暂定设备材料价格计算）</w:t>
      </w:r>
      <w:r>
        <w:rPr>
          <w:rFonts w:hint="eastAsia" w:asciiTheme="minorEastAsia" w:hAnsiTheme="minorEastAsia" w:eastAsiaTheme="minorEastAsia" w:cstheme="minorEastAsia"/>
          <w:color w:val="auto"/>
          <w:kern w:val="0"/>
          <w:szCs w:val="24"/>
          <w:highlight w:val="none"/>
          <w:lang w:eastAsia="zh-CN"/>
        </w:rPr>
        <w:t>，</w:t>
      </w:r>
      <w:r>
        <w:rPr>
          <w:rFonts w:hint="eastAsia" w:asciiTheme="minorEastAsia" w:hAnsiTheme="minorEastAsia" w:eastAsiaTheme="minorEastAsia" w:cstheme="minorEastAsia"/>
          <w:color w:val="auto"/>
          <w:kern w:val="0"/>
          <w:szCs w:val="24"/>
          <w:highlight w:val="none"/>
        </w:rPr>
        <w:t>规费、税金等其它费用则按有关规定计算（费率有上、下限的按平均值计算），预算包干费按2018年广东省计价办法的规定计算，赶工措施费不另行计算。</w:t>
      </w:r>
    </w:p>
    <w:p w14:paraId="2BDA46CE">
      <w:pPr>
        <w:pStyle w:val="4"/>
        <w:keepNext/>
        <w:keepLines/>
        <w:spacing w:line="360" w:lineRule="auto"/>
        <w:ind w:firstLine="480"/>
        <w:jc w:val="both"/>
        <w:rPr>
          <w:rFonts w:hint="default" w:asciiTheme="minorEastAsia" w:hAnsiTheme="minorEastAsia" w:eastAsiaTheme="minorEastAsia" w:cstheme="minorEastAsia"/>
          <w:b/>
          <w:color w:val="auto"/>
          <w:kern w:val="2"/>
          <w:szCs w:val="24"/>
          <w:highlight w:val="none"/>
          <w:lang w:val="en-US" w:eastAsia="zh-CN"/>
        </w:rPr>
      </w:pPr>
      <w:bookmarkStart w:id="210" w:name="_Toc25528"/>
      <w:r>
        <w:rPr>
          <w:rFonts w:hint="eastAsia" w:asciiTheme="minorEastAsia" w:hAnsiTheme="minorEastAsia" w:eastAsiaTheme="minorEastAsia" w:cstheme="minorEastAsia"/>
          <w:b/>
          <w:color w:val="auto"/>
          <w:kern w:val="2"/>
          <w:szCs w:val="24"/>
          <w:highlight w:val="none"/>
        </w:rPr>
        <w:t>3 工程结算原则</w:t>
      </w:r>
      <w:r>
        <w:rPr>
          <w:rFonts w:hint="eastAsia" w:asciiTheme="minorEastAsia" w:hAnsiTheme="minorEastAsia" w:eastAsiaTheme="minorEastAsia" w:cstheme="minorEastAsia"/>
          <w:b/>
          <w:color w:val="auto"/>
          <w:kern w:val="2"/>
          <w:szCs w:val="24"/>
          <w:highlight w:val="none"/>
          <w:lang w:eastAsia="zh-CN"/>
        </w:rPr>
        <w:t>：</w:t>
      </w:r>
      <w:r>
        <w:rPr>
          <w:rFonts w:hint="eastAsia" w:asciiTheme="minorEastAsia" w:hAnsiTheme="minorEastAsia" w:eastAsiaTheme="minorEastAsia" w:cstheme="minorEastAsia"/>
          <w:b/>
          <w:color w:val="auto"/>
          <w:kern w:val="2"/>
          <w:szCs w:val="24"/>
          <w:highlight w:val="none"/>
          <w:lang w:val="en-US" w:eastAsia="zh-CN"/>
        </w:rPr>
        <w:t>据实结算</w:t>
      </w:r>
      <w:bookmarkEnd w:id="210"/>
    </w:p>
    <w:p w14:paraId="49AC7EB0">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3.1.结算价款=项目合同价+工程变更价（含设计变更和工程签证）+建设方委托中标单位代付的费用（如有）-违约（罚款）金额（如有）。结算价款须经以发包人委托的第三方造价咨询单位审核后作为最终结算价依据。造价咨询服务基本收费部分和效益收费部分由发包人支付(本部分具体结算原则详见合同条款）。</w:t>
      </w:r>
    </w:p>
    <w:p w14:paraId="2704EDE7">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3.2.施工图工程量清单预算价的编制：承包人根据招标文件及工程的技术要求及设备参数要求完成本项目的设计工作，承包人设计的施工图经发包人审查合格后，由承包人编制施工图工程量清单预算并通过发包人委托的第三方造价咨询机构审核。施工图工程量清单预算的编制依据为：按（1）GB50500-2013年《建设工程工程量清单计价规范》，（2）2018年广东省建设工程计价依据：2018年《广东省市政工程综合定额》、2018年《广东省房屋建筑与装饰工程综合定额》、2018年《广东省通用安装工程综合定额》、2018年《广东省园林绿化工程综合定额》、2018年《广东省建设工程施工机具台班费用编制规则》,当广东省综合定额子目缺项时，可参考套用最新的电力定额编制。工程量按发包人确认后的施工图计算，主要材料价格按预算（经审定）编制时当期韶关市工程造价管理机构发布的人工、设备材料、机械台班综合单价（若韶关市未发布信息参考广东省内同类地区信息价）执行，信息价没有的由承包人、监理单位、发包人及发包人委托的第三方造价咨询经市场询价方式或厂家报价后确认的设备材料价格或暂定设备材料价格计算）。预算包干费：根据2018年《广东省市政工程综合定额》、2018年《广东省房屋建筑与装饰工程综合定额》、2018年《广东省通用安装工程综合定额》、2018年《广东省园林绿化工程综合定额》，以各专业分部分项的规定的取值基础计算预算包干费。</w:t>
      </w:r>
    </w:p>
    <w:p w14:paraId="20CC0270">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3.3.项目费用结算基准价的确定：项目按单个项目施工图预算价经第三方造价咨询单位审核，在设计施工图纸未做改动的情况下，经审定的【（建安工程施工图预算价+勘察设计费-安全文明施工费）×中标费率+安全文明施工费】即为此项目的结算基准价（项目合同价），其建安工程分部分项工程量清单对应的综合单价即为建安工程费结算基准单价。</w:t>
      </w:r>
    </w:p>
    <w:p w14:paraId="233608C4">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其中：</w:t>
      </w:r>
    </w:p>
    <w:p w14:paraId="4455FD4B">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1）项目合同价=（经第三方造价咨询单位审核建安工程施工图预算价+勘察设计费-安全文明施工费）×中标费率+安全文明施工费。</w:t>
      </w:r>
    </w:p>
    <w:p w14:paraId="439D8748">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第三方造价咨询单位根据审定的施工图、招标文件中约定完成施工图预算审定，在项目施工图设计（含预算）审核通过后 5 个日历天内，完成施工图预算的审核确认。按审核确认的【（建安工程施工图预算价+勘察设计费-安全文明施工费）×中标费率+安全文明施工费】计算合同价签订补充协议。</w:t>
      </w:r>
    </w:p>
    <w:p w14:paraId="255C00B1">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2）工程变更价：</w:t>
      </w:r>
    </w:p>
    <w:p w14:paraId="634D5E41">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设计变更和工程量签证按照招标文件约定的计价原则和合同条款约定计价。</w:t>
      </w:r>
    </w:p>
    <w:p w14:paraId="51336880">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本项目为设计、采购、施工总承包（EPC），如果设计图纸、施工图预算由于设计深度原因导致的设计变更，不另行增加费用。工程变更部分不计取勘察设计费。</w:t>
      </w:r>
    </w:p>
    <w:p w14:paraId="542FEC6A">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建设方委托中标单位代付的费用（如有，以建设单位委托书为准。包括但不限于办理工程相关报建、结构荷载报告、施工许可手续，办理工程的征地、拆迁、青苗赔偿、水土保持等产生的费用，协助完成安全评价等政府规范性要求所需事项产生的费用），承包商需提供相关依据（包括但不限于发票、合同）。</w:t>
      </w:r>
    </w:p>
    <w:p w14:paraId="574F2C72">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4）安全文明施工费为非竞争性费用，施工图预算单列安全文明施工费，中标人在与招标人签订补充协议时，安全文明施工费按项目单列的金额计列，不得下浮。若项目规模、建设标准等发生变化，因变化而发生的措施项目费结算时进行相应减少，增加部分不予计算。</w:t>
      </w:r>
    </w:p>
    <w:p w14:paraId="448CD74F">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3.4. 建设工程完工后，发、承包双方和受其委托具有相应能力的工程造价咨询企业必须按照GB50500-2013年《建设工程工程量清单计价规范》和有关规定办理竣工结算。</w:t>
      </w:r>
    </w:p>
    <w:p w14:paraId="7FFF884A">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3.5.本项目结算不另行计取高温补贴费用、概（预）算编制费、专业分包总包服务及配合费、设计优化及修改增加的费用。</w:t>
      </w:r>
    </w:p>
    <w:p w14:paraId="2E5935FB">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3.6.工程变更事件和合同外委托项目价款调整</w:t>
      </w:r>
    </w:p>
    <w:p w14:paraId="090490B9">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3.6.1施工合同履行期间，由于非承包人原因导致工程变更的，发、承包双方应当按照GB50500-2013年《建设工程工程量清单计价规范》和有关规定，依据实际变更项目调整工程价款。工程变更引起工程量发生变化，出现本合同价款调整方式情形的，应当按照其规定调整；其他情形的，按照以下规定调整：</w:t>
      </w:r>
    </w:p>
    <w:p w14:paraId="134FEBCA">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①结算基准价中有适用于变更工程项目的，按照该项目的单价或合价调整；</w:t>
      </w:r>
    </w:p>
    <w:p w14:paraId="2518952A">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②结算基准价中没有适用、只有类似于变更工程项目的，可在合理范围内参照类似项目的单价或合价调整；</w:t>
      </w:r>
    </w:p>
    <w:p w14:paraId="04FD0431">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 xml:space="preserve"> ③结算基准价中没有适用也没有类似于变更工程项目的，根据变更工程资料、计量规则和计价办法、施工期间工程造价管理机构发布的价格信息，按本结算原则第2.2款重新确定综合单价后，相应调整工程价款；</w:t>
      </w:r>
    </w:p>
    <w:p w14:paraId="1DE98285">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④结算基准价中没有适用也没有类似于变更工程项目，且施工期间工程造价管理机构发布的价格信息缺项的，根据变更工程资料、计量规则、计价办法和通过市场调查等的有合法依据的市场价格，按本原则第7.2条提出变更工程项目的单价或合价，经发、承包双方确认后调整；</w:t>
      </w:r>
    </w:p>
    <w:p w14:paraId="2431D892">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3.6.2若是结算基准价中没有的项目（如合同外委项目等），其造价调整如下：</w:t>
      </w:r>
    </w:p>
    <w:p w14:paraId="034C8FAA">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按（1）GB50500-2013年《建设工程工程量清单计价规范》、（2）2018年广东省建设工程计价依据（包括2018年《广东省市政工程综合定额》、2018年《广东省房屋建筑与装饰工程综合定额》、2018年《广东省通用安装工程综合定额》、2018年《广东省园林绿化工程综合定额》、2018年《广东省建设工程施工机具台班费用编制规则》，当广东省综合定额子目缺项时，可参考套用最新的电力定额编制。工程量按甲乙双方签证确认的、应予计量的实际完成的工程量计算，主要材料价格按施工同期工程所在地工程造价管理机构发布的价格信息中的单价计算，工程所在地工程造价管理机构发布的价格信息中参考价没有的材料价由甲乙双方市场询价确定，规费、税金等其它费用则按有关规定计算（费率有上、下限的以下限计算），预算包干费及赶工措施费不予计算。经第三方造价咨询单位审核后按建安工程费乘以中标费率后作为工程结算价。</w:t>
      </w:r>
    </w:p>
    <w:p w14:paraId="50799A6D">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3.6.3因承包方原因造成的超出合同工程范围施工或返工的工程量，发包方不予计量。</w:t>
      </w:r>
    </w:p>
    <w:p w14:paraId="6F1643F3">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3.6.4合同履行期间，由于设计人原因导致发生设计变更或现场签证的，由此增加的工程造价费用，由承包人自行承担，发包人不予以考虑和补偿，同时按相关违约条款处罚。</w:t>
      </w:r>
    </w:p>
    <w:p w14:paraId="7EF2225D">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3.6.5清单项目如只单独调整人工、材料、机械台班价差的，其人工、材料、机械台班消耗量均以审定施工图预算中的该清单项目的人工、材料、机械台班消耗量为准。</w:t>
      </w:r>
    </w:p>
    <w:p w14:paraId="149A32DC">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3.6.6中标人不得以不完全了解现场情况为理由，提出额外付款或延长工期等要求。对此类要求，招标人不作任何考虑及答复。</w:t>
      </w:r>
    </w:p>
    <w:p w14:paraId="78118518">
      <w:pPr>
        <w:spacing w:line="360" w:lineRule="auto"/>
        <w:ind w:firstLine="480" w:firstLineChars="200"/>
        <w:jc w:val="left"/>
        <w:rPr>
          <w:rFonts w:hint="eastAsia" w:asciiTheme="minorEastAsia" w:hAnsiTheme="minorEastAsia" w:eastAsiaTheme="minorEastAsia" w:cstheme="minorEastAsia"/>
          <w:color w:val="auto"/>
          <w:kern w:val="0"/>
          <w:highlight w:val="none"/>
          <w:lang w:val="en-US" w:eastAsia="zh-CN"/>
        </w:rPr>
      </w:pPr>
      <w:r>
        <w:rPr>
          <w:rFonts w:hint="eastAsia" w:asciiTheme="minorEastAsia" w:hAnsiTheme="minorEastAsia" w:eastAsiaTheme="minorEastAsia" w:cstheme="minorEastAsia"/>
          <w:color w:val="auto"/>
          <w:kern w:val="0"/>
          <w:highlight w:val="none"/>
          <w:lang w:val="en-US" w:eastAsia="zh-CN"/>
        </w:rPr>
        <w:t xml:space="preserve">3.6.7如发包人减少建设规模，则根据经发包人确认的预算书扣减减少部分工程造价。  </w:t>
      </w:r>
    </w:p>
    <w:p w14:paraId="1407018E">
      <w:pPr>
        <w:pStyle w:val="34"/>
        <w:keepNext/>
        <w:keepLines/>
        <w:spacing w:line="500" w:lineRule="exact"/>
        <w:ind w:firstLine="480"/>
        <w:jc w:val="both"/>
        <w:rPr>
          <w:rFonts w:hint="eastAsia" w:asciiTheme="minorEastAsia" w:hAnsiTheme="minorEastAsia" w:eastAsiaTheme="minorEastAsia" w:cstheme="minorEastAsia"/>
          <w:b/>
          <w:color w:val="auto"/>
          <w:kern w:val="2"/>
          <w:szCs w:val="24"/>
          <w:highlight w:val="none"/>
        </w:rPr>
      </w:pPr>
      <w:bookmarkStart w:id="211" w:name="_Toc15726"/>
      <w:r>
        <w:rPr>
          <w:rFonts w:hint="eastAsia" w:asciiTheme="minorEastAsia" w:hAnsiTheme="minorEastAsia" w:eastAsiaTheme="minorEastAsia" w:cstheme="minorEastAsia"/>
          <w:b/>
          <w:color w:val="auto"/>
          <w:kern w:val="2"/>
          <w:szCs w:val="24"/>
          <w:highlight w:val="none"/>
        </w:rPr>
        <w:t>4 工程付款办法</w:t>
      </w:r>
      <w:bookmarkEnd w:id="211"/>
    </w:p>
    <w:p w14:paraId="412FB02C">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预付款：</w:t>
      </w:r>
    </w:p>
    <w:p w14:paraId="59C3DD4A">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具体项目以发包方下达的任务书后14日内，发包方根据工程项目实际情况，按</w:t>
      </w:r>
      <w:r>
        <w:rPr>
          <w:rFonts w:hint="eastAsia" w:ascii="宋体" w:hAnsi="宋体" w:eastAsia="宋体" w:cs="宋体"/>
          <w:color w:val="auto"/>
          <w:kern w:val="0"/>
          <w:sz w:val="24"/>
          <w:szCs w:val="24"/>
          <w:highlight w:val="none"/>
          <w:lang w:val="en-US" w:eastAsia="zh-CN"/>
        </w:rPr>
        <w:t>签约合同价</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u w:val="single"/>
        </w:rPr>
        <w:t xml:space="preserve">  </w:t>
      </w:r>
      <w:r>
        <w:rPr>
          <w:rFonts w:hint="eastAsia"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u w:val="single"/>
          <w:lang w:val="en-US" w:eastAsia="zh-CN"/>
        </w:rPr>
        <w:t xml:space="preserve">0 </w:t>
      </w:r>
      <w:r>
        <w:rPr>
          <w:rFonts w:hint="eastAsia" w:ascii="宋体" w:hAnsi="宋体" w:eastAsia="宋体" w:cs="宋体"/>
          <w:color w:val="auto"/>
          <w:kern w:val="0"/>
          <w:sz w:val="24"/>
          <w:szCs w:val="24"/>
          <w:highlight w:val="none"/>
        </w:rPr>
        <w:t>% 支付施工预付款。</w:t>
      </w:r>
    </w:p>
    <w:p w14:paraId="59E583D6">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4.2</w:t>
      </w:r>
      <w:r>
        <w:rPr>
          <w:rFonts w:hint="eastAsia" w:ascii="宋体" w:hAnsi="宋体" w:eastAsia="宋体" w:cs="宋体"/>
          <w:color w:val="auto"/>
          <w:kern w:val="0"/>
          <w:sz w:val="24"/>
          <w:szCs w:val="24"/>
          <w:highlight w:val="none"/>
        </w:rPr>
        <w:t>预付款支付与扣回</w:t>
      </w:r>
    </w:p>
    <w:p w14:paraId="56618730">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在承包方完成以下工作 14天内监理工程师向发包方发出预付款支付证书（一份复印件送承包方）：</w:t>
      </w:r>
    </w:p>
    <w:p w14:paraId="647AB929">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1.开工准备工作已开始（承包方提供项目的开工资料及工程预付款申请单）；</w:t>
      </w:r>
    </w:p>
    <w:p w14:paraId="32E48008">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预付款的扣回：预付款在每次工程进度款支付中按照工程进度款</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lang w:val="en-US" w:eastAsia="zh-CN"/>
        </w:rPr>
        <w:t xml:space="preserve"> 50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%比例逐次扣回，直至全部扣回。如在工程款支付至预计结算价的80% 时预付款仍未全部扣完，则在支付至预计结算价的80%一次性扣完剩余预付款。</w:t>
      </w:r>
    </w:p>
    <w:p w14:paraId="15417695">
      <w:pPr>
        <w:pageBreakBefore w:val="0"/>
        <w:widowControl/>
        <w:kinsoku/>
        <w:wordWrap/>
        <w:overflowPunct/>
        <w:topLinePunct w:val="0"/>
        <w:autoSpaceDE w:val="0"/>
        <w:bidi w:val="0"/>
        <w:spacing w:line="360" w:lineRule="auto"/>
        <w:ind w:firstLine="482"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4.3</w:t>
      </w:r>
      <w:r>
        <w:rPr>
          <w:rFonts w:hint="eastAsia" w:ascii="宋体" w:hAnsi="宋体" w:eastAsia="宋体" w:cs="宋体"/>
          <w:b/>
          <w:bCs/>
          <w:color w:val="auto"/>
          <w:kern w:val="0"/>
          <w:sz w:val="24"/>
          <w:szCs w:val="24"/>
          <w:highlight w:val="none"/>
        </w:rPr>
        <w:t>进度付款的支付：</w:t>
      </w:r>
    </w:p>
    <w:p w14:paraId="41E20ADB">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4.3.</w:t>
      </w:r>
      <w:r>
        <w:rPr>
          <w:rFonts w:hint="eastAsia" w:ascii="宋体" w:hAnsi="宋体" w:eastAsia="宋体" w:cs="宋体"/>
          <w:color w:val="auto"/>
          <w:kern w:val="0"/>
          <w:sz w:val="24"/>
          <w:szCs w:val="24"/>
          <w:highlight w:val="none"/>
        </w:rPr>
        <w:t>1.设计费：</w:t>
      </w:r>
    </w:p>
    <w:p w14:paraId="772F0733">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 初步设计审查完成并出版后，发包方在收到承包方出具的等额增值税专用发票之日起 45 日内，向承包方支付设计费结算价的</w:t>
      </w:r>
      <w:r>
        <w:rPr>
          <w:rFonts w:hint="eastAsia"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0 % ；</w:t>
      </w:r>
    </w:p>
    <w:p w14:paraId="69488565">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 施工图设计审查完成并出版后，发包方在收到承包方出具的等额增值税专用发票之日起 45 日内，向承包方支付设计费结算价的 40 % ；</w:t>
      </w:r>
    </w:p>
    <w:p w14:paraId="2787650D">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③工程竣工投产并完成结算后，发包方在收到承包方出具的等额增值税专用发票之日起 45 日内，向承包方支付设计费结算价的 </w:t>
      </w:r>
      <w:r>
        <w:rPr>
          <w:rFonts w:hint="eastAsia"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0% 。</w:t>
      </w:r>
    </w:p>
    <w:p w14:paraId="6E58E081">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4.3.</w:t>
      </w:r>
      <w:r>
        <w:rPr>
          <w:rFonts w:hint="eastAsia" w:ascii="宋体" w:hAnsi="宋体" w:eastAsia="宋体" w:cs="宋体"/>
          <w:color w:val="auto"/>
          <w:kern w:val="0"/>
          <w:sz w:val="24"/>
          <w:szCs w:val="24"/>
          <w:highlight w:val="none"/>
        </w:rPr>
        <w:t>2.工程费：</w:t>
      </w:r>
    </w:p>
    <w:p w14:paraId="7BF997F6">
      <w:pPr>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工程进度款按月度结算，承包方应在每月 12日前提交上一月度已完工程量及相应的支持性证明文件及结算付款申请，经监理工程师核查后出具经项目发包方签认的进度付款证书。项目发包方在签发进度付款证书并收到等额增值税专用发票后 45 日内将进度款支付给承包方。工程进度款与预付款累计已付至工程施工费合同价的 80％时发包方停止支付。</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工程竣工验收合格并网后，</w:t>
      </w:r>
      <w:r>
        <w:rPr>
          <w:rFonts w:hint="eastAsia" w:ascii="宋体" w:hAnsi="宋体" w:eastAsia="宋体" w:cs="宋体"/>
          <w:bCs/>
          <w:color w:val="auto"/>
          <w:sz w:val="24"/>
          <w:szCs w:val="24"/>
          <w:highlight w:val="none"/>
        </w:rPr>
        <w:t>工程项目结算费用以发包方委托的中介机构审核后的结算审核报告价格结算。</w:t>
      </w:r>
      <w:r>
        <w:rPr>
          <w:rFonts w:hint="eastAsia" w:ascii="宋体" w:hAnsi="宋体" w:eastAsia="宋体" w:cs="宋体"/>
          <w:color w:val="auto"/>
          <w:sz w:val="24"/>
          <w:szCs w:val="24"/>
          <w:highlight w:val="none"/>
        </w:rPr>
        <w:t>发</w:t>
      </w:r>
      <w:r>
        <w:rPr>
          <w:rFonts w:hint="eastAsia" w:ascii="宋体" w:hAnsi="宋体" w:eastAsia="宋体" w:cs="宋体"/>
          <w:bCs/>
          <w:color w:val="auto"/>
          <w:sz w:val="24"/>
          <w:szCs w:val="24"/>
          <w:highlight w:val="none"/>
        </w:rPr>
        <w:t>包方支付工程款至97%，留 3% 质保金待缺陷期满后支付。若第三方原因造成项目无法全额并网的，项目竣工验收后，经中介机构审核后，发包方支付工程结算款的90%，全额并网后支付工程款至97%。</w:t>
      </w:r>
    </w:p>
    <w:p w14:paraId="5C49F7CB">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承包方应在每月12日前按本合同约定的格式向监理人提交月进度付款申请单（一式3份），并附有相应的支持性证明文件。进度付款申请单应包括以下内容：</w:t>
      </w:r>
    </w:p>
    <w:p w14:paraId="56A7D593">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 已完成的工程量的对应的应付金额。</w:t>
      </w:r>
    </w:p>
    <w:p w14:paraId="3004CE21">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② 经监理人签认的当月支付凭证标明的应付金额。</w:t>
      </w:r>
    </w:p>
    <w:p w14:paraId="45816C84">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③ 扣除按合同约定应由发包方扣还的工程预付款金额。</w:t>
      </w:r>
    </w:p>
    <w:p w14:paraId="577951DB">
      <w:pPr>
        <w:pageBreakBefore w:val="0"/>
        <w:widowControl/>
        <w:kinsoku/>
        <w:wordWrap/>
        <w:overflowPunct/>
        <w:topLinePunct w:val="0"/>
        <w:autoSpaceDE w:val="0"/>
        <w:bidi w:val="0"/>
        <w:spacing w:line="360" w:lineRule="auto"/>
        <w:ind w:firstLine="480" w:firstLineChars="200"/>
        <w:jc w:val="left"/>
        <w:textAlignment w:val="auto"/>
        <w:rPr>
          <w:rFonts w:hint="eastAsia" w:ascii="宋体" w:hAnsi="宋体" w:eastAsia="宋体" w:cs="宋体"/>
          <w:strike/>
          <w:color w:val="auto"/>
          <w:kern w:val="0"/>
          <w:sz w:val="24"/>
          <w:szCs w:val="24"/>
          <w:highlight w:val="none"/>
        </w:rPr>
      </w:pPr>
      <w:r>
        <w:rPr>
          <w:rFonts w:hint="eastAsia" w:ascii="宋体" w:hAnsi="宋体" w:eastAsia="宋体" w:cs="宋体"/>
          <w:color w:val="auto"/>
          <w:kern w:val="0"/>
          <w:sz w:val="24"/>
          <w:szCs w:val="24"/>
          <w:highlight w:val="none"/>
        </w:rPr>
        <w:t>④ 承包方需提供增值税专用发票。</w:t>
      </w:r>
    </w:p>
    <w:p w14:paraId="6D3BFF95">
      <w:pPr>
        <w:pageBreakBefore w:val="0"/>
        <w:kinsoku/>
        <w:wordWrap w:val="0"/>
        <w:overflowPunct/>
        <w:topLinePunct w:val="0"/>
        <w:bidi w:val="0"/>
        <w:adjustRightInd w:val="0"/>
        <w:snapToGrid w:val="0"/>
        <w:spacing w:line="360" w:lineRule="auto"/>
        <w:ind w:firstLine="561"/>
        <w:textAlignment w:val="auto"/>
        <w:rPr>
          <w:rFonts w:hint="eastAsia" w:asciiTheme="minorEastAsia" w:hAnsiTheme="minorEastAsia" w:eastAsiaTheme="minorEastAsia" w:cstheme="minorEastAsia"/>
          <w:bCs/>
          <w:snapToGrid w:val="0"/>
          <w:color w:val="auto"/>
          <w:kern w:val="0"/>
          <w:szCs w:val="24"/>
          <w:highlight w:val="none"/>
        </w:rPr>
      </w:pPr>
    </w:p>
    <w:p w14:paraId="23405C67">
      <w:pPr>
        <w:bidi w:val="0"/>
        <w:rPr>
          <w:rFonts w:hint="eastAsia"/>
          <w:color w:val="auto"/>
        </w:rPr>
      </w:pPr>
      <w:bookmarkStart w:id="212" w:name="_Toc16873"/>
      <w:bookmarkStart w:id="213" w:name="_Toc17661"/>
      <w:bookmarkStart w:id="214" w:name="_Toc29236"/>
      <w:bookmarkStart w:id="215" w:name="_Toc12936"/>
      <w:bookmarkStart w:id="216" w:name="_Toc26916"/>
      <w:bookmarkStart w:id="217" w:name="_Toc25046"/>
      <w:bookmarkStart w:id="218" w:name="_Toc22105"/>
      <w:bookmarkStart w:id="219" w:name="_Toc4262"/>
    </w:p>
    <w:p w14:paraId="0E6F5C29">
      <w:pPr>
        <w:bidi w:val="0"/>
        <w:rPr>
          <w:rFonts w:hint="eastAsia"/>
          <w:color w:val="auto"/>
        </w:rPr>
      </w:pPr>
    </w:p>
    <w:p w14:paraId="681AF85D">
      <w:pPr>
        <w:bidi w:val="0"/>
        <w:rPr>
          <w:rFonts w:hint="eastAsia"/>
          <w:color w:val="auto"/>
        </w:rPr>
      </w:pPr>
    </w:p>
    <w:p w14:paraId="5178B6C7">
      <w:pPr>
        <w:bidi w:val="0"/>
        <w:rPr>
          <w:rFonts w:hint="eastAsia"/>
          <w:color w:val="auto"/>
        </w:rPr>
      </w:pPr>
    </w:p>
    <w:p w14:paraId="3FFB9778">
      <w:pPr>
        <w:bidi w:val="0"/>
        <w:rPr>
          <w:rFonts w:hint="eastAsia"/>
          <w:color w:val="auto"/>
        </w:rPr>
      </w:pPr>
    </w:p>
    <w:p w14:paraId="3416D834">
      <w:pPr>
        <w:bidi w:val="0"/>
        <w:rPr>
          <w:rFonts w:hint="eastAsia"/>
          <w:color w:val="auto"/>
        </w:rPr>
      </w:pPr>
    </w:p>
    <w:p w14:paraId="386C3EEB">
      <w:pPr>
        <w:bidi w:val="0"/>
        <w:rPr>
          <w:rFonts w:hint="eastAsia"/>
          <w:color w:val="auto"/>
        </w:rPr>
      </w:pPr>
    </w:p>
    <w:p w14:paraId="08E85C02">
      <w:pPr>
        <w:bidi w:val="0"/>
        <w:rPr>
          <w:rFonts w:hint="eastAsia"/>
          <w:color w:val="auto"/>
        </w:rPr>
      </w:pPr>
    </w:p>
    <w:p w14:paraId="02DE2ACA">
      <w:pPr>
        <w:bidi w:val="0"/>
        <w:rPr>
          <w:rFonts w:hint="eastAsia"/>
          <w:color w:val="auto"/>
        </w:rPr>
      </w:pPr>
    </w:p>
    <w:p w14:paraId="6E17C37A">
      <w:pPr>
        <w:bidi w:val="0"/>
        <w:rPr>
          <w:rFonts w:hint="eastAsia"/>
          <w:color w:val="auto"/>
        </w:rPr>
      </w:pPr>
    </w:p>
    <w:p w14:paraId="00AC8877">
      <w:pPr>
        <w:bidi w:val="0"/>
        <w:rPr>
          <w:rFonts w:hint="eastAsia"/>
          <w:color w:val="auto"/>
        </w:rPr>
      </w:pPr>
    </w:p>
    <w:p w14:paraId="13525871">
      <w:pPr>
        <w:bidi w:val="0"/>
        <w:rPr>
          <w:rFonts w:hint="eastAsia"/>
          <w:color w:val="auto"/>
        </w:rPr>
      </w:pPr>
    </w:p>
    <w:p w14:paraId="67A5EAF0">
      <w:pPr>
        <w:bidi w:val="0"/>
        <w:rPr>
          <w:rFonts w:hint="eastAsia"/>
          <w:color w:val="auto"/>
        </w:rPr>
      </w:pPr>
    </w:p>
    <w:p w14:paraId="31E364B8">
      <w:pPr>
        <w:bidi w:val="0"/>
        <w:rPr>
          <w:rFonts w:hint="eastAsia"/>
          <w:color w:val="auto"/>
        </w:rPr>
      </w:pPr>
    </w:p>
    <w:p w14:paraId="50A9C381">
      <w:pPr>
        <w:bidi w:val="0"/>
        <w:rPr>
          <w:rFonts w:hint="eastAsia"/>
          <w:color w:val="auto"/>
        </w:rPr>
      </w:pPr>
    </w:p>
    <w:p w14:paraId="178A279B">
      <w:pPr>
        <w:pStyle w:val="32"/>
        <w:rPr>
          <w:rFonts w:hint="eastAsia"/>
          <w:color w:val="auto"/>
        </w:rPr>
      </w:pPr>
    </w:p>
    <w:p w14:paraId="2C5FBEAB">
      <w:pPr>
        <w:pStyle w:val="32"/>
        <w:rPr>
          <w:rFonts w:hint="eastAsia"/>
          <w:color w:val="auto"/>
        </w:rPr>
      </w:pPr>
    </w:p>
    <w:p w14:paraId="19660F0E">
      <w:pPr>
        <w:rPr>
          <w:rFonts w:hint="eastAsia" w:asciiTheme="minorEastAsia" w:hAnsiTheme="minorEastAsia" w:eastAsiaTheme="minorEastAsia" w:cstheme="minorEastAsia"/>
          <w:b/>
          <w:color w:val="auto"/>
          <w:kern w:val="44"/>
          <w:sz w:val="36"/>
          <w:szCs w:val="36"/>
          <w:highlight w:val="none"/>
        </w:rPr>
      </w:pPr>
      <w:bookmarkStart w:id="220" w:name="_Toc14567"/>
      <w:r>
        <w:rPr>
          <w:rFonts w:hint="eastAsia" w:asciiTheme="minorEastAsia" w:hAnsiTheme="minorEastAsia" w:eastAsiaTheme="minorEastAsia" w:cstheme="minorEastAsia"/>
          <w:b/>
          <w:color w:val="auto"/>
          <w:kern w:val="44"/>
          <w:sz w:val="36"/>
          <w:szCs w:val="36"/>
          <w:highlight w:val="none"/>
        </w:rPr>
        <w:br w:type="page"/>
      </w:r>
    </w:p>
    <w:p w14:paraId="4E1B569F">
      <w:pPr>
        <w:pStyle w:val="33"/>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val="en-US" w:eastAsia="zh-CN"/>
        </w:rPr>
        <w:t>四</w:t>
      </w:r>
      <w:r>
        <w:rPr>
          <w:rFonts w:hint="eastAsia" w:asciiTheme="minorEastAsia" w:hAnsiTheme="minorEastAsia" w:eastAsiaTheme="minorEastAsia" w:cstheme="minorEastAsia"/>
          <w:b/>
          <w:color w:val="auto"/>
          <w:kern w:val="44"/>
          <w:sz w:val="36"/>
          <w:szCs w:val="36"/>
          <w:highlight w:val="none"/>
        </w:rPr>
        <w:t xml:space="preserve">章 </w:t>
      </w:r>
      <w:bookmarkEnd w:id="196"/>
      <w:bookmarkEnd w:id="212"/>
      <w:bookmarkEnd w:id="213"/>
      <w:bookmarkEnd w:id="214"/>
      <w:bookmarkEnd w:id="215"/>
      <w:bookmarkEnd w:id="216"/>
      <w:bookmarkEnd w:id="217"/>
      <w:bookmarkEnd w:id="218"/>
      <w:bookmarkEnd w:id="219"/>
      <w:r>
        <w:rPr>
          <w:rFonts w:hint="eastAsia" w:asciiTheme="minorEastAsia" w:hAnsiTheme="minorEastAsia" w:eastAsiaTheme="minorEastAsia" w:cstheme="minorEastAsia"/>
          <w:b/>
          <w:color w:val="auto"/>
          <w:kern w:val="44"/>
          <w:sz w:val="36"/>
          <w:szCs w:val="36"/>
          <w:highlight w:val="none"/>
        </w:rPr>
        <w:t>技术要求</w:t>
      </w:r>
      <w:bookmarkEnd w:id="220"/>
    </w:p>
    <w:p w14:paraId="68028514">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bookmarkStart w:id="221" w:name="_Hlt78709799"/>
      <w:bookmarkEnd w:id="221"/>
      <w:bookmarkStart w:id="222" w:name="_Hlt68774758"/>
      <w:bookmarkEnd w:id="222"/>
      <w:bookmarkStart w:id="223" w:name="_Hlt69358207"/>
      <w:bookmarkEnd w:id="223"/>
      <w:bookmarkStart w:id="224" w:name="_Hlt69357851"/>
      <w:bookmarkEnd w:id="224"/>
      <w:bookmarkStart w:id="225" w:name="_Hlt69359086"/>
      <w:bookmarkEnd w:id="225"/>
      <w:bookmarkStart w:id="226" w:name="_Hlt69358458"/>
      <w:bookmarkEnd w:id="226"/>
      <w:bookmarkStart w:id="227" w:name="_Hlt75685840"/>
      <w:bookmarkEnd w:id="227"/>
      <w:bookmarkStart w:id="228" w:name="_Hlt69359245"/>
      <w:bookmarkEnd w:id="228"/>
      <w:bookmarkStart w:id="229" w:name="_Hlt69116858"/>
      <w:bookmarkEnd w:id="229"/>
      <w:bookmarkStart w:id="230" w:name="_Hlt69359243"/>
      <w:bookmarkEnd w:id="230"/>
      <w:bookmarkStart w:id="231" w:name="_Hlt66104926"/>
      <w:bookmarkEnd w:id="231"/>
      <w:bookmarkStart w:id="232" w:name="_Hlt69265216"/>
      <w:bookmarkEnd w:id="232"/>
      <w:bookmarkStart w:id="233" w:name="_Hlt69635252"/>
      <w:bookmarkEnd w:id="233"/>
      <w:bookmarkStart w:id="234" w:name="_Hlt87793346"/>
      <w:bookmarkEnd w:id="234"/>
      <w:bookmarkStart w:id="235" w:name="_Hlt87793370"/>
      <w:bookmarkEnd w:id="235"/>
      <w:bookmarkStart w:id="236" w:name="_Hlt80411122"/>
      <w:bookmarkEnd w:id="236"/>
      <w:bookmarkStart w:id="237" w:name="_Hlt69116854"/>
      <w:bookmarkEnd w:id="237"/>
      <w:bookmarkStart w:id="238" w:name="_Hlt69359335"/>
      <w:bookmarkEnd w:id="238"/>
      <w:r>
        <w:rPr>
          <w:rFonts w:hint="eastAsia" w:asciiTheme="minorEastAsia" w:hAnsiTheme="minorEastAsia" w:eastAsiaTheme="minorEastAsia" w:cstheme="minorEastAsia"/>
          <w:color w:val="auto"/>
          <w:sz w:val="24"/>
          <w:szCs w:val="24"/>
          <w:highlight w:val="none"/>
        </w:rPr>
        <w:t>1.技术（规范）标准</w:t>
      </w:r>
    </w:p>
    <w:p w14:paraId="08748F6F">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依据设计文件的要求，本招标工程项目的材料、设备、施工须达到下列现行中华人民共和国以及省、自治区、直辖市或行业的工程建设标准、规范的要求，至少应包括：</w:t>
      </w:r>
    </w:p>
    <w:p w14:paraId="2BE8BA5B">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）《110kV～750kV架空输电线路线路设计规范》</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GB50545</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2010</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p>
    <w:p w14:paraId="1552FBDA">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）《交流电气装置的过电压保护和绝缘配合设计规范》</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GB/T 50064-2014</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p>
    <w:p w14:paraId="7FC3B19E">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）《输电线路对电信线路危险和干扰影响防护设计规程》</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DL/T 5033-2006</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p>
    <w:p w14:paraId="7A5AC830">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）《架空输电线路杆塔结构设计技术规</w:t>
      </w:r>
      <w:r>
        <w:rPr>
          <w:rFonts w:hint="eastAsia" w:asciiTheme="minorEastAsia" w:hAnsiTheme="minorEastAsia" w:eastAsiaTheme="minorEastAsia" w:cstheme="minorEastAsia"/>
          <w:color w:val="auto"/>
          <w:sz w:val="24"/>
          <w:szCs w:val="24"/>
          <w:highlight w:val="none"/>
          <w:lang w:val="en-US" w:eastAsia="zh-CN"/>
        </w:rPr>
        <w:t>程</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DL/T </w:t>
      </w:r>
      <w:r>
        <w:rPr>
          <w:rFonts w:hint="eastAsia" w:asciiTheme="minorEastAsia" w:hAnsiTheme="minorEastAsia" w:eastAsiaTheme="minorEastAsia" w:cstheme="minorEastAsia"/>
          <w:color w:val="auto"/>
          <w:sz w:val="24"/>
          <w:szCs w:val="24"/>
          <w:highlight w:val="none"/>
          <w:lang w:val="en-US" w:eastAsia="zh-CN"/>
        </w:rPr>
        <w:t>5486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2020)</w:t>
      </w:r>
      <w:r>
        <w:rPr>
          <w:rFonts w:hint="eastAsia" w:asciiTheme="minorEastAsia" w:hAnsiTheme="minorEastAsia" w:eastAsiaTheme="minorEastAsia" w:cstheme="minorEastAsia"/>
          <w:color w:val="auto"/>
          <w:sz w:val="24"/>
          <w:szCs w:val="24"/>
          <w:highlight w:val="none"/>
          <w:lang w:eastAsia="zh-CN"/>
        </w:rPr>
        <w:t>；</w:t>
      </w:r>
    </w:p>
    <w:p w14:paraId="25605B71">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（5）《架空输电线路荷载规范》(DLT 5551-2018)；</w:t>
      </w:r>
    </w:p>
    <w:p w14:paraId="6442F54D">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）《架空输电线路基础设计技术规程》</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DL/T 5219-20</w:t>
      </w:r>
      <w:r>
        <w:rPr>
          <w:rFonts w:hint="eastAsia" w:asciiTheme="minorEastAsia" w:hAnsiTheme="minorEastAsia" w:eastAsiaTheme="minorEastAsia" w:cstheme="minorEastAsia"/>
          <w:color w:val="auto"/>
          <w:sz w:val="24"/>
          <w:szCs w:val="24"/>
          <w:highlight w:val="none"/>
          <w:lang w:val="en-US" w:eastAsia="zh-CN"/>
        </w:rPr>
        <w:t>23)</w:t>
      </w:r>
      <w:r>
        <w:rPr>
          <w:rFonts w:hint="eastAsia" w:asciiTheme="minorEastAsia" w:hAnsiTheme="minorEastAsia" w:eastAsiaTheme="minorEastAsia" w:cstheme="minorEastAsia"/>
          <w:color w:val="auto"/>
          <w:sz w:val="24"/>
          <w:szCs w:val="24"/>
          <w:highlight w:val="none"/>
          <w:lang w:eastAsia="zh-CN"/>
        </w:rPr>
        <w:t>；</w:t>
      </w:r>
    </w:p>
    <w:p w14:paraId="58AE91ED">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eastAsia="zh-CN"/>
        </w:rPr>
        <w:t>）《交流电气装置的接地设计规范》</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GB50065-2011</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p>
    <w:p w14:paraId="3E7CD314">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（8）《多雷区110kV～500kV交流同塔多回输电线路防雷技术导则》</w:t>
      </w:r>
      <w:r>
        <w:rPr>
          <w:rFonts w:hint="eastAsia" w:asciiTheme="minorEastAsia" w:hAnsiTheme="minorEastAsia" w:eastAsiaTheme="minorEastAsia" w:cstheme="minorEastAsia"/>
          <w:color w:val="auto"/>
          <w:sz w:val="24"/>
          <w:szCs w:val="24"/>
          <w:highlight w:val="none"/>
          <w:lang w:eastAsia="zh-CN"/>
        </w:rPr>
        <w:t>（DL/T 1784-2017）；</w:t>
      </w:r>
    </w:p>
    <w:p w14:paraId="04519DB3">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（9）《数字输电线路装备技术导则》(办生技函〔2022〕9号附件16)；</w:t>
      </w:r>
    </w:p>
    <w:p w14:paraId="574A03B5">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（10）中国南方电网公司《35kV～500kV输电线路杆塔标准设计-V2.1版》；</w:t>
      </w:r>
    </w:p>
    <w:p w14:paraId="6FCD334A">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关于印发生产设备品类清单(2022版)的通知</w:t>
      </w:r>
      <w:r>
        <w:rPr>
          <w:rFonts w:hint="eastAsia" w:asciiTheme="minorEastAsia" w:hAnsiTheme="minorEastAsia" w:eastAsiaTheme="minorEastAsia" w:cstheme="minorEastAsia"/>
          <w:color w:val="auto"/>
          <w:sz w:val="24"/>
          <w:szCs w:val="24"/>
          <w:highlight w:val="none"/>
          <w:lang w:eastAsia="zh-CN"/>
        </w:rPr>
        <w:t>》；</w:t>
      </w:r>
    </w:p>
    <w:p w14:paraId="5B2AC686">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（12）《南方电网污区分布图》(2021版)；</w:t>
      </w:r>
    </w:p>
    <w:p w14:paraId="15C09E48">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（13）《南方电网冰区分布图》(2022版)；</w:t>
      </w:r>
    </w:p>
    <w:p w14:paraId="3ECAE25F">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（14）南方电网公司反事故措施(2022版)；</w:t>
      </w:r>
    </w:p>
    <w:p w14:paraId="2E610E94">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（15）《架空输电线路防雷技术导则》</w:t>
      </w:r>
      <w:bookmarkStart w:id="239" w:name="docnum"/>
      <w:r>
        <w:rPr>
          <w:rFonts w:hint="eastAsia" w:asciiTheme="minorEastAsia" w:hAnsiTheme="minorEastAsia" w:eastAsiaTheme="minorEastAsia" w:cstheme="minorEastAsia"/>
          <w:color w:val="auto"/>
          <w:sz w:val="24"/>
          <w:szCs w:val="24"/>
          <w:highlight w:val="none"/>
          <w:lang w:val="en-US" w:eastAsia="zh-CN"/>
        </w:rPr>
        <w:t>(</w:t>
      </w:r>
      <w:bookmarkEnd w:id="239"/>
      <w:r>
        <w:rPr>
          <w:rFonts w:hint="eastAsia" w:asciiTheme="minorEastAsia" w:hAnsiTheme="minorEastAsia" w:eastAsiaTheme="minorEastAsia" w:cstheme="minorEastAsia"/>
          <w:color w:val="auto"/>
          <w:sz w:val="24"/>
          <w:szCs w:val="24"/>
          <w:highlight w:val="none"/>
          <w:lang w:val="en-US" w:eastAsia="zh-CN"/>
        </w:rPr>
        <w:t>Q CSG1107002-2018)；</w:t>
      </w:r>
    </w:p>
    <w:p w14:paraId="3EDB190B">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（16）《输电线路树障防控工作导则》(2022版)；</w:t>
      </w:r>
    </w:p>
    <w:p w14:paraId="2106B6EA">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（17）《关于印发广东电网有限责任公司输电线路悬式绝缘子选型导则的通知》(广电生[2016]114号)；</w:t>
      </w:r>
    </w:p>
    <w:p w14:paraId="3F0122F4">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（18）广东电网有限责任公司逆向物资管理实施细则(</w:t>
      </w:r>
      <w:r>
        <w:rPr>
          <w:rFonts w:hint="eastAsia" w:asciiTheme="minorEastAsia" w:hAnsiTheme="minorEastAsia" w:eastAsiaTheme="minorEastAsia" w:cstheme="minorEastAsia"/>
          <w:color w:val="auto"/>
          <w:sz w:val="24"/>
          <w:szCs w:val="24"/>
          <w:highlight w:val="none"/>
          <w:lang w:val="en-GB" w:eastAsia="zh-CN"/>
        </w:rPr>
        <w:t>Q/CSG-GPG 2 17 006-2018</w:t>
      </w:r>
      <w:r>
        <w:rPr>
          <w:rFonts w:hint="eastAsia" w:asciiTheme="minorEastAsia" w:hAnsiTheme="minorEastAsia" w:eastAsiaTheme="minorEastAsia" w:cstheme="minorEastAsia"/>
          <w:color w:val="auto"/>
          <w:sz w:val="24"/>
          <w:szCs w:val="24"/>
          <w:highlight w:val="none"/>
          <w:lang w:val="en-US" w:eastAsia="zh-CN"/>
        </w:rPr>
        <w:t>)；</w:t>
      </w:r>
    </w:p>
    <w:p w14:paraId="60F16EEE">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19</w:t>
      </w:r>
      <w:r>
        <w:rPr>
          <w:rFonts w:hint="eastAsia" w:asciiTheme="minorEastAsia" w:hAnsiTheme="minorEastAsia" w:eastAsiaTheme="minorEastAsia" w:cstheme="minorEastAsia"/>
          <w:color w:val="auto"/>
          <w:sz w:val="24"/>
          <w:szCs w:val="24"/>
          <w:highlight w:val="none"/>
          <w:lang w:eastAsia="zh-CN"/>
        </w:rPr>
        <w:t>）国家和电力行业相关的技术标准规程和规范文本；</w:t>
      </w:r>
    </w:p>
    <w:p w14:paraId="079D93D5">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lang w:eastAsia="zh-CN"/>
        </w:rPr>
        <w:t>）供电部门确定的供电方案；</w:t>
      </w:r>
    </w:p>
    <w:p w14:paraId="30688E8B">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21</w:t>
      </w:r>
      <w:r>
        <w:rPr>
          <w:rFonts w:hint="eastAsia" w:asciiTheme="minorEastAsia" w:hAnsiTheme="minorEastAsia" w:eastAsiaTheme="minorEastAsia" w:cstheme="minorEastAsia"/>
          <w:color w:val="auto"/>
          <w:sz w:val="24"/>
          <w:szCs w:val="24"/>
          <w:highlight w:val="none"/>
          <w:lang w:eastAsia="zh-CN"/>
        </w:rPr>
        <w:t>）用户（业主）的具体要求；</w:t>
      </w:r>
    </w:p>
    <w:p w14:paraId="06AEA041">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xml:space="preserve">其它有关的规范和标准。   </w:t>
      </w:r>
    </w:p>
    <w:p w14:paraId="1BFC66E1">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t xml:space="preserve"> 输变电工程通用主要技术规范（但不限于）如下：</w:t>
      </w:r>
    </w:p>
    <w:p w14:paraId="59A2A4AC">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（1）《南方电网标准设计》(中国南方电网)</w:t>
      </w:r>
    </w:p>
    <w:p w14:paraId="111361DB">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（2）《南方电网基建工程质量控制作业标准（WHS）》(中国南方电网)</w:t>
      </w:r>
    </w:p>
    <w:p w14:paraId="52343C46">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（3）《南方电网施工作业指导书》(中国南方电网)</w:t>
      </w:r>
    </w:p>
    <w:p w14:paraId="5DADD6C0">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（4）《南方电网质量验收评定标准》(中国南方电网)</w:t>
      </w:r>
    </w:p>
    <w:p w14:paraId="4CAF3046">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（5）《电力建设安全工作规范》  DL/T5009.2-94</w:t>
      </w:r>
    </w:p>
    <w:p w14:paraId="48AF6B70">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（6）《建设工程文件归档整理规范》 GB/T50328-2001</w:t>
      </w:r>
    </w:p>
    <w:p w14:paraId="54EAD777">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（7）《电气装置安装工程接地装置施工及验收规范》 GB50169-2006</w:t>
      </w:r>
    </w:p>
    <w:p w14:paraId="749C65F5">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强制性条文规范(包括但不限于)如下：</w:t>
      </w:r>
    </w:p>
    <w:p w14:paraId="281723C0">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本项目工程严格执行国家和电力行业现行的强制性条文，且应为其最新版本，包括但不限于如下内容：</w:t>
      </w:r>
    </w:p>
    <w:p w14:paraId="66524E36">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（1）《实施工程建设强制性标准监督规定》（建设部 81 号令）</w:t>
      </w:r>
    </w:p>
    <w:p w14:paraId="73F60D0C">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）《工程建设标准强制性条文》（电力工程部分）（2006版）</w:t>
      </w:r>
    </w:p>
    <w:p w14:paraId="26699061">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）《工程建设标准强制性条文》（房屋建筑部分）（2009版）</w:t>
      </w:r>
    </w:p>
    <w:p w14:paraId="708C3000">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）《基建工程强制性条文实施办法》（南网各分、子公司）</w:t>
      </w:r>
    </w:p>
    <w:p w14:paraId="516519B4">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）电网建设工程执行强制性条文涉及的其它法律、法规、规程、规范及技术标准。</w:t>
      </w:r>
    </w:p>
    <w:p w14:paraId="20F18AB8">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以上所列的主要技术标准和规范，如未能达到国际和国内最新标准时，投标方应使工程的施工及选用的设备和材料符合最近的国际、国内标准，并提供采用的标准、规范和所应用的最新版本的有关技术依据资料。</w:t>
      </w:r>
    </w:p>
    <w:p w14:paraId="08AA72CB">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4D1FBE46">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4．备查要求</w:t>
      </w:r>
    </w:p>
    <w:p w14:paraId="5A16F764">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r>
        <w:rPr>
          <w:rFonts w:hint="eastAsia" w:asciiTheme="minorEastAsia" w:hAnsiTheme="minorEastAsia" w:eastAsiaTheme="minorEastAsia" w:cstheme="minorEastAsia"/>
          <w:color w:val="auto"/>
          <w:sz w:val="24"/>
          <w:szCs w:val="24"/>
          <w:highlight w:val="none"/>
        </w:rPr>
        <w:t>承包人必须在施工现场准备至少一套上述规范，发包人和监理单位可随时检查承包人的上述规范，并监督承包人按规范要求执行。</w:t>
      </w:r>
    </w:p>
    <w:p w14:paraId="038C9FF5">
      <w:pPr>
        <w:pStyle w:val="3"/>
        <w:numPr>
          <w:ilvl w:val="0"/>
          <w:numId w:val="0"/>
        </w:numPr>
        <w:jc w:val="center"/>
        <w:rPr>
          <w:rFonts w:hint="eastAsia" w:asciiTheme="minorEastAsia" w:hAnsiTheme="minorEastAsia" w:eastAsiaTheme="minorEastAsia" w:cstheme="minorEastAsia"/>
          <w:b/>
          <w:color w:val="auto"/>
          <w:kern w:val="44"/>
          <w:sz w:val="36"/>
          <w:szCs w:val="36"/>
          <w:highlight w:val="none"/>
          <w:lang w:val="en-US" w:eastAsia="zh-CN" w:bidi="ar-SA"/>
        </w:rPr>
      </w:pPr>
      <w:bookmarkStart w:id="240" w:name="_Toc30186"/>
      <w:bookmarkStart w:id="241" w:name="_Toc25914"/>
      <w:bookmarkStart w:id="242" w:name="_Toc28010"/>
      <w:bookmarkStart w:id="243" w:name="_Toc1386"/>
      <w:bookmarkStart w:id="244" w:name="_Toc105"/>
      <w:bookmarkStart w:id="245" w:name="_Toc25340"/>
      <w:bookmarkStart w:id="246" w:name="_Toc466640613"/>
      <w:bookmarkStart w:id="247" w:name="_Toc27104"/>
      <w:bookmarkStart w:id="248" w:name="_Toc3771"/>
      <w:bookmarkStart w:id="249" w:name="_Toc10009"/>
      <w:r>
        <w:rPr>
          <w:rFonts w:hint="eastAsia" w:asciiTheme="minorEastAsia" w:hAnsiTheme="minorEastAsia" w:eastAsiaTheme="minorEastAsia" w:cstheme="minorEastAsia"/>
          <w:b/>
          <w:color w:val="auto"/>
          <w:kern w:val="44"/>
          <w:sz w:val="36"/>
          <w:szCs w:val="36"/>
          <w:highlight w:val="none"/>
          <w:lang w:val="en-US" w:eastAsia="zh-CN" w:bidi="ar-SA"/>
        </w:rPr>
        <w:t>第五章</w:t>
      </w:r>
      <w:bookmarkEnd w:id="240"/>
      <w:bookmarkEnd w:id="241"/>
      <w:bookmarkEnd w:id="242"/>
      <w:bookmarkEnd w:id="243"/>
      <w:bookmarkEnd w:id="244"/>
      <w:bookmarkEnd w:id="245"/>
      <w:bookmarkEnd w:id="246"/>
      <w:bookmarkEnd w:id="247"/>
      <w:bookmarkEnd w:id="248"/>
      <w:bookmarkStart w:id="250" w:name="_Hlt69698785"/>
      <w:r>
        <w:rPr>
          <w:rFonts w:hint="eastAsia" w:asciiTheme="minorEastAsia" w:hAnsiTheme="minorEastAsia" w:eastAsiaTheme="minorEastAsia" w:cstheme="minorEastAsia"/>
          <w:b/>
          <w:color w:val="auto"/>
          <w:kern w:val="44"/>
          <w:sz w:val="36"/>
          <w:szCs w:val="36"/>
          <w:highlight w:val="none"/>
          <w:lang w:val="en-US" w:eastAsia="zh-CN" w:bidi="ar-SA"/>
        </w:rPr>
        <w:t xml:space="preserve">  招标文件</w:t>
      </w:r>
      <w:bookmarkStart w:id="251" w:name="_Hlt75747044"/>
      <w:bookmarkEnd w:id="251"/>
      <w:r>
        <w:rPr>
          <w:rFonts w:hint="eastAsia" w:asciiTheme="minorEastAsia" w:hAnsiTheme="minorEastAsia" w:eastAsiaTheme="minorEastAsia" w:cstheme="minorEastAsia"/>
          <w:b/>
          <w:color w:val="auto"/>
          <w:kern w:val="44"/>
          <w:sz w:val="36"/>
          <w:szCs w:val="36"/>
          <w:highlight w:val="none"/>
          <w:lang w:val="en-US" w:eastAsia="zh-CN" w:bidi="ar-SA"/>
        </w:rPr>
        <w:t>的附件</w:t>
      </w:r>
      <w:bookmarkEnd w:id="249"/>
    </w:p>
    <w:p w14:paraId="4A95ED06">
      <w:pPr>
        <w:rPr>
          <w:rFonts w:hint="eastAsia" w:asciiTheme="minorEastAsia" w:hAnsiTheme="minorEastAsia" w:eastAsiaTheme="minorEastAsia" w:cstheme="minorEastAsia"/>
          <w:color w:val="auto"/>
          <w:highlight w:val="none"/>
        </w:rPr>
      </w:pPr>
    </w:p>
    <w:bookmarkEnd w:id="250"/>
    <w:p w14:paraId="6B791048">
      <w:pPr>
        <w:pStyle w:val="4"/>
        <w:spacing w:before="120"/>
        <w:rPr>
          <w:rFonts w:hint="eastAsia" w:asciiTheme="minorEastAsia" w:hAnsiTheme="minorEastAsia" w:eastAsiaTheme="minorEastAsia" w:cstheme="minorEastAsia"/>
          <w:b/>
          <w:snapToGrid w:val="0"/>
          <w:color w:val="auto"/>
          <w:szCs w:val="24"/>
          <w:highlight w:val="none"/>
        </w:rPr>
      </w:pPr>
      <w:bookmarkStart w:id="252" w:name="_附件五：综合评审合理低价法"/>
      <w:bookmarkEnd w:id="252"/>
      <w:bookmarkStart w:id="253" w:name="_附件一：投标函"/>
      <w:bookmarkEnd w:id="253"/>
      <w:bookmarkStart w:id="254" w:name="_附件二：近三年度主要施工项目（竣工及在建）一览表"/>
      <w:bookmarkEnd w:id="254"/>
      <w:bookmarkStart w:id="255" w:name="_附件一：对招标文件条款自愿接受承诺书"/>
      <w:bookmarkEnd w:id="255"/>
      <w:bookmarkStart w:id="256" w:name="_附件四：工期承诺书"/>
      <w:bookmarkEnd w:id="256"/>
      <w:bookmarkStart w:id="257" w:name="_附件二：工期承诺书"/>
      <w:bookmarkEnd w:id="257"/>
      <w:bookmarkStart w:id="258" w:name="_Toc12527"/>
      <w:bookmarkStart w:id="259" w:name="_Toc3855"/>
      <w:bookmarkStart w:id="260" w:name="_Toc39136360"/>
      <w:bookmarkStart w:id="261" w:name="_Toc2902"/>
      <w:bookmarkStart w:id="262" w:name="_Toc12406"/>
      <w:bookmarkStart w:id="263" w:name="_Toc2910"/>
      <w:bookmarkStart w:id="264" w:name="_Toc133160683"/>
      <w:bookmarkStart w:id="265" w:name="_Toc132687128"/>
      <w:bookmarkStart w:id="266" w:name="_Toc137444778"/>
      <w:bookmarkStart w:id="267" w:name="_Toc142468134"/>
      <w:bookmarkStart w:id="268" w:name="_Toc133815902"/>
      <w:bookmarkStart w:id="269" w:name="_Toc78794873"/>
      <w:r>
        <w:rPr>
          <w:rFonts w:hint="eastAsia" w:asciiTheme="minorEastAsia" w:hAnsiTheme="minorEastAsia" w:eastAsiaTheme="minorEastAsia" w:cstheme="minorEastAsia"/>
          <w:b/>
          <w:snapToGrid w:val="0"/>
          <w:color w:val="auto"/>
          <w:szCs w:val="24"/>
          <w:highlight w:val="none"/>
        </w:rPr>
        <w:t>格式一 封面</w:t>
      </w:r>
      <w:bookmarkEnd w:id="258"/>
      <w:bookmarkEnd w:id="259"/>
      <w:bookmarkEnd w:id="260"/>
      <w:bookmarkEnd w:id="261"/>
      <w:bookmarkEnd w:id="262"/>
      <w:bookmarkEnd w:id="263"/>
    </w:p>
    <w:p w14:paraId="030A93A5">
      <w:pPr>
        <w:pStyle w:val="45"/>
        <w:widowControl w:val="0"/>
        <w:wordWrap w:val="0"/>
        <w:adjustRightInd w:val="0"/>
        <w:snapToGrid w:val="0"/>
        <w:rPr>
          <w:rFonts w:hint="eastAsia" w:asciiTheme="minorEastAsia" w:hAnsiTheme="minorEastAsia" w:eastAsiaTheme="minorEastAsia" w:cstheme="minorEastAsia"/>
          <w:b/>
          <w:snapToGrid w:val="0"/>
          <w:color w:val="auto"/>
          <w:sz w:val="24"/>
          <w:szCs w:val="24"/>
          <w:highlight w:val="none"/>
        </w:rPr>
      </w:pPr>
    </w:p>
    <w:p w14:paraId="72A2E5A9">
      <w:pPr>
        <w:pStyle w:val="45"/>
        <w:widowControl w:val="0"/>
        <w:wordWrap w:val="0"/>
        <w:adjustRightInd w:val="0"/>
        <w:snapToGrid w:val="0"/>
        <w:jc w:val="right"/>
        <w:rPr>
          <w:rFonts w:hint="eastAsia" w:asciiTheme="minorEastAsia" w:hAnsiTheme="minorEastAsia" w:eastAsiaTheme="minorEastAsia" w:cstheme="minorEastAsia"/>
          <w:b/>
          <w:snapToGrid w:val="0"/>
          <w:color w:val="auto"/>
          <w:sz w:val="24"/>
          <w:szCs w:val="24"/>
          <w:highlight w:val="none"/>
        </w:rPr>
      </w:pPr>
    </w:p>
    <w:p w14:paraId="0EC80787">
      <w:pPr>
        <w:pStyle w:val="45"/>
        <w:widowControl w:val="0"/>
        <w:wordWrap w:val="0"/>
        <w:adjustRightInd w:val="0"/>
        <w:snapToGrid w:val="0"/>
        <w:rPr>
          <w:rFonts w:hint="eastAsia" w:asciiTheme="minorEastAsia" w:hAnsiTheme="minorEastAsia" w:eastAsiaTheme="minorEastAsia" w:cstheme="minorEastAsia"/>
          <w:b/>
          <w:snapToGrid w:val="0"/>
          <w:color w:val="auto"/>
          <w:sz w:val="24"/>
          <w:szCs w:val="24"/>
          <w:highlight w:val="none"/>
        </w:rPr>
      </w:pPr>
    </w:p>
    <w:p w14:paraId="54449920">
      <w:pPr>
        <w:pStyle w:val="45"/>
        <w:widowControl w:val="0"/>
        <w:wordWrap w:val="0"/>
        <w:adjustRightInd w:val="0"/>
        <w:snapToGrid w:val="0"/>
        <w:ind w:firstLine="0"/>
        <w:rPr>
          <w:rFonts w:hint="eastAsia" w:asciiTheme="minorEastAsia" w:hAnsiTheme="minorEastAsia" w:eastAsiaTheme="minorEastAsia" w:cstheme="minorEastAsia"/>
          <w:b/>
          <w:snapToGrid w:val="0"/>
          <w:color w:val="auto"/>
          <w:sz w:val="24"/>
          <w:highlight w:val="none"/>
        </w:rPr>
      </w:pPr>
      <w:bookmarkStart w:id="270" w:name="_附件十：单项工程费汇总表"/>
      <w:bookmarkEnd w:id="270"/>
      <w:bookmarkStart w:id="271" w:name="_Hlt68774664"/>
      <w:bookmarkEnd w:id="271"/>
      <w:bookmarkStart w:id="272" w:name="_Hlt69116778"/>
      <w:bookmarkEnd w:id="272"/>
      <w:bookmarkStart w:id="273" w:name="_附件二十四：技术标提问单"/>
      <w:bookmarkEnd w:id="273"/>
      <w:bookmarkStart w:id="274" w:name="_附件二十五：综合评审合理低价法"/>
      <w:bookmarkEnd w:id="274"/>
      <w:bookmarkStart w:id="275" w:name="_Toc39136361"/>
      <w:bookmarkStart w:id="276" w:name="_Toc26795"/>
      <w:bookmarkStart w:id="277" w:name="_Toc15791"/>
      <w:bookmarkStart w:id="278" w:name="_Toc28483"/>
      <w:bookmarkStart w:id="279" w:name="_Toc5872"/>
      <w:bookmarkStart w:id="280" w:name="_Toc104711098"/>
      <w:bookmarkStart w:id="281" w:name="_Toc66849200"/>
      <w:bookmarkStart w:id="282" w:name="_Toc466640620"/>
      <w:bookmarkStart w:id="283" w:name="_Hlt66847557"/>
      <w:bookmarkStart w:id="284" w:name="_Toc106418843"/>
    </w:p>
    <w:p w14:paraId="4B19C0AC">
      <w:pPr>
        <w:pStyle w:val="45"/>
        <w:widowControl w:val="0"/>
        <w:wordWrap w:val="0"/>
        <w:adjustRightInd w:val="0"/>
        <w:snapToGrid w:val="0"/>
        <w:rPr>
          <w:rFonts w:hint="eastAsia" w:asciiTheme="minorEastAsia" w:hAnsiTheme="minorEastAsia" w:eastAsiaTheme="minorEastAsia" w:cstheme="minorEastAsia"/>
          <w:b/>
          <w:snapToGrid w:val="0"/>
          <w:color w:val="auto"/>
          <w:sz w:val="24"/>
          <w:highlight w:val="none"/>
        </w:rPr>
      </w:pPr>
    </w:p>
    <w:p w14:paraId="08125D80">
      <w:pPr>
        <w:pStyle w:val="45"/>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48"/>
          <w:szCs w:val="48"/>
          <w:highlight w:val="none"/>
        </w:rPr>
      </w:pPr>
      <w:r>
        <w:rPr>
          <w:rFonts w:hint="eastAsia" w:asciiTheme="minorEastAsia" w:hAnsiTheme="minorEastAsia" w:eastAsiaTheme="minorEastAsia" w:cstheme="minorEastAsia"/>
          <w:b/>
          <w:snapToGrid w:val="0"/>
          <w:color w:val="auto"/>
          <w:sz w:val="48"/>
          <w:szCs w:val="48"/>
          <w:highlight w:val="none"/>
          <w:u w:val="single"/>
        </w:rPr>
        <w:t xml:space="preserve">（项目名称）   </w:t>
      </w:r>
      <w:r>
        <w:rPr>
          <w:rFonts w:hint="eastAsia" w:asciiTheme="minorEastAsia" w:hAnsiTheme="minorEastAsia" w:eastAsiaTheme="minorEastAsia" w:cstheme="minorEastAsia"/>
          <w:b/>
          <w:snapToGrid w:val="0"/>
          <w:color w:val="auto"/>
          <w:sz w:val="48"/>
          <w:szCs w:val="48"/>
          <w:highlight w:val="none"/>
        </w:rPr>
        <w:t>招标</w:t>
      </w:r>
    </w:p>
    <w:p w14:paraId="697902E4">
      <w:pPr>
        <w:pStyle w:val="45"/>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13EB6BA1">
      <w:pPr>
        <w:pStyle w:val="45"/>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261C1BF8">
      <w:pPr>
        <w:pStyle w:val="45"/>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17873289">
      <w:pPr>
        <w:pStyle w:val="45"/>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6D54B3F8">
      <w:pPr>
        <w:pStyle w:val="45"/>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72"/>
          <w:highlight w:val="none"/>
        </w:rPr>
      </w:pPr>
      <w:r>
        <w:rPr>
          <w:rFonts w:hint="eastAsia" w:asciiTheme="minorEastAsia" w:hAnsiTheme="minorEastAsia" w:eastAsiaTheme="minorEastAsia" w:cstheme="minorEastAsia"/>
          <w:b/>
          <w:snapToGrid w:val="0"/>
          <w:color w:val="auto"/>
          <w:sz w:val="72"/>
          <w:highlight w:val="none"/>
        </w:rPr>
        <w:t>投  标  文  件</w:t>
      </w:r>
    </w:p>
    <w:p w14:paraId="4FE88A2B">
      <w:pPr>
        <w:pStyle w:val="45"/>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4473EABC">
      <w:pPr>
        <w:pStyle w:val="45"/>
        <w:widowControl w:val="0"/>
        <w:wordWrap w:val="0"/>
        <w:adjustRightInd w:val="0"/>
        <w:snapToGrid w:val="0"/>
        <w:ind w:firstLine="0"/>
        <w:rPr>
          <w:rFonts w:hint="eastAsia" w:asciiTheme="minorEastAsia" w:hAnsiTheme="minorEastAsia" w:eastAsiaTheme="minorEastAsia" w:cstheme="minorEastAsia"/>
          <w:b/>
          <w:snapToGrid w:val="0"/>
          <w:color w:val="auto"/>
          <w:sz w:val="32"/>
          <w:highlight w:val="none"/>
        </w:rPr>
      </w:pPr>
    </w:p>
    <w:p w14:paraId="6A8BAD44">
      <w:pPr>
        <w:pStyle w:val="45"/>
        <w:widowControl w:val="0"/>
        <w:wordWrap w:val="0"/>
        <w:adjustRightInd w:val="0"/>
        <w:snapToGrid w:val="0"/>
        <w:ind w:firstLine="0"/>
        <w:rPr>
          <w:rFonts w:hint="eastAsia" w:asciiTheme="minorEastAsia" w:hAnsiTheme="minorEastAsia" w:eastAsiaTheme="minorEastAsia" w:cstheme="minorEastAsia"/>
          <w:b/>
          <w:snapToGrid w:val="0"/>
          <w:color w:val="auto"/>
          <w:sz w:val="32"/>
          <w:highlight w:val="none"/>
        </w:rPr>
      </w:pPr>
    </w:p>
    <w:p w14:paraId="7474AD35">
      <w:pPr>
        <w:pStyle w:val="45"/>
        <w:widowControl w:val="0"/>
        <w:wordWrap w:val="0"/>
        <w:adjustRightInd w:val="0"/>
        <w:snapToGrid w:val="0"/>
        <w:rPr>
          <w:rFonts w:hint="eastAsia" w:asciiTheme="minorEastAsia" w:hAnsiTheme="minorEastAsia" w:eastAsiaTheme="minorEastAsia" w:cstheme="minorEastAsia"/>
          <w:b/>
          <w:snapToGrid w:val="0"/>
          <w:color w:val="auto"/>
          <w:sz w:val="32"/>
          <w:highlight w:val="none"/>
        </w:rPr>
      </w:pPr>
    </w:p>
    <w:p w14:paraId="15E72A75">
      <w:pPr>
        <w:pStyle w:val="45"/>
        <w:widowControl w:val="0"/>
        <w:wordWrap w:val="0"/>
        <w:adjustRightInd w:val="0"/>
        <w:snapToGrid w:val="0"/>
        <w:rPr>
          <w:rFonts w:hint="eastAsia" w:asciiTheme="minorEastAsia" w:hAnsiTheme="minorEastAsia" w:eastAsiaTheme="minorEastAsia" w:cstheme="minorEastAsia"/>
          <w:b/>
          <w:snapToGrid w:val="0"/>
          <w:color w:val="auto"/>
          <w:sz w:val="32"/>
          <w:highlight w:val="none"/>
        </w:rPr>
      </w:pPr>
    </w:p>
    <w:p w14:paraId="441C040D">
      <w:pPr>
        <w:pStyle w:val="45"/>
        <w:widowControl w:val="0"/>
        <w:wordWrap w:val="0"/>
        <w:adjustRightInd w:val="0"/>
        <w:snapToGrid w:val="0"/>
        <w:ind w:firstLine="0"/>
        <w:jc w:val="center"/>
        <w:rPr>
          <w:rFonts w:hint="eastAsia" w:hAnsi="宋体" w:eastAsia="宋体" w:cs="宋体"/>
          <w:bCs/>
          <w:snapToGrid w:val="0"/>
          <w:color w:val="auto"/>
          <w:sz w:val="32"/>
          <w:highlight w:val="none"/>
        </w:rPr>
      </w:pPr>
      <w:r>
        <w:rPr>
          <w:rFonts w:hint="eastAsia" w:hAnsi="宋体" w:eastAsia="宋体" w:cs="宋体"/>
          <w:bCs/>
          <w:snapToGrid w:val="0"/>
          <w:color w:val="auto"/>
          <w:sz w:val="32"/>
          <w:highlight w:val="none"/>
        </w:rPr>
        <w:t>投标人：</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（盖单位章）</w:t>
      </w:r>
    </w:p>
    <w:p w14:paraId="31DE89FD">
      <w:pPr>
        <w:pStyle w:val="45"/>
        <w:widowControl w:val="0"/>
        <w:wordWrap w:val="0"/>
        <w:adjustRightInd w:val="0"/>
        <w:snapToGrid w:val="0"/>
        <w:ind w:firstLine="0"/>
        <w:jc w:val="center"/>
        <w:rPr>
          <w:rFonts w:hint="eastAsia" w:hAnsi="宋体" w:eastAsia="宋体" w:cs="宋体"/>
          <w:bCs/>
          <w:snapToGrid w:val="0"/>
          <w:color w:val="auto"/>
          <w:sz w:val="32"/>
          <w:highlight w:val="none"/>
        </w:rPr>
      </w:pPr>
    </w:p>
    <w:p w14:paraId="581C4B2D">
      <w:pPr>
        <w:pStyle w:val="45"/>
        <w:widowControl w:val="0"/>
        <w:wordWrap w:val="0"/>
        <w:adjustRightInd w:val="0"/>
        <w:snapToGrid w:val="0"/>
        <w:ind w:firstLine="0"/>
        <w:jc w:val="center"/>
        <w:rPr>
          <w:rFonts w:hint="eastAsia" w:hAnsi="宋体" w:eastAsia="宋体" w:cs="宋体"/>
          <w:bCs/>
          <w:snapToGrid w:val="0"/>
          <w:color w:val="auto"/>
          <w:sz w:val="32"/>
          <w:highlight w:val="none"/>
        </w:rPr>
      </w:pPr>
    </w:p>
    <w:p w14:paraId="3EB93B5A">
      <w:pPr>
        <w:pStyle w:val="45"/>
        <w:widowControl w:val="0"/>
        <w:wordWrap w:val="0"/>
        <w:adjustRightInd w:val="0"/>
        <w:snapToGrid w:val="0"/>
        <w:ind w:firstLine="0"/>
        <w:jc w:val="center"/>
        <w:rPr>
          <w:rFonts w:hint="eastAsia" w:hAnsi="宋体" w:eastAsia="宋体" w:cs="宋体"/>
          <w:bCs/>
          <w:snapToGrid w:val="0"/>
          <w:color w:val="auto"/>
          <w:sz w:val="32"/>
          <w:highlight w:val="none"/>
        </w:rPr>
      </w:pPr>
    </w:p>
    <w:p w14:paraId="5432C732">
      <w:pPr>
        <w:pStyle w:val="45"/>
        <w:widowControl w:val="0"/>
        <w:wordWrap w:val="0"/>
        <w:adjustRightInd w:val="0"/>
        <w:snapToGrid w:val="0"/>
        <w:ind w:firstLine="0"/>
        <w:jc w:val="center"/>
        <w:rPr>
          <w:rFonts w:hint="eastAsia" w:hAnsi="宋体" w:eastAsia="宋体" w:cs="宋体"/>
          <w:bCs/>
          <w:snapToGrid w:val="0"/>
          <w:color w:val="auto"/>
          <w:sz w:val="32"/>
          <w:highlight w:val="none"/>
        </w:rPr>
      </w:pPr>
      <w:r>
        <w:rPr>
          <w:rFonts w:hint="eastAsia" w:hAnsi="宋体" w:eastAsia="宋体" w:cs="宋体"/>
          <w:bCs/>
          <w:snapToGrid w:val="0"/>
          <w:color w:val="auto"/>
          <w:sz w:val="32"/>
          <w:highlight w:val="none"/>
        </w:rPr>
        <w:t>法定代表人或其委托代理人：</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（签字或盖章）</w:t>
      </w:r>
    </w:p>
    <w:p w14:paraId="48EE7907">
      <w:pPr>
        <w:pStyle w:val="45"/>
        <w:widowControl w:val="0"/>
        <w:wordWrap w:val="0"/>
        <w:adjustRightInd w:val="0"/>
        <w:snapToGrid w:val="0"/>
        <w:ind w:firstLine="0"/>
        <w:jc w:val="center"/>
        <w:rPr>
          <w:rFonts w:hint="eastAsia" w:hAnsi="宋体" w:eastAsia="宋体" w:cs="宋体"/>
          <w:bCs/>
          <w:snapToGrid w:val="0"/>
          <w:color w:val="auto"/>
          <w:sz w:val="32"/>
          <w:highlight w:val="none"/>
        </w:rPr>
      </w:pPr>
    </w:p>
    <w:p w14:paraId="1AC0F2F5">
      <w:pPr>
        <w:pStyle w:val="45"/>
        <w:widowControl w:val="0"/>
        <w:wordWrap w:val="0"/>
        <w:adjustRightInd w:val="0"/>
        <w:snapToGrid w:val="0"/>
        <w:ind w:firstLine="0"/>
        <w:jc w:val="center"/>
        <w:rPr>
          <w:rFonts w:hint="eastAsia" w:hAnsi="宋体" w:eastAsia="宋体" w:cs="宋体"/>
          <w:bCs/>
          <w:snapToGrid w:val="0"/>
          <w:color w:val="auto"/>
          <w:sz w:val="32"/>
          <w:highlight w:val="none"/>
          <w:u w:val="single"/>
        </w:rPr>
      </w:pPr>
    </w:p>
    <w:p w14:paraId="3181043E">
      <w:pPr>
        <w:pStyle w:val="45"/>
        <w:widowControl w:val="0"/>
        <w:wordWrap w:val="0"/>
        <w:adjustRightInd w:val="0"/>
        <w:snapToGrid w:val="0"/>
        <w:ind w:firstLine="0"/>
        <w:jc w:val="center"/>
        <w:rPr>
          <w:rFonts w:hint="eastAsia" w:hAnsi="宋体" w:eastAsia="宋体" w:cs="宋体"/>
          <w:b/>
          <w:snapToGrid w:val="0"/>
          <w:color w:val="auto"/>
          <w:highlight w:val="none"/>
        </w:rPr>
      </w:pP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年</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月</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日</w:t>
      </w:r>
    </w:p>
    <w:p w14:paraId="2A76C47A">
      <w:pPr>
        <w:bidi w:val="0"/>
        <w:rPr>
          <w:rFonts w:hint="eastAsia"/>
          <w:color w:val="auto"/>
        </w:rPr>
      </w:pPr>
    </w:p>
    <w:p w14:paraId="35F92856">
      <w:pPr>
        <w:bidi w:val="0"/>
        <w:rPr>
          <w:rFonts w:hint="eastAsia"/>
          <w:color w:val="auto"/>
        </w:rPr>
      </w:pPr>
    </w:p>
    <w:p w14:paraId="40EF0DC5">
      <w:pPr>
        <w:bidi w:val="0"/>
        <w:rPr>
          <w:rFonts w:hint="eastAsia"/>
          <w:color w:val="auto"/>
        </w:rPr>
      </w:pPr>
    </w:p>
    <w:p w14:paraId="63E0BF87">
      <w:pPr>
        <w:bidi w:val="0"/>
        <w:rPr>
          <w:rFonts w:hint="eastAsia"/>
          <w:color w:val="auto"/>
        </w:rPr>
      </w:pPr>
    </w:p>
    <w:p w14:paraId="741DD0EE">
      <w:pPr>
        <w:bidi w:val="0"/>
        <w:rPr>
          <w:rFonts w:hint="eastAsia"/>
          <w:color w:val="auto"/>
        </w:rPr>
      </w:pPr>
    </w:p>
    <w:p w14:paraId="6016FA01">
      <w:pPr>
        <w:rPr>
          <w:rFonts w:hint="eastAsia" w:asciiTheme="minorEastAsia" w:hAnsiTheme="minorEastAsia" w:eastAsiaTheme="minorEastAsia" w:cstheme="minorEastAsia"/>
          <w:b/>
          <w:bCs/>
          <w:color w:val="auto"/>
          <w:szCs w:val="24"/>
          <w:highlight w:val="none"/>
        </w:rPr>
      </w:pPr>
      <w:bookmarkStart w:id="285" w:name="_Toc8176"/>
      <w:r>
        <w:rPr>
          <w:rFonts w:hint="eastAsia" w:asciiTheme="minorEastAsia" w:hAnsiTheme="minorEastAsia" w:eastAsiaTheme="minorEastAsia" w:cstheme="minorEastAsia"/>
          <w:b/>
          <w:bCs/>
          <w:color w:val="auto"/>
          <w:szCs w:val="24"/>
          <w:highlight w:val="none"/>
        </w:rPr>
        <w:br w:type="page"/>
      </w:r>
    </w:p>
    <w:p w14:paraId="69FC3B2D">
      <w:pPr>
        <w:pStyle w:val="4"/>
        <w:spacing w:before="1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 xml:space="preserve">格式二 </w:t>
      </w:r>
      <w:bookmarkEnd w:id="275"/>
      <w:bookmarkEnd w:id="276"/>
      <w:bookmarkEnd w:id="277"/>
      <w:r>
        <w:rPr>
          <w:rFonts w:hint="eastAsia" w:asciiTheme="minorEastAsia" w:hAnsiTheme="minorEastAsia" w:eastAsiaTheme="minorEastAsia" w:cstheme="minorEastAsia"/>
          <w:b/>
          <w:bCs/>
          <w:color w:val="auto"/>
          <w:szCs w:val="24"/>
          <w:highlight w:val="none"/>
        </w:rPr>
        <w:t>《投标函》及《工程项目总价表》</w:t>
      </w:r>
      <w:bookmarkEnd w:id="278"/>
      <w:bookmarkEnd w:id="279"/>
      <w:bookmarkEnd w:id="285"/>
    </w:p>
    <w:p w14:paraId="4F8AD883">
      <w:pPr>
        <w:pStyle w:val="5"/>
        <w:keepNext w:val="0"/>
        <w:keepLines w:val="0"/>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auto"/>
          <w:szCs w:val="24"/>
          <w:highlight w:val="none"/>
        </w:rPr>
      </w:pPr>
      <w:bookmarkStart w:id="286" w:name="_Toc29375"/>
      <w:bookmarkStart w:id="287" w:name="_Toc28636"/>
      <w:bookmarkStart w:id="288" w:name="_Toc29769"/>
      <w:bookmarkStart w:id="289" w:name="_Toc28044"/>
      <w:bookmarkStart w:id="290" w:name="_Toc10604"/>
      <w:bookmarkStart w:id="291" w:name="_Toc18294"/>
      <w:bookmarkStart w:id="292" w:name="_Toc27121"/>
      <w:bookmarkStart w:id="293" w:name="_Toc8657"/>
      <w:bookmarkStart w:id="294" w:name="_Toc21577"/>
      <w:bookmarkStart w:id="295" w:name="_Toc39136362"/>
      <w:bookmarkStart w:id="296" w:name="_Toc25066"/>
      <w:bookmarkStart w:id="297" w:name="_Toc9280"/>
      <w:r>
        <w:rPr>
          <w:rFonts w:hint="eastAsia" w:asciiTheme="minorEastAsia" w:hAnsiTheme="minorEastAsia" w:eastAsiaTheme="minorEastAsia" w:cstheme="minorEastAsia"/>
          <w:snapToGrid w:val="0"/>
          <w:color w:val="auto"/>
          <w:szCs w:val="24"/>
          <w:highlight w:val="none"/>
        </w:rPr>
        <w:t>投  标  函</w:t>
      </w:r>
      <w:bookmarkEnd w:id="286"/>
      <w:bookmarkEnd w:id="287"/>
      <w:bookmarkEnd w:id="288"/>
      <w:bookmarkEnd w:id="289"/>
      <w:bookmarkEnd w:id="290"/>
      <w:bookmarkEnd w:id="291"/>
      <w:bookmarkEnd w:id="292"/>
      <w:bookmarkEnd w:id="293"/>
      <w:bookmarkEnd w:id="294"/>
      <w:bookmarkEnd w:id="295"/>
      <w:bookmarkEnd w:id="296"/>
      <w:bookmarkEnd w:id="297"/>
    </w:p>
    <w:p w14:paraId="0C365AD6">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0FB31121">
      <w:pPr>
        <w:wordWrap w:val="0"/>
        <w:adjustRightInd w:val="0"/>
        <w:snapToGrid w:val="0"/>
        <w:spacing w:line="440" w:lineRule="exact"/>
        <w:rPr>
          <w:rFonts w:hint="eastAsia"/>
          <w:color w:val="auto"/>
          <w:highlight w:val="none"/>
        </w:rPr>
      </w:pPr>
      <w:r>
        <w:rPr>
          <w:rFonts w:hint="eastAsia" w:asciiTheme="minorEastAsia" w:hAnsiTheme="minorEastAsia" w:eastAsiaTheme="minorEastAsia" w:cstheme="minorEastAsia"/>
          <w:snapToGrid w:val="0"/>
          <w:color w:val="auto"/>
          <w:kern w:val="0"/>
          <w:szCs w:val="24"/>
          <w:highlight w:val="none"/>
        </w:rPr>
        <w:t>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（招标人名称）</w:t>
      </w:r>
    </w:p>
    <w:p w14:paraId="7AAE9371">
      <w:pPr>
        <w:wordWrap w:val="0"/>
        <w:adjustRightInd w:val="0"/>
        <w:snapToGrid w:val="0"/>
        <w:spacing w:line="440" w:lineRule="exact"/>
        <w:ind w:firstLine="57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1.在研</w:t>
      </w:r>
      <w:r>
        <w:rPr>
          <w:rFonts w:hint="eastAsia" w:asciiTheme="minorEastAsia" w:hAnsiTheme="minorEastAsia" w:eastAsiaTheme="minorEastAsia" w:cstheme="minorEastAsia"/>
          <w:color w:val="auto"/>
          <w:szCs w:val="22"/>
          <w:highlight w:val="none"/>
          <w:u w:val="single"/>
        </w:rPr>
        <w:t xml:space="preserve">究        （项目名称）        </w:t>
      </w:r>
      <w:r>
        <w:rPr>
          <w:rFonts w:hint="eastAsia" w:asciiTheme="minorEastAsia" w:hAnsiTheme="minorEastAsia" w:eastAsiaTheme="minorEastAsia" w:cstheme="minorEastAsia"/>
          <w:color w:val="auto"/>
          <w:szCs w:val="22"/>
          <w:highlight w:val="none"/>
        </w:rPr>
        <w:t>招标文件和其它相关文件，并对现场进行深入了解后，我方（即文末签名人），考虑了本企业的实力和特点，愿意接受招标文件的全部内容和条件，兹以投标总价</w:t>
      </w:r>
      <w:r>
        <w:rPr>
          <w:rFonts w:hint="eastAsia" w:asciiTheme="minorEastAsia" w:hAnsiTheme="minorEastAsia" w:eastAsiaTheme="minorEastAsia" w:cstheme="minorEastAsia"/>
          <w:color w:val="auto"/>
          <w:szCs w:val="22"/>
          <w:highlight w:val="none"/>
          <w:lang w:eastAsia="zh-CN"/>
        </w:rPr>
        <w:t>（</w:t>
      </w:r>
      <w:r>
        <w:rPr>
          <w:rFonts w:hint="eastAsia" w:asciiTheme="minorEastAsia" w:hAnsiTheme="minorEastAsia" w:eastAsiaTheme="minorEastAsia" w:cstheme="minorEastAsia"/>
          <w:color w:val="auto"/>
          <w:szCs w:val="22"/>
          <w:highlight w:val="none"/>
          <w:lang w:val="en-US" w:eastAsia="zh-CN"/>
        </w:rPr>
        <w:t>大写）</w:t>
      </w:r>
      <w:r>
        <w:rPr>
          <w:rFonts w:hint="eastAsia" w:asciiTheme="minorEastAsia" w:hAnsiTheme="minorEastAsia" w:eastAsiaTheme="minorEastAsia" w:cstheme="minorEastAsia"/>
          <w:color w:val="auto"/>
          <w:szCs w:val="22"/>
          <w:highlight w:val="none"/>
          <w:u w:val="single"/>
          <w:lang w:val="en-US" w:eastAsia="zh-CN"/>
        </w:rPr>
        <w:t>：      （小写：￥      元）</w:t>
      </w:r>
      <w:r>
        <w:rPr>
          <w:rFonts w:hint="eastAsia" w:asciiTheme="minorEastAsia" w:hAnsiTheme="minorEastAsia" w:eastAsiaTheme="minorEastAsia" w:cstheme="minorEastAsia"/>
          <w:color w:val="auto"/>
          <w:szCs w:val="22"/>
          <w:highlight w:val="none"/>
        </w:rPr>
        <w:t>竞投本项目。</w:t>
      </w:r>
    </w:p>
    <w:p w14:paraId="244C3E34">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2. </w:t>
      </w:r>
      <w:r>
        <w:rPr>
          <w:rFonts w:hint="eastAsia" w:asciiTheme="minorEastAsia" w:hAnsiTheme="minorEastAsia" w:eastAsiaTheme="minorEastAsia" w:cstheme="minorEastAsia"/>
          <w:color w:val="auto"/>
          <w:szCs w:val="22"/>
          <w:highlight w:val="none"/>
        </w:rPr>
        <w:t>如果我方中标，我方保证按照合同约定的开工日期开始本项目的设计、施工，本工程设计、施工招标工期为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个日历天</w:t>
      </w:r>
      <w:r>
        <w:rPr>
          <w:rFonts w:hint="eastAsia" w:asciiTheme="minorEastAsia" w:hAnsiTheme="minorEastAsia" w:eastAsiaTheme="minorEastAsia" w:cstheme="minorEastAsia"/>
          <w:color w:val="auto"/>
          <w:szCs w:val="22"/>
          <w:highlight w:val="none"/>
          <w:lang w:eastAsia="zh-CN"/>
        </w:rPr>
        <w:t>（</w:t>
      </w:r>
      <w:r>
        <w:rPr>
          <w:rFonts w:hint="eastAsia" w:asciiTheme="minorEastAsia" w:hAnsiTheme="minorEastAsia" w:eastAsiaTheme="minorEastAsia" w:cstheme="minorEastAsia"/>
          <w:color w:val="auto"/>
          <w:szCs w:val="22"/>
          <w:highlight w:val="none"/>
        </w:rPr>
        <w:t>其中：设计工期为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日历天，施工工期为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日历天</w:t>
      </w:r>
      <w:r>
        <w:rPr>
          <w:rFonts w:hint="eastAsia" w:asciiTheme="minorEastAsia" w:hAnsiTheme="minorEastAsia" w:eastAsiaTheme="minorEastAsia" w:cstheme="minorEastAsia"/>
          <w:color w:val="auto"/>
          <w:szCs w:val="22"/>
          <w:highlight w:val="none"/>
          <w:lang w:eastAsia="zh-CN"/>
        </w:rPr>
        <w:t>）</w:t>
      </w:r>
      <w:r>
        <w:rPr>
          <w:rFonts w:hint="eastAsia" w:asciiTheme="minorEastAsia" w:hAnsiTheme="minorEastAsia" w:eastAsiaTheme="minorEastAsia" w:cstheme="minorEastAsia"/>
          <w:color w:val="auto"/>
          <w:szCs w:val="22"/>
          <w:highlight w:val="none"/>
        </w:rPr>
        <w:t>内竣工，并确保工程质量达到</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标准和维修其中的任何缺陷</w:t>
      </w:r>
      <w:r>
        <w:rPr>
          <w:rFonts w:hint="eastAsia" w:asciiTheme="minorEastAsia" w:hAnsiTheme="minorEastAsia" w:eastAsiaTheme="minorEastAsia" w:cstheme="minorEastAsia"/>
          <w:snapToGrid w:val="0"/>
          <w:color w:val="auto"/>
          <w:kern w:val="0"/>
          <w:szCs w:val="24"/>
          <w:highlight w:val="none"/>
        </w:rPr>
        <w:t>。</w:t>
      </w:r>
    </w:p>
    <w:p w14:paraId="4E21DF48">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 本投标函在你方接收我方递交的投标文件之日起、到招标文件规定的投标有效期期满前对我方具有约束力。我方随时准备接受你方发出的中标通知书。</w:t>
      </w:r>
    </w:p>
    <w:p w14:paraId="0F5553B0">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4．我方在此声明，我方不存在本工程招标文件所列示的“禁止投标条款”所列出的任何一种情形，并愿意承担因我方就此弄虚作假所引起的一切法律后果。</w:t>
      </w:r>
    </w:p>
    <w:p w14:paraId="0353B493">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5．我方在此承诺，所递交投标文件的全部内容均为真实、有效、准确的，并愿意承担因我方就此弄虚作假所引起的一切法律后果，同时理解和同意有可能被要求提供更多的资料。</w:t>
      </w:r>
    </w:p>
    <w:p w14:paraId="2ED02BC9">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 我方理解你方不一定要接纳收到的最低投标总价或任何投标总价的投标人中标，也不要求你方解释我方是否中标的原因。</w:t>
      </w:r>
    </w:p>
    <w:p w14:paraId="76837389">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p>
    <w:p w14:paraId="25EBC9F5">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72D02F53">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法定代表人或其委托代理人：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64882DDE">
      <w:pPr>
        <w:wordWrap w:val="0"/>
        <w:adjustRightInd w:val="0"/>
        <w:snapToGrid w:val="0"/>
        <w:spacing w:line="440" w:lineRule="exact"/>
        <w:ind w:firstLine="4080" w:firstLineChars="1700"/>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2594BCC0">
      <w:pPr>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br w:type="page"/>
      </w:r>
    </w:p>
    <w:p w14:paraId="260382D9">
      <w:pPr>
        <w:pStyle w:val="5"/>
        <w:spacing w:before="260" w:after="260"/>
        <w:jc w:val="center"/>
        <w:rPr>
          <w:rFonts w:hint="eastAsia" w:asciiTheme="minorEastAsia" w:hAnsiTheme="minorEastAsia" w:eastAsiaTheme="minorEastAsia" w:cstheme="minorEastAsia"/>
          <w:bCs/>
          <w:color w:val="auto"/>
          <w:szCs w:val="24"/>
          <w:highlight w:val="none"/>
        </w:rPr>
      </w:pPr>
      <w:bookmarkStart w:id="298" w:name="_Toc20338"/>
      <w:bookmarkStart w:id="299" w:name="_Toc32382"/>
      <w:bookmarkStart w:id="300" w:name="_Toc25629"/>
      <w:bookmarkStart w:id="301" w:name="_Toc29920"/>
      <w:bookmarkStart w:id="302" w:name="_Toc9155"/>
      <w:bookmarkStart w:id="303" w:name="_Toc25829"/>
      <w:bookmarkStart w:id="304" w:name="_Toc453"/>
      <w:bookmarkStart w:id="305" w:name="_Toc5052"/>
      <w:bookmarkStart w:id="306" w:name="_Toc7915"/>
      <w:bookmarkStart w:id="307" w:name="_Toc39136364"/>
      <w:r>
        <w:rPr>
          <w:rFonts w:hint="eastAsia" w:asciiTheme="minorEastAsia" w:hAnsiTheme="minorEastAsia" w:eastAsiaTheme="minorEastAsia" w:cstheme="minorEastAsia"/>
          <w:bCs/>
          <w:color w:val="auto"/>
          <w:szCs w:val="24"/>
          <w:highlight w:val="none"/>
        </w:rPr>
        <w:t>工程项目总价表</w:t>
      </w:r>
      <w:bookmarkEnd w:id="298"/>
      <w:bookmarkEnd w:id="299"/>
      <w:bookmarkEnd w:id="300"/>
      <w:bookmarkEnd w:id="301"/>
      <w:bookmarkEnd w:id="302"/>
      <w:bookmarkEnd w:id="303"/>
      <w:bookmarkEnd w:id="304"/>
      <w:bookmarkEnd w:id="305"/>
    </w:p>
    <w:p w14:paraId="614E268B">
      <w:pPr>
        <w:rPr>
          <w:rFonts w:hint="eastAsia"/>
          <w:color w:val="auto"/>
        </w:rPr>
      </w:pPr>
    </w:p>
    <w:tbl>
      <w:tblPr>
        <w:tblStyle w:val="27"/>
        <w:tblW w:w="10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9"/>
        <w:gridCol w:w="1806"/>
        <w:gridCol w:w="973"/>
        <w:gridCol w:w="1452"/>
        <w:gridCol w:w="1235"/>
        <w:gridCol w:w="1513"/>
        <w:gridCol w:w="2679"/>
      </w:tblGrid>
      <w:tr w14:paraId="22F41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639" w:type="dxa"/>
            <w:noWrap w:val="0"/>
            <w:vAlign w:val="center"/>
          </w:tcPr>
          <w:p w14:paraId="2CAD3F87">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序号</w:t>
            </w:r>
          </w:p>
        </w:tc>
        <w:tc>
          <w:tcPr>
            <w:tcW w:w="1806" w:type="dxa"/>
            <w:noWrap w:val="0"/>
            <w:vAlign w:val="center"/>
          </w:tcPr>
          <w:p w14:paraId="4C2BBF60">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项目名称</w:t>
            </w:r>
          </w:p>
        </w:tc>
        <w:tc>
          <w:tcPr>
            <w:tcW w:w="2425" w:type="dxa"/>
            <w:gridSpan w:val="2"/>
            <w:noWrap w:val="0"/>
            <w:vAlign w:val="center"/>
          </w:tcPr>
          <w:p w14:paraId="74FD1BEF">
            <w:pPr>
              <w:spacing w:line="360" w:lineRule="exact"/>
              <w:jc w:val="center"/>
              <w:rPr>
                <w:rFonts w:hint="eastAsia" w:hAnsi="宋体" w:eastAsia="宋体" w:cs="宋体"/>
                <w:b w:val="0"/>
                <w:bCs w:val="0"/>
                <w:color w:val="auto"/>
                <w:kern w:val="1"/>
                <w:sz w:val="24"/>
                <w:szCs w:val="24"/>
                <w:highlight w:val="none"/>
                <w:lang w:val="en-US" w:eastAsia="zh-CN"/>
              </w:rPr>
            </w:pPr>
            <w:r>
              <w:rPr>
                <w:rFonts w:hint="eastAsia" w:hAnsi="宋体" w:eastAsia="宋体" w:cs="宋体"/>
                <w:b w:val="0"/>
                <w:bCs w:val="0"/>
                <w:color w:val="auto"/>
                <w:kern w:val="1"/>
                <w:sz w:val="24"/>
                <w:szCs w:val="24"/>
                <w:highlight w:val="none"/>
                <w:lang w:val="en-US" w:eastAsia="zh-CN"/>
              </w:rPr>
              <w:t>招标金额</w:t>
            </w:r>
          </w:p>
          <w:p w14:paraId="29B86921">
            <w:pPr>
              <w:pStyle w:val="5"/>
              <w:jc w:val="center"/>
              <w:rPr>
                <w:rFonts w:hint="default"/>
                <w:color w:val="auto"/>
                <w:lang w:val="en-US" w:eastAsia="zh-CN"/>
              </w:rPr>
            </w:pPr>
            <w:bookmarkStart w:id="308" w:name="_Toc20949"/>
            <w:bookmarkStart w:id="309" w:name="_Toc13307"/>
            <w:r>
              <w:rPr>
                <w:rFonts w:hint="eastAsia" w:hAnsi="宋体" w:cs="宋体"/>
                <w:b w:val="0"/>
                <w:bCs w:val="0"/>
                <w:color w:val="auto"/>
                <w:kern w:val="1"/>
                <w:sz w:val="24"/>
                <w:szCs w:val="24"/>
                <w:highlight w:val="none"/>
                <w:lang w:val="en-US" w:eastAsia="zh-CN"/>
              </w:rPr>
              <w:t>（元）</w:t>
            </w:r>
            <w:bookmarkEnd w:id="308"/>
            <w:bookmarkEnd w:id="309"/>
          </w:p>
        </w:tc>
        <w:tc>
          <w:tcPr>
            <w:tcW w:w="1235" w:type="dxa"/>
            <w:noWrap w:val="0"/>
            <w:vAlign w:val="center"/>
          </w:tcPr>
          <w:p w14:paraId="2B6570BD">
            <w:pPr>
              <w:spacing w:line="360" w:lineRule="auto"/>
              <w:jc w:val="center"/>
              <w:rPr>
                <w:rFonts w:hint="default"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rPr>
              <w:t>投标</w:t>
            </w:r>
            <w:r>
              <w:rPr>
                <w:rFonts w:hint="eastAsia" w:hAnsi="宋体" w:eastAsia="宋体" w:cs="宋体"/>
                <w:color w:val="auto"/>
                <w:kern w:val="1"/>
                <w:sz w:val="21"/>
                <w:szCs w:val="21"/>
                <w:lang w:val="en-US" w:eastAsia="zh-CN"/>
              </w:rPr>
              <w:t>费率</w:t>
            </w:r>
          </w:p>
        </w:tc>
        <w:tc>
          <w:tcPr>
            <w:tcW w:w="1513" w:type="dxa"/>
            <w:noWrap w:val="0"/>
            <w:vAlign w:val="center"/>
          </w:tcPr>
          <w:p w14:paraId="718526AE">
            <w:pPr>
              <w:spacing w:line="360" w:lineRule="exact"/>
              <w:jc w:val="center"/>
              <w:rPr>
                <w:rFonts w:hint="eastAsia" w:ascii="宋体" w:hAnsi="宋体" w:eastAsia="宋体" w:cs="宋体"/>
                <w:b w:val="0"/>
                <w:bCs w:val="0"/>
                <w:color w:val="auto"/>
                <w:kern w:val="1"/>
                <w:sz w:val="24"/>
                <w:szCs w:val="24"/>
                <w:highlight w:val="none"/>
                <w:lang w:val="en-US" w:eastAsia="zh-CN"/>
              </w:rPr>
            </w:pPr>
            <w:r>
              <w:rPr>
                <w:rFonts w:hint="eastAsia" w:ascii="宋体" w:hAnsi="宋体" w:eastAsia="宋体" w:cs="宋体"/>
                <w:b w:val="0"/>
                <w:bCs w:val="0"/>
                <w:color w:val="auto"/>
                <w:kern w:val="1"/>
                <w:sz w:val="24"/>
                <w:szCs w:val="24"/>
                <w:highlight w:val="none"/>
                <w:lang w:val="en-US" w:eastAsia="zh-CN"/>
              </w:rPr>
              <w:t>报价金额</w:t>
            </w:r>
          </w:p>
          <w:p w14:paraId="45112F49">
            <w:pPr>
              <w:spacing w:line="360" w:lineRule="exact"/>
              <w:jc w:val="center"/>
              <w:rPr>
                <w:rFonts w:hint="default" w:ascii="宋体" w:hAnsi="宋体" w:eastAsia="宋体" w:cs="宋体"/>
                <w:b w:val="0"/>
                <w:bCs w:val="0"/>
                <w:color w:val="auto"/>
                <w:kern w:val="1"/>
                <w:sz w:val="24"/>
                <w:szCs w:val="24"/>
                <w:highlight w:val="none"/>
                <w:lang w:val="en-US" w:eastAsia="zh-CN"/>
              </w:rPr>
            </w:pPr>
            <w:r>
              <w:rPr>
                <w:rFonts w:hint="eastAsia" w:ascii="宋体" w:hAnsi="宋体" w:eastAsia="宋体" w:cs="宋体"/>
                <w:b w:val="0"/>
                <w:bCs w:val="0"/>
                <w:color w:val="auto"/>
                <w:kern w:val="1"/>
                <w:sz w:val="24"/>
                <w:szCs w:val="24"/>
                <w:highlight w:val="none"/>
                <w:lang w:val="en-US" w:eastAsia="zh-CN"/>
              </w:rPr>
              <w:t>（元）</w:t>
            </w:r>
          </w:p>
        </w:tc>
        <w:tc>
          <w:tcPr>
            <w:tcW w:w="2679" w:type="dxa"/>
            <w:noWrap w:val="0"/>
            <w:vAlign w:val="center"/>
          </w:tcPr>
          <w:p w14:paraId="429C364D">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sz w:val="21"/>
                <w:szCs w:val="21"/>
              </w:rPr>
              <w:t>交货时间/工期/服务期限</w:t>
            </w:r>
          </w:p>
        </w:tc>
      </w:tr>
      <w:tr w14:paraId="781EB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3" w:hRule="atLeast"/>
          <w:jc w:val="center"/>
        </w:trPr>
        <w:tc>
          <w:tcPr>
            <w:tcW w:w="639" w:type="dxa"/>
            <w:vMerge w:val="restart"/>
            <w:noWrap w:val="0"/>
            <w:vAlign w:val="center"/>
          </w:tcPr>
          <w:p w14:paraId="6828BAB1">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1</w:t>
            </w:r>
          </w:p>
        </w:tc>
        <w:tc>
          <w:tcPr>
            <w:tcW w:w="1806" w:type="dxa"/>
            <w:vMerge w:val="restart"/>
            <w:noWrap w:val="0"/>
            <w:vAlign w:val="center"/>
          </w:tcPr>
          <w:p w14:paraId="47CBA88F">
            <w:pPr>
              <w:spacing w:line="400" w:lineRule="exact"/>
              <w:jc w:val="center"/>
              <w:rPr>
                <w:rFonts w:hint="eastAsia" w:ascii="宋体" w:hAnsi="宋体" w:eastAsia="宋体" w:cs="宋体"/>
                <w:color w:val="auto"/>
                <w:kern w:val="1"/>
                <w:sz w:val="24"/>
                <w:szCs w:val="24"/>
                <w:highlight w:val="none"/>
              </w:rPr>
            </w:pPr>
            <w:r>
              <w:rPr>
                <w:rFonts w:hint="eastAsia" w:asciiTheme="minorEastAsia" w:hAnsiTheme="minorEastAsia" w:eastAsiaTheme="minorEastAsia" w:cstheme="minorEastAsia"/>
                <w:color w:val="auto"/>
                <w:sz w:val="24"/>
                <w:highlight w:val="none"/>
                <w:lang w:eastAsia="zh-CN"/>
              </w:rPr>
              <w:t>始兴县顿岗镇全域土地综合整治（乡村空间“三提三化”）项目光伏项目（一期）设计施工总承包</w:t>
            </w:r>
          </w:p>
        </w:tc>
        <w:tc>
          <w:tcPr>
            <w:tcW w:w="973" w:type="dxa"/>
            <w:noWrap w:val="0"/>
            <w:vAlign w:val="center"/>
          </w:tcPr>
          <w:p w14:paraId="13B73830">
            <w:pPr>
              <w:spacing w:line="400" w:lineRule="exact"/>
              <w:jc w:val="center"/>
              <w:rPr>
                <w:rFonts w:hint="eastAsia" w:hAnsi="宋体" w:eastAsia="宋体" w:cs="宋体"/>
                <w:color w:val="auto"/>
                <w:kern w:val="1"/>
                <w:sz w:val="21"/>
                <w:szCs w:val="21"/>
                <w:highlight w:val="none"/>
                <w:lang w:val="en-US" w:eastAsia="zh-CN"/>
              </w:rPr>
            </w:pPr>
            <w:r>
              <w:rPr>
                <w:rFonts w:hint="eastAsia" w:hAnsi="宋体" w:eastAsia="宋体" w:cs="宋体"/>
                <w:color w:val="auto"/>
                <w:kern w:val="1"/>
                <w:sz w:val="21"/>
                <w:szCs w:val="21"/>
                <w:highlight w:val="none"/>
                <w:lang w:val="en-US" w:eastAsia="zh-CN"/>
              </w:rPr>
              <w:t>建安费</w:t>
            </w:r>
          </w:p>
        </w:tc>
        <w:tc>
          <w:tcPr>
            <w:tcW w:w="1452" w:type="dxa"/>
            <w:noWrap w:val="0"/>
            <w:vAlign w:val="center"/>
          </w:tcPr>
          <w:p w14:paraId="5EB17658">
            <w:pPr>
              <w:spacing w:line="400" w:lineRule="exact"/>
              <w:jc w:val="center"/>
              <w:rPr>
                <w:rFonts w:hint="default" w:ascii="宋体" w:hAnsi="宋体" w:eastAsia="宋体" w:cs="宋体"/>
                <w:color w:val="auto"/>
                <w:sz w:val="24"/>
                <w:szCs w:val="24"/>
                <w:highlight w:val="none"/>
                <w:lang w:val="en-US" w:eastAsia="zh-CN"/>
              </w:rPr>
            </w:pPr>
            <w:r>
              <w:rPr>
                <w:rFonts w:hint="eastAsia" w:hAnsi="宋体" w:eastAsia="宋体" w:cs="宋体"/>
                <w:color w:val="auto"/>
                <w:kern w:val="1"/>
                <w:sz w:val="21"/>
                <w:szCs w:val="21"/>
                <w:highlight w:val="none"/>
                <w:lang w:val="en-US" w:eastAsia="zh-CN"/>
              </w:rPr>
              <w:t>15000000.00</w:t>
            </w:r>
          </w:p>
        </w:tc>
        <w:tc>
          <w:tcPr>
            <w:tcW w:w="1235" w:type="dxa"/>
            <w:noWrap w:val="0"/>
            <w:vAlign w:val="center"/>
          </w:tcPr>
          <w:p w14:paraId="54B600F9">
            <w:pPr>
              <w:spacing w:line="360" w:lineRule="auto"/>
              <w:jc w:val="center"/>
              <w:rPr>
                <w:rFonts w:hint="default"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u w:val="single"/>
                <w:lang w:eastAsia="zh-CN"/>
              </w:rPr>
              <w:t xml:space="preserve">      </w:t>
            </w:r>
            <w:r>
              <w:rPr>
                <w:rFonts w:hint="eastAsia" w:ascii="宋体" w:hAnsi="宋体" w:eastAsia="宋体" w:cs="宋体"/>
                <w:color w:val="auto"/>
                <w:kern w:val="1"/>
                <w:sz w:val="21"/>
                <w:szCs w:val="21"/>
                <w:u w:val="single"/>
              </w:rPr>
              <w:t xml:space="preserve"> </w:t>
            </w:r>
            <w:r>
              <w:rPr>
                <w:rFonts w:hint="eastAsia" w:ascii="宋体" w:hAnsi="宋体" w:eastAsia="宋体" w:cs="宋体"/>
                <w:color w:val="auto"/>
                <w:kern w:val="1"/>
                <w:sz w:val="21"/>
                <w:szCs w:val="21"/>
              </w:rPr>
              <w:t>%</w:t>
            </w:r>
          </w:p>
        </w:tc>
        <w:tc>
          <w:tcPr>
            <w:tcW w:w="1513" w:type="dxa"/>
            <w:noWrap w:val="0"/>
            <w:vAlign w:val="center"/>
          </w:tcPr>
          <w:p w14:paraId="2FA4E5D6">
            <w:pPr>
              <w:spacing w:line="360" w:lineRule="exact"/>
              <w:jc w:val="center"/>
              <w:rPr>
                <w:rFonts w:hint="eastAsia" w:asciiTheme="minorEastAsia" w:hAnsiTheme="minorEastAsia" w:eastAsiaTheme="minorEastAsia" w:cstheme="minorEastAsia"/>
                <w:color w:val="auto"/>
                <w:sz w:val="21"/>
                <w:szCs w:val="21"/>
              </w:rPr>
            </w:pPr>
          </w:p>
        </w:tc>
        <w:tc>
          <w:tcPr>
            <w:tcW w:w="2679" w:type="dxa"/>
            <w:vMerge w:val="restart"/>
            <w:noWrap w:val="0"/>
            <w:vAlign w:val="center"/>
          </w:tcPr>
          <w:p w14:paraId="53EDA193">
            <w:pPr>
              <w:spacing w:line="360" w:lineRule="exact"/>
              <w:jc w:val="left"/>
              <w:rPr>
                <w:rFonts w:hint="eastAsia" w:ascii="宋体" w:hAnsi="宋体" w:eastAsia="宋体" w:cs="宋体"/>
                <w:color w:val="auto"/>
                <w:kern w:val="1"/>
                <w:sz w:val="24"/>
                <w:szCs w:val="24"/>
                <w:highlight w:val="none"/>
              </w:rPr>
            </w:pPr>
            <w:r>
              <w:rPr>
                <w:rFonts w:hint="eastAsia" w:asciiTheme="minorEastAsia" w:hAnsiTheme="minorEastAsia" w:eastAsiaTheme="minorEastAsia" w:cstheme="minorEastAsia"/>
                <w:color w:val="auto"/>
                <w:sz w:val="21"/>
                <w:szCs w:val="21"/>
              </w:rPr>
              <w:t>在项目计划工期内竣工并移交整个工程（具体项目的工期以下达的任务通知书为准，实际开竣工日期分别以开工报告、竣工报告为准）</w:t>
            </w:r>
          </w:p>
        </w:tc>
      </w:tr>
      <w:tr w14:paraId="5BB40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3" w:hRule="atLeast"/>
          <w:jc w:val="center"/>
        </w:trPr>
        <w:tc>
          <w:tcPr>
            <w:tcW w:w="639" w:type="dxa"/>
            <w:vMerge w:val="continue"/>
            <w:noWrap w:val="0"/>
            <w:vAlign w:val="center"/>
          </w:tcPr>
          <w:p w14:paraId="6ED9D7AA">
            <w:pPr>
              <w:spacing w:line="400" w:lineRule="exact"/>
              <w:jc w:val="center"/>
              <w:rPr>
                <w:rFonts w:hint="eastAsia" w:ascii="宋体" w:hAnsi="宋体" w:eastAsia="宋体" w:cs="宋体"/>
                <w:color w:val="auto"/>
                <w:kern w:val="1"/>
                <w:sz w:val="24"/>
                <w:szCs w:val="24"/>
                <w:highlight w:val="none"/>
                <w:lang w:val="en-US" w:eastAsia="zh-CN"/>
              </w:rPr>
            </w:pPr>
          </w:p>
        </w:tc>
        <w:tc>
          <w:tcPr>
            <w:tcW w:w="1806" w:type="dxa"/>
            <w:vMerge w:val="continue"/>
            <w:noWrap w:val="0"/>
            <w:vAlign w:val="center"/>
          </w:tcPr>
          <w:p w14:paraId="3B38906D">
            <w:pPr>
              <w:spacing w:line="400" w:lineRule="exact"/>
              <w:jc w:val="center"/>
              <w:rPr>
                <w:rFonts w:hint="eastAsia"/>
                <w:color w:val="auto"/>
                <w:lang w:eastAsia="zh-CN"/>
              </w:rPr>
            </w:pPr>
          </w:p>
        </w:tc>
        <w:tc>
          <w:tcPr>
            <w:tcW w:w="973" w:type="dxa"/>
            <w:noWrap w:val="0"/>
            <w:vAlign w:val="center"/>
          </w:tcPr>
          <w:p w14:paraId="4F14B9B7">
            <w:pPr>
              <w:spacing w:line="400" w:lineRule="exact"/>
              <w:jc w:val="center"/>
              <w:rPr>
                <w:rFonts w:hint="eastAsia" w:hAnsi="宋体" w:eastAsia="宋体" w:cs="宋体"/>
                <w:color w:val="auto"/>
                <w:kern w:val="1"/>
                <w:sz w:val="21"/>
                <w:szCs w:val="21"/>
                <w:highlight w:val="none"/>
                <w:lang w:val="en-US" w:eastAsia="zh-CN"/>
              </w:rPr>
            </w:pPr>
            <w:r>
              <w:rPr>
                <w:rFonts w:hint="eastAsia" w:hAnsi="宋体" w:eastAsia="宋体" w:cs="宋体"/>
                <w:color w:val="auto"/>
                <w:kern w:val="1"/>
                <w:sz w:val="21"/>
                <w:szCs w:val="21"/>
                <w:highlight w:val="none"/>
                <w:lang w:val="en-US" w:eastAsia="zh-CN"/>
              </w:rPr>
              <w:t>设计费</w:t>
            </w:r>
          </w:p>
        </w:tc>
        <w:tc>
          <w:tcPr>
            <w:tcW w:w="1452" w:type="dxa"/>
            <w:noWrap w:val="0"/>
            <w:vAlign w:val="center"/>
          </w:tcPr>
          <w:p w14:paraId="5487E70D">
            <w:pPr>
              <w:spacing w:line="400" w:lineRule="exact"/>
              <w:jc w:val="center"/>
              <w:rPr>
                <w:rFonts w:hint="default" w:hAnsi="宋体" w:eastAsia="宋体" w:cs="宋体"/>
                <w:color w:val="auto"/>
                <w:kern w:val="1"/>
                <w:sz w:val="21"/>
                <w:szCs w:val="21"/>
                <w:highlight w:val="none"/>
                <w:lang w:val="en-US" w:eastAsia="zh-CN"/>
              </w:rPr>
            </w:pPr>
            <w:r>
              <w:rPr>
                <w:rFonts w:hint="eastAsia" w:hAnsi="宋体" w:eastAsia="宋体" w:cs="宋体"/>
                <w:color w:val="auto"/>
                <w:kern w:val="1"/>
                <w:sz w:val="21"/>
                <w:szCs w:val="21"/>
                <w:highlight w:val="none"/>
                <w:lang w:val="en-US" w:eastAsia="zh-CN"/>
              </w:rPr>
              <w:t>250000.00</w:t>
            </w:r>
          </w:p>
        </w:tc>
        <w:tc>
          <w:tcPr>
            <w:tcW w:w="1235" w:type="dxa"/>
            <w:noWrap w:val="0"/>
            <w:vAlign w:val="center"/>
          </w:tcPr>
          <w:p w14:paraId="6689D5AC">
            <w:pPr>
              <w:spacing w:line="360" w:lineRule="auto"/>
              <w:jc w:val="center"/>
              <w:rPr>
                <w:rFonts w:hint="default"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u w:val="single"/>
                <w:lang w:eastAsia="zh-CN"/>
              </w:rPr>
              <w:t xml:space="preserve">      </w:t>
            </w:r>
            <w:r>
              <w:rPr>
                <w:rFonts w:hint="eastAsia" w:ascii="宋体" w:hAnsi="宋体" w:eastAsia="宋体" w:cs="宋体"/>
                <w:color w:val="auto"/>
                <w:kern w:val="1"/>
                <w:sz w:val="21"/>
                <w:szCs w:val="21"/>
                <w:u w:val="single"/>
              </w:rPr>
              <w:t xml:space="preserve"> </w:t>
            </w:r>
            <w:r>
              <w:rPr>
                <w:rFonts w:hint="eastAsia" w:ascii="宋体" w:hAnsi="宋体" w:eastAsia="宋体" w:cs="宋体"/>
                <w:color w:val="auto"/>
                <w:kern w:val="1"/>
                <w:sz w:val="21"/>
                <w:szCs w:val="21"/>
              </w:rPr>
              <w:t>%</w:t>
            </w:r>
          </w:p>
        </w:tc>
        <w:tc>
          <w:tcPr>
            <w:tcW w:w="1513" w:type="dxa"/>
            <w:noWrap w:val="0"/>
            <w:vAlign w:val="center"/>
          </w:tcPr>
          <w:p w14:paraId="00AA940C">
            <w:pPr>
              <w:spacing w:line="360" w:lineRule="exact"/>
              <w:jc w:val="center"/>
              <w:rPr>
                <w:rFonts w:hint="eastAsia" w:asciiTheme="minorEastAsia" w:hAnsiTheme="minorEastAsia" w:eastAsiaTheme="minorEastAsia" w:cstheme="minorEastAsia"/>
                <w:color w:val="auto"/>
                <w:sz w:val="21"/>
                <w:szCs w:val="21"/>
              </w:rPr>
            </w:pPr>
          </w:p>
        </w:tc>
        <w:tc>
          <w:tcPr>
            <w:tcW w:w="2679" w:type="dxa"/>
            <w:vMerge w:val="continue"/>
            <w:noWrap w:val="0"/>
            <w:vAlign w:val="center"/>
          </w:tcPr>
          <w:p w14:paraId="53621C09">
            <w:pPr>
              <w:spacing w:line="360" w:lineRule="exact"/>
              <w:jc w:val="left"/>
              <w:rPr>
                <w:rFonts w:hint="eastAsia" w:asciiTheme="minorEastAsia" w:hAnsiTheme="minorEastAsia" w:eastAsiaTheme="minorEastAsia" w:cstheme="minorEastAsia"/>
                <w:color w:val="auto"/>
                <w:sz w:val="21"/>
                <w:szCs w:val="21"/>
              </w:rPr>
            </w:pPr>
          </w:p>
        </w:tc>
      </w:tr>
      <w:tr w14:paraId="5B508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3" w:hRule="atLeast"/>
          <w:jc w:val="center"/>
        </w:trPr>
        <w:tc>
          <w:tcPr>
            <w:tcW w:w="3418" w:type="dxa"/>
            <w:gridSpan w:val="3"/>
            <w:noWrap w:val="0"/>
            <w:vAlign w:val="center"/>
          </w:tcPr>
          <w:p w14:paraId="1601636A">
            <w:pPr>
              <w:spacing w:line="400" w:lineRule="exact"/>
              <w:jc w:val="center"/>
              <w:rPr>
                <w:rFonts w:hint="default" w:hAnsi="宋体" w:eastAsia="宋体" w:cs="宋体"/>
                <w:color w:val="auto"/>
                <w:kern w:val="1"/>
                <w:sz w:val="21"/>
                <w:szCs w:val="21"/>
                <w:highlight w:val="none"/>
                <w:lang w:val="en-US" w:eastAsia="zh-CN"/>
              </w:rPr>
            </w:pPr>
            <w:r>
              <w:rPr>
                <w:rFonts w:hint="eastAsia" w:hAnsi="宋体" w:eastAsia="宋体" w:cs="宋体"/>
                <w:color w:val="auto"/>
                <w:kern w:val="1"/>
                <w:sz w:val="21"/>
                <w:szCs w:val="21"/>
                <w:highlight w:val="none"/>
                <w:lang w:val="en-US" w:eastAsia="zh-CN"/>
              </w:rPr>
              <w:t>合计</w:t>
            </w:r>
          </w:p>
        </w:tc>
        <w:tc>
          <w:tcPr>
            <w:tcW w:w="1452" w:type="dxa"/>
            <w:noWrap w:val="0"/>
            <w:vAlign w:val="center"/>
          </w:tcPr>
          <w:p w14:paraId="54492245">
            <w:pPr>
              <w:spacing w:line="400" w:lineRule="exact"/>
              <w:jc w:val="center"/>
              <w:rPr>
                <w:rFonts w:hint="default" w:hAnsi="宋体" w:eastAsia="宋体" w:cs="宋体"/>
                <w:color w:val="auto"/>
                <w:kern w:val="1"/>
                <w:sz w:val="21"/>
                <w:szCs w:val="21"/>
                <w:highlight w:val="none"/>
                <w:lang w:val="en-US" w:eastAsia="zh-CN"/>
              </w:rPr>
            </w:pPr>
            <w:r>
              <w:rPr>
                <w:rFonts w:hint="eastAsia" w:hAnsi="宋体" w:eastAsia="宋体" w:cs="宋体"/>
                <w:color w:val="auto"/>
                <w:kern w:val="1"/>
                <w:sz w:val="21"/>
                <w:szCs w:val="21"/>
                <w:highlight w:val="none"/>
                <w:lang w:val="en-US" w:eastAsia="zh-CN"/>
              </w:rPr>
              <w:t>15250000.00</w:t>
            </w:r>
          </w:p>
        </w:tc>
        <w:tc>
          <w:tcPr>
            <w:tcW w:w="1235" w:type="dxa"/>
            <w:noWrap w:val="0"/>
            <w:vAlign w:val="center"/>
          </w:tcPr>
          <w:p w14:paraId="09ED7906">
            <w:pPr>
              <w:snapToGrid w:val="0"/>
              <w:spacing w:line="400" w:lineRule="exact"/>
              <w:jc w:val="center"/>
              <w:rPr>
                <w:rFonts w:hint="default"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w:t>
            </w:r>
          </w:p>
        </w:tc>
        <w:tc>
          <w:tcPr>
            <w:tcW w:w="1513" w:type="dxa"/>
            <w:noWrap w:val="0"/>
            <w:vAlign w:val="center"/>
          </w:tcPr>
          <w:p w14:paraId="339E3A1F">
            <w:pPr>
              <w:spacing w:line="360" w:lineRule="exact"/>
              <w:jc w:val="center"/>
              <w:rPr>
                <w:rFonts w:hint="eastAsia" w:asciiTheme="minorEastAsia" w:hAnsiTheme="minorEastAsia" w:eastAsiaTheme="minorEastAsia" w:cstheme="minorEastAsia"/>
                <w:color w:val="auto"/>
                <w:sz w:val="21"/>
                <w:szCs w:val="21"/>
              </w:rPr>
            </w:pPr>
          </w:p>
        </w:tc>
        <w:tc>
          <w:tcPr>
            <w:tcW w:w="2679" w:type="dxa"/>
            <w:vMerge w:val="continue"/>
            <w:noWrap w:val="0"/>
            <w:vAlign w:val="center"/>
          </w:tcPr>
          <w:p w14:paraId="6AFA321E">
            <w:pPr>
              <w:spacing w:line="360" w:lineRule="exact"/>
              <w:jc w:val="left"/>
              <w:rPr>
                <w:rFonts w:hint="eastAsia" w:asciiTheme="minorEastAsia" w:hAnsiTheme="minorEastAsia" w:eastAsiaTheme="minorEastAsia" w:cstheme="minorEastAsia"/>
                <w:color w:val="auto"/>
                <w:sz w:val="21"/>
                <w:szCs w:val="21"/>
              </w:rPr>
            </w:pPr>
          </w:p>
        </w:tc>
      </w:tr>
    </w:tbl>
    <w:p w14:paraId="6D2F41D5">
      <w:pPr>
        <w:rPr>
          <w:rFonts w:hint="eastAsia" w:asciiTheme="minorEastAsia" w:hAnsiTheme="minorEastAsia" w:eastAsiaTheme="minorEastAsia" w:cstheme="minorEastAsia"/>
          <w:color w:val="auto"/>
          <w:szCs w:val="24"/>
          <w:highlight w:val="none"/>
        </w:rPr>
      </w:pPr>
    </w:p>
    <w:p w14:paraId="771340FF">
      <w:pPr>
        <w:tabs>
          <w:tab w:val="left" w:pos="3808"/>
        </w:tabs>
        <w:spacing w:line="360" w:lineRule="auto"/>
        <w:ind w:firstLine="48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备注：投标报价及报价</w:t>
      </w:r>
      <w:r>
        <w:rPr>
          <w:rFonts w:hint="eastAsia" w:asciiTheme="minorEastAsia" w:hAnsiTheme="minorEastAsia" w:eastAsiaTheme="minorEastAsia" w:cstheme="minorEastAsia"/>
          <w:b/>
          <w:color w:val="auto"/>
          <w:szCs w:val="24"/>
          <w:highlight w:val="none"/>
          <w:lang w:val="en-US" w:eastAsia="zh-CN"/>
        </w:rPr>
        <w:t>费</w:t>
      </w:r>
      <w:r>
        <w:rPr>
          <w:rFonts w:hint="eastAsia" w:asciiTheme="minorEastAsia" w:hAnsiTheme="minorEastAsia" w:eastAsiaTheme="minorEastAsia" w:cstheme="minorEastAsia"/>
          <w:b/>
          <w:color w:val="auto"/>
          <w:szCs w:val="24"/>
          <w:highlight w:val="none"/>
        </w:rPr>
        <w:t>率均保留至小数点后两位。</w:t>
      </w:r>
    </w:p>
    <w:p w14:paraId="403ECD09">
      <w:pPr>
        <w:pStyle w:val="6"/>
        <w:ind w:firstLine="0"/>
        <w:rPr>
          <w:rFonts w:hint="eastAsia" w:asciiTheme="minorEastAsia" w:hAnsiTheme="minorEastAsia" w:eastAsiaTheme="minorEastAsia" w:cstheme="minorEastAsia"/>
          <w:snapToGrid w:val="0"/>
          <w:color w:val="auto"/>
          <w:sz w:val="24"/>
          <w:szCs w:val="24"/>
          <w:highlight w:val="none"/>
        </w:rPr>
      </w:pPr>
    </w:p>
    <w:p w14:paraId="768CD89C">
      <w:pPr>
        <w:wordWrap w:val="0"/>
        <w:adjustRightInd w:val="0"/>
        <w:snapToGrid w:val="0"/>
        <w:spacing w:line="276" w:lineRule="auto"/>
        <w:jc w:val="right"/>
        <w:rPr>
          <w:rFonts w:hint="eastAsia" w:asciiTheme="minorEastAsia" w:hAnsiTheme="minorEastAsia" w:eastAsiaTheme="minorEastAsia" w:cstheme="minorEastAsia"/>
          <w:snapToGrid w:val="0"/>
          <w:color w:val="auto"/>
          <w:kern w:val="0"/>
          <w:szCs w:val="24"/>
          <w:highlight w:val="none"/>
        </w:rPr>
      </w:pPr>
    </w:p>
    <w:p w14:paraId="608E468B">
      <w:pPr>
        <w:bidi w:val="0"/>
        <w:rPr>
          <w:rFonts w:hint="eastAsia"/>
          <w:color w:val="auto"/>
        </w:rPr>
      </w:pPr>
    </w:p>
    <w:p w14:paraId="5C77028A">
      <w:pPr>
        <w:wordWrap w:val="0"/>
        <w:adjustRightInd w:val="0"/>
        <w:snapToGrid w:val="0"/>
        <w:spacing w:line="276" w:lineRule="auto"/>
        <w:jc w:val="right"/>
        <w:rPr>
          <w:rFonts w:hint="eastAsia" w:ascii="宋体" w:hAnsi="宋体" w:eastAsia="宋体" w:cs="宋体"/>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4671DA5B">
      <w:pPr>
        <w:wordWrap w:val="0"/>
        <w:adjustRightInd w:val="0"/>
        <w:snapToGrid w:val="0"/>
        <w:spacing w:line="276" w:lineRule="auto"/>
        <w:jc w:val="right"/>
        <w:rPr>
          <w:rFonts w:hint="eastAsia" w:ascii="宋体" w:hAnsi="宋体" w:eastAsia="宋体" w:cs="宋体"/>
          <w:snapToGrid w:val="0"/>
          <w:color w:val="auto"/>
          <w:kern w:val="0"/>
          <w:sz w:val="24"/>
          <w:szCs w:val="24"/>
          <w:highlight w:val="none"/>
        </w:rPr>
      </w:pPr>
    </w:p>
    <w:p w14:paraId="2FC3F70C">
      <w:pPr>
        <w:wordWrap w:val="0"/>
        <w:adjustRightInd w:val="0"/>
        <w:snapToGrid w:val="0"/>
        <w:spacing w:line="276"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053234E9">
      <w:pPr>
        <w:wordWrap w:val="0"/>
        <w:adjustRightInd w:val="0"/>
        <w:snapToGrid w:val="0"/>
        <w:spacing w:line="276" w:lineRule="auto"/>
        <w:ind w:firstLine="480" w:firstLineChars="200"/>
        <w:jc w:val="right"/>
        <w:rPr>
          <w:rFonts w:hint="eastAsia" w:ascii="宋体" w:hAnsi="宋体" w:eastAsia="宋体" w:cs="宋体"/>
          <w:snapToGrid w:val="0"/>
          <w:color w:val="auto"/>
          <w:kern w:val="0"/>
          <w:sz w:val="24"/>
          <w:szCs w:val="24"/>
          <w:highlight w:val="none"/>
        </w:rPr>
      </w:pPr>
    </w:p>
    <w:p w14:paraId="589DA967">
      <w:pPr>
        <w:spacing w:line="276" w:lineRule="auto"/>
        <w:rPr>
          <w:rFonts w:hint="eastAsia" w:asciiTheme="minorEastAsia" w:hAnsiTheme="minorEastAsia" w:eastAsiaTheme="minorEastAsia" w:cstheme="minorEastAsia"/>
          <w:color w:val="auto"/>
          <w:szCs w:val="24"/>
          <w:highlight w:val="none"/>
        </w:rPr>
        <w:sectPr>
          <w:endnotePr>
            <w:numFmt w:val="decimal"/>
          </w:endnotePr>
          <w:pgSz w:w="11906" w:h="16838"/>
          <w:pgMar w:top="1701" w:right="1335" w:bottom="1417" w:left="1531" w:header="850" w:footer="992" w:gutter="0"/>
          <w:pgNumType w:fmt="decimal"/>
          <w:cols w:space="720" w:num="1"/>
          <w:docGrid w:linePitch="327" w:charSpace="0"/>
        </w:sect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42D78A92">
      <w:pPr>
        <w:pStyle w:val="4"/>
        <w:spacing w:before="120"/>
        <w:rPr>
          <w:rStyle w:val="57"/>
          <w:rFonts w:hint="eastAsia" w:asciiTheme="minorEastAsia" w:hAnsiTheme="minorEastAsia" w:eastAsiaTheme="minorEastAsia" w:cstheme="minorEastAsia"/>
          <w:color w:val="auto"/>
          <w:sz w:val="24"/>
          <w:szCs w:val="24"/>
          <w:highlight w:val="none"/>
        </w:rPr>
      </w:pPr>
      <w:bookmarkStart w:id="310" w:name="_Toc919"/>
      <w:bookmarkStart w:id="311" w:name="_Toc28529"/>
      <w:bookmarkStart w:id="312" w:name="_Toc10974"/>
      <w:bookmarkStart w:id="313" w:name="_Toc20987"/>
      <w:bookmarkStart w:id="314" w:name="_Toc21928"/>
      <w:bookmarkStart w:id="315" w:name="_Toc1017"/>
      <w:bookmarkStart w:id="316" w:name="_Toc32555"/>
      <w:r>
        <w:rPr>
          <w:rStyle w:val="57"/>
          <w:rFonts w:hint="eastAsia" w:asciiTheme="minorEastAsia" w:hAnsiTheme="minorEastAsia" w:eastAsiaTheme="minorEastAsia" w:cstheme="minorEastAsia"/>
          <w:color w:val="auto"/>
          <w:sz w:val="24"/>
          <w:szCs w:val="24"/>
          <w:highlight w:val="none"/>
        </w:rPr>
        <w:t>格式三 各项</w:t>
      </w:r>
      <w:r>
        <w:rPr>
          <w:rFonts w:hint="eastAsia" w:asciiTheme="minorEastAsia" w:hAnsiTheme="minorEastAsia" w:eastAsiaTheme="minorEastAsia" w:cstheme="minorEastAsia"/>
          <w:b/>
          <w:bCs/>
          <w:color w:val="auto"/>
          <w:szCs w:val="24"/>
          <w:highlight w:val="none"/>
        </w:rPr>
        <w:t>承诺</w:t>
      </w:r>
      <w:r>
        <w:rPr>
          <w:rStyle w:val="57"/>
          <w:rFonts w:hint="eastAsia" w:asciiTheme="minorEastAsia" w:hAnsiTheme="minorEastAsia" w:eastAsiaTheme="minorEastAsia" w:cstheme="minorEastAsia"/>
          <w:color w:val="auto"/>
          <w:sz w:val="24"/>
          <w:szCs w:val="24"/>
          <w:highlight w:val="none"/>
        </w:rPr>
        <w:t>一览表</w:t>
      </w:r>
      <w:bookmarkEnd w:id="306"/>
      <w:bookmarkEnd w:id="307"/>
      <w:bookmarkEnd w:id="310"/>
      <w:bookmarkEnd w:id="311"/>
      <w:bookmarkEnd w:id="312"/>
      <w:bookmarkEnd w:id="313"/>
    </w:p>
    <w:bookmarkEnd w:id="314"/>
    <w:bookmarkEnd w:id="315"/>
    <w:bookmarkEnd w:id="316"/>
    <w:p w14:paraId="7DCB96BC">
      <w:pPr>
        <w:spacing w:line="480" w:lineRule="auto"/>
        <w:jc w:val="center"/>
        <w:rPr>
          <w:rFonts w:hint="eastAsia" w:asciiTheme="minorEastAsia" w:hAnsiTheme="minorEastAsia" w:eastAsiaTheme="minorEastAsia" w:cstheme="minorEastAsia"/>
          <w:b/>
          <w:bCs/>
          <w:color w:val="auto"/>
          <w:szCs w:val="24"/>
          <w:highlight w:val="none"/>
        </w:rPr>
      </w:pPr>
      <w:bookmarkStart w:id="317" w:name="_Toc20729"/>
      <w:bookmarkStart w:id="318" w:name="_Toc21521"/>
      <w:bookmarkStart w:id="319" w:name="_Toc30877"/>
      <w:bookmarkStart w:id="320" w:name="_Toc39136365"/>
      <w:bookmarkStart w:id="321" w:name="_Toc15279"/>
      <w:bookmarkStart w:id="322" w:name="_Toc16438"/>
      <w:bookmarkStart w:id="323" w:name="_Toc31113"/>
      <w:bookmarkStart w:id="324" w:name="_Toc18136"/>
      <w:r>
        <w:rPr>
          <w:rFonts w:hint="eastAsia" w:asciiTheme="minorEastAsia" w:hAnsiTheme="minorEastAsia" w:eastAsiaTheme="minorEastAsia" w:cstheme="minorEastAsia"/>
          <w:b/>
          <w:bCs/>
          <w:color w:val="auto"/>
          <w:szCs w:val="24"/>
          <w:highlight w:val="none"/>
        </w:rPr>
        <w:t>各项承诺一览表</w:t>
      </w:r>
      <w:bookmarkEnd w:id="317"/>
      <w:bookmarkEnd w:id="318"/>
      <w:bookmarkEnd w:id="319"/>
      <w:bookmarkEnd w:id="320"/>
    </w:p>
    <w:bookmarkEnd w:id="321"/>
    <w:bookmarkEnd w:id="322"/>
    <w:bookmarkEnd w:id="323"/>
    <w:bookmarkEnd w:id="324"/>
    <w:tbl>
      <w:tblPr>
        <w:tblStyle w:val="27"/>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7"/>
        <w:gridCol w:w="1133"/>
        <w:gridCol w:w="3166"/>
        <w:gridCol w:w="5022"/>
      </w:tblGrid>
      <w:tr w14:paraId="2D2F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top"/>
          </w:tcPr>
          <w:p w14:paraId="5C99FE2B">
            <w:pPr>
              <w:pStyle w:val="32"/>
              <w:spacing w:line="3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1133" w:type="dxa"/>
            <w:noWrap w:val="0"/>
            <w:vAlign w:val="top"/>
          </w:tcPr>
          <w:p w14:paraId="5863A93D">
            <w:pPr>
              <w:pStyle w:val="32"/>
              <w:spacing w:line="3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承诺标题</w:t>
            </w:r>
          </w:p>
        </w:tc>
        <w:tc>
          <w:tcPr>
            <w:tcW w:w="3166" w:type="dxa"/>
            <w:noWrap w:val="0"/>
            <w:vAlign w:val="top"/>
          </w:tcPr>
          <w:p w14:paraId="2F710DC2">
            <w:pPr>
              <w:pStyle w:val="32"/>
              <w:spacing w:line="3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承诺内容</w:t>
            </w:r>
          </w:p>
        </w:tc>
        <w:tc>
          <w:tcPr>
            <w:tcW w:w="5022" w:type="dxa"/>
            <w:tcBorders>
              <w:bottom w:val="single" w:color="auto" w:sz="4" w:space="0"/>
            </w:tcBorders>
            <w:noWrap w:val="0"/>
            <w:vAlign w:val="top"/>
          </w:tcPr>
          <w:p w14:paraId="23CD7E61">
            <w:pPr>
              <w:pStyle w:val="32"/>
              <w:spacing w:line="3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违约承诺</w:t>
            </w:r>
          </w:p>
        </w:tc>
      </w:tr>
      <w:tr w14:paraId="0B56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118EE045">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133" w:type="dxa"/>
            <w:noWrap w:val="0"/>
            <w:vAlign w:val="center"/>
          </w:tcPr>
          <w:p w14:paraId="73CC8F17">
            <w:pPr>
              <w:pStyle w:val="59"/>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对招标文件条款自愿接受承诺书</w:t>
            </w:r>
          </w:p>
        </w:tc>
        <w:tc>
          <w:tcPr>
            <w:tcW w:w="3166" w:type="dxa"/>
            <w:noWrap w:val="0"/>
            <w:vAlign w:val="center"/>
          </w:tcPr>
          <w:p w14:paraId="2E0C4B99">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我方保证接受招标文件的所有条款，响应招标文件的</w:t>
            </w:r>
            <w:bookmarkStart w:id="325" w:name="_Hlt66510765"/>
            <w:bookmarkEnd w:id="325"/>
            <w:r>
              <w:rPr>
                <w:rFonts w:hint="eastAsia" w:asciiTheme="minorEastAsia" w:hAnsiTheme="minorEastAsia" w:eastAsiaTheme="minorEastAsia" w:cstheme="minorEastAsia"/>
                <w:color w:val="auto"/>
                <w:sz w:val="21"/>
                <w:szCs w:val="21"/>
                <w:highlight w:val="none"/>
              </w:rPr>
              <w:t>所有要求，并同意招标文件为施工承包合同的组成部分</w:t>
            </w:r>
          </w:p>
        </w:tc>
        <w:tc>
          <w:tcPr>
            <w:tcW w:w="5022" w:type="dxa"/>
            <w:tcBorders>
              <w:tr2bl w:val="single" w:color="auto" w:sz="4" w:space="0"/>
            </w:tcBorders>
            <w:noWrap w:val="0"/>
            <w:vAlign w:val="center"/>
          </w:tcPr>
          <w:p w14:paraId="123EEF3C">
            <w:pPr>
              <w:pStyle w:val="59"/>
              <w:spacing w:line="380" w:lineRule="exact"/>
              <w:ind w:firstLine="420"/>
              <w:rPr>
                <w:rFonts w:hint="eastAsia" w:asciiTheme="minorEastAsia" w:hAnsiTheme="minorEastAsia" w:eastAsiaTheme="minorEastAsia" w:cstheme="minorEastAsia"/>
                <w:color w:val="auto"/>
                <w:sz w:val="21"/>
                <w:szCs w:val="21"/>
                <w:highlight w:val="none"/>
              </w:rPr>
            </w:pPr>
          </w:p>
        </w:tc>
      </w:tr>
      <w:tr w14:paraId="042C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30755BB1">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133" w:type="dxa"/>
            <w:noWrap w:val="0"/>
            <w:vAlign w:val="center"/>
          </w:tcPr>
          <w:p w14:paraId="6974259B">
            <w:pPr>
              <w:pStyle w:val="59"/>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履约保证金承诺书</w:t>
            </w:r>
          </w:p>
        </w:tc>
        <w:tc>
          <w:tcPr>
            <w:tcW w:w="3166" w:type="dxa"/>
            <w:noWrap w:val="0"/>
            <w:vAlign w:val="center"/>
          </w:tcPr>
          <w:p w14:paraId="3DF51CC5">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我方保证按时缴纳全部履约保证金</w:t>
            </w:r>
            <w:bookmarkStart w:id="326" w:name="_Hlt104711307"/>
            <w:bookmarkEnd w:id="326"/>
          </w:p>
        </w:tc>
        <w:tc>
          <w:tcPr>
            <w:tcW w:w="5022" w:type="dxa"/>
            <w:noWrap w:val="0"/>
            <w:vAlign w:val="center"/>
          </w:tcPr>
          <w:p w14:paraId="626F533A">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在施工过程中，如由于我方自身的资金、技术、质量、非不可抗力等原因给招标人造成损失时，或未能按招标文件所承诺的各项承诺完成时，我方同意扣除全部履约保证金，并承担由此引起的所有责任。</w:t>
            </w:r>
          </w:p>
        </w:tc>
      </w:tr>
      <w:tr w14:paraId="65A1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0" w:hRule="atLeast"/>
          <w:jc w:val="center"/>
        </w:trPr>
        <w:tc>
          <w:tcPr>
            <w:tcW w:w="617" w:type="dxa"/>
            <w:noWrap w:val="0"/>
            <w:vAlign w:val="center"/>
          </w:tcPr>
          <w:p w14:paraId="44FF8E78">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133" w:type="dxa"/>
            <w:noWrap w:val="0"/>
            <w:vAlign w:val="center"/>
          </w:tcPr>
          <w:p w14:paraId="1D93AA6A">
            <w:pPr>
              <w:pStyle w:val="59"/>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工期、进度承诺书</w:t>
            </w:r>
          </w:p>
        </w:tc>
        <w:tc>
          <w:tcPr>
            <w:tcW w:w="3166" w:type="dxa"/>
            <w:noWrap w:val="0"/>
            <w:vAlign w:val="center"/>
          </w:tcPr>
          <w:p w14:paraId="083FFB70">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我方保证在</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日历天内（其中：设计工期为：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日历天；施工工期为：</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日历天内）完成工程设计、施工并通过竣工验收。</w:t>
            </w:r>
          </w:p>
          <w:p w14:paraId="0716899F">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我方保证各分部、分项工程的施工进度按我方投标文件中的施工进度计划完成施工任务。</w:t>
            </w:r>
          </w:p>
        </w:tc>
        <w:tc>
          <w:tcPr>
            <w:tcW w:w="5022" w:type="dxa"/>
            <w:noWrap w:val="0"/>
            <w:vAlign w:val="center"/>
          </w:tcPr>
          <w:p w14:paraId="1FBE5E5B">
            <w:pPr>
              <w:pStyle w:val="10"/>
              <w:spacing w:line="360" w:lineRule="exact"/>
              <w:ind w:firstLine="240" w:firstLineChars="1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若因我方原因，没有按期完成设计任务、工程没有按期竣工时，我方在逾期第壹天起每天分别按设计、施工合同价款的1.5</w:t>
            </w:r>
            <w:r>
              <w:rPr>
                <w:rFonts w:hint="eastAsia" w:asciiTheme="minorEastAsia" w:hAnsiTheme="minorEastAsia" w:eastAsiaTheme="minorEastAsia" w:cstheme="minorEastAsia"/>
                <w:color w:val="auto"/>
                <w:szCs w:val="22"/>
                <w:highlight w:val="none"/>
              </w:rPr>
              <w:t>‰向</w:t>
            </w:r>
            <w:r>
              <w:rPr>
                <w:rFonts w:hint="eastAsia" w:asciiTheme="minorEastAsia" w:hAnsiTheme="minorEastAsia" w:eastAsiaTheme="minorEastAsia" w:cstheme="minorEastAsia"/>
                <w:color w:val="auto"/>
                <w:highlight w:val="none"/>
              </w:rPr>
              <w:t>招标人缴纳逾期违约金，分别累计最高不超过设计、施工合同价款的10%向招标人缴纳逾期违约金。</w:t>
            </w:r>
          </w:p>
          <w:p w14:paraId="10D9F9B7">
            <w:pPr>
              <w:pStyle w:val="10"/>
              <w:spacing w:line="360" w:lineRule="exact"/>
              <w:ind w:firstLine="240" w:firstLineChars="1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 xml:space="preserve">   若因我方原因，各分部、分项工程的施工进度未能按我方投标文件中的施工进度计划完成施工任务，延期达到30日历天，招标人有权终止合同。我方愿意承担所有由此引起的责任及经济损失。</w:t>
            </w:r>
          </w:p>
        </w:tc>
      </w:tr>
      <w:tr w14:paraId="4677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0" w:hRule="atLeast"/>
          <w:jc w:val="center"/>
        </w:trPr>
        <w:tc>
          <w:tcPr>
            <w:tcW w:w="617" w:type="dxa"/>
            <w:noWrap w:val="0"/>
            <w:vAlign w:val="center"/>
          </w:tcPr>
          <w:p w14:paraId="45747913">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1133" w:type="dxa"/>
            <w:noWrap w:val="0"/>
            <w:vAlign w:val="center"/>
          </w:tcPr>
          <w:p w14:paraId="1914890B">
            <w:pPr>
              <w:pStyle w:val="59"/>
              <w:spacing w:line="380" w:lineRule="exact"/>
              <w:ind w:firstLine="0" w:firstLineChars="0"/>
              <w:rPr>
                <w:rFonts w:hint="eastAsia" w:asciiTheme="minorEastAsia" w:hAnsiTheme="minorEastAsia" w:eastAsiaTheme="minorEastAsia" w:cstheme="minorEastAsia"/>
                <w:color w:val="auto"/>
                <w:sz w:val="21"/>
                <w:szCs w:val="21"/>
                <w:highlight w:val="none"/>
              </w:rPr>
            </w:pPr>
            <w:bookmarkStart w:id="327" w:name="_Hlt98038044"/>
            <w:r>
              <w:rPr>
                <w:rFonts w:hint="eastAsia" w:asciiTheme="minorEastAsia" w:hAnsiTheme="minorEastAsia" w:eastAsiaTheme="minorEastAsia" w:cstheme="minorEastAsia"/>
                <w:color w:val="auto"/>
                <w:sz w:val="21"/>
                <w:szCs w:val="21"/>
                <w:highlight w:val="none"/>
              </w:rPr>
              <w:t>安全、文明施工承诺</w:t>
            </w:r>
            <w:bookmarkEnd w:id="327"/>
            <w:r>
              <w:rPr>
                <w:rFonts w:hint="eastAsia" w:asciiTheme="minorEastAsia" w:hAnsiTheme="minorEastAsia" w:eastAsiaTheme="minorEastAsia" w:cstheme="minorEastAsia"/>
                <w:color w:val="auto"/>
                <w:sz w:val="21"/>
                <w:szCs w:val="21"/>
                <w:highlight w:val="none"/>
              </w:rPr>
              <w:t>书</w:t>
            </w:r>
          </w:p>
        </w:tc>
        <w:tc>
          <w:tcPr>
            <w:tcW w:w="3166" w:type="dxa"/>
            <w:noWrap w:val="0"/>
            <w:vAlign w:val="center"/>
          </w:tcPr>
          <w:p w14:paraId="05905AF3">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我方保证在施工期间严格遵守国家、省、市有关安全、文明施工规定，确保施工安全和第三者的安全，根据施工现场情况保证绿色施工安全防护措施费投入。</w:t>
            </w:r>
          </w:p>
        </w:tc>
        <w:tc>
          <w:tcPr>
            <w:tcW w:w="5022" w:type="dxa"/>
            <w:noWrap w:val="0"/>
            <w:vAlign w:val="center"/>
          </w:tcPr>
          <w:p w14:paraId="19C0D1BE">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若因我方原因，在施工期间发生安全事故，造成施工人员或第三者的伤亡，我方愿意承担由此造成的一切经济损失和法律责任。</w:t>
            </w:r>
          </w:p>
          <w:p w14:paraId="73DB8097">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若我方在施工中发生一般事故及以上等级生产安全事故，可扣除相当于所有“绿色施工安全防护措施费”的管理费。</w:t>
            </w:r>
          </w:p>
        </w:tc>
      </w:tr>
      <w:tr w14:paraId="65F0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0" w:hRule="atLeast"/>
          <w:jc w:val="center"/>
        </w:trPr>
        <w:tc>
          <w:tcPr>
            <w:tcW w:w="617" w:type="dxa"/>
            <w:noWrap w:val="0"/>
            <w:vAlign w:val="center"/>
          </w:tcPr>
          <w:p w14:paraId="7B9E3028">
            <w:pPr>
              <w:pStyle w:val="46"/>
              <w:wordWrap w:val="0"/>
              <w:adjustRightInd w:val="0"/>
              <w:snapToGrid w:val="0"/>
              <w:spacing w:line="38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snapToGrid w:val="0"/>
                <w:color w:val="auto"/>
                <w:kern w:val="0"/>
                <w:szCs w:val="21"/>
                <w:highlight w:val="none"/>
              </w:rPr>
              <w:t>5</w:t>
            </w:r>
          </w:p>
        </w:tc>
        <w:tc>
          <w:tcPr>
            <w:tcW w:w="1133" w:type="dxa"/>
            <w:noWrap w:val="0"/>
            <w:vAlign w:val="center"/>
          </w:tcPr>
          <w:p w14:paraId="76BF7473">
            <w:pPr>
              <w:pStyle w:val="59"/>
              <w:wordWrap w:val="0"/>
              <w:adjustRightInd w:val="0"/>
              <w:snapToGrid w:val="0"/>
              <w:spacing w:line="380" w:lineRule="exact"/>
              <w:ind w:firstLine="0" w:firstLineChars="0"/>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项目经理</w:t>
            </w:r>
          </w:p>
          <w:p w14:paraId="69A64316">
            <w:pPr>
              <w:pStyle w:val="59"/>
              <w:wordWrap w:val="0"/>
              <w:adjustRightInd w:val="0"/>
              <w:snapToGrid w:val="0"/>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任职承诺</w:t>
            </w:r>
          </w:p>
        </w:tc>
        <w:tc>
          <w:tcPr>
            <w:tcW w:w="3166" w:type="dxa"/>
            <w:noWrap w:val="0"/>
            <w:vAlign w:val="center"/>
          </w:tcPr>
          <w:p w14:paraId="75FD4A49">
            <w:pPr>
              <w:pStyle w:val="59"/>
              <w:wordWrap w:val="0"/>
              <w:adjustRightInd w:val="0"/>
              <w:snapToGrid w:val="0"/>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我方拟派项目经理现阶段没有担任任何在施（包括已中标或已签订合同未开工、已开工未竣工、已建成未竣工）建设工程项目的项目经理。</w:t>
            </w:r>
          </w:p>
        </w:tc>
        <w:tc>
          <w:tcPr>
            <w:tcW w:w="5022" w:type="dxa"/>
            <w:noWrap w:val="0"/>
            <w:vAlign w:val="center"/>
          </w:tcPr>
          <w:p w14:paraId="4A514502">
            <w:pPr>
              <w:pStyle w:val="59"/>
              <w:wordWrap w:val="0"/>
              <w:adjustRightInd w:val="0"/>
              <w:snapToGrid w:val="0"/>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如果我方拟派项目经理在本工程招标投标活动期间有担任其他任何在施（包括已中标或已签订合同未开工、已开工未竣工、已建成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6CE7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center"/>
          </w:tcPr>
          <w:p w14:paraId="3FD7EBAE">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133" w:type="dxa"/>
            <w:noWrap w:val="0"/>
            <w:vAlign w:val="center"/>
          </w:tcPr>
          <w:p w14:paraId="28AC8E7D">
            <w:pPr>
              <w:pStyle w:val="59"/>
              <w:spacing w:line="38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质量承诺书</w:t>
            </w:r>
          </w:p>
        </w:tc>
        <w:tc>
          <w:tcPr>
            <w:tcW w:w="3166" w:type="dxa"/>
            <w:noWrap w:val="0"/>
            <w:vAlign w:val="center"/>
          </w:tcPr>
          <w:p w14:paraId="07700263">
            <w:pPr>
              <w:pStyle w:val="32"/>
              <w:spacing w:line="380" w:lineRule="exact"/>
              <w:ind w:firstLine="56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我方保证按照现行的国家和广东省的有关施工技术规范及现行标准，达</w:t>
            </w:r>
            <w:bookmarkStart w:id="328" w:name="_Hlt112573700"/>
            <w:bookmarkEnd w:id="328"/>
            <w:r>
              <w:rPr>
                <w:rFonts w:hint="eastAsia" w:asciiTheme="minorEastAsia" w:hAnsiTheme="minorEastAsia" w:eastAsiaTheme="minorEastAsia" w:cstheme="minorEastAsia"/>
                <w:color w:val="auto"/>
                <w:sz w:val="21"/>
                <w:szCs w:val="21"/>
                <w:highlight w:val="none"/>
              </w:rPr>
              <w:t>到合格标准。</w:t>
            </w:r>
          </w:p>
          <w:p w14:paraId="44DE4D58">
            <w:pPr>
              <w:pStyle w:val="32"/>
              <w:spacing w:line="380" w:lineRule="exact"/>
              <w:ind w:firstLine="560"/>
              <w:rPr>
                <w:rFonts w:hint="eastAsia" w:asciiTheme="minorEastAsia" w:hAnsiTheme="minorEastAsia" w:eastAsiaTheme="minorEastAsia" w:cstheme="minorEastAsia"/>
                <w:color w:val="auto"/>
                <w:sz w:val="21"/>
                <w:szCs w:val="21"/>
                <w:highlight w:val="none"/>
              </w:rPr>
            </w:pPr>
          </w:p>
        </w:tc>
        <w:tc>
          <w:tcPr>
            <w:tcW w:w="5022" w:type="dxa"/>
            <w:noWrap w:val="0"/>
            <w:vAlign w:val="center"/>
          </w:tcPr>
          <w:p w14:paraId="1B7A399B">
            <w:pPr>
              <w:pStyle w:val="59"/>
              <w:spacing w:line="380" w:lineRule="exact"/>
              <w:ind w:firstLine="41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若因我方原因，工程在竣工验收或分部分项工程验收时没有达到合格标准</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pacing w:val="-2"/>
                <w:sz w:val="21"/>
                <w:szCs w:val="21"/>
                <w:highlight w:val="none"/>
              </w:rPr>
              <w:t>我方每次（每分部每分项次）验收检查时按</w:t>
            </w:r>
            <w:r>
              <w:rPr>
                <w:rFonts w:hint="eastAsia" w:asciiTheme="minorEastAsia" w:hAnsiTheme="minorEastAsia" w:eastAsiaTheme="minorEastAsia" w:cstheme="minorEastAsia"/>
                <w:color w:val="auto"/>
                <w:sz w:val="21"/>
                <w:szCs w:val="21"/>
                <w:highlight w:val="none"/>
              </w:rPr>
              <w:t>合同价款的</w:t>
            </w:r>
            <w:r>
              <w:rPr>
                <w:rFonts w:hint="eastAsia" w:asciiTheme="minorEastAsia" w:hAnsiTheme="minorEastAsia" w:eastAsiaTheme="minorEastAsia" w:cstheme="minorEastAsia"/>
                <w:color w:val="auto"/>
                <w:sz w:val="21"/>
                <w:szCs w:val="21"/>
                <w:highlight w:val="none"/>
                <w:u w:val="single"/>
              </w:rPr>
              <w:t>1％</w:t>
            </w:r>
            <w:r>
              <w:rPr>
                <w:rFonts w:hint="eastAsia" w:asciiTheme="minorEastAsia" w:hAnsiTheme="minorEastAsia" w:eastAsiaTheme="minorEastAsia" w:cstheme="minorEastAsia"/>
                <w:color w:val="auto"/>
                <w:sz w:val="21"/>
                <w:szCs w:val="21"/>
                <w:highlight w:val="none"/>
              </w:rPr>
              <w:t>向招标人缴纳质量违约金。并达到合格标准为止，同时承担所有的责任及经济损失。</w:t>
            </w:r>
          </w:p>
          <w:p w14:paraId="64C86012">
            <w:pPr>
              <w:pStyle w:val="59"/>
              <w:spacing w:line="38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在建设或监理</w:t>
            </w:r>
            <w:r>
              <w:rPr>
                <w:rFonts w:hint="eastAsia" w:asciiTheme="minorEastAsia" w:hAnsiTheme="minorEastAsia" w:eastAsiaTheme="minorEastAsia" w:cstheme="minorEastAsia"/>
                <w:color w:val="auto"/>
                <w:sz w:val="21"/>
                <w:szCs w:val="24"/>
                <w:highlight w:val="none"/>
                <w:lang w:eastAsia="zh-CN"/>
              </w:rPr>
              <w:t>单位</w:t>
            </w:r>
            <w:r>
              <w:rPr>
                <w:rFonts w:hint="eastAsia" w:asciiTheme="minorEastAsia" w:hAnsiTheme="minorEastAsia" w:eastAsiaTheme="minorEastAsia" w:cstheme="minorEastAsia"/>
                <w:color w:val="auto"/>
                <w:sz w:val="21"/>
                <w:szCs w:val="24"/>
                <w:highlight w:val="none"/>
              </w:rPr>
              <w:t>组织的质量检查中，一次一个分项工程实测或其他项、程序不合格不符合要求的，一次向建设单位交纳质量违约金¥1000元/次项，分部工程不合格的一次、一个分部向建设（委托）单位交纳违约金¥2000元/次、项；</w:t>
            </w:r>
          </w:p>
          <w:p w14:paraId="434859DD">
            <w:pPr>
              <w:pStyle w:val="59"/>
              <w:spacing w:line="38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在省、市监管部门抽查、巡查、专项、随机检查中，一次一个分项工程实测或其他项、程序不合格不符合要求的，一次向建设（委托）单位交纳质量违约金¥2000元/次项，分部工程不合格的一次、一个分部向建设（委托）单位交纳违约金¥5000元/次、项；</w:t>
            </w:r>
          </w:p>
          <w:p w14:paraId="7CC1E552">
            <w:pPr>
              <w:pStyle w:val="61"/>
              <w:spacing w:line="40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未能在限期内完成质量安全隐患整改的，每逾期一天，向建设单位交纳罚金¥1000元；</w:t>
            </w:r>
          </w:p>
          <w:p w14:paraId="0D173B91">
            <w:pPr>
              <w:pStyle w:val="61"/>
              <w:spacing w:line="40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未按规定委派专业人员参加检验批、分部分项工程验收，不及时签署验收记录的，一次向建设（委托）单位交纳违约金¥2000元/次、项；</w:t>
            </w:r>
          </w:p>
          <w:p w14:paraId="3BFF6772">
            <w:pPr>
              <w:pStyle w:val="59"/>
              <w:spacing w:line="38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不按规定委派相关人员参加项目竣工验收的，一次向建设单位交纳违约金¥50000元/项，不签署意见的交纳违约金¥50000元。</w:t>
            </w:r>
          </w:p>
        </w:tc>
      </w:tr>
      <w:tr w14:paraId="2253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617" w:type="dxa"/>
            <w:noWrap w:val="0"/>
            <w:vAlign w:val="center"/>
          </w:tcPr>
          <w:p w14:paraId="03EDCCA4">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133" w:type="dxa"/>
            <w:noWrap w:val="0"/>
            <w:vAlign w:val="center"/>
          </w:tcPr>
          <w:p w14:paraId="0E4B4CC0">
            <w:pPr>
              <w:pStyle w:val="59"/>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账户承诺</w:t>
            </w:r>
          </w:p>
        </w:tc>
        <w:tc>
          <w:tcPr>
            <w:tcW w:w="3166" w:type="dxa"/>
            <w:noWrap w:val="0"/>
            <w:vAlign w:val="center"/>
          </w:tcPr>
          <w:p w14:paraId="692B83B0">
            <w:pPr>
              <w:pStyle w:val="32"/>
              <w:spacing w:line="380" w:lineRule="exact"/>
              <w:ind w:firstLine="56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我方保证招标人的资金随时可划入合同中规</w:t>
            </w:r>
            <w:bookmarkStart w:id="329" w:name="_Hlt127094672"/>
            <w:bookmarkEnd w:id="329"/>
            <w:r>
              <w:rPr>
                <w:rFonts w:hint="eastAsia" w:asciiTheme="minorEastAsia" w:hAnsiTheme="minorEastAsia" w:eastAsiaTheme="minorEastAsia" w:cstheme="minorEastAsia"/>
                <w:color w:val="auto"/>
                <w:spacing w:val="-2"/>
                <w:sz w:val="21"/>
                <w:szCs w:val="21"/>
                <w:highlight w:val="none"/>
              </w:rPr>
              <w:t>定的我方</w:t>
            </w:r>
            <w:r>
              <w:rPr>
                <w:rFonts w:hint="eastAsia" w:asciiTheme="minorEastAsia" w:hAnsiTheme="minorEastAsia" w:eastAsiaTheme="minorEastAsia" w:cstheme="minorEastAsia"/>
                <w:color w:val="auto"/>
                <w:sz w:val="21"/>
                <w:szCs w:val="21"/>
                <w:highlight w:val="none"/>
              </w:rPr>
              <w:t>账</w:t>
            </w:r>
            <w:r>
              <w:rPr>
                <w:rFonts w:hint="eastAsia" w:asciiTheme="minorEastAsia" w:hAnsiTheme="minorEastAsia" w:eastAsiaTheme="minorEastAsia" w:cstheme="minorEastAsia"/>
                <w:color w:val="auto"/>
                <w:spacing w:val="-2"/>
                <w:sz w:val="21"/>
                <w:szCs w:val="21"/>
                <w:highlight w:val="none"/>
              </w:rPr>
              <w:t>户。</w:t>
            </w:r>
          </w:p>
        </w:tc>
        <w:tc>
          <w:tcPr>
            <w:tcW w:w="5022" w:type="dxa"/>
            <w:noWrap w:val="0"/>
            <w:vAlign w:val="center"/>
          </w:tcPr>
          <w:p w14:paraId="5F1E0C6D">
            <w:pPr>
              <w:pStyle w:val="59"/>
              <w:spacing w:line="380" w:lineRule="exact"/>
              <w:ind w:firstLine="412"/>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若因我方原因造成招标人的资金无法划入合同中规定的我方</w:t>
            </w:r>
            <w:r>
              <w:rPr>
                <w:rFonts w:hint="eastAsia" w:asciiTheme="minorEastAsia" w:hAnsiTheme="minorEastAsia" w:eastAsiaTheme="minorEastAsia" w:cstheme="minorEastAsia"/>
                <w:color w:val="auto"/>
                <w:sz w:val="21"/>
                <w:szCs w:val="21"/>
                <w:highlight w:val="none"/>
              </w:rPr>
              <w:t>账</w:t>
            </w:r>
            <w:r>
              <w:rPr>
                <w:rFonts w:hint="eastAsia" w:asciiTheme="minorEastAsia" w:hAnsiTheme="minorEastAsia" w:eastAsiaTheme="minorEastAsia" w:cstheme="minorEastAsia"/>
                <w:color w:val="auto"/>
                <w:spacing w:val="-2"/>
                <w:sz w:val="21"/>
                <w:szCs w:val="21"/>
                <w:highlight w:val="none"/>
              </w:rPr>
              <w:t>户，如时间达到30日历天，招标人有权终止合同。我方承担由此造成的所有责任及经济损失。</w:t>
            </w:r>
          </w:p>
        </w:tc>
      </w:tr>
      <w:tr w14:paraId="453F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0939B495">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133" w:type="dxa"/>
            <w:noWrap w:val="0"/>
            <w:vAlign w:val="center"/>
          </w:tcPr>
          <w:p w14:paraId="007DE373">
            <w:pPr>
              <w:pStyle w:val="59"/>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工程的配合服务承诺</w:t>
            </w:r>
          </w:p>
        </w:tc>
        <w:tc>
          <w:tcPr>
            <w:tcW w:w="3166" w:type="dxa"/>
            <w:noWrap w:val="0"/>
            <w:vAlign w:val="center"/>
          </w:tcPr>
          <w:p w14:paraId="62336201">
            <w:pPr>
              <w:pStyle w:val="32"/>
              <w:spacing w:line="380" w:lineRule="exact"/>
              <w:ind w:firstLine="560"/>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我方服从业主管理，保证配合与工程承包范围内相关的其他标段（工种、分项）工程施工单位的工程施工，不提出额外增加费用的要求。</w:t>
            </w:r>
          </w:p>
        </w:tc>
        <w:tc>
          <w:tcPr>
            <w:tcW w:w="5022" w:type="dxa"/>
            <w:noWrap w:val="0"/>
            <w:vAlign w:val="center"/>
          </w:tcPr>
          <w:p w14:paraId="124BB998">
            <w:pPr>
              <w:pStyle w:val="59"/>
              <w:spacing w:line="380" w:lineRule="exact"/>
              <w:ind w:firstLine="412"/>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若因我方未及时配合与工程承包范围内相关的其他标段（工种、分项）工程施工单位的工程施工，给招标人或其他施工单位造成损失的，我方承担所有的责任及经济损失。</w:t>
            </w:r>
          </w:p>
        </w:tc>
      </w:tr>
      <w:tr w14:paraId="4920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9" w:hRule="atLeast"/>
          <w:jc w:val="center"/>
        </w:trPr>
        <w:tc>
          <w:tcPr>
            <w:tcW w:w="617" w:type="dxa"/>
            <w:noWrap w:val="0"/>
            <w:vAlign w:val="center"/>
          </w:tcPr>
          <w:p w14:paraId="27BEB7DA">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133" w:type="dxa"/>
            <w:noWrap w:val="0"/>
            <w:vAlign w:val="center"/>
          </w:tcPr>
          <w:p w14:paraId="2CAE870A">
            <w:pPr>
              <w:pStyle w:val="63"/>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中标人员承诺</w:t>
            </w:r>
          </w:p>
        </w:tc>
        <w:tc>
          <w:tcPr>
            <w:tcW w:w="3166" w:type="dxa"/>
            <w:noWrap w:val="0"/>
            <w:vAlign w:val="center"/>
          </w:tcPr>
          <w:p w14:paraId="3F91D485">
            <w:pPr>
              <w:pStyle w:val="63"/>
              <w:spacing w:line="300" w:lineRule="exact"/>
              <w:ind w:firstLine="412" w:firstLineChars="200"/>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我方保证投标文件中所拟派的中标人员全部配合施工现场管理施工。</w:t>
            </w:r>
          </w:p>
        </w:tc>
        <w:tc>
          <w:tcPr>
            <w:tcW w:w="5022" w:type="dxa"/>
            <w:noWrap w:val="0"/>
            <w:vAlign w:val="center"/>
          </w:tcPr>
          <w:p w14:paraId="34650B0F">
            <w:pPr>
              <w:pStyle w:val="64"/>
              <w:spacing w:line="300" w:lineRule="exact"/>
              <w:ind w:left="0" w:leftChars="0" w:firstLine="420" w:firstLineChars="200"/>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设计单位未能在招标人通知的时间内（提前一天通知，紧急情况随时通知）参加设计交底、处理有关设计问题、参加必要部位隐蔽验收和竣工验收等工作，每人次交纳违约金</w:t>
            </w:r>
            <w:r>
              <w:rPr>
                <w:rFonts w:hint="eastAsia" w:asciiTheme="minorEastAsia" w:hAnsiTheme="minorEastAsia" w:eastAsiaTheme="minorEastAsia" w:cstheme="minorEastAsia"/>
                <w:color w:val="auto"/>
                <w:sz w:val="21"/>
                <w:highlight w:val="none"/>
              </w:rPr>
              <w:t>¥</w:t>
            </w:r>
            <w:r>
              <w:rPr>
                <w:rFonts w:hint="eastAsia" w:asciiTheme="minorEastAsia" w:hAnsiTheme="minorEastAsia" w:eastAsiaTheme="minorEastAsia" w:cstheme="minorEastAsia"/>
                <w:snapToGrid w:val="0"/>
                <w:color w:val="auto"/>
                <w:sz w:val="21"/>
                <w:szCs w:val="21"/>
                <w:highlight w:val="none"/>
              </w:rPr>
              <w:t>1000元。</w:t>
            </w:r>
          </w:p>
          <w:p w14:paraId="41D67AD6">
            <w:pPr>
              <w:pStyle w:val="64"/>
              <w:spacing w:line="300" w:lineRule="exact"/>
              <w:ind w:left="0" w:leftChars="0" w:firstLine="420" w:firstLineChars="200"/>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设计单位驻韶办公的项目负责人（即投标文件所拟派的项目负责人）必须负责本项目设计全过程（包括施工图设计审查、施工图设计修编、预算跟踪服务、图纸会审和技术交底）。项目负责人未准时参加上述环节工作的，每缺席一次交纳违约金</w:t>
            </w:r>
            <w:r>
              <w:rPr>
                <w:rFonts w:hint="eastAsia" w:asciiTheme="minorEastAsia" w:hAnsiTheme="minorEastAsia" w:eastAsiaTheme="minorEastAsia" w:cstheme="minorEastAsia"/>
                <w:color w:val="auto"/>
                <w:sz w:val="21"/>
                <w:highlight w:val="none"/>
              </w:rPr>
              <w:t>¥</w:t>
            </w:r>
            <w:r>
              <w:rPr>
                <w:rFonts w:hint="eastAsia" w:asciiTheme="minorEastAsia" w:hAnsiTheme="minorEastAsia" w:eastAsiaTheme="minorEastAsia" w:cstheme="minorEastAsia"/>
                <w:snapToGrid w:val="0"/>
                <w:color w:val="auto"/>
                <w:sz w:val="21"/>
                <w:szCs w:val="21"/>
                <w:highlight w:val="none"/>
              </w:rPr>
              <w:t>5000元（以招标人发出的违约通知为准）。</w:t>
            </w:r>
          </w:p>
          <w:p w14:paraId="489CFD83">
            <w:pPr>
              <w:pStyle w:val="64"/>
              <w:spacing w:line="300" w:lineRule="exact"/>
              <w:ind w:left="0" w:leftChars="0"/>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snapToGrid w:val="0"/>
                <w:color w:val="auto"/>
                <w:sz w:val="21"/>
                <w:szCs w:val="21"/>
                <w:highlight w:val="none"/>
              </w:rPr>
              <w:t>设计单位应委派1名参与并熟悉本项目设计任务，有现场处理经验的设计代表常驻项目现场。中标人应为派驻现场的设计工作人员提供工作、生活及交通等方面的便利条件及准备必要的劳动保护装备。在正常施工阶段，每月应保证最少20天在现场。未经招标人书面许可，缺少1天向建设单位每人每天支付违约金¥2000元/天。</w:t>
            </w:r>
          </w:p>
        </w:tc>
      </w:tr>
      <w:tr w14:paraId="0707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9" w:hRule="atLeast"/>
          <w:jc w:val="center"/>
        </w:trPr>
        <w:tc>
          <w:tcPr>
            <w:tcW w:w="617" w:type="dxa"/>
            <w:noWrap w:val="0"/>
            <w:vAlign w:val="center"/>
          </w:tcPr>
          <w:p w14:paraId="284983AA">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1133" w:type="dxa"/>
            <w:noWrap w:val="0"/>
            <w:vAlign w:val="center"/>
          </w:tcPr>
          <w:p w14:paraId="46DA4777">
            <w:pPr>
              <w:pStyle w:val="59"/>
              <w:spacing w:line="380" w:lineRule="exact"/>
              <w:ind w:left="0" w:leftChars="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项目管理班子人员承诺</w:t>
            </w:r>
          </w:p>
        </w:tc>
        <w:tc>
          <w:tcPr>
            <w:tcW w:w="3166" w:type="dxa"/>
            <w:noWrap w:val="0"/>
            <w:vAlign w:val="center"/>
          </w:tcPr>
          <w:p w14:paraId="575894DA">
            <w:pPr>
              <w:pStyle w:val="32"/>
              <w:spacing w:line="380" w:lineRule="exact"/>
              <w:ind w:firstLine="560"/>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我方保证投标文件中所拟派的项目经理、技术负责人、施工员、质量员、安全员等工程管理人员全部在施工现场管理施工</w:t>
            </w:r>
          </w:p>
        </w:tc>
        <w:tc>
          <w:tcPr>
            <w:tcW w:w="5022" w:type="dxa"/>
            <w:noWrap w:val="0"/>
            <w:vAlign w:val="center"/>
          </w:tcPr>
          <w:p w14:paraId="5DF0A4F1">
            <w:pPr>
              <w:pStyle w:val="59"/>
              <w:spacing w:line="380" w:lineRule="exact"/>
              <w:ind w:firstLine="412"/>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承诺施工期间如左所叙施工现场管理人员按要求每日办理签到手续，如未经招标人同意未办理签到，向建设单位每人每天支付违约金</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pacing w:val="-2"/>
                <w:sz w:val="21"/>
                <w:szCs w:val="21"/>
                <w:highlight w:val="none"/>
              </w:rPr>
              <w:t>3000元（项目经理未签到每天支付违约金</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pacing w:val="-2"/>
                <w:sz w:val="21"/>
                <w:szCs w:val="21"/>
                <w:highlight w:val="none"/>
              </w:rPr>
              <w:t>3000元）；</w:t>
            </w:r>
          </w:p>
          <w:p w14:paraId="7524EF2D">
            <w:pPr>
              <w:pStyle w:val="59"/>
              <w:spacing w:line="380" w:lineRule="exact"/>
              <w:ind w:firstLine="412"/>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若我方的投标文件中所拟派的如左所述任何一个管理人员未经招标人或招标人同意擅自离岗，在一个月内达到10次/人，或项目经理、技术负责人在施工过程中每月驻场少于22天的，招标人有权终止合同。我方承担由此造成的所有责任及经济损失。</w:t>
            </w:r>
          </w:p>
        </w:tc>
      </w:tr>
      <w:tr w14:paraId="3CD9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0" w:hRule="atLeast"/>
          <w:jc w:val="center"/>
        </w:trPr>
        <w:tc>
          <w:tcPr>
            <w:tcW w:w="617" w:type="dxa"/>
            <w:noWrap w:val="0"/>
            <w:vAlign w:val="center"/>
          </w:tcPr>
          <w:p w14:paraId="4E9577B2">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w:t>
            </w:r>
          </w:p>
        </w:tc>
        <w:tc>
          <w:tcPr>
            <w:tcW w:w="1133" w:type="dxa"/>
            <w:noWrap w:val="0"/>
            <w:vAlign w:val="center"/>
          </w:tcPr>
          <w:p w14:paraId="2A8D7071">
            <w:pPr>
              <w:pStyle w:val="59"/>
              <w:spacing w:line="380" w:lineRule="exact"/>
              <w:ind w:left="0" w:leftChars="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对支付农民工工资的承诺</w:t>
            </w:r>
          </w:p>
        </w:tc>
        <w:tc>
          <w:tcPr>
            <w:tcW w:w="3166" w:type="dxa"/>
            <w:noWrap w:val="0"/>
            <w:vAlign w:val="center"/>
          </w:tcPr>
          <w:p w14:paraId="1D1901E0">
            <w:pPr>
              <w:pStyle w:val="59"/>
              <w:spacing w:line="380" w:lineRule="exact"/>
              <w:ind w:firstLine="206"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如我方中标，我方无条件同意按照用工合同支付</w:t>
            </w:r>
            <w:r>
              <w:rPr>
                <w:rFonts w:hint="eastAsia" w:asciiTheme="minorEastAsia" w:hAnsiTheme="minorEastAsia" w:eastAsiaTheme="minorEastAsia" w:cstheme="minorEastAsia"/>
                <w:color w:val="auto"/>
                <w:sz w:val="21"/>
                <w:szCs w:val="21"/>
                <w:highlight w:val="none"/>
              </w:rPr>
              <w:t>农民工工资。</w:t>
            </w:r>
          </w:p>
        </w:tc>
        <w:tc>
          <w:tcPr>
            <w:tcW w:w="5022" w:type="dxa"/>
            <w:noWrap w:val="0"/>
            <w:vAlign w:val="center"/>
          </w:tcPr>
          <w:p w14:paraId="4C001A11">
            <w:pPr>
              <w:pStyle w:val="59"/>
              <w:spacing w:line="380" w:lineRule="exact"/>
              <w:ind w:firstLine="41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如我方中标，我方无条件同意按照用工合同支付</w:t>
            </w:r>
            <w:r>
              <w:rPr>
                <w:rFonts w:hint="eastAsia" w:asciiTheme="minorEastAsia" w:hAnsiTheme="minorEastAsia" w:eastAsiaTheme="minorEastAsia" w:cstheme="minorEastAsia"/>
                <w:color w:val="auto"/>
                <w:sz w:val="21"/>
                <w:szCs w:val="21"/>
                <w:highlight w:val="none"/>
              </w:rPr>
              <w:t>农民工工资。否则，招标人有权终止合同，扣除履约保证金，并由招标人先行垫付农民工被拖欠的工资，数额以未结清的工程数为限。</w:t>
            </w:r>
          </w:p>
        </w:tc>
      </w:tr>
      <w:tr w14:paraId="7097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617" w:type="dxa"/>
            <w:noWrap w:val="0"/>
            <w:vAlign w:val="center"/>
          </w:tcPr>
          <w:p w14:paraId="3574EB71">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w:t>
            </w:r>
          </w:p>
        </w:tc>
        <w:tc>
          <w:tcPr>
            <w:tcW w:w="1133" w:type="dxa"/>
            <w:noWrap w:val="0"/>
            <w:vAlign w:val="center"/>
          </w:tcPr>
          <w:p w14:paraId="563F06A4">
            <w:pPr>
              <w:pStyle w:val="59"/>
              <w:spacing w:line="380" w:lineRule="exact"/>
              <w:ind w:left="0" w:leftChars="0"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施工组织设计承诺</w:t>
            </w:r>
          </w:p>
        </w:tc>
        <w:tc>
          <w:tcPr>
            <w:tcW w:w="3166" w:type="dxa"/>
            <w:noWrap w:val="0"/>
            <w:vAlign w:val="center"/>
          </w:tcPr>
          <w:p w14:paraId="51BCE95D">
            <w:pPr>
              <w:pStyle w:val="59"/>
              <w:spacing w:line="380" w:lineRule="exact"/>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我方保证施工组织设计按照国家省市有关规定进行编写。</w:t>
            </w:r>
          </w:p>
        </w:tc>
        <w:tc>
          <w:tcPr>
            <w:tcW w:w="5022" w:type="dxa"/>
            <w:noWrap w:val="0"/>
            <w:vAlign w:val="center"/>
          </w:tcPr>
          <w:p w14:paraId="35462F45">
            <w:pPr>
              <w:pStyle w:val="59"/>
              <w:spacing w:line="380" w:lineRule="exact"/>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如我方的施工组织设计未根据招标项目情况按照国家省市有关规定进行编写的，扣除全部履约保证金。</w:t>
            </w:r>
          </w:p>
        </w:tc>
      </w:tr>
      <w:tr w14:paraId="5F3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5" w:hRule="atLeast"/>
          <w:jc w:val="center"/>
        </w:trPr>
        <w:tc>
          <w:tcPr>
            <w:tcW w:w="617" w:type="dxa"/>
            <w:noWrap w:val="0"/>
            <w:vAlign w:val="center"/>
          </w:tcPr>
          <w:p w14:paraId="20FB5E5C">
            <w:pPr>
              <w:pStyle w:val="65"/>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w:t>
            </w:r>
          </w:p>
        </w:tc>
        <w:tc>
          <w:tcPr>
            <w:tcW w:w="1133" w:type="dxa"/>
            <w:noWrap w:val="0"/>
            <w:vAlign w:val="center"/>
          </w:tcPr>
          <w:p w14:paraId="3F2BD491">
            <w:pPr>
              <w:pStyle w:val="65"/>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设计承诺</w:t>
            </w:r>
          </w:p>
        </w:tc>
        <w:tc>
          <w:tcPr>
            <w:tcW w:w="3166" w:type="dxa"/>
            <w:noWrap w:val="0"/>
            <w:vAlign w:val="center"/>
          </w:tcPr>
          <w:p w14:paraId="1361B5E8">
            <w:pPr>
              <w:pStyle w:val="66"/>
              <w:spacing w:line="300" w:lineRule="exact"/>
              <w:ind w:left="0" w:leftChars="0" w:firstLine="41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如我方中标，我方保证按设计规范及有关法律法规进行设计，并准时提供设计文件和施工图预算，相应设计文件经审图机构审查通过</w:t>
            </w:r>
            <w:r>
              <w:rPr>
                <w:rFonts w:hint="eastAsia" w:asciiTheme="minorEastAsia" w:hAnsiTheme="minorEastAsia" w:eastAsiaTheme="minorEastAsia" w:cstheme="minorEastAsia"/>
                <w:color w:val="auto"/>
                <w:sz w:val="21"/>
                <w:szCs w:val="21"/>
                <w:highlight w:val="none"/>
              </w:rPr>
              <w:t>。</w:t>
            </w:r>
          </w:p>
        </w:tc>
        <w:tc>
          <w:tcPr>
            <w:tcW w:w="5022" w:type="dxa"/>
            <w:noWrap w:val="0"/>
            <w:vAlign w:val="center"/>
          </w:tcPr>
          <w:p w14:paraId="2E99BDC4">
            <w:pPr>
              <w:pStyle w:val="66"/>
              <w:spacing w:line="300" w:lineRule="exact"/>
              <w:ind w:left="0" w:leftChars="0" w:firstLine="41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如我方中标，未能按招标文件要求提供设计文件和施工图预算</w:t>
            </w:r>
            <w:r>
              <w:rPr>
                <w:rFonts w:hint="eastAsia" w:asciiTheme="minorEastAsia" w:hAnsiTheme="minorEastAsia" w:eastAsiaTheme="minorEastAsia" w:cstheme="minorEastAsia"/>
                <w:color w:val="auto"/>
                <w:sz w:val="21"/>
                <w:szCs w:val="21"/>
                <w:highlight w:val="none"/>
              </w:rPr>
              <w:t>，招标人有权终止合同，扣除设计费的10%作为违约罚款，并由招标人另行委托相应资质的单位进行设计，其费用由中标人支付，施工工期不予顺延且不另外计取赶工措施费。</w:t>
            </w:r>
          </w:p>
          <w:p w14:paraId="306D9358">
            <w:pPr>
              <w:pStyle w:val="66"/>
              <w:spacing w:line="300" w:lineRule="exact"/>
              <w:ind w:left="0" w:leftChars="0" w:firstLine="420" w:firstLineChars="200"/>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由于设计单位设计工作错误造成工程设计质量事故，根据责任情况，按招标文件及合同相应违约条款的约定处理。负责采取补救措施。</w:t>
            </w:r>
          </w:p>
          <w:p w14:paraId="574D9B6C">
            <w:pPr>
              <w:pStyle w:val="66"/>
              <w:spacing w:line="300" w:lineRule="exact"/>
              <w:ind w:left="0" w:leftChars="0" w:firstLine="420" w:firstLineChars="200"/>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施工期间</w:t>
            </w:r>
            <w:r>
              <w:rPr>
                <w:rFonts w:hint="eastAsia" w:asciiTheme="minorEastAsia" w:hAnsiTheme="minorEastAsia" w:eastAsiaTheme="minorEastAsia" w:cstheme="minorEastAsia"/>
                <w:bCs/>
                <w:snapToGrid w:val="0"/>
                <w:color w:val="auto"/>
                <w:sz w:val="21"/>
                <w:szCs w:val="21"/>
                <w:highlight w:val="none"/>
              </w:rPr>
              <w:t>除招标人要求或特殊地质原因外，</w:t>
            </w:r>
            <w:r>
              <w:rPr>
                <w:rFonts w:hint="eastAsia" w:asciiTheme="minorEastAsia" w:hAnsiTheme="minorEastAsia" w:eastAsiaTheme="minorEastAsia" w:cstheme="minorEastAsia"/>
                <w:snapToGrid w:val="0"/>
                <w:color w:val="auto"/>
                <w:sz w:val="21"/>
                <w:szCs w:val="21"/>
                <w:highlight w:val="none"/>
              </w:rPr>
              <w:t>因设计质量和深度不够的原因引起的工程返工或需要设计变更引起工程造价增加的，每次扣减设计合同价款中设计费的2％，扣完为止。</w:t>
            </w:r>
          </w:p>
          <w:p w14:paraId="20CA6230">
            <w:pPr>
              <w:pStyle w:val="66"/>
              <w:spacing w:line="300" w:lineRule="exact"/>
              <w:ind w:left="0" w:leftChars="0"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因设计单位自身原因造成工程结算超施工招标中标价的，扣除应付设计合同价款中的余款。</w:t>
            </w:r>
          </w:p>
        </w:tc>
      </w:tr>
      <w:tr w14:paraId="27D6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67D9934E">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w:t>
            </w:r>
          </w:p>
        </w:tc>
        <w:tc>
          <w:tcPr>
            <w:tcW w:w="1133" w:type="dxa"/>
            <w:noWrap w:val="0"/>
            <w:vAlign w:val="center"/>
          </w:tcPr>
          <w:p w14:paraId="2FDFE8BE">
            <w:pPr>
              <w:pStyle w:val="59"/>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综合服务能力承诺</w:t>
            </w:r>
          </w:p>
        </w:tc>
        <w:tc>
          <w:tcPr>
            <w:tcW w:w="3166" w:type="dxa"/>
            <w:noWrap w:val="0"/>
            <w:vAlign w:val="center"/>
          </w:tcPr>
          <w:p w14:paraId="69A95F45">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我方保证中标后，自行解决施工中遇到的各种外部问题，协调周边企业、村民关系，并承担由此产生</w:t>
            </w:r>
            <w:r>
              <w:rPr>
                <w:rFonts w:hint="eastAsia" w:asciiTheme="minorEastAsia" w:hAnsiTheme="minorEastAsia" w:eastAsiaTheme="minorEastAsia" w:cstheme="minorEastAsia"/>
                <w:color w:val="auto"/>
                <w:sz w:val="21"/>
                <w:szCs w:val="21"/>
                <w:highlight w:val="none"/>
                <w:lang w:eastAsia="zh-CN"/>
              </w:rPr>
              <w:t>的所有责任</w:t>
            </w:r>
            <w:r>
              <w:rPr>
                <w:rFonts w:hint="eastAsia" w:asciiTheme="minorEastAsia" w:hAnsiTheme="minorEastAsia" w:eastAsiaTheme="minorEastAsia" w:cstheme="minorEastAsia"/>
                <w:color w:val="auto"/>
                <w:sz w:val="21"/>
                <w:szCs w:val="21"/>
                <w:highlight w:val="none"/>
              </w:rPr>
              <w:t>及损失。</w:t>
            </w:r>
          </w:p>
        </w:tc>
        <w:tc>
          <w:tcPr>
            <w:tcW w:w="5022" w:type="dxa"/>
            <w:noWrap w:val="0"/>
            <w:vAlign w:val="center"/>
          </w:tcPr>
          <w:p w14:paraId="769DB769">
            <w:pPr>
              <w:pStyle w:val="59"/>
              <w:spacing w:line="380" w:lineRule="exact"/>
              <w:ind w:firstLine="42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若我方未能按招标文件所承诺的各项承诺完成时，我方同意按比例扣除相应履约保证金，并承担由此引起的所有责任。</w:t>
            </w:r>
          </w:p>
        </w:tc>
      </w:tr>
      <w:tr w14:paraId="6867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4CDEA384">
            <w:pPr>
              <w:pStyle w:val="32"/>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w:t>
            </w:r>
          </w:p>
        </w:tc>
        <w:tc>
          <w:tcPr>
            <w:tcW w:w="1133" w:type="dxa"/>
            <w:noWrap w:val="0"/>
            <w:vAlign w:val="center"/>
          </w:tcPr>
          <w:p w14:paraId="3F7C137C">
            <w:pPr>
              <w:pStyle w:val="59"/>
              <w:spacing w:line="380" w:lineRule="exact"/>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廉政承诺</w:t>
            </w:r>
          </w:p>
        </w:tc>
        <w:tc>
          <w:tcPr>
            <w:tcW w:w="3166" w:type="dxa"/>
            <w:noWrap w:val="0"/>
            <w:vAlign w:val="center"/>
          </w:tcPr>
          <w:p w14:paraId="7A27C8F7">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如我方中标，我方将严格执行国家、广东省、韶关市有关工程建设廉政的有关法律法规及双方签订的廉政合同。</w:t>
            </w:r>
          </w:p>
        </w:tc>
        <w:tc>
          <w:tcPr>
            <w:tcW w:w="5022" w:type="dxa"/>
            <w:noWrap w:val="0"/>
            <w:vAlign w:val="center"/>
          </w:tcPr>
          <w:p w14:paraId="237BA2A0">
            <w:pPr>
              <w:pStyle w:val="59"/>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我方违反国家、广东省、韶关市有关工程建设廉政的有关法律法规及双方签订的廉政合同，受到相关主管部门的通报或查处，招标人可按规定对我方进行处罚，情节严重时招标人可终止合同，我方承担由此造成的所有责任和经济损失。</w:t>
            </w:r>
          </w:p>
        </w:tc>
      </w:tr>
      <w:tr w14:paraId="2D85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4" w:hRule="atLeast"/>
          <w:jc w:val="center"/>
        </w:trPr>
        <w:tc>
          <w:tcPr>
            <w:tcW w:w="617" w:type="dxa"/>
            <w:noWrap w:val="0"/>
            <w:vAlign w:val="center"/>
          </w:tcPr>
          <w:p w14:paraId="56EDB921">
            <w:pPr>
              <w:pStyle w:val="7"/>
              <w:spacing w:line="380" w:lineRule="exact"/>
              <w:jc w:val="center"/>
              <w:rPr>
                <w:rFonts w:hint="eastAsia" w:asciiTheme="minorEastAsia" w:hAnsiTheme="minorEastAsia" w:eastAsiaTheme="minorEastAsia" w:cstheme="minorEastAsia"/>
                <w:color w:val="auto"/>
                <w:sz w:val="24"/>
                <w:szCs w:val="21"/>
                <w:highlight w:val="none"/>
                <w:lang w:val="en-US" w:eastAsia="zh-CN"/>
              </w:rPr>
            </w:pPr>
            <w:r>
              <w:rPr>
                <w:rFonts w:hint="eastAsia" w:asciiTheme="minorEastAsia" w:hAnsiTheme="minorEastAsia" w:eastAsiaTheme="minorEastAsia" w:cstheme="minorEastAsia"/>
                <w:color w:val="auto"/>
                <w:sz w:val="24"/>
                <w:szCs w:val="21"/>
                <w:highlight w:val="none"/>
                <w:lang w:val="en-US" w:eastAsia="zh-CN"/>
              </w:rPr>
              <w:t>16</w:t>
            </w:r>
          </w:p>
        </w:tc>
        <w:tc>
          <w:tcPr>
            <w:tcW w:w="1133" w:type="dxa"/>
            <w:noWrap w:val="0"/>
            <w:vAlign w:val="center"/>
          </w:tcPr>
          <w:p w14:paraId="372DB7B6">
            <w:pPr>
              <w:pStyle w:val="59"/>
              <w:snapToGrid w:val="0"/>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投标文件</w:t>
            </w:r>
          </w:p>
          <w:p w14:paraId="3D535B08">
            <w:pPr>
              <w:pStyle w:val="59"/>
              <w:snapToGrid w:val="0"/>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信息公开承诺</w:t>
            </w:r>
          </w:p>
        </w:tc>
        <w:tc>
          <w:tcPr>
            <w:tcW w:w="3166" w:type="dxa"/>
            <w:noWrap w:val="0"/>
            <w:vAlign w:val="center"/>
          </w:tcPr>
          <w:p w14:paraId="03BDC69E">
            <w:pPr>
              <w:pStyle w:val="59"/>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我方提供完整的电子文件。如</w:t>
            </w:r>
            <w:r>
              <w:rPr>
                <w:rFonts w:hint="eastAsia" w:asciiTheme="minorEastAsia" w:hAnsiTheme="minorEastAsia" w:eastAsiaTheme="minorEastAsia" w:cstheme="minorEastAsia"/>
                <w:color w:val="auto"/>
                <w:sz w:val="21"/>
                <w:szCs w:val="21"/>
                <w:highlight w:val="none"/>
                <w:lang w:eastAsia="zh-CN"/>
              </w:rPr>
              <w:t>果</w:t>
            </w:r>
            <w:r>
              <w:rPr>
                <w:rFonts w:hint="eastAsia" w:asciiTheme="minorEastAsia" w:hAnsiTheme="minorEastAsia" w:eastAsiaTheme="minorEastAsia" w:cstheme="minorEastAsia"/>
                <w:color w:val="auto"/>
                <w:sz w:val="21"/>
                <w:szCs w:val="21"/>
                <w:highlight w:val="none"/>
              </w:rPr>
              <w:t>我方成为本项目中标候选人，我方同意并授权招标人</w:t>
            </w:r>
            <w:r>
              <w:rPr>
                <w:rFonts w:hint="eastAsia" w:asciiTheme="minorEastAsia" w:hAnsiTheme="minorEastAsia" w:eastAsiaTheme="minorEastAsia" w:cstheme="minorEastAsia"/>
                <w:color w:val="auto"/>
                <w:sz w:val="21"/>
                <w:szCs w:val="21"/>
                <w:highlight w:val="none"/>
                <w:lang w:eastAsia="zh-CN"/>
              </w:rPr>
              <w:t>在评标结果公示期内公开</w:t>
            </w:r>
            <w:r>
              <w:rPr>
                <w:rFonts w:hint="eastAsia" w:asciiTheme="minorEastAsia" w:hAnsiTheme="minorEastAsia" w:eastAsiaTheme="minorEastAsia" w:cstheme="minorEastAsia"/>
                <w:color w:val="auto"/>
                <w:sz w:val="21"/>
                <w:szCs w:val="21"/>
                <w:highlight w:val="none"/>
              </w:rPr>
              <w:t>我方商务部分的</w:t>
            </w:r>
            <w:r>
              <w:rPr>
                <w:rFonts w:hint="eastAsia" w:asciiTheme="minorEastAsia" w:hAnsiTheme="minorEastAsia" w:eastAsiaTheme="minorEastAsia" w:cstheme="minorEastAsia"/>
                <w:color w:val="auto"/>
                <w:sz w:val="21"/>
                <w:szCs w:val="21"/>
                <w:highlight w:val="none"/>
                <w:lang w:eastAsia="zh-CN"/>
              </w:rPr>
              <w:t>全部</w:t>
            </w:r>
            <w:r>
              <w:rPr>
                <w:rFonts w:hint="eastAsia" w:asciiTheme="minorEastAsia" w:hAnsiTheme="minorEastAsia" w:eastAsiaTheme="minorEastAsia" w:cstheme="minorEastAsia"/>
                <w:color w:val="auto"/>
                <w:sz w:val="21"/>
                <w:szCs w:val="21"/>
                <w:highlight w:val="none"/>
              </w:rPr>
              <w:t>内容。</w:t>
            </w:r>
          </w:p>
        </w:tc>
        <w:tc>
          <w:tcPr>
            <w:tcW w:w="5022" w:type="dxa"/>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0F6960DB">
            <w:pPr>
              <w:pStyle w:val="59"/>
              <w:snapToGrid w:val="0"/>
              <w:spacing w:line="240" w:lineRule="auto"/>
              <w:ind w:left="0" w:leftChars="0" w:firstLine="0" w:firstLineChars="0"/>
              <mc:AlternateContent>
                <mc:Choice Requires="wpsCustomData">
                  <wpsCustomData:diagonalParaType/>
                </mc:Choice>
              </mc:AlternateContent>
              <w:rPr>
                <w:rFonts w:hint="eastAsia" w:asciiTheme="minorEastAsia" w:hAnsiTheme="minorEastAsia" w:eastAsiaTheme="minorEastAsia" w:cstheme="minorEastAsia"/>
                <w:color w:val="auto"/>
                <w:sz w:val="21"/>
                <w:szCs w:val="21"/>
                <w:highlight w:val="none"/>
              </w:rPr>
            </w:pPr>
          </w:p>
          <w:p w14:paraId="71926FCB">
            <w:pPr>
              <w:pStyle w:val="59"/>
              <w:snapToGrid w:val="0"/>
              <w:spacing w:line="400" w:lineRule="exact"/>
              <w:ind w:left="0" w:leftChars="0" w:firstLine="0" w:firstLineChars="0"/>
              <w:rPr>
                <w:rFonts w:hint="eastAsia" w:asciiTheme="minorEastAsia" w:hAnsiTheme="minorEastAsia" w:eastAsiaTheme="minorEastAsia" w:cstheme="minorEastAsia"/>
                <w:color w:val="auto"/>
                <w:sz w:val="21"/>
                <w:szCs w:val="21"/>
                <w:highlight w:val="none"/>
              </w:rPr>
            </w:pPr>
          </w:p>
        </w:tc>
      </w:tr>
      <w:tr w14:paraId="52B2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1" w:hRule="atLeast"/>
          <w:jc w:val="center"/>
        </w:trPr>
        <w:tc>
          <w:tcPr>
            <w:tcW w:w="617" w:type="dxa"/>
            <w:noWrap w:val="0"/>
            <w:vAlign w:val="center"/>
          </w:tcPr>
          <w:p w14:paraId="209DAF11">
            <w:pPr>
              <w:pStyle w:val="7"/>
              <w:spacing w:line="380" w:lineRule="exact"/>
              <w:jc w:val="center"/>
              <w:rPr>
                <w:rFonts w:hint="eastAsia" w:asciiTheme="minorEastAsia" w:hAnsiTheme="minorEastAsia" w:eastAsiaTheme="minorEastAsia" w:cstheme="minorEastAsia"/>
                <w:color w:val="auto"/>
                <w:sz w:val="24"/>
                <w:szCs w:val="21"/>
                <w:highlight w:val="none"/>
                <w:lang w:val="en-US" w:eastAsia="zh-CN"/>
              </w:rPr>
            </w:pPr>
            <w:r>
              <w:rPr>
                <w:rFonts w:hint="eastAsia" w:asciiTheme="minorEastAsia" w:hAnsiTheme="minorEastAsia" w:eastAsiaTheme="minorEastAsia" w:cstheme="minorEastAsia"/>
                <w:color w:val="auto"/>
                <w:sz w:val="24"/>
                <w:szCs w:val="21"/>
                <w:highlight w:val="none"/>
                <w:lang w:val="en-US" w:eastAsia="zh-CN"/>
              </w:rPr>
              <w:t>17</w:t>
            </w:r>
          </w:p>
        </w:tc>
        <w:tc>
          <w:tcPr>
            <w:tcW w:w="1133" w:type="dxa"/>
            <w:noWrap w:val="0"/>
            <w:vAlign w:val="center"/>
          </w:tcPr>
          <w:p w14:paraId="44C38788">
            <w:pPr>
              <w:pStyle w:val="59"/>
              <w:snapToGrid w:val="0"/>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质量安全受检承诺</w:t>
            </w:r>
          </w:p>
        </w:tc>
        <w:tc>
          <w:tcPr>
            <w:tcW w:w="3166" w:type="dxa"/>
            <w:noWrap w:val="0"/>
            <w:vAlign w:val="center"/>
          </w:tcPr>
          <w:p w14:paraId="5D8D3304">
            <w:pPr>
              <w:pStyle w:val="59"/>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我方中标，我方承诺本项目在建设过程中，设计及施工的质量安全等相关实施内容按照业主单位、发包单位的相关管理规定和质量安全考核要求，随时接受业主单位、发包单位自行或委托的第三方的监督检查及考核，我方保证无条件配合。</w:t>
            </w:r>
          </w:p>
        </w:tc>
        <w:tc>
          <w:tcPr>
            <w:tcW w:w="5022" w:type="dxa"/>
            <w:noWrap w:val="0"/>
            <w:vAlign w:val="center"/>
          </w:tcPr>
          <w:p w14:paraId="109A2570">
            <w:pPr>
              <w:pStyle w:val="59"/>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如我方不配合或未通过相关的监督检查及考核，我方承诺接受业主单位、发包单位的相关管理规定和处罚，并承担相应的责任。</w:t>
            </w:r>
          </w:p>
        </w:tc>
      </w:tr>
      <w:tr w14:paraId="50A1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617" w:type="dxa"/>
            <w:noWrap w:val="0"/>
            <w:vAlign w:val="center"/>
          </w:tcPr>
          <w:p w14:paraId="74EDFCEA">
            <w:pPr>
              <w:pStyle w:val="7"/>
              <w:spacing w:line="380" w:lineRule="exact"/>
              <w:jc w:val="center"/>
              <w:rPr>
                <w:rFonts w:hint="eastAsia" w:asciiTheme="minorEastAsia" w:hAnsiTheme="minorEastAsia" w:eastAsiaTheme="minorEastAsia" w:cstheme="minorEastAsia"/>
                <w:color w:val="auto"/>
                <w:sz w:val="24"/>
                <w:szCs w:val="21"/>
                <w:highlight w:val="none"/>
                <w:lang w:val="en-US" w:eastAsia="zh-CN"/>
              </w:rPr>
            </w:pPr>
            <w:r>
              <w:rPr>
                <w:rFonts w:hint="eastAsia" w:asciiTheme="minorEastAsia" w:hAnsiTheme="minorEastAsia" w:eastAsiaTheme="minorEastAsia" w:cstheme="minorEastAsia"/>
                <w:color w:val="auto"/>
                <w:sz w:val="24"/>
                <w:szCs w:val="21"/>
                <w:highlight w:val="none"/>
                <w:lang w:val="en-US" w:eastAsia="zh-CN"/>
              </w:rPr>
              <w:t>18</w:t>
            </w:r>
          </w:p>
        </w:tc>
        <w:tc>
          <w:tcPr>
            <w:tcW w:w="1133" w:type="dxa"/>
            <w:noWrap w:val="0"/>
            <w:vAlign w:val="center"/>
          </w:tcPr>
          <w:p w14:paraId="5A4A3A45">
            <w:pPr>
              <w:pStyle w:val="59"/>
              <w:snapToGrid w:val="0"/>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对工程预付款的使用承诺</w:t>
            </w:r>
          </w:p>
        </w:tc>
        <w:tc>
          <w:tcPr>
            <w:tcW w:w="3166" w:type="dxa"/>
            <w:noWrap w:val="0"/>
            <w:vAlign w:val="center"/>
          </w:tcPr>
          <w:p w14:paraId="3433A433">
            <w:pPr>
              <w:pStyle w:val="59"/>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我方保证工程预付款用于主要建筑材料的备料及支付工人工资。</w:t>
            </w:r>
          </w:p>
        </w:tc>
        <w:tc>
          <w:tcPr>
            <w:tcW w:w="5022" w:type="dxa"/>
            <w:noWrap w:val="0"/>
            <w:vAlign w:val="center"/>
          </w:tcPr>
          <w:p w14:paraId="3F167C4A">
            <w:pPr>
              <w:pStyle w:val="59"/>
              <w:snapToGrid w:val="0"/>
              <w:spacing w:line="400" w:lineRule="exact"/>
              <w:ind w:firstLine="42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50165</wp:posOffset>
                      </wp:positionV>
                      <wp:extent cx="3055620" cy="815975"/>
                      <wp:effectExtent l="1270" t="4445" r="10160" b="17780"/>
                      <wp:wrapNone/>
                      <wp:docPr id="2" name="直线 18"/>
                      <wp:cNvGraphicFramePr/>
                      <a:graphic xmlns:a="http://schemas.openxmlformats.org/drawingml/2006/main">
                        <a:graphicData uri="http://schemas.microsoft.com/office/word/2010/wordprocessingShape">
                          <wps:wsp>
                            <wps:cNvCnPr/>
                            <wps:spPr>
                              <a:xfrm flipV="1">
                                <a:off x="0" y="0"/>
                                <a:ext cx="3055620" cy="8159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8" o:spid="_x0000_s1026" o:spt="20" style="position:absolute;left:0pt;flip:y;margin-left:1.2pt;margin-top:3.95pt;height:64.25pt;width:240.6pt;z-index:251663360;mso-width-relative:page;mso-height-relative:page;" filled="f" stroked="t" coordsize="21600,21600" o:gfxdata="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Tw3wdUAAAAHAQAADwAAAAAAAAABACAAAAAiAAAAZHJzL2Rvd25yZXYueG1sUEsB&#10;AhQAFAAAAAgAh07iQAC7bs34AQAA+QMAAA4AAAAAAAAAAQAgAAAAJAEAAGRycy9lMm9Eb2MueG1s&#10;UEsFBgAAAAAGAAYAWQEAAI4FAAAAAA==&#10;">
                      <v:fill on="f" focussize="0,0"/>
                      <v:stroke color="#000000" joinstyle="round"/>
                      <v:imagedata o:title=""/>
                      <o:lock v:ext="edit" aspectratio="f"/>
                    </v:line>
                  </w:pict>
                </mc:Fallback>
              </mc:AlternateContent>
            </w:r>
          </w:p>
        </w:tc>
      </w:tr>
    </w:tbl>
    <w:p w14:paraId="1C0451D9">
      <w:pPr>
        <w:pStyle w:val="6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注：所有违约金均从中标人的进度款中扣除，最终结算以扣除违约金总数后的金额为准。</w:t>
      </w:r>
    </w:p>
    <w:p w14:paraId="0B502A2A">
      <w:pPr>
        <w:pStyle w:val="32"/>
        <w:spacing w:line="400" w:lineRule="exact"/>
        <w:jc w:val="left"/>
        <w:rPr>
          <w:rFonts w:hint="eastAsia" w:asciiTheme="minorEastAsia" w:hAnsiTheme="minorEastAsia" w:eastAsiaTheme="minorEastAsia" w:cstheme="minorEastAsia"/>
          <w:color w:val="auto"/>
          <w:szCs w:val="24"/>
          <w:highlight w:val="none"/>
        </w:rPr>
      </w:pPr>
    </w:p>
    <w:p w14:paraId="47430C0D">
      <w:pPr>
        <w:pStyle w:val="16"/>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53CA5AC0">
      <w:pPr>
        <w:pStyle w:val="16"/>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p>
    <w:p w14:paraId="2A517079">
      <w:pPr>
        <w:pStyle w:val="16"/>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67ED6B0D">
      <w:pPr>
        <w:pStyle w:val="16"/>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p w14:paraId="1322B03F">
      <w:pPr>
        <w:widowControl/>
        <w:jc w:val="right"/>
        <w:rPr>
          <w:rFonts w:hint="eastAsia" w:asciiTheme="minorEastAsia" w:hAnsiTheme="minorEastAsia" w:eastAsiaTheme="minorEastAsia" w:cstheme="minorEastAsia"/>
          <w:b/>
          <w:bCs/>
          <w:snapToGrid w:val="0"/>
          <w:color w:val="auto"/>
          <w:kern w:val="0"/>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r>
        <w:rPr>
          <w:rFonts w:hint="eastAsia" w:asciiTheme="minorEastAsia" w:hAnsiTheme="minorEastAsia" w:eastAsiaTheme="minorEastAsia" w:cstheme="minorEastAsia"/>
          <w:b/>
          <w:bCs/>
          <w:snapToGrid w:val="0"/>
          <w:color w:val="auto"/>
          <w:kern w:val="0"/>
          <w:szCs w:val="24"/>
          <w:highlight w:val="none"/>
        </w:rPr>
        <w:br w:type="page"/>
      </w:r>
    </w:p>
    <w:p w14:paraId="1E45A9F3">
      <w:pPr>
        <w:pStyle w:val="4"/>
        <w:spacing w:before="120"/>
        <w:rPr>
          <w:rFonts w:hint="eastAsia" w:asciiTheme="minorEastAsia" w:hAnsiTheme="minorEastAsia" w:eastAsiaTheme="minorEastAsia" w:cstheme="minorEastAsia"/>
          <w:b/>
          <w:bCs/>
          <w:color w:val="auto"/>
          <w:szCs w:val="24"/>
          <w:highlight w:val="none"/>
        </w:rPr>
      </w:pPr>
      <w:bookmarkStart w:id="330" w:name="_Toc10981"/>
      <w:bookmarkStart w:id="331" w:name="_Toc30463"/>
      <w:bookmarkStart w:id="332" w:name="_Toc30764"/>
      <w:bookmarkStart w:id="333" w:name="_Toc6896"/>
      <w:bookmarkStart w:id="334" w:name="_Toc27589"/>
      <w:r>
        <w:rPr>
          <w:rFonts w:hint="eastAsia" w:asciiTheme="minorEastAsia" w:hAnsiTheme="minorEastAsia" w:eastAsiaTheme="minorEastAsia" w:cstheme="minorEastAsia"/>
          <w:b/>
          <w:bCs/>
          <w:color w:val="auto"/>
          <w:szCs w:val="24"/>
          <w:highlight w:val="none"/>
        </w:rPr>
        <w:t>格式四 授权委托书</w:t>
      </w:r>
      <w:bookmarkEnd w:id="330"/>
      <w:bookmarkEnd w:id="331"/>
      <w:bookmarkEnd w:id="332"/>
      <w:bookmarkEnd w:id="333"/>
      <w:bookmarkEnd w:id="334"/>
    </w:p>
    <w:p w14:paraId="62696386">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p>
    <w:p w14:paraId="2EC96F81">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授权委托书</w:t>
      </w:r>
    </w:p>
    <w:p w14:paraId="165590F7">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55914574">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本人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（姓名）系</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（投标人名称）的法定代表人，现委托</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（姓名）为我方代理人。代理人根据授权，以我方名义签署、澄清、说明、补正、递交、撤回、修改</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（项目名称）投标文件、签订合同和处理有关事宜，其法律后果由我方承担。</w:t>
      </w:r>
    </w:p>
    <w:p w14:paraId="177C9AE2">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委托期限：至</w:t>
      </w:r>
      <w:r>
        <w:rPr>
          <w:rFonts w:hint="eastAsia" w:asciiTheme="minorEastAsia" w:hAnsiTheme="minorEastAsia" w:eastAsiaTheme="minorEastAsia" w:cstheme="minorEastAsia"/>
          <w:snapToGrid w:val="0"/>
          <w:color w:val="auto"/>
          <w:kern w:val="0"/>
          <w:szCs w:val="24"/>
          <w:highlight w:val="none"/>
          <w:u w:val="single"/>
        </w:rPr>
        <w:t xml:space="preserve">     年   月   日</w:t>
      </w:r>
      <w:r>
        <w:rPr>
          <w:rFonts w:hint="eastAsia" w:asciiTheme="minorEastAsia" w:hAnsiTheme="minorEastAsia" w:eastAsiaTheme="minorEastAsia" w:cstheme="minorEastAsia"/>
          <w:i/>
          <w:iCs/>
          <w:snapToGrid w:val="0"/>
          <w:color w:val="auto"/>
          <w:kern w:val="0"/>
          <w:szCs w:val="24"/>
          <w:highlight w:val="none"/>
          <w:u w:val="single"/>
        </w:rPr>
        <w:t>（不得短于招标文件规定的投标有效期）</w:t>
      </w:r>
      <w:r>
        <w:rPr>
          <w:rFonts w:hint="eastAsia" w:asciiTheme="minorEastAsia" w:hAnsiTheme="minorEastAsia" w:eastAsiaTheme="minorEastAsia" w:cstheme="minorEastAsia"/>
          <w:snapToGrid w:val="0"/>
          <w:color w:val="auto"/>
          <w:kern w:val="0"/>
          <w:szCs w:val="24"/>
          <w:highlight w:val="none"/>
        </w:rPr>
        <w:t xml:space="preserve"> 。</w:t>
      </w:r>
    </w:p>
    <w:p w14:paraId="725EDC78">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代理人无转委托权。</w:t>
      </w:r>
    </w:p>
    <w:p w14:paraId="51266686">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35AE1996">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66250D64">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  标  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1D943548">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p>
    <w:p w14:paraId="12FDB4D0">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15C9906A">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p>
    <w:p w14:paraId="57DF70FF">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4A37934B">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2EC0D6B2">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0A75EA1B">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168D05E6">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697069B5">
      <w:pPr>
        <w:wordWrap w:val="0"/>
        <w:adjustRightInd w:val="0"/>
        <w:snapToGrid w:val="0"/>
        <w:ind w:firstLine="5520" w:firstLineChars="23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u w:val="single"/>
        </w:rPr>
        <mc:AlternateContent>
          <mc:Choice Requires="wps">
            <w:drawing>
              <wp:anchor distT="0" distB="0" distL="114300" distR="114300" simplePos="0" relativeHeight="25166233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10" name="流程图: 可选过程 10"/>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58388AB">
                            <w:pPr>
                              <w:jc w:val="center"/>
                              <w:rPr>
                                <w:rFonts w:hint="default"/>
                                <w:szCs w:val="21"/>
                              </w:rPr>
                            </w:pPr>
                          </w:p>
                          <w:p w14:paraId="1915B07E">
                            <w:pPr>
                              <w:jc w:val="center"/>
                              <w:rPr>
                                <w:rFonts w:hint="default"/>
                                <w:szCs w:val="21"/>
                              </w:rPr>
                            </w:pPr>
                          </w:p>
                          <w:p w14:paraId="102F67A9">
                            <w:pPr>
                              <w:jc w:val="center"/>
                              <w:rPr>
                                <w:rFonts w:hint="default"/>
                                <w:szCs w:val="21"/>
                              </w:rPr>
                            </w:pPr>
                          </w:p>
                          <w:p w14:paraId="6D3D889B">
                            <w:pPr>
                              <w:jc w:val="center"/>
                              <w:rPr>
                                <w:rFonts w:hint="default"/>
                                <w:szCs w:val="21"/>
                              </w:rPr>
                            </w:pPr>
                            <w:r>
                              <w:rPr>
                                <w:szCs w:val="21"/>
                              </w:rPr>
                              <w:t>委托代理人身份证彩色扫描件正、反面</w:t>
                            </w:r>
                          </w:p>
                        </w:txbxContent>
                      </wps:txbx>
                      <wps:bodyPr wrap="square" upright="1"/>
                    </wps:wsp>
                  </a:graphicData>
                </a:graphic>
              </wp:anchor>
            </w:drawing>
          </mc:Choice>
          <mc:Fallback>
            <w:pict>
              <v:shape id="_x0000_s1026" o:spid="_x0000_s1026" o:spt="176" type="#_x0000_t176" style="position:absolute;left:0pt;margin-left:115.5pt;margin-top:2.6pt;height:124.75pt;width:251.25pt;z-index:25166233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J9Os2AAAAAkBAAAPAAAAAAAAAAEAIAAAACIAAABkcnMvZG93&#10;bnJldi54bWxQSwECFAAUAAAACACHTuJAsfZZWzkCAABuBAAADgAAAAAAAAABACAAAAAnAQAAZHJz&#10;L2Uyb0RvYy54bWxQSwUGAAAAAAYABgBZAQAA0gUAAAAA&#10;">
                <v:fill on="t" focussize="0,0"/>
                <v:stroke color="#000000" joinstyle="miter"/>
                <v:imagedata o:title=""/>
                <o:lock v:ext="edit" aspectratio="f"/>
                <v:textbox>
                  <w:txbxContent>
                    <w:p w14:paraId="058388AB">
                      <w:pPr>
                        <w:jc w:val="center"/>
                        <w:rPr>
                          <w:rFonts w:hint="default"/>
                          <w:szCs w:val="21"/>
                        </w:rPr>
                      </w:pPr>
                    </w:p>
                    <w:p w14:paraId="1915B07E">
                      <w:pPr>
                        <w:jc w:val="center"/>
                        <w:rPr>
                          <w:rFonts w:hint="default"/>
                          <w:szCs w:val="21"/>
                        </w:rPr>
                      </w:pPr>
                    </w:p>
                    <w:p w14:paraId="102F67A9">
                      <w:pPr>
                        <w:jc w:val="center"/>
                        <w:rPr>
                          <w:rFonts w:hint="default"/>
                          <w:szCs w:val="21"/>
                        </w:rPr>
                      </w:pPr>
                    </w:p>
                    <w:p w14:paraId="6D3D889B">
                      <w:pPr>
                        <w:jc w:val="center"/>
                        <w:rPr>
                          <w:rFonts w:hint="default"/>
                          <w:szCs w:val="21"/>
                        </w:rPr>
                      </w:pPr>
                      <w:r>
                        <w:rPr>
                          <w:szCs w:val="21"/>
                        </w:rPr>
                        <w:t>委托代理人身份证彩色扫描件正、反面</w:t>
                      </w:r>
                    </w:p>
                  </w:txbxContent>
                </v:textbox>
              </v:shape>
            </w:pict>
          </mc:Fallback>
        </mc:AlternateContent>
      </w:r>
    </w:p>
    <w:p w14:paraId="62D77650">
      <w:pPr>
        <w:pStyle w:val="8"/>
        <w:wordWrap w:val="0"/>
        <w:adjustRightInd w:val="0"/>
        <w:snapToGrid w:val="0"/>
        <w:rPr>
          <w:rFonts w:hint="eastAsia" w:asciiTheme="minorEastAsia" w:hAnsiTheme="minorEastAsia" w:eastAsiaTheme="minorEastAsia" w:cstheme="minorEastAsia"/>
          <w:snapToGrid w:val="0"/>
          <w:color w:val="auto"/>
          <w:kern w:val="0"/>
          <w:szCs w:val="24"/>
          <w:highlight w:val="none"/>
        </w:rPr>
      </w:pPr>
    </w:p>
    <w:p w14:paraId="7CB9B177">
      <w:pPr>
        <w:rPr>
          <w:rFonts w:hint="eastAsia" w:asciiTheme="minorEastAsia" w:hAnsiTheme="minorEastAsia" w:eastAsiaTheme="minorEastAsia" w:cstheme="minorEastAsia"/>
          <w:color w:val="auto"/>
          <w:szCs w:val="24"/>
          <w:highlight w:val="none"/>
        </w:rPr>
      </w:pPr>
    </w:p>
    <w:p w14:paraId="17518681">
      <w:pPr>
        <w:wordWrap w:val="0"/>
        <w:adjustRightInd w:val="0"/>
        <w:snapToGrid w:val="0"/>
        <w:rPr>
          <w:rFonts w:hint="eastAsia" w:asciiTheme="minorEastAsia" w:hAnsiTheme="minorEastAsia" w:eastAsiaTheme="minorEastAsia" w:cstheme="minorEastAsia"/>
          <w:snapToGrid w:val="0"/>
          <w:color w:val="auto"/>
          <w:kern w:val="0"/>
          <w:szCs w:val="24"/>
          <w:highlight w:val="none"/>
        </w:rPr>
        <w:sectPr>
          <w:headerReference r:id="rId6" w:type="default"/>
          <w:footerReference r:id="rId7" w:type="default"/>
          <w:endnotePr>
            <w:numFmt w:val="decimal"/>
          </w:endnotePr>
          <w:pgSz w:w="11906" w:h="16838"/>
          <w:pgMar w:top="1701" w:right="1531" w:bottom="1417" w:left="1531" w:header="850" w:footer="737" w:gutter="0"/>
          <w:pgNumType w:fmt="decimal"/>
          <w:cols w:space="720" w:num="1"/>
          <w:docGrid w:linePitch="327" w:charSpace="0"/>
        </w:sectPr>
      </w:pPr>
    </w:p>
    <w:p w14:paraId="4354A372">
      <w:pPr>
        <w:pStyle w:val="4"/>
        <w:spacing w:before="120"/>
        <w:rPr>
          <w:rFonts w:hint="eastAsia" w:asciiTheme="minorEastAsia" w:hAnsiTheme="minorEastAsia" w:eastAsiaTheme="minorEastAsia" w:cstheme="minorEastAsia"/>
          <w:b/>
          <w:bCs/>
          <w:color w:val="auto"/>
          <w:szCs w:val="24"/>
          <w:highlight w:val="none"/>
        </w:rPr>
      </w:pPr>
      <w:bookmarkStart w:id="335" w:name="_Toc13693"/>
      <w:bookmarkStart w:id="336" w:name="_Toc12031"/>
      <w:r>
        <w:rPr>
          <w:rFonts w:hint="eastAsia" w:asciiTheme="minorEastAsia" w:hAnsiTheme="minorEastAsia" w:eastAsiaTheme="minorEastAsia" w:cstheme="minorEastAsia"/>
          <w:b/>
          <w:bCs/>
          <w:color w:val="auto"/>
          <w:szCs w:val="24"/>
          <w:highlight w:val="none"/>
        </w:rPr>
        <w:t>格式五 法定代表人身份证明</w:t>
      </w:r>
      <w:bookmarkEnd w:id="335"/>
      <w:bookmarkEnd w:id="336"/>
    </w:p>
    <w:p w14:paraId="2351A656">
      <w:pPr>
        <w:wordWrap w:val="0"/>
        <w:adjustRightInd w:val="0"/>
        <w:snapToGrid w:val="0"/>
        <w:spacing w:line="440" w:lineRule="exact"/>
        <w:rPr>
          <w:rFonts w:hint="eastAsia" w:asciiTheme="minorEastAsia" w:hAnsiTheme="minorEastAsia" w:eastAsiaTheme="minorEastAsia" w:cstheme="minorEastAsia"/>
          <w:b/>
          <w:snapToGrid w:val="0"/>
          <w:color w:val="auto"/>
          <w:kern w:val="0"/>
          <w:szCs w:val="24"/>
          <w:highlight w:val="none"/>
        </w:rPr>
      </w:pPr>
    </w:p>
    <w:p w14:paraId="1B1DAF87">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法定代表人身份证明</w:t>
      </w:r>
    </w:p>
    <w:p w14:paraId="7D59D64F">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40059B0C">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u w:val="single"/>
        </w:rPr>
      </w:pPr>
      <w:r>
        <w:rPr>
          <w:rFonts w:hint="eastAsia" w:asciiTheme="minorEastAsia" w:hAnsiTheme="minorEastAsia" w:eastAsiaTheme="minorEastAsia" w:cstheme="minorEastAsia"/>
          <w:snapToGrid w:val="0"/>
          <w:color w:val="auto"/>
          <w:kern w:val="0"/>
          <w:szCs w:val="24"/>
          <w:highlight w:val="none"/>
        </w:rPr>
        <w:t>投标人名称：</w:t>
      </w:r>
      <w:r>
        <w:rPr>
          <w:rFonts w:hint="eastAsia" w:asciiTheme="minorEastAsia" w:hAnsiTheme="minorEastAsia" w:eastAsiaTheme="minorEastAsia" w:cstheme="minorEastAsia"/>
          <w:snapToGrid w:val="0"/>
          <w:color w:val="auto"/>
          <w:kern w:val="0"/>
          <w:szCs w:val="24"/>
          <w:highlight w:val="none"/>
          <w:u w:val="single"/>
        </w:rPr>
        <w:t xml:space="preserve">                  </w:t>
      </w:r>
    </w:p>
    <w:p w14:paraId="177CEF7F">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u w:val="single"/>
        </w:rPr>
      </w:pPr>
      <w:r>
        <w:rPr>
          <w:rFonts w:hint="eastAsia" w:asciiTheme="minorEastAsia" w:hAnsiTheme="minorEastAsia" w:eastAsiaTheme="minorEastAsia" w:cstheme="minorEastAsia"/>
          <w:snapToGrid w:val="0"/>
          <w:color w:val="auto"/>
          <w:kern w:val="0"/>
          <w:szCs w:val="24"/>
          <w:highlight w:val="none"/>
        </w:rPr>
        <w:t>姓名：</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性别：</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年龄：</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职务：</w:t>
      </w:r>
      <w:r>
        <w:rPr>
          <w:rFonts w:hint="eastAsia" w:asciiTheme="minorEastAsia" w:hAnsiTheme="minorEastAsia" w:eastAsiaTheme="minorEastAsia" w:cstheme="minorEastAsia"/>
          <w:snapToGrid w:val="0"/>
          <w:color w:val="auto"/>
          <w:kern w:val="0"/>
          <w:szCs w:val="24"/>
          <w:highlight w:val="none"/>
          <w:u w:val="single"/>
        </w:rPr>
        <w:t xml:space="preserve">           </w:t>
      </w:r>
    </w:p>
    <w:p w14:paraId="670953E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系</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（投标人名称）的法定代表人。</w:t>
      </w:r>
    </w:p>
    <w:p w14:paraId="10C2384B">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特此证明。</w:t>
      </w:r>
    </w:p>
    <w:p w14:paraId="325E7E24">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22646B82">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0ABD5BA3">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6D84FFCF">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6B59F738">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41276F30">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2598E635">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0AD582D5">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 xml:space="preserve">日       </w:t>
      </w:r>
    </w:p>
    <w:p w14:paraId="04C51D28">
      <w:pPr>
        <w:wordWrap w:val="0"/>
        <w:adjustRightInd w:val="0"/>
        <w:snapToGrid w:val="0"/>
        <w:spacing w:line="440" w:lineRule="exact"/>
        <w:ind w:firstLine="720" w:firstLineChars="300"/>
        <w:rPr>
          <w:rFonts w:hint="eastAsia" w:asciiTheme="minorEastAsia" w:hAnsiTheme="minorEastAsia" w:eastAsiaTheme="minorEastAsia" w:cstheme="minorEastAsia"/>
          <w:i/>
          <w:iCs/>
          <w:snapToGrid w:val="0"/>
          <w:color w:val="auto"/>
          <w:kern w:val="0"/>
          <w:szCs w:val="24"/>
          <w:highlight w:val="none"/>
        </w:rPr>
      </w:pPr>
    </w:p>
    <w:p w14:paraId="0578B608">
      <w:pPr>
        <w:wordWrap w:val="0"/>
        <w:adjustRightInd w:val="0"/>
        <w:snapToGrid w:val="0"/>
        <w:spacing w:line="440" w:lineRule="exact"/>
        <w:ind w:firstLine="720" w:firstLineChars="300"/>
        <w:rPr>
          <w:rFonts w:hint="eastAsia" w:asciiTheme="minorEastAsia" w:hAnsiTheme="minorEastAsia" w:eastAsiaTheme="minorEastAsia" w:cstheme="minorEastAsia"/>
          <w:i/>
          <w:iCs/>
          <w:snapToGrid w:val="0"/>
          <w:color w:val="auto"/>
          <w:kern w:val="0"/>
          <w:szCs w:val="24"/>
          <w:highlight w:val="none"/>
        </w:rPr>
      </w:pPr>
    </w:p>
    <w:p w14:paraId="6FD33BC2">
      <w:pPr>
        <w:wordWrap w:val="0"/>
        <w:adjustRightInd w:val="0"/>
        <w:snapToGrid w:val="0"/>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mc:AlternateContent>
          <mc:Choice Requires="wps">
            <w:drawing>
              <wp:anchor distT="0" distB="0" distL="114300" distR="114300" simplePos="0" relativeHeight="25166131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9" name="流程图: 可选过程 9"/>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1544771">
                            <w:pPr>
                              <w:jc w:val="center"/>
                              <w:rPr>
                                <w:rFonts w:hint="default"/>
                                <w:szCs w:val="21"/>
                              </w:rPr>
                            </w:pPr>
                          </w:p>
                          <w:p w14:paraId="08B1C077">
                            <w:pPr>
                              <w:jc w:val="center"/>
                              <w:rPr>
                                <w:rFonts w:hint="default"/>
                                <w:szCs w:val="21"/>
                              </w:rPr>
                            </w:pPr>
                          </w:p>
                          <w:p w14:paraId="64C679F0">
                            <w:pPr>
                              <w:jc w:val="center"/>
                              <w:rPr>
                                <w:rFonts w:hint="default"/>
                                <w:szCs w:val="21"/>
                              </w:rPr>
                            </w:pPr>
                          </w:p>
                          <w:p w14:paraId="34703B56">
                            <w:pPr>
                              <w:jc w:val="center"/>
                              <w:rPr>
                                <w:rFonts w:hint="default"/>
                                <w:szCs w:val="21"/>
                              </w:rPr>
                            </w:pPr>
                            <w:r>
                              <w:rPr>
                                <w:szCs w:val="21"/>
                              </w:rPr>
                              <w:t>法定代表人身份证彩色扫描件正、反面</w:t>
                            </w:r>
                          </w:p>
                        </w:txbxContent>
                      </wps:txbx>
                      <wps:bodyPr wrap="square" upright="1"/>
                    </wps:wsp>
                  </a:graphicData>
                </a:graphic>
              </wp:anchor>
            </w:drawing>
          </mc:Choice>
          <mc:Fallback>
            <w:pict>
              <v:shape id="_x0000_s1026" o:spid="_x0000_s1026" o:spt="176" type="#_x0000_t176" style="position:absolute;left:0pt;margin-left:127.5pt;margin-top:1.6pt;height:124.75pt;width:222.45pt;z-index:25166131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hXUptgAAAAJAQAADwAAAAAAAAABACAAAAAiAAAAZHJzL2Rvd25y&#10;ZXYueG1sUEsBAhQAFAAAAAgAh07iQEz7asY3AgAAbAQAAA4AAAAAAAAAAQAgAAAAJwEAAGRycy9l&#10;Mm9Eb2MueG1sUEsFBgAAAAAGAAYAWQEAANAFAAAAAA==&#10;">
                <v:fill on="t" focussize="0,0"/>
                <v:stroke color="#000000" joinstyle="miter"/>
                <v:imagedata o:title=""/>
                <o:lock v:ext="edit" aspectratio="f"/>
                <v:textbox>
                  <w:txbxContent>
                    <w:p w14:paraId="41544771">
                      <w:pPr>
                        <w:jc w:val="center"/>
                        <w:rPr>
                          <w:rFonts w:hint="default"/>
                          <w:szCs w:val="21"/>
                        </w:rPr>
                      </w:pPr>
                    </w:p>
                    <w:p w14:paraId="08B1C077">
                      <w:pPr>
                        <w:jc w:val="center"/>
                        <w:rPr>
                          <w:rFonts w:hint="default"/>
                          <w:szCs w:val="21"/>
                        </w:rPr>
                      </w:pPr>
                    </w:p>
                    <w:p w14:paraId="64C679F0">
                      <w:pPr>
                        <w:jc w:val="center"/>
                        <w:rPr>
                          <w:rFonts w:hint="default"/>
                          <w:szCs w:val="21"/>
                        </w:rPr>
                      </w:pPr>
                    </w:p>
                    <w:p w14:paraId="34703B56">
                      <w:pPr>
                        <w:jc w:val="center"/>
                        <w:rPr>
                          <w:rFonts w:hint="default"/>
                          <w:szCs w:val="21"/>
                        </w:rPr>
                      </w:pPr>
                      <w:r>
                        <w:rPr>
                          <w:szCs w:val="21"/>
                        </w:rPr>
                        <w:t>法定代表人身份证彩色扫描件正、反面</w:t>
                      </w:r>
                    </w:p>
                  </w:txbxContent>
                </v:textbox>
              </v:shape>
            </w:pict>
          </mc:Fallback>
        </mc:AlternateContent>
      </w:r>
    </w:p>
    <w:p w14:paraId="48C63E55">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heme="minorEastAsia" w:hAnsiTheme="minorEastAsia" w:eastAsiaTheme="minorEastAsia" w:cstheme="minorEastAsia"/>
          <w:snapToGrid w:val="0"/>
          <w:color w:val="auto"/>
          <w:kern w:val="0"/>
          <w:szCs w:val="24"/>
          <w:highlight w:val="none"/>
        </w:rPr>
      </w:pPr>
    </w:p>
    <w:p w14:paraId="1AC9CFD5">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pPr>
    </w:p>
    <w:p w14:paraId="02B2C081">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pPr>
    </w:p>
    <w:p w14:paraId="508D7C10">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7BDF84ED">
      <w:pPr>
        <w:pStyle w:val="4"/>
        <w:spacing w:before="120"/>
        <w:rPr>
          <w:rFonts w:hint="eastAsia" w:asciiTheme="minorEastAsia" w:hAnsiTheme="minorEastAsia" w:eastAsiaTheme="minorEastAsia" w:cstheme="minorEastAsia"/>
          <w:b/>
          <w:bCs/>
          <w:color w:val="auto"/>
          <w:szCs w:val="24"/>
          <w:highlight w:val="none"/>
        </w:rPr>
      </w:pPr>
      <w:bookmarkStart w:id="337" w:name="_Toc8640"/>
      <w:bookmarkStart w:id="338" w:name="_Toc26395"/>
      <w:bookmarkStart w:id="339" w:name="_Toc30665"/>
      <w:bookmarkStart w:id="340" w:name="_Toc16430"/>
      <w:bookmarkStart w:id="341" w:name="_Toc26875"/>
      <w:r>
        <w:rPr>
          <w:rFonts w:hint="eastAsia" w:asciiTheme="minorEastAsia" w:hAnsiTheme="minorEastAsia" w:eastAsiaTheme="minorEastAsia" w:cstheme="minorEastAsia"/>
          <w:b/>
          <w:bCs/>
          <w:color w:val="auto"/>
          <w:szCs w:val="24"/>
          <w:highlight w:val="none"/>
        </w:rPr>
        <w:t>格式六 联合体协议书</w:t>
      </w:r>
      <w:bookmarkEnd w:id="337"/>
      <w:bookmarkEnd w:id="338"/>
      <w:bookmarkEnd w:id="339"/>
      <w:bookmarkEnd w:id="340"/>
      <w:bookmarkEnd w:id="341"/>
    </w:p>
    <w:p w14:paraId="2F27ECAB">
      <w:pPr>
        <w:pStyle w:val="45"/>
        <w:widowControl w:val="0"/>
        <w:wordWrap w:val="0"/>
        <w:adjustRightInd w:val="0"/>
        <w:snapToGrid w:val="0"/>
        <w:spacing w:before="240" w:after="240" w:line="440" w:lineRule="exact"/>
        <w:ind w:firstLine="0"/>
        <w:jc w:val="center"/>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b/>
          <w:snapToGrid w:val="0"/>
          <w:color w:val="auto"/>
          <w:sz w:val="24"/>
          <w:szCs w:val="24"/>
          <w:highlight w:val="none"/>
        </w:rPr>
        <w:t>联合体协议书</w:t>
      </w:r>
    </w:p>
    <w:p w14:paraId="1881519E">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39578033">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65B13345">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牵头人名称：</w:t>
      </w:r>
      <w:r>
        <w:rPr>
          <w:rFonts w:hint="eastAsia" w:asciiTheme="minorEastAsia" w:hAnsiTheme="minorEastAsia" w:eastAsiaTheme="minorEastAsia" w:cstheme="minorEastAsia"/>
          <w:snapToGrid w:val="0"/>
          <w:color w:val="auto"/>
          <w:sz w:val="24"/>
          <w:szCs w:val="24"/>
          <w:highlight w:val="none"/>
          <w:u w:val="single"/>
        </w:rPr>
        <w:t xml:space="preserve">                                                  </w:t>
      </w:r>
    </w:p>
    <w:p w14:paraId="61CC75AD">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法定代表人：</w:t>
      </w:r>
      <w:r>
        <w:rPr>
          <w:rFonts w:hint="eastAsia" w:asciiTheme="minorEastAsia" w:hAnsiTheme="minorEastAsia" w:eastAsiaTheme="minorEastAsia" w:cstheme="minorEastAsia"/>
          <w:snapToGrid w:val="0"/>
          <w:color w:val="auto"/>
          <w:sz w:val="24"/>
          <w:szCs w:val="24"/>
          <w:highlight w:val="none"/>
          <w:u w:val="single"/>
        </w:rPr>
        <w:t xml:space="preserve">                                                  </w:t>
      </w:r>
    </w:p>
    <w:p w14:paraId="4DB7D98A">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法定住所：</w:t>
      </w:r>
      <w:r>
        <w:rPr>
          <w:rFonts w:hint="eastAsia" w:asciiTheme="minorEastAsia" w:hAnsiTheme="minorEastAsia" w:eastAsiaTheme="minorEastAsia" w:cstheme="minorEastAsia"/>
          <w:snapToGrid w:val="0"/>
          <w:color w:val="auto"/>
          <w:sz w:val="24"/>
          <w:szCs w:val="24"/>
          <w:highlight w:val="none"/>
          <w:u w:val="single"/>
        </w:rPr>
        <w:t xml:space="preserve">                                                    </w:t>
      </w:r>
    </w:p>
    <w:p w14:paraId="5283E2E2">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7A190290">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成员二名称：</w:t>
      </w:r>
      <w:r>
        <w:rPr>
          <w:rFonts w:hint="eastAsia" w:asciiTheme="minorEastAsia" w:hAnsiTheme="minorEastAsia" w:eastAsiaTheme="minorEastAsia" w:cstheme="minorEastAsia"/>
          <w:snapToGrid w:val="0"/>
          <w:color w:val="auto"/>
          <w:sz w:val="24"/>
          <w:szCs w:val="24"/>
          <w:highlight w:val="none"/>
          <w:u w:val="single"/>
        </w:rPr>
        <w:t xml:space="preserve">                                                  </w:t>
      </w:r>
    </w:p>
    <w:p w14:paraId="125EBFAB">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法定代表人：</w:t>
      </w:r>
      <w:r>
        <w:rPr>
          <w:rFonts w:hint="eastAsia" w:asciiTheme="minorEastAsia" w:hAnsiTheme="minorEastAsia" w:eastAsiaTheme="minorEastAsia" w:cstheme="minorEastAsia"/>
          <w:snapToGrid w:val="0"/>
          <w:color w:val="auto"/>
          <w:sz w:val="24"/>
          <w:szCs w:val="24"/>
          <w:highlight w:val="none"/>
          <w:u w:val="single"/>
        </w:rPr>
        <w:t xml:space="preserve">                                                  </w:t>
      </w:r>
    </w:p>
    <w:p w14:paraId="13EBAE36">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法定住所：</w:t>
      </w:r>
      <w:r>
        <w:rPr>
          <w:rFonts w:hint="eastAsia" w:asciiTheme="minorEastAsia" w:hAnsiTheme="minorEastAsia" w:eastAsiaTheme="minorEastAsia" w:cstheme="minorEastAsia"/>
          <w:snapToGrid w:val="0"/>
          <w:color w:val="auto"/>
          <w:sz w:val="24"/>
          <w:szCs w:val="24"/>
          <w:highlight w:val="none"/>
          <w:u w:val="single"/>
        </w:rPr>
        <w:t xml:space="preserve">                                                    </w:t>
      </w:r>
    </w:p>
    <w:p w14:paraId="7E95C3A3">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11E3AF3C">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486A773F">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w:t>
      </w:r>
    </w:p>
    <w:p w14:paraId="409D8BF0">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上述各成员单位经过友好协商，自愿组成联合体，共同参加</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（项目名称）（以下简称“本项目”）的投标并争取赢得本项目EPC总承包合同（以下简称合同）。现就联合体投标事宜订立如下协议：</w:t>
      </w:r>
    </w:p>
    <w:p w14:paraId="3229BC77">
      <w:pPr>
        <w:pStyle w:val="45"/>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1．</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（某成员单位名称）为联合体牵头人。</w:t>
      </w:r>
    </w:p>
    <w:p w14:paraId="1BDEEF5D">
      <w:pPr>
        <w:pStyle w:val="45"/>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4FE1C060">
      <w:pPr>
        <w:pStyle w:val="45"/>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相关责任。</w:t>
      </w:r>
    </w:p>
    <w:p w14:paraId="6341273F">
      <w:pPr>
        <w:pStyle w:val="45"/>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4．联合体各成员单位内部的职责分工如下：</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w:t>
      </w:r>
    </w:p>
    <w:p w14:paraId="2CF432F9">
      <w:pPr>
        <w:pStyle w:val="45"/>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5．投标工作和联合体在中标后工程实施过程中的有关费用按各自承担的工作量分摊。</w:t>
      </w:r>
    </w:p>
    <w:p w14:paraId="0E0A9453">
      <w:pPr>
        <w:pStyle w:val="45"/>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6．联合体中标后，本联合体协议是合同的附件，对联合体各成员单位有合同约束力。</w:t>
      </w:r>
    </w:p>
    <w:p w14:paraId="3AABF413">
      <w:pPr>
        <w:pStyle w:val="45"/>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7．本协议书自签署之日起生效，联合体未中标或者中标时合同履行完毕后自动失效。</w:t>
      </w:r>
    </w:p>
    <w:p w14:paraId="2CEAD346">
      <w:pPr>
        <w:pStyle w:val="45"/>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8．本协议书一式</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份，联合体成员和招标人各执一份。</w:t>
      </w:r>
    </w:p>
    <w:p w14:paraId="54EF1674">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627A5523">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12528DAD">
      <w:pPr>
        <w:pStyle w:val="45"/>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牵头人名称：</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（盖单位章）</w:t>
      </w:r>
    </w:p>
    <w:p w14:paraId="3DA00B45">
      <w:pPr>
        <w:pStyle w:val="45"/>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w:t>
      </w:r>
    </w:p>
    <w:p w14:paraId="79A1FAD6">
      <w:pPr>
        <w:pStyle w:val="45"/>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法定代表人或其委托代理人：</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（签字或盖章）</w:t>
      </w:r>
    </w:p>
    <w:p w14:paraId="7E980114">
      <w:pPr>
        <w:pStyle w:val="45"/>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auto"/>
          <w:sz w:val="24"/>
          <w:szCs w:val="24"/>
          <w:highlight w:val="none"/>
        </w:rPr>
      </w:pPr>
    </w:p>
    <w:p w14:paraId="27EE13AD">
      <w:pPr>
        <w:pStyle w:val="45"/>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成员二名称：</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（盖单位章）</w:t>
      </w:r>
    </w:p>
    <w:p w14:paraId="5A520B16">
      <w:pPr>
        <w:pStyle w:val="45"/>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auto"/>
          <w:sz w:val="24"/>
          <w:szCs w:val="24"/>
          <w:highlight w:val="none"/>
        </w:rPr>
      </w:pPr>
    </w:p>
    <w:p w14:paraId="35AD6BE4">
      <w:pPr>
        <w:pStyle w:val="45"/>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法定代表人或其委托代理人：</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（签字或盖章）</w:t>
      </w:r>
    </w:p>
    <w:p w14:paraId="177F864C">
      <w:pPr>
        <w:pStyle w:val="45"/>
        <w:widowControl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p>
    <w:p w14:paraId="7DA6C7DE">
      <w:pPr>
        <w:pStyle w:val="45"/>
        <w:widowControl w:val="0"/>
        <w:wordWrap w:val="0"/>
        <w:adjustRightInd w:val="0"/>
        <w:snapToGrid w:val="0"/>
        <w:spacing w:line="440" w:lineRule="exact"/>
        <w:ind w:firstLine="3840" w:firstLineChars="160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w:t>
      </w:r>
    </w:p>
    <w:p w14:paraId="73F159AF">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0367B2D3">
      <w:pPr>
        <w:pStyle w:val="45"/>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lang w:val="en-US" w:eastAsia="zh-CN"/>
        </w:rPr>
      </w:pP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年</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月</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u w:val="single"/>
          <w:lang w:eastAsia="zh-CN"/>
        </w:rPr>
        <w:t>日</w:t>
      </w:r>
    </w:p>
    <w:p w14:paraId="0628E00A">
      <w:pPr>
        <w:pStyle w:val="45"/>
        <w:widowControl w:val="0"/>
        <w:wordWrap w:val="0"/>
        <w:adjustRightInd w:val="0"/>
        <w:snapToGrid w:val="0"/>
        <w:spacing w:line="440" w:lineRule="exact"/>
        <w:jc w:val="center"/>
        <w:rPr>
          <w:rFonts w:hint="eastAsia" w:asciiTheme="minorEastAsia" w:hAnsiTheme="minorEastAsia" w:eastAsiaTheme="minorEastAsia" w:cstheme="minorEastAsia"/>
          <w:snapToGrid w:val="0"/>
          <w:color w:val="auto"/>
          <w:sz w:val="24"/>
          <w:szCs w:val="24"/>
          <w:highlight w:val="none"/>
        </w:rPr>
      </w:pPr>
    </w:p>
    <w:p w14:paraId="7A1B7A4F">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559FB43F">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12855EAC">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786A44AA">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说明：《联合体协议书》由委托代理人签字或盖章的，应附法定代表人签字或盖章的授权委托书。</w:t>
      </w:r>
    </w:p>
    <w:p w14:paraId="3CB2B846">
      <w:pPr>
        <w:pStyle w:val="45"/>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07F280F0">
      <w:pPr>
        <w:pStyle w:val="4"/>
        <w:spacing w:before="120"/>
        <w:rPr>
          <w:rFonts w:hint="eastAsia" w:asciiTheme="minorEastAsia" w:hAnsiTheme="minorEastAsia" w:eastAsiaTheme="minorEastAsia" w:cstheme="minorEastAsia"/>
          <w:b/>
          <w:bCs/>
          <w:color w:val="auto"/>
          <w:szCs w:val="24"/>
          <w:highlight w:val="none"/>
        </w:rPr>
      </w:pPr>
      <w:bookmarkStart w:id="342" w:name="_Toc29859"/>
      <w:bookmarkStart w:id="343" w:name="_Toc31264"/>
      <w:r>
        <w:rPr>
          <w:rFonts w:hint="eastAsia" w:asciiTheme="minorEastAsia" w:hAnsiTheme="minorEastAsia" w:eastAsiaTheme="minorEastAsia" w:cstheme="minorEastAsia"/>
          <w:b/>
          <w:bCs/>
          <w:color w:val="auto"/>
          <w:szCs w:val="24"/>
          <w:highlight w:val="none"/>
        </w:rPr>
        <w:t>格式七 投标人基本情况表</w:t>
      </w:r>
      <w:bookmarkEnd w:id="342"/>
      <w:bookmarkEnd w:id="343"/>
    </w:p>
    <w:p w14:paraId="1AAF3835">
      <w:pPr>
        <w:pStyle w:val="45"/>
        <w:widowControl w:val="0"/>
        <w:wordWrap w:val="0"/>
        <w:adjustRightInd w:val="0"/>
        <w:snapToGrid w:val="0"/>
        <w:spacing w:before="260" w:after="260" w:line="400" w:lineRule="exact"/>
        <w:ind w:firstLine="0"/>
        <w:jc w:val="center"/>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b/>
          <w:snapToGrid w:val="0"/>
          <w:color w:val="auto"/>
          <w:sz w:val="24"/>
          <w:szCs w:val="24"/>
          <w:highlight w:val="none"/>
        </w:rPr>
        <w:t>投标人基本情况表</w:t>
      </w:r>
    </w:p>
    <w:tbl>
      <w:tblPr>
        <w:tblStyle w:val="27"/>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1"/>
        <w:gridCol w:w="1140"/>
        <w:gridCol w:w="833"/>
        <w:gridCol w:w="460"/>
        <w:gridCol w:w="832"/>
        <w:gridCol w:w="269"/>
        <w:gridCol w:w="735"/>
        <w:gridCol w:w="1470"/>
      </w:tblGrid>
      <w:tr w14:paraId="661E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39BE9A56">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投标人名称</w:t>
            </w:r>
          </w:p>
        </w:tc>
        <w:tc>
          <w:tcPr>
            <w:tcW w:w="7280" w:type="dxa"/>
            <w:gridSpan w:val="8"/>
            <w:noWrap/>
            <w:vAlign w:val="center"/>
          </w:tcPr>
          <w:p w14:paraId="00380B8E">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4A96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49C0095D">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注册地址</w:t>
            </w:r>
          </w:p>
        </w:tc>
        <w:tc>
          <w:tcPr>
            <w:tcW w:w="3514" w:type="dxa"/>
            <w:gridSpan w:val="3"/>
            <w:noWrap/>
            <w:vAlign w:val="center"/>
          </w:tcPr>
          <w:p w14:paraId="3806F285">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13E8E92C">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邮政编码</w:t>
            </w:r>
          </w:p>
        </w:tc>
        <w:tc>
          <w:tcPr>
            <w:tcW w:w="2474" w:type="dxa"/>
            <w:gridSpan w:val="3"/>
            <w:noWrap/>
            <w:vAlign w:val="center"/>
          </w:tcPr>
          <w:p w14:paraId="6BC7B7E6">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1EC1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restart"/>
            <w:noWrap/>
            <w:vAlign w:val="center"/>
          </w:tcPr>
          <w:p w14:paraId="1F6AA9F4">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联系方式</w:t>
            </w:r>
          </w:p>
        </w:tc>
        <w:tc>
          <w:tcPr>
            <w:tcW w:w="1541" w:type="dxa"/>
            <w:noWrap/>
            <w:vAlign w:val="center"/>
          </w:tcPr>
          <w:p w14:paraId="66100BA8">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联系人</w:t>
            </w:r>
          </w:p>
        </w:tc>
        <w:tc>
          <w:tcPr>
            <w:tcW w:w="1973" w:type="dxa"/>
            <w:gridSpan w:val="2"/>
            <w:noWrap/>
            <w:vAlign w:val="center"/>
          </w:tcPr>
          <w:p w14:paraId="6A858718">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32A50F05">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  话</w:t>
            </w:r>
          </w:p>
        </w:tc>
        <w:tc>
          <w:tcPr>
            <w:tcW w:w="2474" w:type="dxa"/>
            <w:gridSpan w:val="3"/>
            <w:noWrap/>
            <w:vAlign w:val="center"/>
          </w:tcPr>
          <w:p w14:paraId="1F889CFE">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5820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continue"/>
            <w:noWrap/>
            <w:vAlign w:val="center"/>
          </w:tcPr>
          <w:p w14:paraId="25C22A31">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541" w:type="dxa"/>
            <w:noWrap/>
            <w:vAlign w:val="center"/>
          </w:tcPr>
          <w:p w14:paraId="120A9B7B">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传  真</w:t>
            </w:r>
          </w:p>
        </w:tc>
        <w:tc>
          <w:tcPr>
            <w:tcW w:w="1973" w:type="dxa"/>
            <w:gridSpan w:val="2"/>
            <w:noWrap/>
            <w:vAlign w:val="center"/>
          </w:tcPr>
          <w:p w14:paraId="61341714">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1D86D6D4">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电子邮箱</w:t>
            </w:r>
          </w:p>
        </w:tc>
        <w:tc>
          <w:tcPr>
            <w:tcW w:w="2474" w:type="dxa"/>
            <w:gridSpan w:val="3"/>
            <w:noWrap/>
            <w:vAlign w:val="center"/>
          </w:tcPr>
          <w:p w14:paraId="50BC9FA8">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4C7A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0884A39D">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单位性质</w:t>
            </w:r>
          </w:p>
        </w:tc>
        <w:tc>
          <w:tcPr>
            <w:tcW w:w="7280" w:type="dxa"/>
            <w:gridSpan w:val="8"/>
            <w:noWrap/>
            <w:vAlign w:val="center"/>
          </w:tcPr>
          <w:p w14:paraId="6B5C9F6F">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30C6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5F689B33">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法定代表人</w:t>
            </w:r>
          </w:p>
        </w:tc>
        <w:tc>
          <w:tcPr>
            <w:tcW w:w="1541" w:type="dxa"/>
            <w:noWrap/>
            <w:vAlign w:val="center"/>
          </w:tcPr>
          <w:p w14:paraId="14C7CC0D">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姓名</w:t>
            </w:r>
          </w:p>
        </w:tc>
        <w:tc>
          <w:tcPr>
            <w:tcW w:w="1140" w:type="dxa"/>
            <w:noWrap/>
            <w:vAlign w:val="center"/>
          </w:tcPr>
          <w:p w14:paraId="323DF24D">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noWrap/>
            <w:vAlign w:val="center"/>
          </w:tcPr>
          <w:p w14:paraId="08E733C9">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技术职称</w:t>
            </w:r>
          </w:p>
        </w:tc>
        <w:tc>
          <w:tcPr>
            <w:tcW w:w="1101" w:type="dxa"/>
            <w:gridSpan w:val="2"/>
            <w:noWrap/>
            <w:vAlign w:val="center"/>
          </w:tcPr>
          <w:p w14:paraId="70172885">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735" w:type="dxa"/>
            <w:noWrap/>
            <w:vAlign w:val="center"/>
          </w:tcPr>
          <w:p w14:paraId="3F5CABD8">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电话</w:t>
            </w:r>
          </w:p>
        </w:tc>
        <w:tc>
          <w:tcPr>
            <w:tcW w:w="1470" w:type="dxa"/>
            <w:noWrap/>
            <w:vAlign w:val="center"/>
          </w:tcPr>
          <w:p w14:paraId="560B293E">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2D53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02055175">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成立时间</w:t>
            </w:r>
          </w:p>
        </w:tc>
        <w:tc>
          <w:tcPr>
            <w:tcW w:w="2681" w:type="dxa"/>
            <w:gridSpan w:val="2"/>
            <w:noWrap/>
            <w:vAlign w:val="center"/>
          </w:tcPr>
          <w:p w14:paraId="6488C4DD">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4599" w:type="dxa"/>
            <w:gridSpan w:val="6"/>
            <w:noWrap/>
            <w:vAlign w:val="center"/>
          </w:tcPr>
          <w:p w14:paraId="3FC19D66">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员工总人数（个）：</w:t>
            </w:r>
          </w:p>
        </w:tc>
      </w:tr>
      <w:tr w14:paraId="0D47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1540" w:type="dxa"/>
            <w:noWrap/>
            <w:vAlign w:val="center"/>
          </w:tcPr>
          <w:p w14:paraId="59AC06B9">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企业资质</w:t>
            </w:r>
          </w:p>
          <w:p w14:paraId="4B2412EE">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类型和等级</w:t>
            </w:r>
          </w:p>
        </w:tc>
        <w:tc>
          <w:tcPr>
            <w:tcW w:w="2681" w:type="dxa"/>
            <w:gridSpan w:val="2"/>
            <w:noWrap/>
            <w:vAlign w:val="center"/>
          </w:tcPr>
          <w:p w14:paraId="3E497D2F">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restart"/>
            <w:noWrap/>
            <w:vAlign w:val="center"/>
          </w:tcPr>
          <w:p w14:paraId="5B53D13D">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其中</w:t>
            </w:r>
          </w:p>
        </w:tc>
        <w:tc>
          <w:tcPr>
            <w:tcW w:w="1836" w:type="dxa"/>
            <w:gridSpan w:val="3"/>
            <w:noWrap/>
            <w:vAlign w:val="center"/>
          </w:tcPr>
          <w:p w14:paraId="439A5312">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项目经理</w:t>
            </w:r>
          </w:p>
        </w:tc>
        <w:tc>
          <w:tcPr>
            <w:tcW w:w="1470" w:type="dxa"/>
            <w:noWrap/>
            <w:vAlign w:val="center"/>
          </w:tcPr>
          <w:p w14:paraId="44939BEF">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11FA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39FB579D">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营业执照号</w:t>
            </w:r>
          </w:p>
        </w:tc>
        <w:tc>
          <w:tcPr>
            <w:tcW w:w="2681" w:type="dxa"/>
            <w:gridSpan w:val="2"/>
            <w:noWrap/>
            <w:vAlign w:val="center"/>
          </w:tcPr>
          <w:p w14:paraId="06656BE9">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05C3AA3F">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7AA0E477">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高级职称人员</w:t>
            </w:r>
          </w:p>
        </w:tc>
        <w:tc>
          <w:tcPr>
            <w:tcW w:w="1470" w:type="dxa"/>
            <w:noWrap/>
            <w:vAlign w:val="center"/>
          </w:tcPr>
          <w:p w14:paraId="432DCCD1">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2A39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597CBD50">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注册资金</w:t>
            </w:r>
          </w:p>
        </w:tc>
        <w:tc>
          <w:tcPr>
            <w:tcW w:w="2681" w:type="dxa"/>
            <w:gridSpan w:val="2"/>
            <w:noWrap/>
            <w:vAlign w:val="center"/>
          </w:tcPr>
          <w:p w14:paraId="0CCCDF16">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3627388F">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5AEF409F">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中级职称人员</w:t>
            </w:r>
          </w:p>
        </w:tc>
        <w:tc>
          <w:tcPr>
            <w:tcW w:w="1470" w:type="dxa"/>
            <w:noWrap/>
            <w:vAlign w:val="center"/>
          </w:tcPr>
          <w:p w14:paraId="481DD8E7">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08B1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540" w:type="dxa"/>
            <w:noWrap/>
            <w:vAlign w:val="center"/>
          </w:tcPr>
          <w:p w14:paraId="66F1E167">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基本账户</w:t>
            </w:r>
          </w:p>
          <w:p w14:paraId="2CDF0567">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开户银行</w:t>
            </w:r>
          </w:p>
        </w:tc>
        <w:tc>
          <w:tcPr>
            <w:tcW w:w="2681" w:type="dxa"/>
            <w:gridSpan w:val="2"/>
            <w:noWrap/>
            <w:vAlign w:val="center"/>
          </w:tcPr>
          <w:p w14:paraId="5A260E0C">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5E270CEB">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0EC331D0">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初级职称人员</w:t>
            </w:r>
          </w:p>
        </w:tc>
        <w:tc>
          <w:tcPr>
            <w:tcW w:w="1470" w:type="dxa"/>
            <w:noWrap/>
            <w:vAlign w:val="center"/>
          </w:tcPr>
          <w:p w14:paraId="1BC35A1E">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6B31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exact"/>
          <w:jc w:val="center"/>
        </w:trPr>
        <w:tc>
          <w:tcPr>
            <w:tcW w:w="1540" w:type="dxa"/>
            <w:noWrap/>
            <w:vAlign w:val="center"/>
          </w:tcPr>
          <w:p w14:paraId="606A4E8E">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基本账户</w:t>
            </w:r>
          </w:p>
          <w:p w14:paraId="1E93E867">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银行账号</w:t>
            </w:r>
          </w:p>
        </w:tc>
        <w:tc>
          <w:tcPr>
            <w:tcW w:w="2681" w:type="dxa"/>
            <w:gridSpan w:val="2"/>
            <w:noWrap/>
            <w:vAlign w:val="center"/>
          </w:tcPr>
          <w:p w14:paraId="7A848BB3">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6EE06CB3">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113317E8">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技术员</w:t>
            </w:r>
          </w:p>
        </w:tc>
        <w:tc>
          <w:tcPr>
            <w:tcW w:w="1470" w:type="dxa"/>
            <w:noWrap/>
            <w:vAlign w:val="center"/>
          </w:tcPr>
          <w:p w14:paraId="2B55A45C">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5C67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540" w:type="dxa"/>
            <w:noWrap/>
            <w:vAlign w:val="center"/>
          </w:tcPr>
          <w:p w14:paraId="08935310">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经营范围</w:t>
            </w:r>
          </w:p>
        </w:tc>
        <w:tc>
          <w:tcPr>
            <w:tcW w:w="7280" w:type="dxa"/>
            <w:gridSpan w:val="8"/>
            <w:noWrap/>
            <w:vAlign w:val="center"/>
          </w:tcPr>
          <w:p w14:paraId="4E5DF0CB">
            <w:pPr>
              <w:pStyle w:val="41"/>
              <w:wordWrap w:val="0"/>
              <w:adjustRightInd w:val="0"/>
              <w:snapToGrid w:val="0"/>
              <w:jc w:val="left"/>
              <w:rPr>
                <w:rFonts w:hint="eastAsia" w:asciiTheme="minorEastAsia" w:hAnsiTheme="minorEastAsia" w:eastAsiaTheme="minorEastAsia" w:cstheme="minorEastAsia"/>
                <w:snapToGrid w:val="0"/>
                <w:color w:val="auto"/>
                <w:kern w:val="0"/>
                <w:sz w:val="24"/>
                <w:highlight w:val="none"/>
              </w:rPr>
            </w:pPr>
          </w:p>
        </w:tc>
      </w:tr>
      <w:tr w14:paraId="6F86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540" w:type="dxa"/>
            <w:noWrap/>
            <w:vAlign w:val="center"/>
          </w:tcPr>
          <w:p w14:paraId="2778339D">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关联企业情况</w:t>
            </w:r>
          </w:p>
        </w:tc>
        <w:tc>
          <w:tcPr>
            <w:tcW w:w="7280" w:type="dxa"/>
            <w:gridSpan w:val="8"/>
            <w:noWrap/>
            <w:vAlign w:val="center"/>
          </w:tcPr>
          <w:p w14:paraId="068CCBEB">
            <w:pPr>
              <w:pStyle w:val="41"/>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包括但不限于与投标人存在以下关系的不同单位：</w:t>
            </w:r>
          </w:p>
          <w:p w14:paraId="2FF80B84">
            <w:pPr>
              <w:pStyle w:val="41"/>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1．法定代表人为同一人的。</w:t>
            </w:r>
          </w:p>
          <w:p w14:paraId="0FA8BC45">
            <w:pPr>
              <w:pStyle w:val="41"/>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2．存在控股、管理关系的。</w:t>
            </w:r>
          </w:p>
          <w:p w14:paraId="31501AB3">
            <w:pPr>
              <w:pStyle w:val="41"/>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3．主要人员相互任职的。</w:t>
            </w:r>
          </w:p>
        </w:tc>
      </w:tr>
      <w:tr w14:paraId="4E95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40" w:type="dxa"/>
            <w:noWrap/>
            <w:vAlign w:val="center"/>
          </w:tcPr>
          <w:p w14:paraId="32254593">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备注</w:t>
            </w:r>
          </w:p>
        </w:tc>
        <w:tc>
          <w:tcPr>
            <w:tcW w:w="7280" w:type="dxa"/>
            <w:gridSpan w:val="8"/>
            <w:noWrap/>
            <w:vAlign w:val="center"/>
          </w:tcPr>
          <w:p w14:paraId="51D46F7C">
            <w:pPr>
              <w:pStyle w:val="41"/>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bl>
    <w:p w14:paraId="1CD66C6F">
      <w:pPr>
        <w:pStyle w:val="41"/>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说明：</w:t>
      </w:r>
    </w:p>
    <w:bookmarkEnd w:id="280"/>
    <w:bookmarkEnd w:id="281"/>
    <w:bookmarkEnd w:id="282"/>
    <w:bookmarkEnd w:id="283"/>
    <w:bookmarkEnd w:id="284"/>
    <w:p w14:paraId="010A1FD3">
      <w:pPr>
        <w:pStyle w:val="45"/>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bookmarkStart w:id="344" w:name="_Toc1659"/>
      <w:bookmarkStart w:id="345" w:name="_Toc534641863"/>
      <w:bookmarkStart w:id="346" w:name="_Toc210101349"/>
      <w:bookmarkStart w:id="347" w:name="_Toc118541763"/>
      <w:bookmarkStart w:id="348" w:name="_Toc535300004"/>
      <w:bookmarkStart w:id="349" w:name="_Toc48547015"/>
      <w:r>
        <w:rPr>
          <w:rFonts w:hint="eastAsia" w:asciiTheme="minorEastAsia" w:hAnsiTheme="minorEastAsia" w:eastAsiaTheme="minorEastAsia" w:cstheme="minorEastAsia"/>
          <w:snapToGrid w:val="0"/>
          <w:color w:val="auto"/>
          <w:sz w:val="21"/>
          <w:szCs w:val="21"/>
          <w:highlight w:val="none"/>
        </w:rPr>
        <w:t>1．《投标人基本情况表》后应附以下资料：</w:t>
      </w:r>
    </w:p>
    <w:p w14:paraId="6736FD68">
      <w:pPr>
        <w:pStyle w:val="45"/>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（1）企业营业执照、资质证书、安全生产许可证的复印件</w:t>
      </w:r>
      <w:r>
        <w:rPr>
          <w:rFonts w:hint="eastAsia" w:asciiTheme="minorEastAsia" w:hAnsiTheme="minorEastAsia" w:eastAsiaTheme="minorEastAsia" w:cstheme="minorEastAsia"/>
          <w:b/>
          <w:bCs/>
          <w:snapToGrid w:val="0"/>
          <w:color w:val="auto"/>
          <w:sz w:val="21"/>
          <w:szCs w:val="21"/>
          <w:highlight w:val="none"/>
        </w:rPr>
        <w:t>（因推行电子证照，企业的营业执照、资质证书等可以提供电子证照。如中标后，投标单位安全生产许可证发生被暂扣情形，需双方另行协商）；</w:t>
      </w:r>
    </w:p>
    <w:p w14:paraId="702FE553">
      <w:pPr>
        <w:pStyle w:val="45"/>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（2）外省建筑企业须提供“进粤企业和人员诚信信息登记平台”企业信息情况打印页。</w:t>
      </w:r>
    </w:p>
    <w:p w14:paraId="5389D31A">
      <w:pPr>
        <w:pStyle w:val="45"/>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2．联合体投标的，联合体成员单位均应填写《投标人基本情况表》并提供以上所需资料。</w:t>
      </w:r>
    </w:p>
    <w:p w14:paraId="6A682EE4">
      <w:pPr>
        <w:pStyle w:val="45"/>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sectPr>
          <w:endnotePr>
            <w:numFmt w:val="decimal"/>
          </w:endnotePr>
          <w:pgSz w:w="11906" w:h="16838"/>
          <w:pgMar w:top="1221" w:right="1531" w:bottom="1417" w:left="1531" w:header="850" w:footer="992" w:gutter="0"/>
          <w:pgNumType w:fmt="decimal"/>
          <w:cols w:space="720" w:num="1"/>
          <w:docGrid w:linePitch="327" w:charSpace="0"/>
        </w:sectPr>
      </w:pPr>
      <w:r>
        <w:rPr>
          <w:rFonts w:hint="eastAsia" w:asciiTheme="minorEastAsia" w:hAnsiTheme="minorEastAsia" w:eastAsiaTheme="minorEastAsia" w:cstheme="minorEastAsia"/>
          <w:snapToGrid w:val="0"/>
          <w:color w:val="auto"/>
          <w:sz w:val="21"/>
          <w:szCs w:val="21"/>
          <w:highlight w:val="none"/>
        </w:rPr>
        <w:t>3.《法人和非法人组织公共信用信息报告》打印件（在“信用中国”网站企业查询界面中下载）。</w:t>
      </w:r>
    </w:p>
    <w:p w14:paraId="7B12B7AB">
      <w:pPr>
        <w:pStyle w:val="4"/>
        <w:spacing w:before="120"/>
        <w:rPr>
          <w:rFonts w:hint="eastAsia" w:asciiTheme="minorEastAsia" w:hAnsiTheme="minorEastAsia" w:eastAsiaTheme="minorEastAsia" w:cstheme="minorEastAsia"/>
          <w:b/>
          <w:bCs/>
          <w:color w:val="auto"/>
          <w:szCs w:val="24"/>
          <w:highlight w:val="none"/>
        </w:rPr>
      </w:pPr>
      <w:bookmarkStart w:id="350" w:name="_Toc6438"/>
      <w:r>
        <w:rPr>
          <w:rFonts w:hint="eastAsia" w:asciiTheme="minorEastAsia" w:hAnsiTheme="minorEastAsia" w:eastAsiaTheme="minorEastAsia" w:cstheme="minorEastAsia"/>
          <w:b/>
          <w:bCs/>
          <w:color w:val="auto"/>
          <w:szCs w:val="24"/>
          <w:highlight w:val="none"/>
        </w:rPr>
        <w:t>格式八 项目经理简历表</w:t>
      </w:r>
      <w:bookmarkEnd w:id="344"/>
      <w:bookmarkEnd w:id="350"/>
    </w:p>
    <w:p w14:paraId="1B60E633">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7"/>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BDD99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3AB693B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13AF5AD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3B04145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662D7FF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138FA92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68F92F6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7FFEA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6DE21B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6AF14B5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08067CA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4D10F72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6C2BB3D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26E7553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19F63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9D1D3E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3E88101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63099F2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07B9E35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61A4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415689B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以项目经理身份参与过的主要业绩（已完工项目）</w:t>
            </w:r>
          </w:p>
        </w:tc>
      </w:tr>
      <w:tr w14:paraId="686F9B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12DEB7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837E26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33DE01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35DF6F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1553FD3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1BE8C6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3211B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FA2E38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1BB1449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DE0204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14E19C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C64593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7692C7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CDC9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08FBBA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D15B1E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D44534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AA8418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C96810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B0D2FC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E115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4B51C9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972263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C74033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4C6DED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8081FA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DBCA08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F954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F64DD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491806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E98D01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FB50F3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3776297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5225E8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2FF4F699">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项目经理简历表</w:t>
      </w:r>
    </w:p>
    <w:p w14:paraId="3CC8EC87">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p>
    <w:p w14:paraId="0EFCC31F">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3E0105B1">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项目经理：</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49FF831D">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1EA8F7B0">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76025B74">
      <w:pPr>
        <w:bidi w:val="0"/>
        <w:rPr>
          <w:rFonts w:hint="eastAsia"/>
          <w:color w:val="auto"/>
        </w:rPr>
      </w:pPr>
    </w:p>
    <w:p w14:paraId="53D219A2">
      <w:pPr>
        <w:wordWrap w:val="0"/>
        <w:adjustRightInd w:val="0"/>
        <w:snapToGrid w:val="0"/>
        <w:spacing w:line="400" w:lineRule="exact"/>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    说明：《项目经理简历表》后应附拟派项目经理以下资料：</w:t>
      </w:r>
    </w:p>
    <w:p w14:paraId="29785222">
      <w:pPr>
        <w:wordWrap w:val="0"/>
        <w:adjustRightInd w:val="0"/>
        <w:snapToGrid w:val="0"/>
        <w:spacing w:line="400" w:lineRule="exact"/>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    1．身份证彩色扫描件；</w:t>
      </w:r>
    </w:p>
    <w:p w14:paraId="13431C7A">
      <w:pPr>
        <w:wordWrap w:val="0"/>
        <w:adjustRightInd w:val="0"/>
        <w:snapToGrid w:val="0"/>
        <w:spacing w:line="400" w:lineRule="exact"/>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    2．建造师电子注册证书（在使用有效期内的有效电子证书）彩色扫描件；</w:t>
      </w:r>
    </w:p>
    <w:p w14:paraId="6613D27C">
      <w:pPr>
        <w:wordWrap w:val="0"/>
        <w:adjustRightInd w:val="0"/>
        <w:snapToGrid w:val="0"/>
        <w:spacing w:line="400" w:lineRule="exact"/>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 xml:space="preserve">    3．B类安全生产考核合格证书彩色扫描件或广东省建筑施工企业管理人员安全生产考核系统考核合格信息彩色扫描件；</w:t>
      </w:r>
    </w:p>
    <w:p w14:paraId="55BA91BB">
      <w:pPr>
        <w:wordWrap w:val="0"/>
        <w:adjustRightInd w:val="0"/>
        <w:snapToGrid w:val="0"/>
        <w:spacing w:line="400" w:lineRule="exact"/>
        <w:ind w:firstLine="420" w:firstLineChars="200"/>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4．在本单位缴纳社保的证明（其中须有202</w:t>
      </w:r>
      <w:r>
        <w:rPr>
          <w:rFonts w:hint="eastAsia" w:asciiTheme="minorEastAsia" w:hAnsiTheme="minorEastAsia" w:eastAsiaTheme="minorEastAsia" w:cstheme="minorEastAsia"/>
          <w:snapToGrid w:val="0"/>
          <w:color w:val="auto"/>
          <w:kern w:val="0"/>
          <w:sz w:val="21"/>
          <w:szCs w:val="21"/>
          <w:highlight w:val="none"/>
          <w:lang w:val="en-US" w:eastAsia="zh-CN"/>
        </w:rPr>
        <w:t>5</w:t>
      </w:r>
      <w:r>
        <w:rPr>
          <w:rFonts w:hint="eastAsia" w:asciiTheme="minorEastAsia" w:hAnsiTheme="minorEastAsia" w:eastAsiaTheme="minorEastAsia" w:cstheme="minorEastAsia"/>
          <w:snapToGrid w:val="0"/>
          <w:color w:val="auto"/>
          <w:kern w:val="0"/>
          <w:sz w:val="21"/>
          <w:szCs w:val="21"/>
          <w:highlight w:val="none"/>
        </w:rPr>
        <w:t>年</w:t>
      </w:r>
      <w:r>
        <w:rPr>
          <w:rFonts w:hint="eastAsia" w:asciiTheme="minorEastAsia" w:hAnsiTheme="minorEastAsia" w:eastAsiaTheme="minorEastAsia" w:cstheme="minorEastAsia"/>
          <w:snapToGrid w:val="0"/>
          <w:color w:val="auto"/>
          <w:kern w:val="0"/>
          <w:sz w:val="21"/>
          <w:szCs w:val="21"/>
          <w:highlight w:val="none"/>
          <w:lang w:val="en-US" w:eastAsia="zh-CN"/>
        </w:rPr>
        <w:t>9</w:t>
      </w:r>
      <w:r>
        <w:rPr>
          <w:rFonts w:hint="eastAsia" w:asciiTheme="minorEastAsia" w:hAnsiTheme="minorEastAsia" w:eastAsiaTheme="minorEastAsia" w:cstheme="minorEastAsia"/>
          <w:snapToGrid w:val="0"/>
          <w:color w:val="auto"/>
          <w:kern w:val="0"/>
          <w:sz w:val="21"/>
          <w:szCs w:val="21"/>
          <w:highlight w:val="none"/>
        </w:rPr>
        <w:t>月）彩色扫描件；拟派项目经理为退休返聘人员无法提供社保证明的，提供退休证和劳动合同彩色扫描件。</w:t>
      </w:r>
    </w:p>
    <w:p w14:paraId="63F96D8C">
      <w:pPr>
        <w:wordWrap w:val="0"/>
        <w:adjustRightInd w:val="0"/>
        <w:snapToGrid w:val="0"/>
        <w:spacing w:line="400" w:lineRule="exact"/>
        <w:rPr>
          <w:rFonts w:hint="eastAsia" w:asciiTheme="minorEastAsia" w:hAnsiTheme="minorEastAsia" w:eastAsiaTheme="minorEastAsia" w:cstheme="minorEastAsia"/>
          <w:snapToGrid w:val="0"/>
          <w:color w:val="auto"/>
          <w:kern w:val="0"/>
          <w:sz w:val="21"/>
          <w:szCs w:val="21"/>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3F3428F0">
      <w:pPr>
        <w:pStyle w:val="4"/>
        <w:spacing w:before="120"/>
        <w:rPr>
          <w:rFonts w:hint="eastAsia" w:asciiTheme="minorEastAsia" w:hAnsiTheme="minorEastAsia" w:eastAsiaTheme="minorEastAsia" w:cstheme="minorEastAsia"/>
          <w:b/>
          <w:bCs/>
          <w:color w:val="auto"/>
          <w:szCs w:val="24"/>
          <w:highlight w:val="none"/>
        </w:rPr>
      </w:pPr>
      <w:bookmarkStart w:id="351" w:name="_Toc26500"/>
      <w:r>
        <w:rPr>
          <w:rFonts w:hint="eastAsia" w:asciiTheme="minorEastAsia" w:hAnsiTheme="minorEastAsia" w:eastAsiaTheme="minorEastAsia" w:cstheme="minorEastAsia"/>
          <w:b/>
          <w:bCs/>
          <w:color w:val="auto"/>
          <w:szCs w:val="24"/>
          <w:highlight w:val="none"/>
        </w:rPr>
        <w:t>格式九 项目经理任职声明</w:t>
      </w:r>
      <w:bookmarkEnd w:id="351"/>
    </w:p>
    <w:p w14:paraId="33A0B784">
      <w:pPr>
        <w:wordWrap w:val="0"/>
        <w:adjustRightInd w:val="0"/>
        <w:snapToGrid w:val="0"/>
        <w:spacing w:line="440" w:lineRule="exact"/>
        <w:jc w:val="left"/>
        <w:rPr>
          <w:rFonts w:hint="eastAsia" w:asciiTheme="minorEastAsia" w:hAnsiTheme="minorEastAsia" w:eastAsiaTheme="minorEastAsia" w:cstheme="minorEastAsia"/>
          <w:b/>
          <w:snapToGrid w:val="0"/>
          <w:color w:val="auto"/>
          <w:kern w:val="0"/>
          <w:szCs w:val="24"/>
          <w:highlight w:val="none"/>
        </w:rPr>
      </w:pPr>
    </w:p>
    <w:p w14:paraId="4AE62B2C">
      <w:pPr>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项目经理任职声明</w:t>
      </w:r>
    </w:p>
    <w:p w14:paraId="496A06E4">
      <w:pPr>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Cs w:val="24"/>
          <w:highlight w:val="none"/>
        </w:rPr>
      </w:pPr>
    </w:p>
    <w:p w14:paraId="38CEF12D">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bookmarkStart w:id="352" w:name="_Toc21599"/>
      <w:r>
        <w:rPr>
          <w:rFonts w:hint="eastAsia" w:asciiTheme="minorEastAsia" w:hAnsiTheme="minorEastAsia" w:eastAsiaTheme="minorEastAsia" w:cstheme="minorEastAsia"/>
          <w:snapToGrid w:val="0"/>
          <w:color w:val="auto"/>
          <w:kern w:val="0"/>
          <w:szCs w:val="24"/>
          <w:highlight w:val="none"/>
        </w:rPr>
        <w:t>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（招标人名称）：</w:t>
      </w:r>
    </w:p>
    <w:p w14:paraId="4BCC96E4">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我方在此声明，我方拟派往</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（项目名称）的项目经理</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（项目经理姓名）现阶段没有担任任何在施（包括已中标未开工、已开工未竣工）建设工程项目的项目经理。</w:t>
      </w:r>
    </w:p>
    <w:p w14:paraId="40EC6D92">
      <w:pPr>
        <w:wordWrap w:val="0"/>
        <w:adjustRightInd w:val="0"/>
        <w:snapToGrid w:val="0"/>
        <w:spacing w:line="440" w:lineRule="exact"/>
        <w:ind w:firstLine="48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我方保证上述信息的真实和准确，并愿意承担因我方就此弄虚作假所引起的一切法律后果。</w:t>
      </w:r>
    </w:p>
    <w:p w14:paraId="070F2E15">
      <w:pPr>
        <w:wordWrap w:val="0"/>
        <w:adjustRightInd w:val="0"/>
        <w:snapToGrid w:val="0"/>
        <w:spacing w:line="440" w:lineRule="exact"/>
        <w:ind w:firstLine="48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51B32E72">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特此承诺　　</w:t>
      </w:r>
    </w:p>
    <w:p w14:paraId="78C1F8FD">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6099656D">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77A5F6DF">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145F7654">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3D9C3E84">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42CEF491">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法定代表人或其委托代理人：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6028FA81">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19AF4FB6">
      <w:pPr>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2A58CF8C">
      <w:pPr>
        <w:bidi w:val="0"/>
        <w:rPr>
          <w:rFonts w:hint="eastAsia"/>
          <w:color w:val="auto"/>
        </w:rPr>
      </w:pPr>
    </w:p>
    <w:p w14:paraId="4D81D67A">
      <w:pPr>
        <w:bidi w:val="0"/>
        <w:rPr>
          <w:rFonts w:hint="eastAsia"/>
          <w:color w:val="auto"/>
        </w:rPr>
      </w:pPr>
    </w:p>
    <w:p w14:paraId="2862348A">
      <w:pPr>
        <w:bidi w:val="0"/>
        <w:rPr>
          <w:rFonts w:hint="eastAsia"/>
          <w:color w:val="auto"/>
        </w:rPr>
      </w:pPr>
    </w:p>
    <w:p w14:paraId="00B084FD">
      <w:pPr>
        <w:bidi w:val="0"/>
        <w:rPr>
          <w:rFonts w:hint="eastAsia"/>
          <w:color w:val="auto"/>
        </w:rPr>
      </w:pPr>
    </w:p>
    <w:p w14:paraId="28A4FA16">
      <w:pPr>
        <w:bidi w:val="0"/>
        <w:rPr>
          <w:rFonts w:hint="eastAsia"/>
          <w:color w:val="auto"/>
        </w:rPr>
      </w:pPr>
    </w:p>
    <w:p w14:paraId="16B2D648">
      <w:pPr>
        <w:bidi w:val="0"/>
        <w:rPr>
          <w:rFonts w:hint="eastAsia"/>
          <w:color w:val="auto"/>
        </w:rPr>
      </w:pPr>
    </w:p>
    <w:p w14:paraId="0DDBD341">
      <w:pPr>
        <w:bidi w:val="0"/>
        <w:rPr>
          <w:rFonts w:hint="eastAsia"/>
          <w:color w:val="auto"/>
        </w:rPr>
      </w:pPr>
    </w:p>
    <w:p w14:paraId="7B981CE2">
      <w:pPr>
        <w:bidi w:val="0"/>
        <w:rPr>
          <w:rFonts w:hint="eastAsia"/>
          <w:color w:val="auto"/>
        </w:rPr>
      </w:pPr>
    </w:p>
    <w:p w14:paraId="1C075E8F">
      <w:pPr>
        <w:bidi w:val="0"/>
        <w:rPr>
          <w:rFonts w:hint="eastAsia"/>
          <w:color w:val="auto"/>
        </w:rPr>
      </w:pPr>
    </w:p>
    <w:p w14:paraId="6CC02912">
      <w:pPr>
        <w:rPr>
          <w:rFonts w:hint="eastAsia" w:asciiTheme="minorEastAsia" w:hAnsiTheme="minorEastAsia" w:eastAsiaTheme="minorEastAsia" w:cstheme="minorEastAsia"/>
          <w:b/>
          <w:bCs/>
          <w:color w:val="auto"/>
          <w:szCs w:val="24"/>
          <w:highlight w:val="none"/>
        </w:rPr>
      </w:pPr>
      <w:bookmarkStart w:id="353" w:name="_Toc20073"/>
      <w:r>
        <w:rPr>
          <w:rFonts w:hint="eastAsia" w:asciiTheme="minorEastAsia" w:hAnsiTheme="minorEastAsia" w:eastAsiaTheme="minorEastAsia" w:cstheme="minorEastAsia"/>
          <w:b/>
          <w:bCs/>
          <w:color w:val="auto"/>
          <w:szCs w:val="24"/>
          <w:highlight w:val="none"/>
        </w:rPr>
        <w:br w:type="page"/>
      </w:r>
    </w:p>
    <w:p w14:paraId="02D8DF69">
      <w:pPr>
        <w:pStyle w:val="4"/>
        <w:spacing w:before="1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格式十 项目技术负责人简历表</w:t>
      </w:r>
      <w:bookmarkEnd w:id="352"/>
      <w:bookmarkEnd w:id="353"/>
    </w:p>
    <w:p w14:paraId="1A7635B4">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7"/>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766C03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4BC1A9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6953D55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4D2C3A2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6E6BE9C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20F3FEC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2208771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A7EE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3127B6F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19FC45C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7034989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5BF19DF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6227B7A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6259601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4652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B61BEF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021011F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7F1B59E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5534893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F0D1E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3F354C0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以项目技术负责人身份参与过的主要业绩（已完工项目）</w:t>
            </w:r>
          </w:p>
        </w:tc>
      </w:tr>
      <w:tr w14:paraId="7DF0A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75D261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A816E2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20A1DC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5ADED8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4C7E10A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7D91E5D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166C5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B56942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24240D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9B1426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44FEE8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10BBC4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766561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701E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6701513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80228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B075E7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6E5D059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6BA0DC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07AFC9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1E91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29E6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A6CA57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4E1F2AC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380F7A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7FFB19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6D5609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B026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221B2C5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897896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1EBAFD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C6EE0A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9353AA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EFE8CB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2D04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54654A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4D1CF1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A3659F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2D729D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A9E771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39BC21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75FEBD0A">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项目技术负责人简历表</w:t>
      </w:r>
    </w:p>
    <w:p w14:paraId="3C96FA4F">
      <w:pPr>
        <w:pStyle w:val="46"/>
        <w:wordWrap w:val="0"/>
        <w:adjustRightInd w:val="0"/>
        <w:snapToGrid w:val="0"/>
        <w:spacing w:line="440" w:lineRule="exact"/>
        <w:jc w:val="both"/>
        <w:rPr>
          <w:rFonts w:hint="eastAsia" w:asciiTheme="minorEastAsia" w:hAnsiTheme="minorEastAsia" w:eastAsiaTheme="minorEastAsia" w:cstheme="minorEastAsia"/>
          <w:snapToGrid w:val="0"/>
          <w:color w:val="auto"/>
          <w:kern w:val="0"/>
          <w:sz w:val="24"/>
          <w:szCs w:val="24"/>
          <w:highlight w:val="none"/>
        </w:rPr>
      </w:pPr>
    </w:p>
    <w:p w14:paraId="1621A5FD">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6A1B25C6">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项目技术负责人：</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72CF609B">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7380BCEA">
      <w:pPr>
        <w:pStyle w:val="46"/>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79A6B03E">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287BABC2">
      <w:pPr>
        <w:pStyle w:val="46"/>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p>
    <w:p w14:paraId="09322181">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390C3B4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说明：《项目技术负责人简历表》后应附拟派项目技术负责人以下资料：</w:t>
      </w:r>
    </w:p>
    <w:p w14:paraId="297766EA">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1．身份证彩色扫描件；</w:t>
      </w:r>
    </w:p>
    <w:p w14:paraId="41C92C3A">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2．职称证彩色扫描件；</w:t>
      </w:r>
    </w:p>
    <w:p w14:paraId="0BB5DB10">
      <w:pPr>
        <w:wordWrap w:val="0"/>
        <w:adjustRightInd w:val="0"/>
        <w:snapToGrid w:val="0"/>
        <w:spacing w:line="400" w:lineRule="exact"/>
        <w:ind w:firstLine="420" w:firstLineChars="200"/>
        <w:rPr>
          <w:rFonts w:hint="eastAsia" w:ascii="宋体" w:hAnsi="宋体" w:eastAsia="宋体" w:cs="宋体"/>
          <w:snapToGrid w:val="0"/>
          <w:color w:val="auto"/>
          <w:sz w:val="21"/>
          <w:szCs w:val="21"/>
          <w:highlight w:val="none"/>
        </w:rPr>
        <w:sectPr>
          <w:endnotePr>
            <w:numFmt w:val="decimal"/>
          </w:endnotePr>
          <w:pgSz w:w="11906" w:h="16838"/>
          <w:pgMar w:top="1701" w:right="1531" w:bottom="1417" w:left="1531" w:header="850" w:footer="992" w:gutter="0"/>
          <w:pgNumType w:fmt="decimal"/>
          <w:cols w:space="720" w:num="1"/>
          <w:docGrid w:linePitch="327" w:charSpace="0"/>
        </w:sectPr>
      </w:pPr>
      <w:r>
        <w:rPr>
          <w:rFonts w:hint="eastAsia" w:ascii="宋体" w:hAnsi="宋体" w:eastAsia="宋体" w:cs="宋体"/>
          <w:snapToGrid w:val="0"/>
          <w:color w:val="auto"/>
          <w:kern w:val="0"/>
          <w:sz w:val="21"/>
          <w:szCs w:val="21"/>
          <w:highlight w:val="none"/>
        </w:rPr>
        <w:t>3．在本单位缴纳社保的证明（其中须有202</w:t>
      </w:r>
      <w:r>
        <w:rPr>
          <w:rFonts w:hint="eastAsia"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月）彩色扫描件；拟派技术负责人为退休返聘人员无法提供社保证明的，提供退休证和劳动合同彩色扫描件。</w:t>
      </w:r>
    </w:p>
    <w:p w14:paraId="1833FD13">
      <w:pPr>
        <w:pStyle w:val="4"/>
        <w:spacing w:before="120"/>
        <w:rPr>
          <w:rFonts w:hint="eastAsia" w:asciiTheme="minorEastAsia" w:hAnsiTheme="minorEastAsia" w:eastAsiaTheme="minorEastAsia" w:cstheme="minorEastAsia"/>
          <w:b/>
          <w:bCs/>
          <w:color w:val="auto"/>
          <w:szCs w:val="24"/>
          <w:highlight w:val="none"/>
        </w:rPr>
      </w:pPr>
      <w:bookmarkStart w:id="354" w:name="_Toc21166"/>
      <w:bookmarkStart w:id="355" w:name="_Toc31518"/>
      <w:r>
        <w:rPr>
          <w:rFonts w:hint="eastAsia" w:asciiTheme="minorEastAsia" w:hAnsiTheme="minorEastAsia" w:eastAsiaTheme="minorEastAsia" w:cstheme="minorEastAsia"/>
          <w:b/>
          <w:bCs/>
          <w:color w:val="auto"/>
          <w:szCs w:val="24"/>
          <w:highlight w:val="none"/>
        </w:rPr>
        <w:t>格式十一 项目设计负责人简历表</w:t>
      </w:r>
      <w:bookmarkEnd w:id="354"/>
      <w:bookmarkEnd w:id="355"/>
    </w:p>
    <w:p w14:paraId="68737285">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7"/>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0DA28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41B496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3F37F8F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774D04A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750ADFD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767A361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627625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F8FC5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A1ECF8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117D137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2C45062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0C2B18B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07B79E8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54518D6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25E0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E3B0FD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1774326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56D6AF0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406B632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6158F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74DDC0A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以项目设计负责人身份参与过的主要业绩（已完工项目）</w:t>
            </w:r>
          </w:p>
        </w:tc>
      </w:tr>
      <w:tr w14:paraId="379BA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7F9C77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EEDF12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A06ADD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C373AA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51E4C07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4E09CA4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184A1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736F39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B6DDC3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3E30BB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35DCCC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2F3E62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4ACBEF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57BE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FD10A2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BFEE9D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D78D39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8C5447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32B67B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7F47C6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365E4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D04D1D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2D1D24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F27971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5F7BE15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8EA3C1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7B899A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06405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2233647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35CD7B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064318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20D8E0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BC0FA9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2B1E33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93078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A8299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32D66A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210490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ACF5D2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5C8C51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3BD4A4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416BAFA1">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项目设计负责人简历表</w:t>
      </w:r>
    </w:p>
    <w:p w14:paraId="4946CEA6">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p>
    <w:p w14:paraId="0845E0B7">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7799EBED">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w:t>
      </w:r>
      <w:r>
        <w:rPr>
          <w:rFonts w:hint="eastAsia" w:asciiTheme="minorEastAsia" w:hAnsiTheme="minorEastAsia" w:eastAsiaTheme="minorEastAsia" w:cstheme="minorEastAsia"/>
          <w:snapToGrid w:val="0"/>
          <w:color w:val="auto"/>
          <w:kern w:val="0"/>
          <w:sz w:val="24"/>
          <w:szCs w:val="24"/>
          <w:highlight w:val="none"/>
          <w:lang w:val="en-US" w:eastAsia="zh-CN"/>
        </w:rPr>
        <w:t>设计</w:t>
      </w:r>
      <w:r>
        <w:rPr>
          <w:rFonts w:hint="eastAsia" w:asciiTheme="minorEastAsia" w:hAnsiTheme="minorEastAsia" w:eastAsiaTheme="minorEastAsia" w:cstheme="minorEastAsia"/>
          <w:snapToGrid w:val="0"/>
          <w:color w:val="auto"/>
          <w:kern w:val="0"/>
          <w:sz w:val="24"/>
          <w:szCs w:val="24"/>
          <w:highlight w:val="none"/>
        </w:rPr>
        <w:t>负责人：</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18618765">
      <w:pPr>
        <w:pStyle w:val="46"/>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2A3DB0E5">
      <w:pPr>
        <w:pStyle w:val="46"/>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78217C79">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738A3C6B">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4B8BA82F">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说明：《项目设计负责人简历表》后应附拟派项目设计负责人以下资料：</w:t>
      </w:r>
    </w:p>
    <w:p w14:paraId="15EA807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1．身份证彩色扫描件；</w:t>
      </w:r>
    </w:p>
    <w:p w14:paraId="7602BDE6">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2．职称证彩色扫描件；</w:t>
      </w:r>
    </w:p>
    <w:p w14:paraId="19AB4903">
      <w:pPr>
        <w:wordWrap w:val="0"/>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3．在本单位缴纳社保的证明（其中须有202</w:t>
      </w:r>
      <w:r>
        <w:rPr>
          <w:rFonts w:hint="eastAsia"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月）彩色扫描件；拟派设计负责人为退休返聘人员无法提供社保证明的，提供退休证和劳动合同彩色扫描件。</w:t>
      </w:r>
      <w:bookmarkEnd w:id="345"/>
      <w:bookmarkEnd w:id="346"/>
      <w:bookmarkEnd w:id="347"/>
      <w:bookmarkEnd w:id="348"/>
      <w:bookmarkEnd w:id="349"/>
    </w:p>
    <w:p w14:paraId="3C9FE113">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4．“进粤企业和人员诚信信息登记平台”个人信息情况截图。（适用于省外建筑企业）。</w:t>
      </w:r>
    </w:p>
    <w:p w14:paraId="05B461D5">
      <w:pPr>
        <w:pStyle w:val="4"/>
        <w:spacing w:before="120"/>
        <w:rPr>
          <w:rFonts w:hint="eastAsia" w:asciiTheme="minorEastAsia" w:hAnsiTheme="minorEastAsia" w:eastAsiaTheme="minorEastAsia" w:cstheme="minorEastAsia"/>
          <w:bCs/>
          <w:snapToGrid w:val="0"/>
          <w:color w:val="auto"/>
          <w:szCs w:val="24"/>
          <w:highlight w:val="none"/>
        </w:rPr>
      </w:pPr>
      <w:r>
        <w:rPr>
          <w:rFonts w:hint="eastAsia" w:asciiTheme="minorEastAsia" w:hAnsiTheme="minorEastAsia" w:eastAsiaTheme="minorEastAsia" w:cstheme="minorEastAsia"/>
          <w:bCs/>
          <w:color w:val="auto"/>
          <w:szCs w:val="24"/>
          <w:highlight w:val="none"/>
        </w:rPr>
        <w:br w:type="page"/>
      </w:r>
      <w:bookmarkStart w:id="356" w:name="_Toc20021"/>
      <w:bookmarkStart w:id="357" w:name="_Toc10080"/>
      <w:bookmarkStart w:id="358" w:name="_Toc8264"/>
      <w:r>
        <w:rPr>
          <w:rFonts w:hint="eastAsia" w:asciiTheme="minorEastAsia" w:hAnsiTheme="minorEastAsia" w:eastAsiaTheme="minorEastAsia" w:cstheme="minorEastAsia"/>
          <w:b/>
          <w:snapToGrid w:val="0"/>
          <w:color w:val="auto"/>
          <w:szCs w:val="24"/>
          <w:highlight w:val="none"/>
        </w:rPr>
        <w:t>格式十二 项目管理机构组成表</w:t>
      </w:r>
      <w:bookmarkEnd w:id="356"/>
      <w:bookmarkEnd w:id="357"/>
    </w:p>
    <w:p w14:paraId="43038A9F">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项目管理机构组成表</w:t>
      </w:r>
    </w:p>
    <w:tbl>
      <w:tblPr>
        <w:tblStyle w:val="27"/>
        <w:tblW w:w="89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4"/>
        <w:gridCol w:w="1424"/>
        <w:gridCol w:w="1358"/>
        <w:gridCol w:w="902"/>
        <w:gridCol w:w="819"/>
        <w:gridCol w:w="1541"/>
        <w:gridCol w:w="2169"/>
      </w:tblGrid>
      <w:tr w14:paraId="549B77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0" w:hRule="atLeast"/>
        </w:trPr>
        <w:tc>
          <w:tcPr>
            <w:tcW w:w="744" w:type="dxa"/>
            <w:tcBorders>
              <w:top w:val="single" w:color="auto" w:sz="6" w:space="0"/>
              <w:left w:val="single" w:color="auto" w:sz="6" w:space="0"/>
              <w:bottom w:val="single" w:color="auto" w:sz="6" w:space="0"/>
              <w:right w:val="single" w:color="auto" w:sz="6" w:space="0"/>
            </w:tcBorders>
            <w:noWrap/>
            <w:vAlign w:val="center"/>
          </w:tcPr>
          <w:p w14:paraId="74BCDDB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424" w:type="dxa"/>
            <w:tcBorders>
              <w:top w:val="single" w:color="auto" w:sz="6" w:space="0"/>
              <w:left w:val="single" w:color="auto" w:sz="6" w:space="0"/>
              <w:bottom w:val="single" w:color="auto" w:sz="6" w:space="0"/>
              <w:right w:val="single" w:color="auto" w:sz="6" w:space="0"/>
            </w:tcBorders>
            <w:noWrap/>
            <w:vAlign w:val="center"/>
          </w:tcPr>
          <w:p w14:paraId="40ED229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职务</w:t>
            </w:r>
          </w:p>
        </w:tc>
        <w:tc>
          <w:tcPr>
            <w:tcW w:w="1358" w:type="dxa"/>
            <w:tcBorders>
              <w:top w:val="single" w:color="auto" w:sz="6" w:space="0"/>
              <w:left w:val="single" w:color="auto" w:sz="6" w:space="0"/>
              <w:bottom w:val="single" w:color="auto" w:sz="6" w:space="0"/>
              <w:right w:val="single" w:color="auto" w:sz="6" w:space="0"/>
            </w:tcBorders>
            <w:noWrap/>
            <w:vAlign w:val="center"/>
          </w:tcPr>
          <w:p w14:paraId="68207DA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姓名</w:t>
            </w:r>
          </w:p>
        </w:tc>
        <w:tc>
          <w:tcPr>
            <w:tcW w:w="902" w:type="dxa"/>
            <w:tcBorders>
              <w:top w:val="single" w:color="auto" w:sz="6" w:space="0"/>
              <w:left w:val="single" w:color="auto" w:sz="6" w:space="0"/>
              <w:bottom w:val="single" w:color="auto" w:sz="6" w:space="0"/>
              <w:right w:val="single" w:color="auto" w:sz="6" w:space="0"/>
            </w:tcBorders>
            <w:noWrap/>
            <w:vAlign w:val="center"/>
          </w:tcPr>
          <w:p w14:paraId="67B8A21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性别</w:t>
            </w:r>
          </w:p>
        </w:tc>
        <w:tc>
          <w:tcPr>
            <w:tcW w:w="819" w:type="dxa"/>
            <w:tcBorders>
              <w:top w:val="single" w:color="auto" w:sz="6" w:space="0"/>
              <w:left w:val="single" w:color="auto" w:sz="6" w:space="0"/>
              <w:bottom w:val="single" w:color="auto" w:sz="6" w:space="0"/>
              <w:right w:val="single" w:color="auto" w:sz="6" w:space="0"/>
            </w:tcBorders>
            <w:noWrap/>
            <w:vAlign w:val="center"/>
          </w:tcPr>
          <w:p w14:paraId="2E27A83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年龄</w:t>
            </w:r>
          </w:p>
        </w:tc>
        <w:tc>
          <w:tcPr>
            <w:tcW w:w="1541" w:type="dxa"/>
            <w:tcBorders>
              <w:top w:val="single" w:color="auto" w:sz="6" w:space="0"/>
              <w:left w:val="single" w:color="auto" w:sz="6" w:space="0"/>
              <w:bottom w:val="single" w:color="auto" w:sz="6" w:space="0"/>
              <w:right w:val="single" w:color="auto" w:sz="6" w:space="0"/>
            </w:tcBorders>
            <w:noWrap/>
            <w:vAlign w:val="center"/>
          </w:tcPr>
          <w:p w14:paraId="32F6E87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职称</w:t>
            </w:r>
          </w:p>
        </w:tc>
        <w:tc>
          <w:tcPr>
            <w:tcW w:w="2169" w:type="dxa"/>
            <w:tcBorders>
              <w:top w:val="single" w:color="auto" w:sz="6" w:space="0"/>
              <w:left w:val="single" w:color="auto" w:sz="6" w:space="0"/>
              <w:bottom w:val="single" w:color="auto" w:sz="6" w:space="0"/>
              <w:right w:val="single" w:color="auto" w:sz="6" w:space="0"/>
            </w:tcBorders>
            <w:noWrap/>
            <w:vAlign w:val="center"/>
          </w:tcPr>
          <w:p w14:paraId="3D67674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备注</w:t>
            </w:r>
          </w:p>
        </w:tc>
      </w:tr>
      <w:tr w14:paraId="53F4DB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2" w:hRule="exact"/>
        </w:trPr>
        <w:tc>
          <w:tcPr>
            <w:tcW w:w="744" w:type="dxa"/>
            <w:tcBorders>
              <w:top w:val="single" w:color="auto" w:sz="6" w:space="0"/>
              <w:left w:val="single" w:color="auto" w:sz="6" w:space="0"/>
              <w:right w:val="single" w:color="auto" w:sz="6" w:space="0"/>
            </w:tcBorders>
            <w:noWrap/>
            <w:vAlign w:val="center"/>
          </w:tcPr>
          <w:p w14:paraId="632ED9C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424" w:type="dxa"/>
            <w:tcBorders>
              <w:top w:val="single" w:color="auto" w:sz="6" w:space="0"/>
              <w:left w:val="single" w:color="auto" w:sz="6" w:space="0"/>
              <w:right w:val="single" w:color="auto" w:sz="6" w:space="0"/>
            </w:tcBorders>
            <w:noWrap/>
            <w:vAlign w:val="center"/>
          </w:tcPr>
          <w:p w14:paraId="1E2C8DF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项目经理</w:t>
            </w:r>
          </w:p>
        </w:tc>
        <w:tc>
          <w:tcPr>
            <w:tcW w:w="1358" w:type="dxa"/>
            <w:tcBorders>
              <w:top w:val="single" w:color="auto" w:sz="6" w:space="0"/>
              <w:left w:val="single" w:color="auto" w:sz="6" w:space="0"/>
              <w:bottom w:val="single" w:color="auto" w:sz="6" w:space="0"/>
              <w:right w:val="single" w:color="auto" w:sz="6" w:space="0"/>
            </w:tcBorders>
            <w:noWrap/>
            <w:vAlign w:val="center"/>
          </w:tcPr>
          <w:p w14:paraId="4D30280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8BB52A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8E11C4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7DB4C25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464E84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AE363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53FAD6C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424" w:type="dxa"/>
            <w:tcBorders>
              <w:top w:val="single" w:color="auto" w:sz="6" w:space="0"/>
              <w:left w:val="single" w:color="auto" w:sz="6" w:space="0"/>
              <w:right w:val="single" w:color="auto" w:sz="6" w:space="0"/>
            </w:tcBorders>
            <w:noWrap/>
            <w:vAlign w:val="center"/>
          </w:tcPr>
          <w:p w14:paraId="32D9FAE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项目技术</w:t>
            </w:r>
          </w:p>
          <w:p w14:paraId="3D096C2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2D1E4E7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F85730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7984E49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3DBDD8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6390574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72A5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6275813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w:t>
            </w:r>
          </w:p>
        </w:tc>
        <w:tc>
          <w:tcPr>
            <w:tcW w:w="1424" w:type="dxa"/>
            <w:tcBorders>
              <w:top w:val="single" w:color="auto" w:sz="6" w:space="0"/>
              <w:left w:val="single" w:color="auto" w:sz="6" w:space="0"/>
              <w:right w:val="single" w:color="auto" w:sz="6" w:space="0"/>
            </w:tcBorders>
            <w:noWrap/>
            <w:vAlign w:val="center"/>
          </w:tcPr>
          <w:p w14:paraId="76FC2AB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项目设计</w:t>
            </w:r>
          </w:p>
          <w:p w14:paraId="0997AE7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7326BD0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3BC0B1B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E4B5A3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1FF61C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A56C29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CDEF1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28C1397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w:t>
            </w:r>
          </w:p>
        </w:tc>
        <w:tc>
          <w:tcPr>
            <w:tcW w:w="1424" w:type="dxa"/>
            <w:tcBorders>
              <w:top w:val="single" w:color="auto" w:sz="6" w:space="0"/>
              <w:left w:val="single" w:color="auto" w:sz="6" w:space="0"/>
              <w:bottom w:val="single" w:color="auto" w:sz="6" w:space="0"/>
              <w:right w:val="single" w:color="auto" w:sz="6" w:space="0"/>
            </w:tcBorders>
            <w:noWrap/>
            <w:vAlign w:val="center"/>
          </w:tcPr>
          <w:p w14:paraId="23E1075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专职安全员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31AB856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1BBB79C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D1557C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0E8DCC7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68A735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AE10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EC252BA">
            <w:pPr>
              <w:wordWrap w:val="0"/>
              <w:adjustRightInd w:val="0"/>
              <w:snapToGrid w:val="0"/>
              <w:ind w:firstLine="360" w:firstLineChars="15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w:t>
            </w:r>
          </w:p>
        </w:tc>
        <w:tc>
          <w:tcPr>
            <w:tcW w:w="1424" w:type="dxa"/>
            <w:tcBorders>
              <w:top w:val="single" w:color="auto" w:sz="6" w:space="0"/>
              <w:left w:val="single" w:color="auto" w:sz="6" w:space="0"/>
              <w:bottom w:val="single" w:color="auto" w:sz="6" w:space="0"/>
              <w:right w:val="single" w:color="auto" w:sz="6" w:space="0"/>
            </w:tcBorders>
            <w:noWrap/>
            <w:vAlign w:val="center"/>
          </w:tcPr>
          <w:p w14:paraId="03ED157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施工员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557D1E5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0369231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6E1A45F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E42DF2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39B0A0E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9520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74E20A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w:t>
            </w:r>
          </w:p>
        </w:tc>
        <w:tc>
          <w:tcPr>
            <w:tcW w:w="1424" w:type="dxa"/>
            <w:tcBorders>
              <w:top w:val="single" w:color="auto" w:sz="6" w:space="0"/>
              <w:left w:val="single" w:color="auto" w:sz="6" w:space="0"/>
              <w:bottom w:val="single" w:color="auto" w:sz="6" w:space="0"/>
              <w:right w:val="single" w:color="auto" w:sz="6" w:space="0"/>
            </w:tcBorders>
            <w:noWrap/>
            <w:vAlign w:val="center"/>
          </w:tcPr>
          <w:p w14:paraId="07556B7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12CFA07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913F2A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1AAFFD3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4331229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3AA8824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2BB1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550D75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7</w:t>
            </w:r>
          </w:p>
        </w:tc>
        <w:tc>
          <w:tcPr>
            <w:tcW w:w="1424" w:type="dxa"/>
            <w:tcBorders>
              <w:top w:val="single" w:color="auto" w:sz="6" w:space="0"/>
              <w:left w:val="single" w:color="auto" w:sz="6" w:space="0"/>
              <w:bottom w:val="single" w:color="auto" w:sz="6" w:space="0"/>
              <w:right w:val="single" w:color="auto" w:sz="6" w:space="0"/>
            </w:tcBorders>
            <w:noWrap/>
            <w:vAlign w:val="center"/>
          </w:tcPr>
          <w:p w14:paraId="5783CD5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材料员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40940A1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F073C5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0A693B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2D56E90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A1AD94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81A3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268DCA7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8</w:t>
            </w:r>
          </w:p>
        </w:tc>
        <w:tc>
          <w:tcPr>
            <w:tcW w:w="1424" w:type="dxa"/>
            <w:tcBorders>
              <w:top w:val="single" w:color="auto" w:sz="6" w:space="0"/>
              <w:left w:val="single" w:color="auto" w:sz="6" w:space="0"/>
              <w:bottom w:val="single" w:color="auto" w:sz="6" w:space="0"/>
              <w:right w:val="single" w:color="auto" w:sz="6" w:space="0"/>
            </w:tcBorders>
            <w:noWrap/>
            <w:vAlign w:val="center"/>
          </w:tcPr>
          <w:p w14:paraId="6B4DE00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资料员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2ADB851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0416EF3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F302DB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C37B47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1CF994B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8227D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6"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710DAE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424" w:type="dxa"/>
            <w:tcBorders>
              <w:top w:val="single" w:color="auto" w:sz="6" w:space="0"/>
              <w:left w:val="single" w:color="auto" w:sz="6" w:space="0"/>
              <w:bottom w:val="single" w:color="auto" w:sz="6" w:space="0"/>
              <w:right w:val="single" w:color="auto" w:sz="6" w:space="0"/>
            </w:tcBorders>
            <w:noWrap/>
            <w:vAlign w:val="center"/>
          </w:tcPr>
          <w:p w14:paraId="5697358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358" w:type="dxa"/>
            <w:tcBorders>
              <w:top w:val="single" w:color="auto" w:sz="6" w:space="0"/>
              <w:left w:val="single" w:color="auto" w:sz="6" w:space="0"/>
              <w:bottom w:val="single" w:color="auto" w:sz="6" w:space="0"/>
              <w:right w:val="single" w:color="auto" w:sz="6" w:space="0"/>
            </w:tcBorders>
            <w:noWrap/>
            <w:vAlign w:val="center"/>
          </w:tcPr>
          <w:p w14:paraId="70E8FA5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49D2A5F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625E9BA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746ECF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6DEC61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bookmarkEnd w:id="358"/>
    </w:tbl>
    <w:p w14:paraId="62C9F790">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bookmarkStart w:id="359" w:name="_Toc8648"/>
      <w:bookmarkStart w:id="360" w:name="_Toc25577"/>
      <w:bookmarkStart w:id="361" w:name="_Toc36804690"/>
    </w:p>
    <w:p w14:paraId="6D72237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28B781B4">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1．《项目管理机构组成表》后应附表中拟派人员（项目经理、项目技术负责人、项目设计负责人除外）以下资料：</w:t>
      </w:r>
    </w:p>
    <w:p w14:paraId="323CEA05">
      <w:pPr>
        <w:wordWrap w:val="0"/>
        <w:adjustRightInd w:val="0"/>
        <w:snapToGrid w:val="0"/>
        <w:spacing w:line="400" w:lineRule="exact"/>
        <w:ind w:left="0" w:leftChars="0" w:firstLine="478" w:firstLineChars="228"/>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（1）身份证彩色扫描件；</w:t>
      </w:r>
    </w:p>
    <w:p w14:paraId="6CD40297">
      <w:pPr>
        <w:wordWrap w:val="0"/>
        <w:adjustRightInd w:val="0"/>
        <w:snapToGrid w:val="0"/>
        <w:spacing w:line="400" w:lineRule="exact"/>
        <w:ind w:left="0" w:leftChars="0" w:firstLine="478" w:firstLineChars="228"/>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（2）专职安全员须提供C类安全生产考核合格证书彩色扫描件或“广东省建筑施工企业管理人员安全生产考核系统”考核合格信息打印页；</w:t>
      </w:r>
    </w:p>
    <w:p w14:paraId="63AA042E">
      <w:pPr>
        <w:wordWrap w:val="0"/>
        <w:adjustRightInd w:val="0"/>
        <w:snapToGrid w:val="0"/>
        <w:spacing w:line="400" w:lineRule="exact"/>
        <w:ind w:left="0" w:leftChars="0" w:firstLine="478" w:firstLineChars="228"/>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）在本单位缴纳社保的证明（其中须有202</w:t>
      </w:r>
      <w:r>
        <w:rPr>
          <w:rFonts w:hint="eastAsia"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月）彩色扫描件；拟派人员为退休返聘人员无法提供社保证明的，提供退休证和劳动合同彩色扫描件；</w:t>
      </w:r>
    </w:p>
    <w:p w14:paraId="0578B85B">
      <w:pPr>
        <w:wordWrap w:val="0"/>
        <w:adjustRightInd w:val="0"/>
        <w:snapToGrid w:val="0"/>
        <w:spacing w:line="400" w:lineRule="exact"/>
        <w:ind w:left="0" w:leftChars="0" w:firstLine="478" w:firstLineChars="228"/>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rPr>
        <w:t>）“进粤企业和人员诚信信息登记平台”个人信息情况截图。（适用于省外建筑企业）。</w:t>
      </w:r>
    </w:p>
    <w:p w14:paraId="28D47186">
      <w:pPr>
        <w:wordWrap w:val="0"/>
        <w:adjustRightInd w:val="0"/>
        <w:snapToGrid w:val="0"/>
        <w:spacing w:line="400" w:lineRule="exac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 xml:space="preserve">    2．联合体投标的，《项目管理机构组成表》应包括联合体成员单位参与项目管理机构的人员，并提供以上所需资料。</w:t>
      </w:r>
    </w:p>
    <w:p w14:paraId="653608DB">
      <w:pPr>
        <w:bidi w:val="0"/>
        <w:rPr>
          <w:rFonts w:hint="eastAsia"/>
          <w:color w:val="auto"/>
        </w:rPr>
      </w:pPr>
    </w:p>
    <w:p w14:paraId="2D784CC7">
      <w:pPr>
        <w:bidi w:val="0"/>
        <w:rPr>
          <w:rFonts w:hint="eastAsia"/>
          <w:color w:val="auto"/>
        </w:rPr>
      </w:pPr>
    </w:p>
    <w:p w14:paraId="3152C215">
      <w:pPr>
        <w:bidi w:val="0"/>
        <w:rPr>
          <w:rFonts w:hint="eastAsia"/>
          <w:color w:val="auto"/>
        </w:rPr>
      </w:pPr>
    </w:p>
    <w:p w14:paraId="5C40E887">
      <w:pPr>
        <w:bidi w:val="0"/>
        <w:rPr>
          <w:rFonts w:hint="eastAsia"/>
          <w:color w:val="auto"/>
        </w:rPr>
      </w:pPr>
    </w:p>
    <w:bookmarkEnd w:id="359"/>
    <w:bookmarkEnd w:id="360"/>
    <w:bookmarkEnd w:id="361"/>
    <w:p w14:paraId="612A02DD">
      <w:pPr>
        <w:rPr>
          <w:rStyle w:val="70"/>
          <w:rFonts w:hint="eastAsia" w:ascii="宋体" w:hAnsi="宋体" w:eastAsia="宋体" w:cs="宋体"/>
          <w:b/>
          <w:bCs/>
          <w:color w:val="auto"/>
          <w:sz w:val="21"/>
          <w:szCs w:val="21"/>
          <w:highlight w:val="none"/>
        </w:rPr>
      </w:pPr>
      <w:bookmarkStart w:id="362" w:name="_Toc15610"/>
      <w:r>
        <w:rPr>
          <w:rStyle w:val="70"/>
          <w:rFonts w:hint="eastAsia" w:ascii="宋体" w:hAnsi="宋体" w:eastAsia="宋体" w:cs="宋体"/>
          <w:b/>
          <w:bCs/>
          <w:color w:val="auto"/>
          <w:sz w:val="21"/>
          <w:szCs w:val="21"/>
          <w:highlight w:val="none"/>
        </w:rPr>
        <w:br w:type="page"/>
      </w:r>
    </w:p>
    <w:p w14:paraId="769E89DF">
      <w:pPr>
        <w:pStyle w:val="45"/>
        <w:widowControl w:val="0"/>
        <w:wordWrap w:val="0"/>
        <w:adjustRightInd w:val="0"/>
        <w:snapToGrid w:val="0"/>
        <w:spacing w:line="360" w:lineRule="auto"/>
        <w:rPr>
          <w:rFonts w:hint="eastAsia" w:eastAsia="宋体"/>
          <w:snapToGrid w:val="0"/>
          <w:color w:val="auto"/>
          <w:sz w:val="21"/>
          <w:szCs w:val="28"/>
          <w:highlight w:val="none"/>
          <w:lang w:eastAsia="zh-CN"/>
        </w:rPr>
      </w:pPr>
      <w:r>
        <w:rPr>
          <w:rStyle w:val="70"/>
          <w:rFonts w:hint="eastAsia" w:ascii="宋体" w:hAnsi="宋体" w:eastAsia="宋体" w:cs="宋体"/>
          <w:b/>
          <w:bCs/>
          <w:color w:val="auto"/>
          <w:sz w:val="21"/>
          <w:szCs w:val="21"/>
          <w:highlight w:val="none"/>
        </w:rPr>
        <w:t>建造师查询页（有效期）</w:t>
      </w:r>
      <w:bookmarkEnd w:id="362"/>
    </w:p>
    <w:p w14:paraId="6A965DBE">
      <w:pPr>
        <w:bidi w:val="0"/>
        <w:rPr>
          <w:rFonts w:hint="eastAsia"/>
          <w:color w:val="auto"/>
        </w:rPr>
      </w:pPr>
      <w:r>
        <w:rPr>
          <w:color w:val="auto"/>
        </w:rPr>
        <w:drawing>
          <wp:anchor distT="0" distB="0" distL="114300" distR="114300" simplePos="0" relativeHeight="251664384" behindDoc="0" locked="0" layoutInCell="1" allowOverlap="1">
            <wp:simplePos x="0" y="0"/>
            <wp:positionH relativeFrom="column">
              <wp:posOffset>165735</wp:posOffset>
            </wp:positionH>
            <wp:positionV relativeFrom="paragraph">
              <wp:posOffset>12700</wp:posOffset>
            </wp:positionV>
            <wp:extent cx="5767070" cy="8064500"/>
            <wp:effectExtent l="0" t="0" r="8890" b="12700"/>
            <wp:wrapNone/>
            <wp:docPr id="1" name="图片 1"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d7491b2f9802d8de0f2607fe015bb"/>
                    <pic:cNvPicPr>
                      <a:picLocks noChangeAspect="1"/>
                    </pic:cNvPicPr>
                  </pic:nvPicPr>
                  <pic:blipFill>
                    <a:blip r:embed="rId12"/>
                    <a:stretch>
                      <a:fillRect/>
                    </a:stretch>
                  </pic:blipFill>
                  <pic:spPr>
                    <a:xfrm>
                      <a:off x="0" y="0"/>
                      <a:ext cx="5767070" cy="8064500"/>
                    </a:xfrm>
                    <a:prstGeom prst="rect">
                      <a:avLst/>
                    </a:prstGeom>
                    <a:noFill/>
                    <a:ln>
                      <a:noFill/>
                    </a:ln>
                  </pic:spPr>
                </pic:pic>
              </a:graphicData>
            </a:graphic>
          </wp:anchor>
        </w:drawing>
      </w:r>
    </w:p>
    <w:p w14:paraId="47012038">
      <w:pPr>
        <w:bidi w:val="0"/>
        <w:rPr>
          <w:rFonts w:hint="eastAsia"/>
          <w:color w:val="auto"/>
        </w:rPr>
      </w:pPr>
      <w:bookmarkStart w:id="363" w:name="_Toc466640622"/>
      <w:bookmarkStart w:id="364" w:name="_Toc420"/>
      <w:bookmarkStart w:id="365" w:name="_Toc1879"/>
      <w:bookmarkStart w:id="366" w:name="_Toc19434"/>
      <w:bookmarkStart w:id="367" w:name="_Toc26594"/>
      <w:bookmarkStart w:id="368" w:name="_Toc13641"/>
      <w:bookmarkStart w:id="369" w:name="_Toc3242"/>
      <w:bookmarkStart w:id="370" w:name="_Toc3894"/>
      <w:bookmarkStart w:id="371" w:name="_Toc9802"/>
    </w:p>
    <w:p w14:paraId="778F4C56">
      <w:pPr>
        <w:bidi w:val="0"/>
        <w:rPr>
          <w:rFonts w:hint="eastAsia"/>
          <w:color w:val="auto"/>
        </w:rPr>
      </w:pPr>
    </w:p>
    <w:p w14:paraId="34833780">
      <w:pPr>
        <w:bidi w:val="0"/>
        <w:rPr>
          <w:rFonts w:hint="eastAsia"/>
          <w:color w:val="auto"/>
        </w:rPr>
      </w:pPr>
    </w:p>
    <w:p w14:paraId="33DF98BF">
      <w:pPr>
        <w:bidi w:val="0"/>
        <w:rPr>
          <w:rFonts w:hint="eastAsia"/>
          <w:color w:val="auto"/>
        </w:rPr>
      </w:pPr>
    </w:p>
    <w:p w14:paraId="23719E1E">
      <w:pPr>
        <w:bidi w:val="0"/>
        <w:rPr>
          <w:rFonts w:hint="eastAsia"/>
          <w:color w:val="auto"/>
        </w:rPr>
      </w:pPr>
    </w:p>
    <w:p w14:paraId="1980A71E">
      <w:pPr>
        <w:bidi w:val="0"/>
        <w:rPr>
          <w:rFonts w:hint="eastAsia"/>
          <w:color w:val="auto"/>
        </w:rPr>
      </w:pPr>
    </w:p>
    <w:p w14:paraId="10752125">
      <w:pPr>
        <w:bidi w:val="0"/>
        <w:rPr>
          <w:rFonts w:hint="eastAsia"/>
          <w:color w:val="auto"/>
        </w:rPr>
      </w:pPr>
    </w:p>
    <w:p w14:paraId="221ADBF0">
      <w:pPr>
        <w:bidi w:val="0"/>
        <w:rPr>
          <w:rFonts w:hint="eastAsia"/>
          <w:color w:val="auto"/>
        </w:rPr>
      </w:pPr>
    </w:p>
    <w:p w14:paraId="73485C8E">
      <w:pPr>
        <w:bidi w:val="0"/>
        <w:rPr>
          <w:rFonts w:hint="eastAsia"/>
          <w:color w:val="auto"/>
        </w:rPr>
      </w:pPr>
    </w:p>
    <w:p w14:paraId="15C80649">
      <w:pPr>
        <w:bidi w:val="0"/>
        <w:rPr>
          <w:rFonts w:hint="eastAsia"/>
          <w:color w:val="auto"/>
        </w:rPr>
      </w:pPr>
    </w:p>
    <w:p w14:paraId="4EC6FAFC">
      <w:pPr>
        <w:bidi w:val="0"/>
        <w:rPr>
          <w:rFonts w:hint="eastAsia"/>
          <w:color w:val="auto"/>
        </w:rPr>
      </w:pPr>
    </w:p>
    <w:p w14:paraId="32A936D2">
      <w:pPr>
        <w:bidi w:val="0"/>
        <w:rPr>
          <w:rFonts w:hint="eastAsia"/>
          <w:color w:val="auto"/>
        </w:rPr>
      </w:pPr>
    </w:p>
    <w:p w14:paraId="0169C160">
      <w:pPr>
        <w:bidi w:val="0"/>
        <w:rPr>
          <w:rFonts w:hint="eastAsia"/>
          <w:color w:val="auto"/>
        </w:rPr>
      </w:pPr>
    </w:p>
    <w:p w14:paraId="3C0C4555">
      <w:pPr>
        <w:bidi w:val="0"/>
        <w:rPr>
          <w:rFonts w:hint="eastAsia"/>
          <w:color w:val="auto"/>
        </w:rPr>
      </w:pPr>
    </w:p>
    <w:p w14:paraId="00E04A63">
      <w:pPr>
        <w:bidi w:val="0"/>
        <w:rPr>
          <w:rFonts w:hint="eastAsia"/>
          <w:color w:val="auto"/>
        </w:rPr>
      </w:pPr>
    </w:p>
    <w:p w14:paraId="5D0A3E17">
      <w:pPr>
        <w:bidi w:val="0"/>
        <w:rPr>
          <w:rFonts w:hint="eastAsia"/>
          <w:color w:val="auto"/>
        </w:rPr>
      </w:pPr>
    </w:p>
    <w:p w14:paraId="466A157C">
      <w:pPr>
        <w:bidi w:val="0"/>
        <w:rPr>
          <w:rFonts w:hint="eastAsia"/>
          <w:color w:val="auto"/>
        </w:rPr>
      </w:pPr>
    </w:p>
    <w:p w14:paraId="3DD2866A">
      <w:pPr>
        <w:bidi w:val="0"/>
        <w:rPr>
          <w:rFonts w:hint="eastAsia"/>
          <w:color w:val="auto"/>
        </w:rPr>
      </w:pPr>
    </w:p>
    <w:p w14:paraId="329931D2">
      <w:pPr>
        <w:bidi w:val="0"/>
        <w:rPr>
          <w:rFonts w:hint="eastAsia"/>
          <w:color w:val="auto"/>
        </w:rPr>
      </w:pPr>
    </w:p>
    <w:p w14:paraId="4041E7B6">
      <w:pPr>
        <w:bidi w:val="0"/>
        <w:rPr>
          <w:rFonts w:hint="eastAsia"/>
          <w:color w:val="auto"/>
        </w:rPr>
      </w:pPr>
    </w:p>
    <w:p w14:paraId="2245C350">
      <w:pPr>
        <w:bidi w:val="0"/>
        <w:rPr>
          <w:rFonts w:hint="eastAsia"/>
          <w:color w:val="auto"/>
        </w:rPr>
      </w:pPr>
    </w:p>
    <w:p w14:paraId="2A5DFE76">
      <w:pPr>
        <w:bidi w:val="0"/>
        <w:rPr>
          <w:rFonts w:hint="eastAsia"/>
          <w:color w:val="auto"/>
        </w:rPr>
      </w:pPr>
    </w:p>
    <w:p w14:paraId="032EE2F3">
      <w:pPr>
        <w:bidi w:val="0"/>
        <w:rPr>
          <w:rFonts w:hint="eastAsia"/>
          <w:color w:val="auto"/>
        </w:rPr>
      </w:pPr>
    </w:p>
    <w:p w14:paraId="0281CD97">
      <w:pPr>
        <w:bidi w:val="0"/>
        <w:rPr>
          <w:rFonts w:hint="eastAsia"/>
          <w:color w:val="auto"/>
        </w:rPr>
      </w:pPr>
    </w:p>
    <w:p w14:paraId="5CD78BCE">
      <w:pPr>
        <w:bidi w:val="0"/>
        <w:rPr>
          <w:rFonts w:hint="eastAsia"/>
          <w:color w:val="auto"/>
        </w:rPr>
      </w:pPr>
    </w:p>
    <w:p w14:paraId="1B8B1EFE">
      <w:pPr>
        <w:bidi w:val="0"/>
        <w:rPr>
          <w:rFonts w:hint="eastAsia"/>
          <w:color w:val="auto"/>
        </w:rPr>
      </w:pPr>
    </w:p>
    <w:p w14:paraId="140E4144">
      <w:pPr>
        <w:pStyle w:val="3"/>
        <w:jc w:val="center"/>
        <w:rPr>
          <w:rFonts w:hint="eastAsia" w:asciiTheme="minorEastAsia" w:hAnsiTheme="minorEastAsia" w:eastAsiaTheme="minorEastAsia" w:cstheme="minorEastAsia"/>
          <w:b/>
          <w:color w:val="auto"/>
          <w:kern w:val="44"/>
          <w:sz w:val="36"/>
          <w:szCs w:val="36"/>
          <w:highlight w:val="none"/>
        </w:rPr>
      </w:pPr>
      <w:bookmarkStart w:id="372" w:name="_Toc11728"/>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val="en-US" w:eastAsia="zh-CN"/>
        </w:rPr>
        <w:t>六</w:t>
      </w:r>
      <w:r>
        <w:rPr>
          <w:rFonts w:hint="eastAsia" w:asciiTheme="minorEastAsia" w:hAnsiTheme="minorEastAsia" w:eastAsiaTheme="minorEastAsia" w:cstheme="minorEastAsia"/>
          <w:b/>
          <w:color w:val="auto"/>
          <w:kern w:val="44"/>
          <w:sz w:val="36"/>
          <w:szCs w:val="36"/>
          <w:highlight w:val="none"/>
        </w:rPr>
        <w:t xml:space="preserve">章  </w:t>
      </w:r>
      <w:bookmarkEnd w:id="264"/>
      <w:bookmarkEnd w:id="265"/>
      <w:bookmarkEnd w:id="266"/>
      <w:bookmarkEnd w:id="267"/>
      <w:bookmarkEnd w:id="363"/>
      <w:r>
        <w:rPr>
          <w:rFonts w:hint="eastAsia" w:asciiTheme="minorEastAsia" w:hAnsiTheme="minorEastAsia" w:eastAsiaTheme="minorEastAsia" w:cstheme="minorEastAsia"/>
          <w:b/>
          <w:color w:val="auto"/>
          <w:kern w:val="44"/>
          <w:sz w:val="36"/>
          <w:szCs w:val="36"/>
          <w:highlight w:val="none"/>
        </w:rPr>
        <w:t>建设工程合同</w:t>
      </w:r>
      <w:bookmarkEnd w:id="364"/>
      <w:bookmarkEnd w:id="365"/>
      <w:bookmarkEnd w:id="366"/>
      <w:bookmarkEnd w:id="367"/>
      <w:bookmarkEnd w:id="368"/>
      <w:bookmarkEnd w:id="369"/>
      <w:bookmarkEnd w:id="370"/>
      <w:bookmarkEnd w:id="371"/>
      <w:bookmarkEnd w:id="372"/>
    </w:p>
    <w:p w14:paraId="5B6DEAA6">
      <w:pPr>
        <w:rPr>
          <w:rFonts w:hint="eastAsia" w:asciiTheme="minorEastAsia" w:hAnsiTheme="minorEastAsia" w:eastAsiaTheme="minorEastAsia" w:cstheme="minorEastAsia"/>
          <w:color w:val="auto"/>
          <w:highlight w:val="none"/>
        </w:rPr>
      </w:pPr>
    </w:p>
    <w:bookmarkEnd w:id="268"/>
    <w:bookmarkEnd w:id="269"/>
    <w:p w14:paraId="10D59DC1">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略。总承包合同参照住房城乡建设部、国家工商行政管理总局制定的《建设项目工程总承包合同（示范文本）》GF-2020-0216。</w:t>
      </w:r>
    </w:p>
    <w:p w14:paraId="5C93CEB9">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施工合同按广东省建设厅《广东省建设工程标准施工合同》范本（2009）执行。</w:t>
      </w:r>
    </w:p>
    <w:p w14:paraId="05A93BE1">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设计合同按住房城乡建设部、国家工商行政管理总局制定《建设工程设计合同示范文本（市政公用工程）》（GF-2015-0209）、《建设工程设计合同示范文本（专业建设工程）》（GF-2015-0210）执行。 </w:t>
      </w:r>
    </w:p>
    <w:p w14:paraId="10C1B868">
      <w:pPr>
        <w:spacing w:line="420" w:lineRule="atLeast"/>
        <w:ind w:firstLine="480" w:firstLineChars="200"/>
        <w:rPr>
          <w:rFonts w:hint="eastAsia" w:asciiTheme="minorEastAsia" w:hAnsiTheme="minorEastAsia" w:eastAsiaTheme="minorEastAsia" w:cstheme="minorEastAsia"/>
          <w:color w:val="auto"/>
          <w:highlight w:val="none"/>
        </w:rPr>
      </w:pPr>
    </w:p>
    <w:p w14:paraId="2DDC040B">
      <w:pPr>
        <w:spacing w:line="420" w:lineRule="atLeast"/>
        <w:ind w:firstLine="480" w:firstLineChars="200"/>
        <w:rPr>
          <w:rFonts w:hint="eastAsia" w:asciiTheme="minorEastAsia" w:hAnsiTheme="minorEastAsia" w:eastAsiaTheme="minorEastAsia" w:cstheme="minorEastAsia"/>
          <w:color w:val="auto"/>
          <w:highlight w:val="none"/>
        </w:rPr>
      </w:pPr>
    </w:p>
    <w:p w14:paraId="3EC46887">
      <w:pPr>
        <w:rPr>
          <w:rFonts w:hint="eastAsia" w:asciiTheme="minorEastAsia" w:hAnsiTheme="minorEastAsia" w:eastAsiaTheme="minorEastAsia" w:cstheme="minorEastAsia"/>
          <w:color w:val="auto"/>
          <w:highlight w:val="none"/>
        </w:rPr>
      </w:pPr>
    </w:p>
    <w:sectPr>
      <w:headerReference r:id="rId8" w:type="default"/>
      <w:footerReference r:id="rId9" w:type="default"/>
      <w:endnotePr>
        <w:numFmt w:val="decimal"/>
      </w:endnotePr>
      <w:pgSz w:w="11907" w:h="16840"/>
      <w:pgMar w:top="1134" w:right="1134" w:bottom="1021" w:left="1418" w:header="567" w:footer="510" w:gutter="0"/>
      <w:pgNumType w:fmt="decimal"/>
      <w:cols w:space="720" w:num="1"/>
      <w:docGrid w:type="lines"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Bodoni MT">
    <w:altName w:val="Segoe Print"/>
    <w:panose1 w:val="02070603080606020203"/>
    <w:charset w:val="00"/>
    <w:family w:val="roman"/>
    <w:pitch w:val="default"/>
    <w:sig w:usb0="00000000" w:usb1="00000000" w:usb2="00000000" w:usb3="00000000" w:csb0="20000001" w:csb1="00000000"/>
  </w:font>
  <w:font w:name="MingLiU">
    <w:altName w:val="PMingLiU-ExtB"/>
    <w:panose1 w:val="02010609000101010101"/>
    <w:charset w:val="88"/>
    <w:family w:val="modern"/>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726B9">
    <w:pPr>
      <w:pStyle w:val="68"/>
      <w:tabs>
        <w:tab w:val="left" w:pos="4803"/>
        <w:tab w:val="clear" w:pos="4153"/>
      </w:tabs>
    </w:pPr>
    <w:r>
      <w:rPr>
        <w:rFonts w:hint="eastAsia"/>
      </w:rPr>
      <w:tab/>
    </w:r>
  </w:p>
  <w:p w14:paraId="3852E4D1">
    <w:pPr>
      <w:pStyle w:val="6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6CE6C">
    <w:pPr>
      <w:pStyle w:val="68"/>
      <w:tabs>
        <w:tab w:val="left" w:pos="4803"/>
        <w:tab w:val="clear" w:pos="4153"/>
      </w:tabs>
    </w:pPr>
    <w:r>
      <w:rPr>
        <w:rFonts w:hint="eastAsia"/>
      </w:rPr>
      <w:tab/>
    </w:r>
  </w:p>
  <w:p w14:paraId="0EB1A49C">
    <w:pPr>
      <w:pStyle w:val="6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F1B34">
    <w:pPr>
      <w:pStyle w:val="68"/>
      <w:tabs>
        <w:tab w:val="left" w:pos="4803"/>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582D8D">
                          <w:pPr>
                            <w:pStyle w:val="18"/>
                          </w:pPr>
                          <w:r>
                            <w:fldChar w:fldCharType="begin"/>
                          </w:r>
                          <w:r>
                            <w:instrText xml:space="preserve"> PAGE  \* MERGEFORMAT </w:instrText>
                          </w:r>
                          <w:r>
                            <w:fldChar w:fldCharType="separate"/>
                          </w:r>
                          <w:r>
                            <w:t>１</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A582D8D">
                    <w:pPr>
                      <w:pStyle w:val="18"/>
                    </w:pPr>
                    <w:r>
                      <w:fldChar w:fldCharType="begin"/>
                    </w:r>
                    <w:r>
                      <w:instrText xml:space="preserve"> PAGE  \* MERGEFORMAT </w:instrText>
                    </w:r>
                    <w:r>
                      <w:fldChar w:fldCharType="separate"/>
                    </w:r>
                    <w:r>
                      <w:t>１</w:t>
                    </w:r>
                    <w:r>
                      <w:fldChar w:fldCharType="end"/>
                    </w:r>
                  </w:p>
                </w:txbxContent>
              </v:textbox>
            </v:shape>
          </w:pict>
        </mc:Fallback>
      </mc:AlternateContent>
    </w:r>
    <w:r>
      <w:rPr>
        <w:rFonts w:hint="eastAsia"/>
      </w:rPr>
      <w:tab/>
    </w:r>
  </w:p>
  <w:p w14:paraId="4D1333BF">
    <w:pPr>
      <w:pStyle w:val="6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F1291">
    <w:pPr>
      <w:pStyle w:val="68"/>
      <w:tabs>
        <w:tab w:val="left" w:pos="4803"/>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067534">
                          <w:pPr>
                            <w:pStyle w:val="18"/>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６４</w:t>
                          </w:r>
                          <w:r>
                            <w:rPr>
                              <w:rFonts w:hint="default"/>
                            </w:rPr>
                            <w:fldChar w:fldCharType="end"/>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COztjLAQAAnAMAAA4AAAAAAAAAAQAgAAAAHgEAAGRycy9lMm9E&#10;b2MueG1sUEsFBgAAAAAGAAYAWQEAAFsFAAAAAA==&#10;">
              <v:fill on="f" focussize="0,0"/>
              <v:stroke on="f"/>
              <v:imagedata o:title=""/>
              <o:lock v:ext="edit" aspectratio="f"/>
              <v:textbox inset="0mm,0mm,0mm,0mm" style="mso-fit-shape-to-text:t;">
                <w:txbxContent>
                  <w:p w14:paraId="7B067534">
                    <w:pPr>
                      <w:pStyle w:val="18"/>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６４</w:t>
                    </w:r>
                    <w:r>
                      <w:rPr>
                        <w:rFonts w:hint="default"/>
                      </w:rPr>
                      <w:fldChar w:fldCharType="end"/>
                    </w:r>
                  </w:p>
                </w:txbxContent>
              </v:textbox>
            </v:shape>
          </w:pict>
        </mc:Fallback>
      </mc:AlternateContent>
    </w:r>
    <w:r>
      <w:rPr>
        <w:rFonts w:hint="eastAsia"/>
      </w:rPr>
      <w:tab/>
    </w:r>
  </w:p>
  <w:p w14:paraId="4BF9399A">
    <w:pPr>
      <w:pStyle w:val="6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B275">
    <w:pPr>
      <w:pStyle w:val="18"/>
      <w:jc w:val="center"/>
      <w:rPr>
        <w:rFonts w:hint="default"/>
        <w:szCs w:val="24"/>
      </w:rPr>
    </w:pPr>
    <w:r>
      <w:rPr>
        <w:rFonts w:hint="defaul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456E4D">
                          <w:pPr>
                            <w:pStyle w:val="18"/>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７６</w:t>
                          </w:r>
                          <w:r>
                            <w:rPr>
                              <w:rFonts w:hint="default"/>
                            </w:rPr>
                            <w:fldChar w:fldCharType="end"/>
                          </w:r>
                        </w:p>
                      </w:txbxContent>
                    </wps:txbx>
                    <wps:bodyPr wrap="none" lIns="0" tIns="0" rIns="0" bIns="0" upright="1">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Hy8xnLAQAAnAMAAA4AAAAAAAAAAQAgAAAAHgEAAGRycy9lMm9E&#10;b2MueG1sUEsFBgAAAAAGAAYAWQEAAFsFAAAAAA==&#10;">
              <v:fill on="f" focussize="0,0"/>
              <v:stroke on="f"/>
              <v:imagedata o:title=""/>
              <o:lock v:ext="edit" aspectratio="f"/>
              <v:textbox inset="0mm,0mm,0mm,0mm" style="mso-fit-shape-to-text:t;">
                <w:txbxContent>
                  <w:p w14:paraId="34456E4D">
                    <w:pPr>
                      <w:pStyle w:val="18"/>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７６</w:t>
                    </w:r>
                    <w:r>
                      <w:rPr>
                        <w:rFonts w:hint="default"/>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D62A">
    <w:pPr>
      <w:jc w:val="center"/>
      <w:rPr>
        <w:rFonts w:hint="default"/>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75313">
    <w:pPr>
      <w:pStyle w:val="19"/>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1B1075"/>
    <w:multiLevelType w:val="singleLevel"/>
    <w:tmpl w:val="CB1B1075"/>
    <w:lvl w:ilvl="0" w:tentative="0">
      <w:start w:val="2"/>
      <w:numFmt w:val="decimal"/>
      <w:suff w:val="nothing"/>
      <w:lvlText w:val="%1、"/>
      <w:lvlJc w:val="left"/>
    </w:lvl>
  </w:abstractNum>
  <w:abstractNum w:abstractNumId="1">
    <w:nsid w:val="D758B1AC"/>
    <w:multiLevelType w:val="singleLevel"/>
    <w:tmpl w:val="D758B1AC"/>
    <w:lvl w:ilvl="0" w:tentative="0">
      <w:start w:val="1"/>
      <w:numFmt w:val="decimal"/>
      <w:suff w:val="nothing"/>
      <w:lvlText w:val="（%1）"/>
      <w:lvlJc w:val="left"/>
    </w:lvl>
  </w:abstractNum>
  <w:abstractNum w:abstractNumId="2">
    <w:nsid w:val="FC2FE9D9"/>
    <w:multiLevelType w:val="singleLevel"/>
    <w:tmpl w:val="FC2FE9D9"/>
    <w:lvl w:ilvl="0" w:tentative="0">
      <w:start w:val="13"/>
      <w:numFmt w:val="decimal"/>
      <w:suff w:val="space"/>
      <w:lvlText w:val="%1."/>
      <w:lvlJc w:val="left"/>
    </w:lvl>
  </w:abstractNum>
  <w:abstractNum w:abstractNumId="3">
    <w:nsid w:val="00000003"/>
    <w:multiLevelType w:val="singleLevel"/>
    <w:tmpl w:val="00000003"/>
    <w:lvl w:ilvl="0" w:tentative="0">
      <w:start w:val="1"/>
      <w:numFmt w:val="decimal"/>
      <w:suff w:val="nothing"/>
      <w:lvlText w:val="（%1）"/>
      <w:lvlJc w:val="left"/>
    </w:lvl>
  </w:abstractNum>
  <w:abstractNum w:abstractNumId="4">
    <w:nsid w:val="6475A511"/>
    <w:multiLevelType w:val="singleLevel"/>
    <w:tmpl w:val="6475A511"/>
    <w:lvl w:ilvl="0" w:tentative="0">
      <w:start w:val="1"/>
      <w:numFmt w:val="decimal"/>
      <w:suff w:val="nothing"/>
      <w:lvlText w:val="%1."/>
      <w:lvlJc w:val="left"/>
    </w:lvl>
  </w:abstractNum>
  <w:abstractNum w:abstractNumId="5">
    <w:nsid w:val="6F6D50C3"/>
    <w:multiLevelType w:val="singleLevel"/>
    <w:tmpl w:val="6F6D50C3"/>
    <w:lvl w:ilvl="0" w:tentative="0">
      <w:start w:val="6"/>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NjBlYjc3MjA2MWRiYWVlOTE2MWE5ZjMwMzgzMGYifQ=="/>
  </w:docVars>
  <w:rsids>
    <w:rsidRoot w:val="4C5944B1"/>
    <w:rsid w:val="000F7646"/>
    <w:rsid w:val="001E0850"/>
    <w:rsid w:val="00281ECB"/>
    <w:rsid w:val="002F176F"/>
    <w:rsid w:val="003A1942"/>
    <w:rsid w:val="003E2709"/>
    <w:rsid w:val="005E6BB8"/>
    <w:rsid w:val="0064163D"/>
    <w:rsid w:val="007C3F91"/>
    <w:rsid w:val="008C4168"/>
    <w:rsid w:val="00901845"/>
    <w:rsid w:val="00936991"/>
    <w:rsid w:val="00943625"/>
    <w:rsid w:val="00954357"/>
    <w:rsid w:val="00954A54"/>
    <w:rsid w:val="00A322B9"/>
    <w:rsid w:val="00A80EA7"/>
    <w:rsid w:val="00AF685C"/>
    <w:rsid w:val="00B16179"/>
    <w:rsid w:val="00B37196"/>
    <w:rsid w:val="00C04E0C"/>
    <w:rsid w:val="00CB07F4"/>
    <w:rsid w:val="00CD4D5B"/>
    <w:rsid w:val="00D2185D"/>
    <w:rsid w:val="00D561CD"/>
    <w:rsid w:val="00DA5A23"/>
    <w:rsid w:val="00E76514"/>
    <w:rsid w:val="00ED4B12"/>
    <w:rsid w:val="016A5229"/>
    <w:rsid w:val="019E2B21"/>
    <w:rsid w:val="01B7046D"/>
    <w:rsid w:val="01C41EFB"/>
    <w:rsid w:val="01D230AA"/>
    <w:rsid w:val="02112D7C"/>
    <w:rsid w:val="023C39C8"/>
    <w:rsid w:val="02665093"/>
    <w:rsid w:val="0279651D"/>
    <w:rsid w:val="029D1A19"/>
    <w:rsid w:val="02A429BD"/>
    <w:rsid w:val="02DC6761"/>
    <w:rsid w:val="0318711B"/>
    <w:rsid w:val="03413A39"/>
    <w:rsid w:val="03724869"/>
    <w:rsid w:val="03737B70"/>
    <w:rsid w:val="0410030A"/>
    <w:rsid w:val="04360B53"/>
    <w:rsid w:val="047300FE"/>
    <w:rsid w:val="047E0E7E"/>
    <w:rsid w:val="04C5488E"/>
    <w:rsid w:val="052D0A47"/>
    <w:rsid w:val="05AF4437"/>
    <w:rsid w:val="05BD348C"/>
    <w:rsid w:val="05F332E5"/>
    <w:rsid w:val="06622C7D"/>
    <w:rsid w:val="06930D7E"/>
    <w:rsid w:val="0694486B"/>
    <w:rsid w:val="07AD089C"/>
    <w:rsid w:val="07C83357"/>
    <w:rsid w:val="081D6DBF"/>
    <w:rsid w:val="083E0DBA"/>
    <w:rsid w:val="08915791"/>
    <w:rsid w:val="08C47915"/>
    <w:rsid w:val="08CE609D"/>
    <w:rsid w:val="092752BD"/>
    <w:rsid w:val="095C09E6"/>
    <w:rsid w:val="096123F5"/>
    <w:rsid w:val="0A5B114D"/>
    <w:rsid w:val="0A6E05FA"/>
    <w:rsid w:val="0A876E4C"/>
    <w:rsid w:val="0AA572D2"/>
    <w:rsid w:val="0AD7112E"/>
    <w:rsid w:val="0B3C389E"/>
    <w:rsid w:val="0B3D39AE"/>
    <w:rsid w:val="0B5D7BAD"/>
    <w:rsid w:val="0B633415"/>
    <w:rsid w:val="0C3721AC"/>
    <w:rsid w:val="0C711B61"/>
    <w:rsid w:val="0CC53C5B"/>
    <w:rsid w:val="0CDE7850"/>
    <w:rsid w:val="0D1F0F16"/>
    <w:rsid w:val="0D3D5EE8"/>
    <w:rsid w:val="0D4728C2"/>
    <w:rsid w:val="0D5374B9"/>
    <w:rsid w:val="0DAC00AB"/>
    <w:rsid w:val="0DBB16BD"/>
    <w:rsid w:val="0DC7755F"/>
    <w:rsid w:val="0DDF6F9F"/>
    <w:rsid w:val="0DF73507"/>
    <w:rsid w:val="0E0A3DCD"/>
    <w:rsid w:val="0E323572"/>
    <w:rsid w:val="0E532A37"/>
    <w:rsid w:val="0EBC4BEA"/>
    <w:rsid w:val="0F0A0D37"/>
    <w:rsid w:val="0F114F36"/>
    <w:rsid w:val="0F87344A"/>
    <w:rsid w:val="0F930041"/>
    <w:rsid w:val="0F9348B2"/>
    <w:rsid w:val="0FB24E29"/>
    <w:rsid w:val="101C0036"/>
    <w:rsid w:val="102F529B"/>
    <w:rsid w:val="106317C1"/>
    <w:rsid w:val="10B14C22"/>
    <w:rsid w:val="10BD6F35"/>
    <w:rsid w:val="118C4D48"/>
    <w:rsid w:val="11D65401"/>
    <w:rsid w:val="122A5805"/>
    <w:rsid w:val="13156E63"/>
    <w:rsid w:val="13BB36C2"/>
    <w:rsid w:val="13D27BED"/>
    <w:rsid w:val="13D44784"/>
    <w:rsid w:val="140E4E17"/>
    <w:rsid w:val="143C0CA7"/>
    <w:rsid w:val="14C33176"/>
    <w:rsid w:val="152C7A61"/>
    <w:rsid w:val="154E2175"/>
    <w:rsid w:val="159450E2"/>
    <w:rsid w:val="15D1725F"/>
    <w:rsid w:val="1606331B"/>
    <w:rsid w:val="1624330D"/>
    <w:rsid w:val="169F12A9"/>
    <w:rsid w:val="171E6442"/>
    <w:rsid w:val="182757CA"/>
    <w:rsid w:val="18495740"/>
    <w:rsid w:val="18890233"/>
    <w:rsid w:val="189839F1"/>
    <w:rsid w:val="189A2440"/>
    <w:rsid w:val="18B84674"/>
    <w:rsid w:val="18CA5813"/>
    <w:rsid w:val="18E15979"/>
    <w:rsid w:val="19002378"/>
    <w:rsid w:val="199A279A"/>
    <w:rsid w:val="19B1359D"/>
    <w:rsid w:val="1A3B37AF"/>
    <w:rsid w:val="1A803388"/>
    <w:rsid w:val="1A937147"/>
    <w:rsid w:val="1A98475D"/>
    <w:rsid w:val="1AA650CC"/>
    <w:rsid w:val="1AE9320B"/>
    <w:rsid w:val="1B8316E7"/>
    <w:rsid w:val="1BC03F6C"/>
    <w:rsid w:val="1BC11A92"/>
    <w:rsid w:val="1BC62A56"/>
    <w:rsid w:val="1BD31F10"/>
    <w:rsid w:val="1BF75DAD"/>
    <w:rsid w:val="1C6061C5"/>
    <w:rsid w:val="1C8F393E"/>
    <w:rsid w:val="1C92561C"/>
    <w:rsid w:val="1CA37322"/>
    <w:rsid w:val="1CAE2016"/>
    <w:rsid w:val="1CDE71ED"/>
    <w:rsid w:val="1DC85359"/>
    <w:rsid w:val="1DD17DF6"/>
    <w:rsid w:val="1DD27D51"/>
    <w:rsid w:val="1DEC14E0"/>
    <w:rsid w:val="1E37603B"/>
    <w:rsid w:val="1E480248"/>
    <w:rsid w:val="1E4A0464"/>
    <w:rsid w:val="1E5310C7"/>
    <w:rsid w:val="1E787E3F"/>
    <w:rsid w:val="1EAA5FC0"/>
    <w:rsid w:val="1EBF050A"/>
    <w:rsid w:val="1F0E1492"/>
    <w:rsid w:val="1F132604"/>
    <w:rsid w:val="1F6C3583"/>
    <w:rsid w:val="1F8452B0"/>
    <w:rsid w:val="1F9951FF"/>
    <w:rsid w:val="20315438"/>
    <w:rsid w:val="20B144DF"/>
    <w:rsid w:val="20B971DB"/>
    <w:rsid w:val="20D64231"/>
    <w:rsid w:val="20D858B3"/>
    <w:rsid w:val="20EC135F"/>
    <w:rsid w:val="215C0E50"/>
    <w:rsid w:val="218C669E"/>
    <w:rsid w:val="21933ED0"/>
    <w:rsid w:val="21B26104"/>
    <w:rsid w:val="221F7512"/>
    <w:rsid w:val="22253DDF"/>
    <w:rsid w:val="22325486"/>
    <w:rsid w:val="22C97BAA"/>
    <w:rsid w:val="2309444A"/>
    <w:rsid w:val="231B77CA"/>
    <w:rsid w:val="23A1327F"/>
    <w:rsid w:val="23BE3486"/>
    <w:rsid w:val="241974EF"/>
    <w:rsid w:val="24B228BF"/>
    <w:rsid w:val="24F44686"/>
    <w:rsid w:val="25665B84"/>
    <w:rsid w:val="2578303A"/>
    <w:rsid w:val="257D5076"/>
    <w:rsid w:val="25E707F7"/>
    <w:rsid w:val="266F2816"/>
    <w:rsid w:val="26747E2C"/>
    <w:rsid w:val="268F110A"/>
    <w:rsid w:val="26AB75C6"/>
    <w:rsid w:val="270A0AF5"/>
    <w:rsid w:val="27116912"/>
    <w:rsid w:val="27401CFD"/>
    <w:rsid w:val="27745DC1"/>
    <w:rsid w:val="27EB48B5"/>
    <w:rsid w:val="28005C30"/>
    <w:rsid w:val="280E2503"/>
    <w:rsid w:val="28335AC5"/>
    <w:rsid w:val="28471B63"/>
    <w:rsid w:val="28C332ED"/>
    <w:rsid w:val="28CA1F8E"/>
    <w:rsid w:val="29471828"/>
    <w:rsid w:val="29A0362E"/>
    <w:rsid w:val="2A355B25"/>
    <w:rsid w:val="2A3B7436"/>
    <w:rsid w:val="2A7F1496"/>
    <w:rsid w:val="2A994305"/>
    <w:rsid w:val="2ABC315B"/>
    <w:rsid w:val="2AEA4B61"/>
    <w:rsid w:val="2AF5107C"/>
    <w:rsid w:val="2AFD15CC"/>
    <w:rsid w:val="2BC41856"/>
    <w:rsid w:val="2C0A34F0"/>
    <w:rsid w:val="2C1934B7"/>
    <w:rsid w:val="2C4402A1"/>
    <w:rsid w:val="2C5D1363"/>
    <w:rsid w:val="2C6C5134"/>
    <w:rsid w:val="2C7F39CF"/>
    <w:rsid w:val="2C8941D0"/>
    <w:rsid w:val="2C9C5D61"/>
    <w:rsid w:val="2D0A3299"/>
    <w:rsid w:val="2D177764"/>
    <w:rsid w:val="2D345362"/>
    <w:rsid w:val="2D357DAD"/>
    <w:rsid w:val="2D3F6B77"/>
    <w:rsid w:val="2D41526F"/>
    <w:rsid w:val="2D47119E"/>
    <w:rsid w:val="2D67695C"/>
    <w:rsid w:val="2D986AF6"/>
    <w:rsid w:val="2DDA4951"/>
    <w:rsid w:val="2E19750B"/>
    <w:rsid w:val="2E222864"/>
    <w:rsid w:val="2E24211B"/>
    <w:rsid w:val="2E3266BD"/>
    <w:rsid w:val="2E396CE5"/>
    <w:rsid w:val="2E444588"/>
    <w:rsid w:val="2E5A3DAC"/>
    <w:rsid w:val="2EAE5EA6"/>
    <w:rsid w:val="2F34284F"/>
    <w:rsid w:val="2F364819"/>
    <w:rsid w:val="2F407445"/>
    <w:rsid w:val="2F634EE2"/>
    <w:rsid w:val="2F7E7F6E"/>
    <w:rsid w:val="2F8530AA"/>
    <w:rsid w:val="300D424E"/>
    <w:rsid w:val="304F7365"/>
    <w:rsid w:val="30C20279"/>
    <w:rsid w:val="31411253"/>
    <w:rsid w:val="318A1F87"/>
    <w:rsid w:val="31B859B9"/>
    <w:rsid w:val="31BA7718"/>
    <w:rsid w:val="322C1F03"/>
    <w:rsid w:val="32333292"/>
    <w:rsid w:val="326C7A86"/>
    <w:rsid w:val="32C0264B"/>
    <w:rsid w:val="32D55D5C"/>
    <w:rsid w:val="32EA1265"/>
    <w:rsid w:val="33044C2E"/>
    <w:rsid w:val="331F7891"/>
    <w:rsid w:val="332C1A8F"/>
    <w:rsid w:val="33784CD4"/>
    <w:rsid w:val="33DB7F0E"/>
    <w:rsid w:val="33EF1437"/>
    <w:rsid w:val="3421711A"/>
    <w:rsid w:val="34474459"/>
    <w:rsid w:val="349E076A"/>
    <w:rsid w:val="34A55F9D"/>
    <w:rsid w:val="34AB28E5"/>
    <w:rsid w:val="35374178"/>
    <w:rsid w:val="3575771D"/>
    <w:rsid w:val="359C73A0"/>
    <w:rsid w:val="35DE1766"/>
    <w:rsid w:val="360F7B72"/>
    <w:rsid w:val="365437D6"/>
    <w:rsid w:val="367479D5"/>
    <w:rsid w:val="369E4A52"/>
    <w:rsid w:val="36B461F6"/>
    <w:rsid w:val="3748158D"/>
    <w:rsid w:val="374D56D0"/>
    <w:rsid w:val="37E50D3F"/>
    <w:rsid w:val="37EC30AA"/>
    <w:rsid w:val="37ED2BA2"/>
    <w:rsid w:val="3821774E"/>
    <w:rsid w:val="38521F98"/>
    <w:rsid w:val="38991E3A"/>
    <w:rsid w:val="38A37C93"/>
    <w:rsid w:val="38B44A00"/>
    <w:rsid w:val="38B955D1"/>
    <w:rsid w:val="392E0065"/>
    <w:rsid w:val="394909FA"/>
    <w:rsid w:val="395F1BB0"/>
    <w:rsid w:val="39611618"/>
    <w:rsid w:val="397321C6"/>
    <w:rsid w:val="39D569DC"/>
    <w:rsid w:val="3A2160C5"/>
    <w:rsid w:val="3A72247D"/>
    <w:rsid w:val="3AAF722D"/>
    <w:rsid w:val="3AB42A96"/>
    <w:rsid w:val="3AD959D6"/>
    <w:rsid w:val="3AEA4709"/>
    <w:rsid w:val="3B4122A9"/>
    <w:rsid w:val="3B8A6E91"/>
    <w:rsid w:val="3B952B52"/>
    <w:rsid w:val="3C5D3246"/>
    <w:rsid w:val="3C97441D"/>
    <w:rsid w:val="3C9963E7"/>
    <w:rsid w:val="3CEA7562"/>
    <w:rsid w:val="3D204801"/>
    <w:rsid w:val="3D361E88"/>
    <w:rsid w:val="3D7E4729"/>
    <w:rsid w:val="3E06185A"/>
    <w:rsid w:val="3E0D42F0"/>
    <w:rsid w:val="3E5326EF"/>
    <w:rsid w:val="3E646581"/>
    <w:rsid w:val="3E6C6EAB"/>
    <w:rsid w:val="3EA953E7"/>
    <w:rsid w:val="3EC836EE"/>
    <w:rsid w:val="3FB672B0"/>
    <w:rsid w:val="3FBA2948"/>
    <w:rsid w:val="3FEA0D08"/>
    <w:rsid w:val="405A15D4"/>
    <w:rsid w:val="407342C7"/>
    <w:rsid w:val="414F3518"/>
    <w:rsid w:val="417B430D"/>
    <w:rsid w:val="41897609"/>
    <w:rsid w:val="419D277C"/>
    <w:rsid w:val="41B80A7C"/>
    <w:rsid w:val="4223594E"/>
    <w:rsid w:val="42365C18"/>
    <w:rsid w:val="42AC4F5C"/>
    <w:rsid w:val="42FE6FA4"/>
    <w:rsid w:val="433509B4"/>
    <w:rsid w:val="44020D16"/>
    <w:rsid w:val="442C7B41"/>
    <w:rsid w:val="4434569B"/>
    <w:rsid w:val="44384D79"/>
    <w:rsid w:val="44862582"/>
    <w:rsid w:val="44F3143F"/>
    <w:rsid w:val="44FC2F53"/>
    <w:rsid w:val="45417DD5"/>
    <w:rsid w:val="45575091"/>
    <w:rsid w:val="459260C9"/>
    <w:rsid w:val="45A206F4"/>
    <w:rsid w:val="45D63EB8"/>
    <w:rsid w:val="46054EDE"/>
    <w:rsid w:val="46144D30"/>
    <w:rsid w:val="46625E26"/>
    <w:rsid w:val="46C40504"/>
    <w:rsid w:val="46CD5AD0"/>
    <w:rsid w:val="474A6C5C"/>
    <w:rsid w:val="47A9386C"/>
    <w:rsid w:val="47E250E6"/>
    <w:rsid w:val="47EA7AF7"/>
    <w:rsid w:val="47EF15C4"/>
    <w:rsid w:val="47F14E76"/>
    <w:rsid w:val="47F92430"/>
    <w:rsid w:val="484418FD"/>
    <w:rsid w:val="487429ED"/>
    <w:rsid w:val="48D6451F"/>
    <w:rsid w:val="48E82560"/>
    <w:rsid w:val="49105031"/>
    <w:rsid w:val="493F20C4"/>
    <w:rsid w:val="49543DC1"/>
    <w:rsid w:val="495E6E4F"/>
    <w:rsid w:val="49635DB3"/>
    <w:rsid w:val="497004D0"/>
    <w:rsid w:val="49B47DF2"/>
    <w:rsid w:val="4A6309D2"/>
    <w:rsid w:val="4AB12B4E"/>
    <w:rsid w:val="4AE34991"/>
    <w:rsid w:val="4B62209A"/>
    <w:rsid w:val="4BA07253"/>
    <w:rsid w:val="4BCA3049"/>
    <w:rsid w:val="4BDA43E6"/>
    <w:rsid w:val="4BEF7DD1"/>
    <w:rsid w:val="4C1E4213"/>
    <w:rsid w:val="4C3E47FC"/>
    <w:rsid w:val="4C4A79CE"/>
    <w:rsid w:val="4C5944B1"/>
    <w:rsid w:val="4CCE5535"/>
    <w:rsid w:val="4D1F6494"/>
    <w:rsid w:val="4D3925A5"/>
    <w:rsid w:val="4DA13BFE"/>
    <w:rsid w:val="4E10133D"/>
    <w:rsid w:val="4E116276"/>
    <w:rsid w:val="4E19088C"/>
    <w:rsid w:val="4E267A1C"/>
    <w:rsid w:val="4E34260C"/>
    <w:rsid w:val="4E74636C"/>
    <w:rsid w:val="4EF66F58"/>
    <w:rsid w:val="4F220299"/>
    <w:rsid w:val="4F227AD6"/>
    <w:rsid w:val="4F4C553B"/>
    <w:rsid w:val="4F6F4F28"/>
    <w:rsid w:val="4FDF63AF"/>
    <w:rsid w:val="4FFB23BC"/>
    <w:rsid w:val="50041972"/>
    <w:rsid w:val="501E6ED7"/>
    <w:rsid w:val="503C1418"/>
    <w:rsid w:val="507408A5"/>
    <w:rsid w:val="50851BD4"/>
    <w:rsid w:val="508A67B9"/>
    <w:rsid w:val="510D60A7"/>
    <w:rsid w:val="51AC406F"/>
    <w:rsid w:val="51E664A0"/>
    <w:rsid w:val="52181704"/>
    <w:rsid w:val="522B1438"/>
    <w:rsid w:val="52CB5771"/>
    <w:rsid w:val="531F3A56"/>
    <w:rsid w:val="53794178"/>
    <w:rsid w:val="53D855EF"/>
    <w:rsid w:val="54161C73"/>
    <w:rsid w:val="544B707A"/>
    <w:rsid w:val="54596730"/>
    <w:rsid w:val="54A454D1"/>
    <w:rsid w:val="55003B4C"/>
    <w:rsid w:val="553D7A55"/>
    <w:rsid w:val="55434CEA"/>
    <w:rsid w:val="55540CA5"/>
    <w:rsid w:val="558C079B"/>
    <w:rsid w:val="55985036"/>
    <w:rsid w:val="559E53A8"/>
    <w:rsid w:val="55BB0D24"/>
    <w:rsid w:val="55FE3948"/>
    <w:rsid w:val="56290384"/>
    <w:rsid w:val="56384123"/>
    <w:rsid w:val="569E48CE"/>
    <w:rsid w:val="56B14C4B"/>
    <w:rsid w:val="56B20706"/>
    <w:rsid w:val="56F73FDE"/>
    <w:rsid w:val="571903F8"/>
    <w:rsid w:val="57202BC5"/>
    <w:rsid w:val="57D91936"/>
    <w:rsid w:val="57E502DB"/>
    <w:rsid w:val="5873398F"/>
    <w:rsid w:val="58785F50"/>
    <w:rsid w:val="58A75590"/>
    <w:rsid w:val="58DC5518"/>
    <w:rsid w:val="58E467E4"/>
    <w:rsid w:val="590B1FC3"/>
    <w:rsid w:val="59220D74"/>
    <w:rsid w:val="594C0407"/>
    <w:rsid w:val="59682F71"/>
    <w:rsid w:val="59DD570D"/>
    <w:rsid w:val="5A0031AA"/>
    <w:rsid w:val="5A9B2ED2"/>
    <w:rsid w:val="5AC26C59"/>
    <w:rsid w:val="5AE34FA5"/>
    <w:rsid w:val="5B1D63D9"/>
    <w:rsid w:val="5B1F0713"/>
    <w:rsid w:val="5B2B4412"/>
    <w:rsid w:val="5B4377F2"/>
    <w:rsid w:val="5BA30291"/>
    <w:rsid w:val="5BA32F4B"/>
    <w:rsid w:val="5BEE56F9"/>
    <w:rsid w:val="5C207B33"/>
    <w:rsid w:val="5C3B6476"/>
    <w:rsid w:val="5C6B34A4"/>
    <w:rsid w:val="5C7E776C"/>
    <w:rsid w:val="5C836565"/>
    <w:rsid w:val="5D147AC9"/>
    <w:rsid w:val="5D271A19"/>
    <w:rsid w:val="5D423AD9"/>
    <w:rsid w:val="5D700646"/>
    <w:rsid w:val="5E062D59"/>
    <w:rsid w:val="5E48511F"/>
    <w:rsid w:val="5E562853"/>
    <w:rsid w:val="5F217E4A"/>
    <w:rsid w:val="5FD924D3"/>
    <w:rsid w:val="5FE64BF0"/>
    <w:rsid w:val="61021EFD"/>
    <w:rsid w:val="6130064C"/>
    <w:rsid w:val="61373E63"/>
    <w:rsid w:val="619314C1"/>
    <w:rsid w:val="61AD08C4"/>
    <w:rsid w:val="62211BC3"/>
    <w:rsid w:val="62AD76C0"/>
    <w:rsid w:val="62C507C9"/>
    <w:rsid w:val="62D11B87"/>
    <w:rsid w:val="62E21FE6"/>
    <w:rsid w:val="62F12229"/>
    <w:rsid w:val="631A52DC"/>
    <w:rsid w:val="63422A85"/>
    <w:rsid w:val="63730E90"/>
    <w:rsid w:val="637728D4"/>
    <w:rsid w:val="6390559E"/>
    <w:rsid w:val="63A05300"/>
    <w:rsid w:val="63B53257"/>
    <w:rsid w:val="63EB6C79"/>
    <w:rsid w:val="64055F8C"/>
    <w:rsid w:val="646A5DEF"/>
    <w:rsid w:val="647307E7"/>
    <w:rsid w:val="649B244D"/>
    <w:rsid w:val="65624D19"/>
    <w:rsid w:val="65D5198E"/>
    <w:rsid w:val="65F80991"/>
    <w:rsid w:val="660D5738"/>
    <w:rsid w:val="660D737A"/>
    <w:rsid w:val="66576847"/>
    <w:rsid w:val="67464E73"/>
    <w:rsid w:val="676C7BC7"/>
    <w:rsid w:val="676E3ED8"/>
    <w:rsid w:val="67FC76A6"/>
    <w:rsid w:val="682D3D04"/>
    <w:rsid w:val="68437083"/>
    <w:rsid w:val="68634AB1"/>
    <w:rsid w:val="68725BBA"/>
    <w:rsid w:val="688A4CB2"/>
    <w:rsid w:val="68DE4FFE"/>
    <w:rsid w:val="694911E4"/>
    <w:rsid w:val="6949691B"/>
    <w:rsid w:val="69F5538A"/>
    <w:rsid w:val="6AC65D4A"/>
    <w:rsid w:val="6B282560"/>
    <w:rsid w:val="6BB1415A"/>
    <w:rsid w:val="6C3F4006"/>
    <w:rsid w:val="6C4F72C1"/>
    <w:rsid w:val="6C946959"/>
    <w:rsid w:val="6CBE13CE"/>
    <w:rsid w:val="6CEB1A97"/>
    <w:rsid w:val="6D4E76D7"/>
    <w:rsid w:val="6DFD5F26"/>
    <w:rsid w:val="6E105C5A"/>
    <w:rsid w:val="6E290AC9"/>
    <w:rsid w:val="6E2C1D91"/>
    <w:rsid w:val="6E9817AB"/>
    <w:rsid w:val="6F63625D"/>
    <w:rsid w:val="6F8930C5"/>
    <w:rsid w:val="6FC75452"/>
    <w:rsid w:val="6FDE7692"/>
    <w:rsid w:val="705838E8"/>
    <w:rsid w:val="70633D9B"/>
    <w:rsid w:val="70D867D7"/>
    <w:rsid w:val="71245578"/>
    <w:rsid w:val="71765B16"/>
    <w:rsid w:val="71CB4244"/>
    <w:rsid w:val="72987FCC"/>
    <w:rsid w:val="72B605FC"/>
    <w:rsid w:val="732E6215"/>
    <w:rsid w:val="73610869"/>
    <w:rsid w:val="73B9469D"/>
    <w:rsid w:val="73C019D3"/>
    <w:rsid w:val="73C05122"/>
    <w:rsid w:val="74176B51"/>
    <w:rsid w:val="74485A21"/>
    <w:rsid w:val="75623F7A"/>
    <w:rsid w:val="75914883"/>
    <w:rsid w:val="75950E53"/>
    <w:rsid w:val="760A5684"/>
    <w:rsid w:val="764364A0"/>
    <w:rsid w:val="76831851"/>
    <w:rsid w:val="768F0D80"/>
    <w:rsid w:val="76BF021D"/>
    <w:rsid w:val="76C10199"/>
    <w:rsid w:val="76EA0007"/>
    <w:rsid w:val="76F31914"/>
    <w:rsid w:val="77130569"/>
    <w:rsid w:val="775742CE"/>
    <w:rsid w:val="77784870"/>
    <w:rsid w:val="777C2A1F"/>
    <w:rsid w:val="77FC724F"/>
    <w:rsid w:val="77FF289B"/>
    <w:rsid w:val="77FF4FEF"/>
    <w:rsid w:val="785D5870"/>
    <w:rsid w:val="78A23952"/>
    <w:rsid w:val="78A31478"/>
    <w:rsid w:val="78FE2050"/>
    <w:rsid w:val="79300096"/>
    <w:rsid w:val="793904A9"/>
    <w:rsid w:val="799F60E4"/>
    <w:rsid w:val="79F859C9"/>
    <w:rsid w:val="7A067F11"/>
    <w:rsid w:val="7A401675"/>
    <w:rsid w:val="7A48677B"/>
    <w:rsid w:val="7A603412"/>
    <w:rsid w:val="7A745551"/>
    <w:rsid w:val="7AB20E73"/>
    <w:rsid w:val="7AC932FE"/>
    <w:rsid w:val="7B0E3456"/>
    <w:rsid w:val="7B0E3521"/>
    <w:rsid w:val="7B1B79EC"/>
    <w:rsid w:val="7BB63A0E"/>
    <w:rsid w:val="7C046E2D"/>
    <w:rsid w:val="7C857813"/>
    <w:rsid w:val="7C92771A"/>
    <w:rsid w:val="7C9675A0"/>
    <w:rsid w:val="7CBE4AD3"/>
    <w:rsid w:val="7CF60710"/>
    <w:rsid w:val="7D1673D0"/>
    <w:rsid w:val="7D3E79C1"/>
    <w:rsid w:val="7D6531A0"/>
    <w:rsid w:val="7E064983"/>
    <w:rsid w:val="7E762BF0"/>
    <w:rsid w:val="7EDE145C"/>
    <w:rsid w:val="7EF75D51"/>
    <w:rsid w:val="7F231565"/>
    <w:rsid w:val="7F5F1A44"/>
    <w:rsid w:val="7F631961"/>
    <w:rsid w:val="7FCA5830"/>
    <w:rsid w:val="7FFD39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宋体" w:hAnsi="等线" w:eastAsia="等线"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link w:val="70"/>
    <w:qFormat/>
    <w:uiPriority w:val="0"/>
    <w:pPr>
      <w:autoSpaceDE w:val="0"/>
      <w:autoSpaceDN w:val="0"/>
      <w:adjustRightInd w:val="0"/>
      <w:jc w:val="left"/>
      <w:outlineLvl w:val="1"/>
    </w:pPr>
    <w:rPr>
      <w:kern w:val="0"/>
    </w:rPr>
  </w:style>
  <w:style w:type="paragraph" w:styleId="5">
    <w:name w:val="heading 3"/>
    <w:basedOn w:val="1"/>
    <w:next w:val="1"/>
    <w:link w:val="48"/>
    <w:qFormat/>
    <w:uiPriority w:val="0"/>
    <w:pPr>
      <w:keepNext/>
      <w:keepLines/>
      <w:outlineLvl w:val="2"/>
    </w:pPr>
    <w:rPr>
      <w:rFonts w:hint="default" w:ascii="Times New Roman" w:hAnsi="Times New Roman" w:eastAsia="宋体"/>
      <w:b/>
    </w:rPr>
  </w:style>
  <w:style w:type="paragraph" w:styleId="2">
    <w:name w:val="heading 4"/>
    <w:basedOn w:val="1"/>
    <w:next w:val="1"/>
    <w:qFormat/>
    <w:uiPriority w:val="0"/>
    <w:pPr>
      <w:keepNext/>
      <w:keepLines/>
      <w:spacing w:line="372" w:lineRule="auto"/>
      <w:outlineLvl w:val="3"/>
    </w:pPr>
    <w:rPr>
      <w:rFonts w:ascii="Arial" w:hAnsi="Arial" w:eastAsia="黑体"/>
      <w:b/>
      <w:sz w:val="28"/>
    </w:rPr>
  </w:style>
  <w:style w:type="character" w:default="1" w:styleId="2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annotation text"/>
    <w:basedOn w:val="1"/>
    <w:next w:val="1"/>
    <w:qFormat/>
    <w:uiPriority w:val="0"/>
    <w:pPr>
      <w:jc w:val="left"/>
    </w:pPr>
    <w:rPr>
      <w:rFonts w:hint="default" w:ascii="Times New Roman" w:hAnsi="Times New Roman" w:eastAsia="宋体"/>
      <w:sz w:val="21"/>
    </w:rPr>
  </w:style>
  <w:style w:type="paragraph" w:styleId="8">
    <w:name w:val="Body Text"/>
    <w:basedOn w:val="1"/>
    <w:next w:val="9"/>
    <w:qFormat/>
    <w:uiPriority w:val="0"/>
  </w:style>
  <w:style w:type="paragraph" w:styleId="9">
    <w:name w:val="Title"/>
    <w:basedOn w:val="1"/>
    <w:next w:val="1"/>
    <w:qFormat/>
    <w:uiPriority w:val="0"/>
    <w:pPr>
      <w:spacing w:line="480" w:lineRule="atLeast"/>
      <w:jc w:val="center"/>
    </w:pPr>
    <w:rPr>
      <w:sz w:val="32"/>
    </w:rPr>
  </w:style>
  <w:style w:type="paragraph" w:styleId="10">
    <w:name w:val="Body Text Indent"/>
    <w:basedOn w:val="1"/>
    <w:qFormat/>
    <w:uiPriority w:val="0"/>
    <w:pPr>
      <w:ind w:firstLine="560" w:firstLineChars="200"/>
    </w:pPr>
  </w:style>
  <w:style w:type="paragraph" w:styleId="11">
    <w:name w:val="toc 3"/>
    <w:basedOn w:val="1"/>
    <w:next w:val="1"/>
    <w:qFormat/>
    <w:uiPriority w:val="39"/>
    <w:pPr>
      <w:ind w:left="840" w:leftChars="400"/>
    </w:pPr>
  </w:style>
  <w:style w:type="paragraph" w:styleId="12">
    <w:name w:val="Plain Text"/>
    <w:basedOn w:val="1"/>
    <w:next w:val="13"/>
    <w:qFormat/>
    <w:uiPriority w:val="0"/>
    <w:rPr>
      <w:rFonts w:ascii="宋体" w:hAnsi="Courier New" w:eastAsia="楷体_GB2312"/>
      <w:kern w:val="0"/>
      <w:sz w:val="20"/>
      <w:szCs w:val="24"/>
    </w:rPr>
  </w:style>
  <w:style w:type="paragraph" w:customStyle="1" w:styleId="13">
    <w:name w:val="Default"/>
    <w:next w:val="1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
    <w:name w:val="6'"/>
    <w:basedOn w:val="1"/>
    <w:next w:val="15"/>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5">
    <w:name w:val="AOHead3"/>
    <w:basedOn w:val="1"/>
    <w:next w:val="1"/>
    <w:qFormat/>
    <w:uiPriority w:val="0"/>
    <w:pPr>
      <w:widowControl/>
      <w:autoSpaceDE/>
      <w:autoSpaceDN/>
      <w:spacing w:before="0" w:after="0" w:line="360" w:lineRule="auto"/>
      <w:ind w:left="1260" w:firstLine="0"/>
      <w:jc w:val="both"/>
      <w:outlineLvl w:val="2"/>
    </w:pPr>
    <w:rPr>
      <w:rFonts w:ascii="宋体" w:hAnsi="Times New Roman" w:eastAsia="宋体" w:cs="Times New Roman"/>
      <w:color w:val="0000FF"/>
      <w:sz w:val="24"/>
    </w:rPr>
  </w:style>
  <w:style w:type="paragraph" w:styleId="16">
    <w:name w:val="Body Text Indent 2"/>
    <w:basedOn w:val="1"/>
    <w:qFormat/>
    <w:uiPriority w:val="0"/>
    <w:pPr>
      <w:spacing w:line="480" w:lineRule="auto"/>
      <w:ind w:firstLine="561"/>
    </w:pPr>
  </w:style>
  <w:style w:type="paragraph" w:styleId="17">
    <w:name w:val="Balloon Text"/>
    <w:basedOn w:val="1"/>
    <w:link w:val="69"/>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20">
    <w:name w:val="toc 1"/>
    <w:basedOn w:val="21"/>
    <w:next w:val="1"/>
    <w:qFormat/>
    <w:uiPriority w:val="39"/>
  </w:style>
  <w:style w:type="paragraph" w:styleId="21">
    <w:name w:val="index 1"/>
    <w:basedOn w:val="1"/>
    <w:next w:val="1"/>
    <w:unhideWhenUsed/>
    <w:qFormat/>
    <w:uiPriority w:val="0"/>
  </w:style>
  <w:style w:type="paragraph" w:styleId="22">
    <w:name w:val="toc 2"/>
    <w:basedOn w:val="1"/>
    <w:next w:val="1"/>
    <w:qFormat/>
    <w:uiPriority w:val="39"/>
    <w:pPr>
      <w:ind w:left="420" w:leftChars="200"/>
    </w:pPr>
  </w:style>
  <w:style w:type="paragraph" w:styleId="23">
    <w:name w:val="Body Text 2"/>
    <w:basedOn w:val="1"/>
    <w:qFormat/>
    <w:uiPriority w:val="0"/>
    <w:pPr>
      <w:spacing w:line="500" w:lineRule="exact"/>
    </w:pPr>
  </w:style>
  <w:style w:type="paragraph" w:styleId="24">
    <w:name w:val="Normal (Web)"/>
    <w:basedOn w:val="1"/>
    <w:qFormat/>
    <w:uiPriority w:val="0"/>
    <w:pPr>
      <w:widowControl/>
      <w:spacing w:beforeAutospacing="1" w:afterAutospacing="1"/>
      <w:jc w:val="left"/>
    </w:pPr>
    <w:rPr>
      <w:rFonts w:hAnsi="宋体" w:cs="宋体"/>
      <w:color w:val="000000"/>
      <w:kern w:val="0"/>
      <w:szCs w:val="24"/>
    </w:rPr>
  </w:style>
  <w:style w:type="paragraph" w:styleId="25">
    <w:name w:val="Body Text First Indent"/>
    <w:basedOn w:val="8"/>
    <w:next w:val="1"/>
    <w:qFormat/>
    <w:uiPriority w:val="0"/>
    <w:pPr>
      <w:spacing w:after="60" w:line="360" w:lineRule="auto"/>
      <w:ind w:firstLine="200" w:firstLineChars="200"/>
    </w:pPr>
    <w:rPr>
      <w:rFonts w:ascii="Arial" w:hAnsi="Arial"/>
      <w:szCs w:val="21"/>
    </w:rPr>
  </w:style>
  <w:style w:type="paragraph" w:styleId="26">
    <w:name w:val="Body Text First Indent 2"/>
    <w:basedOn w:val="10"/>
    <w:qFormat/>
    <w:uiPriority w:val="0"/>
    <w:pPr>
      <w:tabs>
        <w:tab w:val="left" w:pos="0"/>
      </w:tabs>
      <w:ind w:firstLine="420"/>
    </w:pPr>
  </w:style>
  <w:style w:type="character" w:styleId="29">
    <w:name w:val="Strong"/>
    <w:basedOn w:val="28"/>
    <w:qFormat/>
    <w:uiPriority w:val="0"/>
    <w:rPr>
      <w:b/>
    </w:rPr>
  </w:style>
  <w:style w:type="paragraph" w:customStyle="1" w:styleId="30">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1">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2">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3">
    <w:name w:val="标题 1 New"/>
    <w:basedOn w:val="32"/>
    <w:next w:val="32"/>
    <w:qFormat/>
    <w:uiPriority w:val="0"/>
    <w:pPr>
      <w:autoSpaceDE w:val="0"/>
      <w:autoSpaceDN w:val="0"/>
      <w:adjustRightInd w:val="0"/>
      <w:jc w:val="left"/>
      <w:outlineLvl w:val="0"/>
    </w:pPr>
    <w:rPr>
      <w:kern w:val="0"/>
      <w:sz w:val="30"/>
    </w:rPr>
  </w:style>
  <w:style w:type="paragraph" w:customStyle="1" w:styleId="34">
    <w:name w:val="标题 2 New New"/>
    <w:basedOn w:val="32"/>
    <w:next w:val="32"/>
    <w:qFormat/>
    <w:uiPriority w:val="0"/>
    <w:pPr>
      <w:autoSpaceDE w:val="0"/>
      <w:autoSpaceDN w:val="0"/>
      <w:adjustRightInd w:val="0"/>
      <w:jc w:val="left"/>
      <w:outlineLvl w:val="1"/>
    </w:pPr>
    <w:rPr>
      <w:kern w:val="0"/>
    </w:rPr>
  </w:style>
  <w:style w:type="paragraph" w:customStyle="1" w:styleId="35">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Normal Indent1"/>
    <w:basedOn w:val="1"/>
    <w:qFormat/>
    <w:uiPriority w:val="0"/>
    <w:pPr>
      <w:widowControl/>
      <w:spacing w:line="360" w:lineRule="auto"/>
      <w:ind w:firstLine="420"/>
      <w:jc w:val="left"/>
    </w:pPr>
    <w:rPr>
      <w:rFonts w:hAnsi="Times New Roman"/>
      <w:kern w:val="0"/>
      <w:sz w:val="20"/>
    </w:rPr>
  </w:style>
  <w:style w:type="paragraph" w:customStyle="1" w:styleId="37">
    <w:name w:val="正文缩进1"/>
    <w:basedOn w:val="1"/>
    <w:qFormat/>
    <w:uiPriority w:val="0"/>
    <w:pPr>
      <w:widowControl/>
      <w:spacing w:line="360" w:lineRule="auto"/>
      <w:ind w:firstLine="420"/>
      <w:jc w:val="left"/>
    </w:pPr>
    <w:rPr>
      <w:rFonts w:hAnsi="Times New Roman"/>
      <w:kern w:val="0"/>
      <w:sz w:val="20"/>
    </w:rPr>
  </w:style>
  <w:style w:type="paragraph" w:customStyle="1" w:styleId="38">
    <w:name w:val="样式 宋体 行距: 1.5 倍行距"/>
    <w:basedOn w:val="39"/>
    <w:next w:val="1"/>
    <w:qFormat/>
    <w:uiPriority w:val="0"/>
    <w:pPr>
      <w:jc w:val="center"/>
    </w:pPr>
    <w:rPr>
      <w:rFonts w:ascii="Times New Roman" w:hAnsi="Times New Roman" w:cs="Times New Roman"/>
      <w:b/>
    </w:rPr>
  </w:style>
  <w:style w:type="paragraph" w:customStyle="1" w:styleId="39">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8"/>
    <w:qFormat/>
    <w:uiPriority w:val="0"/>
    <w:pPr>
      <w:widowControl w:val="0"/>
      <w:jc w:val="both"/>
    </w:pPr>
    <w:rPr>
      <w:rFonts w:ascii="Calibri" w:hAnsi="Calibri" w:eastAsia="宋体" w:cs="黑体"/>
      <w:kern w:val="2"/>
      <w:sz w:val="21"/>
      <w:szCs w:val="24"/>
      <w:lang w:val="en-US" w:eastAsia="zh-CN" w:bidi="ar-SA"/>
    </w:rPr>
  </w:style>
  <w:style w:type="paragraph" w:customStyle="1" w:styleId="40">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38"/>
    <w:qFormat/>
    <w:uiPriority w:val="0"/>
    <w:pPr>
      <w:widowControl w:val="0"/>
      <w:jc w:val="both"/>
    </w:pPr>
    <w:rPr>
      <w:rFonts w:ascii="Calibri" w:hAnsi="Calibri" w:eastAsia="宋体" w:cs="黑体"/>
      <w:kern w:val="2"/>
      <w:sz w:val="21"/>
      <w:szCs w:val="24"/>
      <w:lang w:val="en-US" w:eastAsia="zh-CN" w:bidi="ar-SA"/>
    </w:rPr>
  </w:style>
  <w:style w:type="paragraph" w:customStyle="1" w:styleId="41">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Bodoni MT" w:hAnsi="Bodoni MT" w:eastAsia="宋体" w:cs="Bodoni MT"/>
      <w:kern w:val="2"/>
      <w:sz w:val="21"/>
      <w:szCs w:val="24"/>
      <w:lang w:val="en-US" w:eastAsia="zh-CN" w:bidi="ar-SA"/>
    </w:rPr>
  </w:style>
  <w:style w:type="paragraph" w:customStyle="1" w:styleId="42">
    <w:name w:val="正文文本缩进 New New"/>
    <w:basedOn w:val="32"/>
    <w:qFormat/>
    <w:uiPriority w:val="0"/>
    <w:pPr>
      <w:ind w:firstLine="560" w:firstLineChars="200"/>
    </w:pPr>
  </w:style>
  <w:style w:type="paragraph" w:customStyle="1" w:styleId="43">
    <w:name w:val="正文文本缩进 3 New"/>
    <w:basedOn w:val="32"/>
    <w:qFormat/>
    <w:uiPriority w:val="0"/>
    <w:pPr>
      <w:ind w:firstLine="560"/>
    </w:pPr>
    <w:rPr>
      <w:color w:val="FF0000"/>
    </w:rPr>
  </w:style>
  <w:style w:type="paragraph" w:customStyle="1" w:styleId="44">
    <w:name w:val="标题 3 New New New"/>
    <w:basedOn w:val="45"/>
    <w:next w:val="45"/>
    <w:qFormat/>
    <w:uiPriority w:val="0"/>
    <w:pPr>
      <w:keepNext/>
      <w:keepLines/>
      <w:jc w:val="center"/>
      <w:outlineLvl w:val="2"/>
    </w:pPr>
    <w:rPr>
      <w:sz w:val="24"/>
    </w:rPr>
  </w:style>
  <w:style w:type="paragraph" w:customStyle="1" w:styleId="45">
    <w:name w:val="正文缩进 New"/>
    <w:basedOn w:val="46"/>
    <w:qFormat/>
    <w:uiPriority w:val="0"/>
    <w:pPr>
      <w:widowControl/>
      <w:ind w:firstLine="420"/>
      <w:jc w:val="left"/>
    </w:pPr>
    <w:rPr>
      <w:kern w:val="0"/>
      <w:sz w:val="20"/>
    </w:rPr>
  </w:style>
  <w:style w:type="paragraph" w:customStyle="1" w:styleId="46">
    <w:name w:val="正文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7">
    <w:name w:val="正文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8">
    <w:name w:val="标题 3 Char"/>
    <w:link w:val="5"/>
    <w:qFormat/>
    <w:uiPriority w:val="0"/>
    <w:rPr>
      <w:rFonts w:hint="default" w:ascii="Times New Roman" w:hAnsi="Times New Roman" w:eastAsia="宋体"/>
      <w:b/>
    </w:rPr>
  </w:style>
  <w:style w:type="character" w:customStyle="1" w:styleId="49">
    <w:name w:val="NormalCharacter"/>
    <w:semiHidden/>
    <w:qFormat/>
    <w:uiPriority w:val="0"/>
    <w:rPr>
      <w:rFonts w:ascii="宋体"/>
      <w:kern w:val="2"/>
      <w:sz w:val="24"/>
      <w:lang w:val="en-US" w:eastAsia="zh-CN" w:bidi="ar-SA"/>
    </w:rPr>
  </w:style>
  <w:style w:type="paragraph" w:customStyle="1" w:styleId="50">
    <w:name w:val="标题 2 New New New"/>
    <w:basedOn w:val="51"/>
    <w:next w:val="51"/>
    <w:qFormat/>
    <w:uiPriority w:val="0"/>
    <w:pPr>
      <w:autoSpaceDE w:val="0"/>
      <w:autoSpaceDN w:val="0"/>
      <w:adjustRightInd w:val="0"/>
      <w:jc w:val="left"/>
      <w:outlineLvl w:val="1"/>
    </w:pPr>
  </w:style>
  <w:style w:type="paragraph" w:customStyle="1" w:styleId="51">
    <w:name w:val="正文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2">
    <w:name w:val="普通(网站) New"/>
    <w:basedOn w:val="53"/>
    <w:qFormat/>
    <w:uiPriority w:val="0"/>
    <w:rPr>
      <w:sz w:val="24"/>
    </w:rPr>
  </w:style>
  <w:style w:type="paragraph" w:customStyle="1" w:styleId="53">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5">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6">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7">
    <w:name w:val="YJ22 Char"/>
    <w:link w:val="58"/>
    <w:qFormat/>
    <w:uiPriority w:val="0"/>
    <w:rPr>
      <w:rFonts w:ascii="Times New Roman" w:hAnsi="宋体"/>
      <w:b/>
      <w:kern w:val="0"/>
      <w:sz w:val="20"/>
    </w:rPr>
  </w:style>
  <w:style w:type="paragraph" w:customStyle="1" w:styleId="58">
    <w:name w:val="YJ22"/>
    <w:basedOn w:val="32"/>
    <w:next w:val="32"/>
    <w:link w:val="57"/>
    <w:qFormat/>
    <w:uiPriority w:val="0"/>
    <w:pPr>
      <w:autoSpaceDE w:val="0"/>
      <w:autoSpaceDN w:val="0"/>
      <w:adjustRightInd w:val="0"/>
      <w:jc w:val="left"/>
      <w:outlineLvl w:val="1"/>
    </w:pPr>
    <w:rPr>
      <w:rFonts w:ascii="Times New Roman" w:hAnsi="宋体"/>
      <w:b/>
      <w:kern w:val="0"/>
      <w:sz w:val="20"/>
    </w:rPr>
  </w:style>
  <w:style w:type="paragraph" w:customStyle="1" w:styleId="59">
    <w:name w:val="正文文本缩进 New"/>
    <w:basedOn w:val="60"/>
    <w:qFormat/>
    <w:uiPriority w:val="0"/>
    <w:pPr>
      <w:ind w:firstLine="560" w:firstLineChars="200"/>
    </w:pPr>
  </w:style>
  <w:style w:type="paragraph" w:customStyle="1" w:styleId="60">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正文文本缩进 New New New New"/>
    <w:basedOn w:val="62"/>
    <w:qFormat/>
    <w:uiPriority w:val="0"/>
    <w:pPr>
      <w:ind w:firstLine="560" w:firstLineChars="200"/>
    </w:pPr>
    <w:rPr>
      <w:szCs w:val="28"/>
    </w:rPr>
  </w:style>
  <w:style w:type="paragraph" w:customStyle="1" w:styleId="62">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63">
    <w:name w:val="正文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4">
    <w:name w:val="正文文本缩进 New New New New New New New"/>
    <w:basedOn w:val="63"/>
    <w:qFormat/>
    <w:uiPriority w:val="0"/>
    <w:pPr>
      <w:ind w:left="420" w:leftChars="200"/>
    </w:pPr>
    <w:rPr>
      <w:szCs w:val="24"/>
    </w:rPr>
  </w:style>
  <w:style w:type="paragraph" w:customStyle="1" w:styleId="65">
    <w:name w:val="正文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6">
    <w:name w:val="正文文本缩进 New New New New New New New New"/>
    <w:basedOn w:val="65"/>
    <w:qFormat/>
    <w:uiPriority w:val="0"/>
    <w:pPr>
      <w:ind w:left="420" w:leftChars="200"/>
    </w:pPr>
    <w:rPr>
      <w:szCs w:val="24"/>
    </w:rPr>
  </w:style>
  <w:style w:type="paragraph" w:customStyle="1" w:styleId="67">
    <w:name w:val="正文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8">
    <w:name w:val="页脚 New"/>
    <w:basedOn w:val="32"/>
    <w:qFormat/>
    <w:uiPriority w:val="0"/>
    <w:pPr>
      <w:widowControl/>
      <w:tabs>
        <w:tab w:val="center" w:pos="4153"/>
        <w:tab w:val="right" w:pos="8306"/>
      </w:tabs>
      <w:snapToGrid w:val="0"/>
      <w:jc w:val="left"/>
    </w:pPr>
    <w:rPr>
      <w:kern w:val="0"/>
      <w:sz w:val="18"/>
    </w:rPr>
  </w:style>
  <w:style w:type="character" w:customStyle="1" w:styleId="69">
    <w:name w:val="批注框文本 Char"/>
    <w:basedOn w:val="28"/>
    <w:link w:val="17"/>
    <w:qFormat/>
    <w:uiPriority w:val="0"/>
    <w:rPr>
      <w:rFonts w:ascii="宋体" w:hAnsi="等线" w:eastAsia="等线" w:cs="Times New Roman"/>
      <w:kern w:val="2"/>
      <w:sz w:val="18"/>
      <w:szCs w:val="18"/>
    </w:rPr>
  </w:style>
  <w:style w:type="character" w:customStyle="1" w:styleId="70">
    <w:name w:val="标题 2 Char"/>
    <w:link w:val="4"/>
    <w:qFormat/>
    <w:uiPriority w:val="0"/>
    <w:rPr>
      <w:kern w:val="0"/>
    </w:rPr>
  </w:style>
  <w:style w:type="paragraph" w:customStyle="1" w:styleId="71">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2">
    <w:name w:val="正文文本缩进 31"/>
    <w:basedOn w:val="1"/>
    <w:qFormat/>
    <w:uiPriority w:val="0"/>
    <w:pPr>
      <w:ind w:firstLine="570"/>
    </w:pPr>
    <w:rPr>
      <w:color w:val="0000FF"/>
      <w:kern w:val="0"/>
      <w:sz w:val="24"/>
      <w:u w:val="single"/>
    </w:rPr>
  </w:style>
  <w:style w:type="paragraph" w:customStyle="1" w:styleId="73">
    <w:name w:val="AnnotationText"/>
    <w:basedOn w:val="1"/>
    <w:qFormat/>
    <w:uiPriority w:val="0"/>
    <w:pPr>
      <w:spacing w:line="360" w:lineRule="atLeast"/>
      <w:jc w:val="left"/>
      <w:textAlignment w:val="baseline"/>
    </w:pPr>
    <w:rPr>
      <w:rFonts w:hAnsi="Times New Roman" w:cs="Times New Roman"/>
      <w:color w:val="auto"/>
    </w:rPr>
  </w:style>
  <w:style w:type="paragraph" w:customStyle="1" w:styleId="74">
    <w:name w:val="Table Text"/>
    <w:basedOn w:val="1"/>
    <w:semiHidden/>
    <w:qFormat/>
    <w:uiPriority w:val="0"/>
    <w:rPr>
      <w:rFonts w:ascii="宋体" w:hAnsi="宋体" w:eastAsia="宋体" w:cs="宋体"/>
      <w:sz w:val="21"/>
      <w:szCs w:val="21"/>
      <w:lang w:val="en-US" w:eastAsia="en-US" w:bidi="ar-SA"/>
    </w:rPr>
  </w:style>
  <w:style w:type="paragraph" w:customStyle="1" w:styleId="7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78">
    <w:name w:val="正文文本 (2) + 间距 0 pt3"/>
    <w:qFormat/>
    <w:uiPriority w:val="99"/>
    <w:rPr>
      <w:rFonts w:ascii="MingLiU" w:eastAsia="MingLiU" w:cs="MingLiU"/>
      <w:spacing w:val="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87</Pages>
  <Words>52558</Words>
  <Characters>55758</Characters>
  <Lines>731</Lines>
  <Paragraphs>205</Paragraphs>
  <TotalTime>8</TotalTime>
  <ScaleCrop>false</ScaleCrop>
  <LinksUpToDate>false</LinksUpToDate>
  <CharactersWithSpaces>57904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2023-11-10T02:36:00Z</dcterms:created>
  <dc:creator>Chen~小璇</dc:creator>
  <cp:lastModifiedBy>ヾ墨ゝノ </cp:lastModifiedBy>
  <cp:lastPrinted>2024-09-26T02:28:00Z</cp:lastPrinted>
  <dcterms:modified xsi:type="dcterms:W3CDTF">2025-10-17T04:59:27Z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51416132306544159D90CCE78FA2C198_13</vt:lpwstr>
  </property>
  <property fmtid="{D5CDD505-2E9C-101B-9397-08002B2CF9AE}" pid="4" name="KSOTemplateDocerSaveRecord">
    <vt:lpwstr>eyJoZGlkIjoiOGI0M2M0ZGY1ZTUxOTZhN2IwMjY5NzEwNTY2YTU4ODQiLCJ1c2VySWQiOiI5NjU4NjQ1MDMifQ==</vt:lpwstr>
  </property>
</Properties>
</file>